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001-6351</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ELI LILLY AND COMPANY</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46" w:right="339" w:bottom="1440" w:gutter="0" w:footer="0" w:header="0"/>
        </w:sectPr>
      </w:pPr>
    </w:p>
    <w:p>
      <w:pPr>
        <w:spacing w:after="0" w:line="174"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Indiana</w:t>
      </w:r>
    </w:p>
    <w:p>
      <w:pPr>
        <w:spacing w:after="0" w:line="73"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(State or other jurisdiction of</w:t>
      </w:r>
    </w:p>
    <w:p>
      <w:pPr>
        <w:spacing w:after="0" w:line="73"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2000"/>
        <w:spacing w:after="0"/>
        <w:rPr>
          <w:sz w:val="20"/>
          <w:szCs w:val="20"/>
          <w:color w:val="auto"/>
        </w:rPr>
      </w:pPr>
      <w:r>
        <w:rPr>
          <w:rFonts w:ascii="Arial" w:cs="Arial" w:eastAsia="Arial" w:hAnsi="Arial"/>
          <w:sz w:val="16"/>
          <w:szCs w:val="16"/>
          <w:color w:val="auto"/>
        </w:rPr>
        <w:t>35-0470950</w:t>
      </w:r>
    </w:p>
    <w:p>
      <w:pPr>
        <w:spacing w:after="0" w:line="73" w:lineRule="exact"/>
        <w:rPr>
          <w:sz w:val="24"/>
          <w:szCs w:val="24"/>
          <w:color w:val="auto"/>
        </w:rPr>
      </w:pPr>
    </w:p>
    <w:p>
      <w:pPr>
        <w:jc w:val="center"/>
        <w:ind w:right="2000"/>
        <w:spacing w:after="0"/>
        <w:rPr>
          <w:sz w:val="20"/>
          <w:szCs w:val="20"/>
          <w:color w:val="auto"/>
        </w:rPr>
      </w:pPr>
      <w:r>
        <w:rPr>
          <w:rFonts w:ascii="Arial" w:cs="Arial" w:eastAsia="Arial" w:hAnsi="Arial"/>
          <w:sz w:val="16"/>
          <w:szCs w:val="16"/>
          <w:color w:val="auto"/>
        </w:rPr>
        <w:t>(I.R.S. Employer</w:t>
      </w:r>
    </w:p>
    <w:p>
      <w:pPr>
        <w:spacing w:after="0" w:line="73" w:lineRule="exact"/>
        <w:rPr>
          <w:sz w:val="24"/>
          <w:szCs w:val="24"/>
          <w:color w:val="auto"/>
        </w:rPr>
      </w:pPr>
    </w:p>
    <w:p>
      <w:pPr>
        <w:jc w:val="center"/>
        <w:ind w:right="20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2">
            <w:col w:w="7260" w:space="720"/>
            <w:col w:w="3260"/>
          </w:cols>
          <w:pgMar w:left="320" w:top="946" w:right="33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Lilly Corporate Center, Indianapolis, Indiana 46285</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240"/>
          </w:cols>
          <w:pgMar w:left="320" w:top="946" w:right="339" w:bottom="1440" w:gutter="0" w:footer="0" w:header="0"/>
          <w:type w:val="continuous"/>
        </w:sectPr>
      </w:pP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 (317) 276-2000</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Exchange Act:</w:t>
      </w:r>
    </w:p>
    <w:p>
      <w:pPr>
        <w:spacing w:after="0" w:line="172" w:lineRule="exact"/>
        <w:rPr>
          <w:sz w:val="24"/>
          <w:szCs w:val="24"/>
          <w:color w:val="auto"/>
        </w:rPr>
      </w:pPr>
    </w:p>
    <w:tbl>
      <w:tblPr>
        <w:tblLayout w:type="fixed"/>
        <w:tblInd w:w="60" w:type="dxa"/>
        <w:tblCellMar>
          <w:top w:w="0" w:type="dxa"/>
          <w:left w:w="0" w:type="dxa"/>
          <w:bottom w:w="0" w:type="dxa"/>
          <w:right w:w="0" w:type="dxa"/>
        </w:tblCellMar>
      </w:tblPr>
      <w:tr>
        <w:trPr>
          <w:trHeight w:val="162"/>
        </w:trPr>
        <w:tc>
          <w:tcPr>
            <w:tcW w:w="1280" w:type="dxa"/>
            <w:vAlign w:val="bottom"/>
          </w:tcPr>
          <w:p>
            <w:pPr>
              <w:spacing w:after="0"/>
              <w:rPr>
                <w:sz w:val="20"/>
                <w:szCs w:val="20"/>
                <w:color w:val="auto"/>
              </w:rPr>
            </w:pPr>
            <w:r>
              <w:rPr>
                <w:rFonts w:ascii="Arial" w:cs="Arial" w:eastAsia="Arial" w:hAnsi="Arial"/>
                <w:sz w:val="14"/>
                <w:szCs w:val="14"/>
                <w:b w:val="1"/>
                <w:bCs w:val="1"/>
                <w:color w:val="auto"/>
              </w:rPr>
              <w:t>Title of Each Class</w:t>
            </w:r>
          </w:p>
        </w:tc>
        <w:tc>
          <w:tcPr>
            <w:tcW w:w="25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Trading Symbol</w:t>
            </w:r>
          </w:p>
        </w:tc>
        <w:tc>
          <w:tcPr>
            <w:tcW w:w="3160" w:type="dxa"/>
            <w:vAlign w:val="bottom"/>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2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25"/>
        </w:trPr>
        <w:tc>
          <w:tcPr>
            <w:tcW w:w="380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3040" w:type="dxa"/>
            <w:vAlign w:val="bottom"/>
            <w:gridSpan w:val="2"/>
          </w:tcPr>
          <w:p>
            <w:pPr>
              <w:spacing w:after="0"/>
              <w:rPr>
                <w:sz w:val="20"/>
                <w:szCs w:val="20"/>
                <w:color w:val="auto"/>
              </w:rPr>
            </w:pPr>
            <w:r>
              <w:rPr>
                <w:rFonts w:ascii="Arial" w:cs="Arial" w:eastAsia="Arial" w:hAnsi="Arial"/>
                <w:sz w:val="14"/>
                <w:szCs w:val="14"/>
                <w:color w:val="auto"/>
              </w:rPr>
              <w:t>LLY</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3800" w:type="dxa"/>
            <w:vAlign w:val="bottom"/>
            <w:gridSpan w:val="2"/>
          </w:tcPr>
          <w:p>
            <w:pPr>
              <w:spacing w:after="0"/>
              <w:rPr>
                <w:sz w:val="20"/>
                <w:szCs w:val="20"/>
                <w:color w:val="auto"/>
              </w:rPr>
            </w:pPr>
            <w:r>
              <w:rPr>
                <w:rFonts w:ascii="Arial" w:cs="Arial" w:eastAsia="Arial" w:hAnsi="Arial"/>
                <w:sz w:val="14"/>
                <w:szCs w:val="14"/>
                <w:color w:val="auto"/>
              </w:rPr>
              <w:t>1.000% Notes due 2022</w:t>
            </w:r>
          </w:p>
        </w:tc>
        <w:tc>
          <w:tcPr>
            <w:tcW w:w="3040" w:type="dxa"/>
            <w:vAlign w:val="bottom"/>
            <w:gridSpan w:val="2"/>
          </w:tcPr>
          <w:p>
            <w:pPr>
              <w:spacing w:after="0"/>
              <w:rPr>
                <w:sz w:val="20"/>
                <w:szCs w:val="20"/>
                <w:color w:val="auto"/>
              </w:rPr>
            </w:pPr>
            <w:r>
              <w:rPr>
                <w:rFonts w:ascii="Arial" w:cs="Arial" w:eastAsia="Arial" w:hAnsi="Arial"/>
                <w:sz w:val="14"/>
                <w:szCs w:val="14"/>
                <w:color w:val="auto"/>
              </w:rPr>
              <w:t>LLY22</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3800" w:type="dxa"/>
            <w:vAlign w:val="bottom"/>
            <w:gridSpan w:val="2"/>
          </w:tcPr>
          <w:p>
            <w:pPr>
              <w:spacing w:after="0"/>
              <w:rPr>
                <w:sz w:val="20"/>
                <w:szCs w:val="20"/>
                <w:color w:val="auto"/>
              </w:rPr>
            </w:pPr>
            <w:r>
              <w:rPr>
                <w:rFonts w:ascii="Arial" w:cs="Arial" w:eastAsia="Arial" w:hAnsi="Arial"/>
                <w:sz w:val="14"/>
                <w:szCs w:val="14"/>
                <w:color w:val="auto"/>
              </w:rPr>
              <w:t>7 1/8% Notes due 2025</w:t>
            </w:r>
          </w:p>
        </w:tc>
        <w:tc>
          <w:tcPr>
            <w:tcW w:w="3040" w:type="dxa"/>
            <w:vAlign w:val="bottom"/>
            <w:gridSpan w:val="2"/>
          </w:tcPr>
          <w:p>
            <w:pPr>
              <w:spacing w:after="0"/>
              <w:rPr>
                <w:sz w:val="20"/>
                <w:szCs w:val="20"/>
                <w:color w:val="auto"/>
              </w:rPr>
            </w:pPr>
            <w:r>
              <w:rPr>
                <w:rFonts w:ascii="Arial" w:cs="Arial" w:eastAsia="Arial" w:hAnsi="Arial"/>
                <w:sz w:val="14"/>
                <w:szCs w:val="14"/>
                <w:color w:val="auto"/>
              </w:rPr>
              <w:t>LLY25</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3800" w:type="dxa"/>
            <w:vAlign w:val="bottom"/>
            <w:gridSpan w:val="2"/>
          </w:tcPr>
          <w:p>
            <w:pPr>
              <w:spacing w:after="0"/>
              <w:rPr>
                <w:sz w:val="20"/>
                <w:szCs w:val="20"/>
                <w:color w:val="auto"/>
              </w:rPr>
            </w:pPr>
            <w:r>
              <w:rPr>
                <w:rFonts w:ascii="Arial" w:cs="Arial" w:eastAsia="Arial" w:hAnsi="Arial"/>
                <w:sz w:val="14"/>
                <w:szCs w:val="14"/>
                <w:color w:val="auto"/>
              </w:rPr>
              <w:t>1.625% Notes due 2026</w:t>
            </w:r>
          </w:p>
        </w:tc>
        <w:tc>
          <w:tcPr>
            <w:tcW w:w="3040" w:type="dxa"/>
            <w:vAlign w:val="bottom"/>
            <w:gridSpan w:val="2"/>
          </w:tcPr>
          <w:p>
            <w:pPr>
              <w:spacing w:after="0"/>
              <w:rPr>
                <w:sz w:val="20"/>
                <w:szCs w:val="20"/>
                <w:color w:val="auto"/>
              </w:rPr>
            </w:pPr>
            <w:r>
              <w:rPr>
                <w:rFonts w:ascii="Arial" w:cs="Arial" w:eastAsia="Arial" w:hAnsi="Arial"/>
                <w:sz w:val="14"/>
                <w:szCs w:val="14"/>
                <w:color w:val="auto"/>
              </w:rPr>
              <w:t>LLY26</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3800" w:type="dxa"/>
            <w:vAlign w:val="bottom"/>
            <w:gridSpan w:val="2"/>
          </w:tcPr>
          <w:p>
            <w:pPr>
              <w:spacing w:after="0"/>
              <w:rPr>
                <w:sz w:val="20"/>
                <w:szCs w:val="20"/>
                <w:color w:val="auto"/>
              </w:rPr>
            </w:pPr>
            <w:r>
              <w:rPr>
                <w:rFonts w:ascii="Arial" w:cs="Arial" w:eastAsia="Arial" w:hAnsi="Arial"/>
                <w:sz w:val="14"/>
                <w:szCs w:val="14"/>
                <w:color w:val="auto"/>
              </w:rPr>
              <w:t>2.125% Notes due 2030</w:t>
            </w:r>
          </w:p>
        </w:tc>
        <w:tc>
          <w:tcPr>
            <w:tcW w:w="3040" w:type="dxa"/>
            <w:vAlign w:val="bottom"/>
            <w:gridSpan w:val="2"/>
          </w:tcPr>
          <w:p>
            <w:pPr>
              <w:spacing w:after="0"/>
              <w:rPr>
                <w:sz w:val="20"/>
                <w:szCs w:val="20"/>
                <w:color w:val="auto"/>
              </w:rPr>
            </w:pPr>
            <w:r>
              <w:rPr>
                <w:rFonts w:ascii="Arial" w:cs="Arial" w:eastAsia="Arial" w:hAnsi="Arial"/>
                <w:sz w:val="14"/>
                <w:szCs w:val="14"/>
                <w:color w:val="auto"/>
              </w:rPr>
              <w:t>LLY30</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3800" w:type="dxa"/>
            <w:vAlign w:val="bottom"/>
            <w:gridSpan w:val="2"/>
          </w:tcPr>
          <w:p>
            <w:pPr>
              <w:spacing w:after="0"/>
              <w:rPr>
                <w:sz w:val="20"/>
                <w:szCs w:val="20"/>
                <w:color w:val="auto"/>
              </w:rPr>
            </w:pPr>
            <w:r>
              <w:rPr>
                <w:rFonts w:ascii="Arial" w:cs="Arial" w:eastAsia="Arial" w:hAnsi="Arial"/>
                <w:sz w:val="14"/>
                <w:szCs w:val="14"/>
                <w:color w:val="auto"/>
              </w:rPr>
              <w:t>0.625% Notes due 2031</w:t>
            </w:r>
          </w:p>
        </w:tc>
        <w:tc>
          <w:tcPr>
            <w:tcW w:w="3040" w:type="dxa"/>
            <w:vAlign w:val="bottom"/>
            <w:gridSpan w:val="2"/>
          </w:tcPr>
          <w:p>
            <w:pPr>
              <w:spacing w:after="0"/>
              <w:rPr>
                <w:sz w:val="20"/>
                <w:szCs w:val="20"/>
                <w:color w:val="auto"/>
              </w:rPr>
            </w:pPr>
            <w:r>
              <w:rPr>
                <w:rFonts w:ascii="Arial" w:cs="Arial" w:eastAsia="Arial" w:hAnsi="Arial"/>
                <w:sz w:val="14"/>
                <w:szCs w:val="14"/>
                <w:color w:val="auto"/>
              </w:rPr>
              <w:t>LLY31</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3800" w:type="dxa"/>
            <w:vAlign w:val="bottom"/>
            <w:gridSpan w:val="2"/>
          </w:tcPr>
          <w:p>
            <w:pPr>
              <w:spacing w:after="0"/>
              <w:rPr>
                <w:sz w:val="20"/>
                <w:szCs w:val="20"/>
                <w:color w:val="auto"/>
              </w:rPr>
            </w:pPr>
            <w:r>
              <w:rPr>
                <w:rFonts w:ascii="Arial" w:cs="Arial" w:eastAsia="Arial" w:hAnsi="Arial"/>
                <w:sz w:val="14"/>
                <w:szCs w:val="14"/>
                <w:color w:val="auto"/>
              </w:rPr>
              <w:t>6.77% Notes due 2036</w:t>
            </w:r>
          </w:p>
        </w:tc>
        <w:tc>
          <w:tcPr>
            <w:tcW w:w="3040" w:type="dxa"/>
            <w:vAlign w:val="bottom"/>
            <w:gridSpan w:val="2"/>
          </w:tcPr>
          <w:p>
            <w:pPr>
              <w:spacing w:after="0"/>
              <w:rPr>
                <w:sz w:val="20"/>
                <w:szCs w:val="20"/>
                <w:color w:val="auto"/>
              </w:rPr>
            </w:pPr>
            <w:r>
              <w:rPr>
                <w:rFonts w:ascii="Arial" w:cs="Arial" w:eastAsia="Arial" w:hAnsi="Arial"/>
                <w:sz w:val="14"/>
                <w:szCs w:val="14"/>
                <w:color w:val="auto"/>
              </w:rPr>
              <w:t>LLY36</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3800" w:type="dxa"/>
            <w:vAlign w:val="bottom"/>
            <w:gridSpan w:val="2"/>
          </w:tcPr>
          <w:p>
            <w:pPr>
              <w:spacing w:after="0"/>
              <w:rPr>
                <w:sz w:val="20"/>
                <w:szCs w:val="20"/>
                <w:color w:val="auto"/>
              </w:rPr>
            </w:pPr>
            <w:r>
              <w:rPr>
                <w:rFonts w:ascii="Arial" w:cs="Arial" w:eastAsia="Arial" w:hAnsi="Arial"/>
                <w:sz w:val="14"/>
                <w:szCs w:val="14"/>
                <w:color w:val="auto"/>
              </w:rPr>
              <w:t>1.700% Notes due 2049</w:t>
            </w:r>
          </w:p>
        </w:tc>
        <w:tc>
          <w:tcPr>
            <w:tcW w:w="3040" w:type="dxa"/>
            <w:vAlign w:val="bottom"/>
            <w:gridSpan w:val="2"/>
          </w:tcPr>
          <w:p>
            <w:pPr>
              <w:spacing w:after="0"/>
              <w:rPr>
                <w:sz w:val="20"/>
                <w:szCs w:val="20"/>
                <w:color w:val="auto"/>
              </w:rPr>
            </w:pPr>
            <w:r>
              <w:rPr>
                <w:rFonts w:ascii="Arial" w:cs="Arial" w:eastAsia="Arial" w:hAnsi="Arial"/>
                <w:sz w:val="14"/>
                <w:szCs w:val="14"/>
                <w:color w:val="auto"/>
              </w:rPr>
              <w:t>LLY49A</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bl>
    <w:p>
      <w:pPr>
        <w:spacing w:after="0" w:line="68" w:lineRule="exact"/>
        <w:rPr>
          <w:sz w:val="24"/>
          <w:szCs w:val="24"/>
          <w:color w:val="auto"/>
        </w:rPr>
      </w:pPr>
    </w:p>
    <w:p>
      <w:pPr>
        <w:ind w:right="400"/>
        <w:spacing w:after="0" w:line="24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1" w:lineRule="exact"/>
        <w:rPr>
          <w:sz w:val="24"/>
          <w:szCs w:val="24"/>
          <w:color w:val="auto"/>
        </w:rPr>
      </w:pPr>
    </w:p>
    <w:p>
      <w:pPr>
        <w:ind w:right="380"/>
        <w:spacing w:after="0" w:line="24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1"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a “large accelerated filer,” “accelerated filer,” “smaller reporting company,” and "emerging growth company" in Rule 12b-2 of the Exchange Act.</w:t>
      </w:r>
    </w:p>
    <w:p>
      <w:pPr>
        <w:sectPr>
          <w:pgSz w:w="11900" w:h="16838" w:orient="portrait"/>
          <w:cols w:equalWidth="0" w:num="1">
            <w:col w:w="11240"/>
          </w:cols>
          <w:pgMar w:left="320" w:top="946" w:right="339" w:bottom="1440" w:gutter="0" w:footer="0" w:header="0"/>
          <w:type w:val="continuous"/>
        </w:sectPr>
      </w:pPr>
    </w:p>
    <w:p>
      <w:pPr>
        <w:spacing w:after="0" w:line="228" w:lineRule="exact"/>
        <w:rPr>
          <w:sz w:val="24"/>
          <w:szCs w:val="24"/>
          <w:color w:val="auto"/>
        </w:rPr>
      </w:pPr>
    </w:p>
    <w:p>
      <w:pPr>
        <w:ind w:left="7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2340" w:space="60"/>
            <w:col w:w="6720" w:space="720"/>
            <w:col w:w="1160" w:space="60"/>
            <w:col w:w="180"/>
          </w:cols>
          <w:pgMar w:left="320" w:top="946" w:right="339" w:bottom="1440" w:gutter="0" w:footer="0" w:header="0"/>
          <w:type w:val="continuous"/>
        </w:sectPr>
      </w:pPr>
    </w:p>
    <w:p>
      <w:pPr>
        <w:spacing w:after="0" w:line="55" w:lineRule="exact"/>
        <w:rPr>
          <w:sz w:val="24"/>
          <w:szCs w:val="24"/>
          <w:color w:val="auto"/>
        </w:rPr>
      </w:pPr>
    </w:p>
    <w:p>
      <w:pPr>
        <w:ind w:left="8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2340" w:space="60"/>
            <w:col w:w="5940" w:space="720"/>
            <w:col w:w="1940" w:space="60"/>
            <w:col w:w="180"/>
          </w:cols>
          <w:pgMar w:left="320" w:top="946" w:right="339" w:bottom="1440" w:gutter="0" w:footer="0" w:header="0"/>
          <w:type w:val="continuous"/>
        </w:sectPr>
      </w:pPr>
    </w:p>
    <w:p>
      <w:pPr>
        <w:spacing w:after="0" w:line="55" w:lineRule="exact"/>
        <w:rPr>
          <w:sz w:val="24"/>
          <w:szCs w:val="24"/>
          <w:color w:val="auto"/>
        </w:rPr>
      </w:pPr>
    </w:p>
    <w:p>
      <w:pPr>
        <w:ind w:left="90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2" w:lineRule="exact"/>
        <w:rPr>
          <w:sz w:val="24"/>
          <w:szCs w:val="24"/>
          <w:color w:val="auto"/>
        </w:rPr>
      </w:pPr>
    </w:p>
    <w:p>
      <w:pPr>
        <w:sectPr>
          <w:pgSz w:w="11900" w:h="16838" w:orient="portrait"/>
          <w:cols w:equalWidth="0" w:num="2">
            <w:col w:w="11000" w:space="60"/>
            <w:col w:w="180"/>
          </w:cols>
          <w:pgMar w:left="320" w:top="946" w:right="339" w:bottom="1440" w:gutter="0" w:footer="0" w:header="0"/>
          <w:type w:val="continuous"/>
        </w:sect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8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outstanding as of April 27, 2020:</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60" w:type="dxa"/>
            <w:vAlign w:val="bottom"/>
          </w:tcPr>
          <w:p>
            <w:pPr>
              <w:spacing w:after="0"/>
              <w:rPr>
                <w:sz w:val="15"/>
                <w:szCs w:val="15"/>
                <w:color w:val="auto"/>
              </w:rPr>
            </w:pPr>
          </w:p>
        </w:tc>
        <w:tc>
          <w:tcPr>
            <w:tcW w:w="5260" w:type="dxa"/>
            <w:vAlign w:val="bottom"/>
            <w:tcBorders>
              <w:bottom w:val="single" w:sz="8" w:color="auto"/>
            </w:tcBorders>
          </w:tcPr>
          <w:p>
            <w:pPr>
              <w:jc w:val="right"/>
              <w:ind w:right="1559"/>
              <w:spacing w:after="0"/>
              <w:rPr>
                <w:sz w:val="20"/>
                <w:szCs w:val="20"/>
                <w:color w:val="auto"/>
              </w:rPr>
            </w:pPr>
            <w:r>
              <w:rPr>
                <w:rFonts w:ascii="Arial" w:cs="Arial" w:eastAsia="Arial" w:hAnsi="Arial"/>
                <w:sz w:val="14"/>
                <w:szCs w:val="14"/>
                <w:color w:val="auto"/>
              </w:rPr>
              <w:t>Number of Shares Outstanding</w:t>
            </w:r>
          </w:p>
        </w:tc>
      </w:tr>
      <w:tr>
        <w:trPr>
          <w:trHeight w:val="243"/>
        </w:trPr>
        <w:tc>
          <w:tcPr>
            <w:tcW w:w="59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Common</w:t>
            </w:r>
          </w:p>
        </w:tc>
        <w:tc>
          <w:tcPr>
            <w:tcW w:w="5260" w:type="dxa"/>
            <w:vAlign w:val="bottom"/>
          </w:tcPr>
          <w:p>
            <w:pPr>
              <w:jc w:val="right"/>
              <w:ind w:right="19"/>
              <w:spacing w:after="0"/>
              <w:rPr>
                <w:sz w:val="20"/>
                <w:szCs w:val="20"/>
                <w:color w:val="auto"/>
              </w:rPr>
            </w:pPr>
            <w:r>
              <w:rPr>
                <w:rFonts w:ascii="Arial" w:cs="Arial" w:eastAsia="Arial" w:hAnsi="Arial"/>
                <w:sz w:val="18"/>
                <w:szCs w:val="18"/>
                <w:color w:val="auto"/>
              </w:rPr>
              <w:t>956,450,448</w:t>
            </w:r>
          </w:p>
        </w:tc>
      </w:tr>
      <w:tr>
        <w:trPr>
          <w:trHeight w:val="149"/>
        </w:trPr>
        <w:tc>
          <w:tcPr>
            <w:tcW w:w="55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260" w:type="dxa"/>
            <w:vAlign w:val="bottom"/>
            <w:tcBorders>
              <w:bottom w:val="single" w:sz="8" w:color="auto"/>
            </w:tcBorders>
          </w:tcPr>
          <w:p>
            <w:pPr>
              <w:spacing w:after="0"/>
              <w:rPr>
                <w:sz w:val="12"/>
                <w:szCs w:val="12"/>
                <w:color w:val="auto"/>
              </w:rPr>
            </w:pPr>
          </w:p>
        </w:tc>
      </w:tr>
      <w:tr>
        <w:trPr>
          <w:trHeight w:val="122"/>
        </w:trPr>
        <w:tc>
          <w:tcPr>
            <w:tcW w:w="55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946" w:right="339" w:bottom="1440" w:gutter="0" w:footer="0" w:header="0"/>
          <w:type w:val="continuous"/>
        </w:sectPr>
      </w:pPr>
    </w:p>
    <w:bookmarkStart w:id="1" w:name="page2"/>
    <w:bookmarkEnd w:id="1"/>
    <w:p>
      <w:pPr>
        <w:ind w:left="464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 Ended March 31, 2020</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Page</w:t>
            </w:r>
          </w:p>
        </w:tc>
      </w:tr>
      <w:tr>
        <w:trPr>
          <w:trHeight w:val="291"/>
        </w:trPr>
        <w:tc>
          <w:tcPr>
            <w:tcW w:w="27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Financial Information</w:t>
              </w:r>
            </w:hyperlink>
          </w:p>
        </w:tc>
        <w:tc>
          <w:tcPr>
            <w:tcW w:w="7920" w:type="dxa"/>
            <w:vAlign w:val="bottom"/>
          </w:tcPr>
          <w:p>
            <w:pPr>
              <w:spacing w:after="0"/>
              <w:rPr>
                <w:sz w:val="24"/>
                <w:szCs w:val="24"/>
                <w:color w:val="auto"/>
              </w:rPr>
            </w:pPr>
          </w:p>
        </w:tc>
        <w:tc>
          <w:tcPr>
            <w:tcW w:w="420" w:type="dxa"/>
            <w:vAlign w:val="bottom"/>
          </w:tcPr>
          <w:p>
            <w:pPr>
              <w:jc w:val="center"/>
              <w:spacing w:after="0"/>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4</w:t>
              </w:r>
            </w:hyperlink>
          </w:p>
        </w:tc>
      </w:tr>
      <w:tr>
        <w:trPr>
          <w:trHeight w:val="594"/>
        </w:trPr>
        <w:tc>
          <w:tcPr>
            <w:tcW w:w="27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7920" w:type="dxa"/>
            <w:vAlign w:val="bottom"/>
          </w:tcPr>
          <w:p>
            <w:pPr>
              <w:ind w:left="4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4</w:t>
              </w:r>
            </w:hyperlink>
          </w:p>
        </w:tc>
      </w:tr>
      <w:tr>
        <w:trPr>
          <w:trHeight w:val="270"/>
        </w:trPr>
        <w:tc>
          <w:tcPr>
            <w:tcW w:w="2740" w:type="dxa"/>
            <w:vAlign w:val="bottom"/>
          </w:tcPr>
          <w:p>
            <w:pPr>
              <w:spacing w:after="0"/>
              <w:rPr>
                <w:sz w:val="23"/>
                <w:szCs w:val="23"/>
                <w:color w:val="auto"/>
              </w:rPr>
            </w:pPr>
          </w:p>
        </w:tc>
        <w:tc>
          <w:tcPr>
            <w:tcW w:w="7920" w:type="dxa"/>
            <w:vAlign w:val="bottom"/>
          </w:tcPr>
          <w:p>
            <w:pPr>
              <w:ind w:left="6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Condensed Statements of Operations</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4</w:t>
              </w:r>
            </w:hyperlink>
          </w:p>
        </w:tc>
      </w:tr>
      <w:tr>
        <w:trPr>
          <w:trHeight w:val="257"/>
        </w:trPr>
        <w:tc>
          <w:tcPr>
            <w:tcW w:w="2740" w:type="dxa"/>
            <w:vAlign w:val="bottom"/>
          </w:tcPr>
          <w:p>
            <w:pPr>
              <w:spacing w:after="0"/>
              <w:rPr>
                <w:sz w:val="22"/>
                <w:szCs w:val="22"/>
                <w:color w:val="auto"/>
              </w:rPr>
            </w:pPr>
          </w:p>
        </w:tc>
        <w:tc>
          <w:tcPr>
            <w:tcW w:w="7920" w:type="dxa"/>
            <w:vAlign w:val="bottom"/>
          </w:tcPr>
          <w:p>
            <w:pPr>
              <w:ind w:left="6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Condensed Statements of Comprehensive Income (Loss)</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5</w:t>
              </w:r>
            </w:hyperlink>
          </w:p>
        </w:tc>
      </w:tr>
      <w:tr>
        <w:trPr>
          <w:trHeight w:val="283"/>
        </w:trPr>
        <w:tc>
          <w:tcPr>
            <w:tcW w:w="2740" w:type="dxa"/>
            <w:vAlign w:val="bottom"/>
          </w:tcPr>
          <w:p>
            <w:pPr>
              <w:spacing w:after="0"/>
              <w:rPr>
                <w:sz w:val="24"/>
                <w:szCs w:val="24"/>
                <w:color w:val="auto"/>
              </w:rPr>
            </w:pPr>
          </w:p>
        </w:tc>
        <w:tc>
          <w:tcPr>
            <w:tcW w:w="7920" w:type="dxa"/>
            <w:vAlign w:val="bottom"/>
          </w:tcPr>
          <w:p>
            <w:pPr>
              <w:ind w:left="6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Condensed Balance Sheets</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6</w:t>
              </w:r>
            </w:hyperlink>
          </w:p>
        </w:tc>
      </w:tr>
      <w:tr>
        <w:trPr>
          <w:trHeight w:val="270"/>
        </w:trPr>
        <w:tc>
          <w:tcPr>
            <w:tcW w:w="2740" w:type="dxa"/>
            <w:vAlign w:val="bottom"/>
          </w:tcPr>
          <w:p>
            <w:pPr>
              <w:spacing w:after="0"/>
              <w:rPr>
                <w:sz w:val="23"/>
                <w:szCs w:val="23"/>
                <w:color w:val="auto"/>
              </w:rPr>
            </w:pPr>
          </w:p>
        </w:tc>
        <w:tc>
          <w:tcPr>
            <w:tcW w:w="7920" w:type="dxa"/>
            <w:vAlign w:val="bottom"/>
          </w:tcPr>
          <w:p>
            <w:pPr>
              <w:ind w:left="6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Condensed Statements of Equity</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7</w:t>
              </w:r>
            </w:hyperlink>
          </w:p>
        </w:tc>
      </w:tr>
      <w:tr>
        <w:trPr>
          <w:trHeight w:val="270"/>
        </w:trPr>
        <w:tc>
          <w:tcPr>
            <w:tcW w:w="2740" w:type="dxa"/>
            <w:vAlign w:val="bottom"/>
          </w:tcPr>
          <w:p>
            <w:pPr>
              <w:spacing w:after="0"/>
              <w:rPr>
                <w:sz w:val="23"/>
                <w:szCs w:val="23"/>
                <w:color w:val="auto"/>
              </w:rPr>
            </w:pPr>
          </w:p>
        </w:tc>
        <w:tc>
          <w:tcPr>
            <w:tcW w:w="7920" w:type="dxa"/>
            <w:vAlign w:val="bottom"/>
          </w:tcPr>
          <w:p>
            <w:pPr>
              <w:ind w:left="6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Condensed Statements of Cash Flows</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8">
              <w:r>
                <w:rPr>
                  <w:rFonts w:ascii="Arial" w:cs="Arial" w:eastAsia="Arial" w:hAnsi="Arial"/>
                  <w:sz w:val="18"/>
                  <w:szCs w:val="18"/>
                  <w:u w:val="single" w:color="auto"/>
                  <w:color w:val="0000EE"/>
                  <w:w w:val="99"/>
                </w:rPr>
                <w:t>8</w:t>
              </w:r>
            </w:hyperlink>
          </w:p>
        </w:tc>
      </w:tr>
      <w:tr>
        <w:trPr>
          <w:trHeight w:val="270"/>
        </w:trPr>
        <w:tc>
          <w:tcPr>
            <w:tcW w:w="2740" w:type="dxa"/>
            <w:vAlign w:val="bottom"/>
          </w:tcPr>
          <w:p>
            <w:pPr>
              <w:spacing w:after="0"/>
              <w:rPr>
                <w:sz w:val="23"/>
                <w:szCs w:val="23"/>
                <w:color w:val="auto"/>
              </w:rPr>
            </w:pPr>
          </w:p>
        </w:tc>
        <w:tc>
          <w:tcPr>
            <w:tcW w:w="7920" w:type="dxa"/>
            <w:vAlign w:val="bottom"/>
          </w:tcPr>
          <w:p>
            <w:pPr>
              <w:ind w:left="4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Condensed Financial Statements</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9">
              <w:r>
                <w:rPr>
                  <w:rFonts w:ascii="Arial" w:cs="Arial" w:eastAsia="Arial" w:hAnsi="Arial"/>
                  <w:sz w:val="18"/>
                  <w:szCs w:val="18"/>
                  <w:u w:val="single" w:color="auto"/>
                  <w:color w:val="0000EE"/>
                  <w:w w:val="99"/>
                </w:rPr>
                <w:t>9</w:t>
              </w:r>
            </w:hyperlink>
          </w:p>
        </w:tc>
      </w:tr>
      <w:tr>
        <w:trPr>
          <w:trHeight w:val="270"/>
        </w:trPr>
        <w:tc>
          <w:tcPr>
            <w:tcW w:w="274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2.</w:t>
              </w:r>
            </w:hyperlink>
          </w:p>
        </w:tc>
        <w:tc>
          <w:tcPr>
            <w:tcW w:w="7920" w:type="dxa"/>
            <w:vAlign w:val="bottom"/>
          </w:tcPr>
          <w:p>
            <w:pPr>
              <w:ind w:left="4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Management's Discussion and Analysis of Results of Operations and Financial Condition</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32">
              <w:r>
                <w:rPr>
                  <w:rFonts w:ascii="Arial" w:cs="Arial" w:eastAsia="Arial" w:hAnsi="Arial"/>
                  <w:sz w:val="18"/>
                  <w:szCs w:val="18"/>
                  <w:u w:val="single" w:color="auto"/>
                  <w:color w:val="0000EE"/>
                  <w:w w:val="99"/>
                </w:rPr>
                <w:t>32</w:t>
              </w:r>
            </w:hyperlink>
          </w:p>
        </w:tc>
      </w:tr>
      <w:tr>
        <w:trPr>
          <w:trHeight w:val="270"/>
        </w:trPr>
        <w:tc>
          <w:tcPr>
            <w:tcW w:w="2740" w:type="dxa"/>
            <w:vAlign w:val="bottom"/>
          </w:tcPr>
          <w:p>
            <w:pPr>
              <w:spacing w:after="0"/>
              <w:rPr>
                <w:sz w:val="23"/>
                <w:szCs w:val="23"/>
                <w:color w:val="auto"/>
              </w:rPr>
            </w:pPr>
          </w:p>
        </w:tc>
        <w:tc>
          <w:tcPr>
            <w:tcW w:w="7920" w:type="dxa"/>
            <w:vAlign w:val="bottom"/>
          </w:tcPr>
          <w:p>
            <w:pPr>
              <w:ind w:left="6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Executive Overview</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32">
              <w:r>
                <w:rPr>
                  <w:rFonts w:ascii="Arial" w:cs="Arial" w:eastAsia="Arial" w:hAnsi="Arial"/>
                  <w:sz w:val="18"/>
                  <w:szCs w:val="18"/>
                  <w:u w:val="single" w:color="auto"/>
                  <w:color w:val="0000EE"/>
                  <w:w w:val="99"/>
                </w:rPr>
                <w:t>32</w:t>
              </w:r>
            </w:hyperlink>
          </w:p>
        </w:tc>
      </w:tr>
      <w:tr>
        <w:trPr>
          <w:trHeight w:val="270"/>
        </w:trPr>
        <w:tc>
          <w:tcPr>
            <w:tcW w:w="2740" w:type="dxa"/>
            <w:vAlign w:val="bottom"/>
          </w:tcPr>
          <w:p>
            <w:pPr>
              <w:spacing w:after="0"/>
              <w:rPr>
                <w:sz w:val="23"/>
                <w:szCs w:val="23"/>
                <w:color w:val="auto"/>
              </w:rPr>
            </w:pPr>
          </w:p>
        </w:tc>
        <w:tc>
          <w:tcPr>
            <w:tcW w:w="7920" w:type="dxa"/>
            <w:vAlign w:val="bottom"/>
          </w:tcPr>
          <w:p>
            <w:pPr>
              <w:ind w:left="6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Revenue</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40">
              <w:r>
                <w:rPr>
                  <w:rFonts w:ascii="Arial" w:cs="Arial" w:eastAsia="Arial" w:hAnsi="Arial"/>
                  <w:sz w:val="18"/>
                  <w:szCs w:val="18"/>
                  <w:u w:val="single" w:color="auto"/>
                  <w:color w:val="0000EE"/>
                  <w:w w:val="99"/>
                </w:rPr>
                <w:t>40</w:t>
              </w:r>
            </w:hyperlink>
          </w:p>
        </w:tc>
      </w:tr>
      <w:tr>
        <w:trPr>
          <w:trHeight w:val="270"/>
        </w:trPr>
        <w:tc>
          <w:tcPr>
            <w:tcW w:w="2740" w:type="dxa"/>
            <w:vAlign w:val="bottom"/>
          </w:tcPr>
          <w:p>
            <w:pPr>
              <w:spacing w:after="0"/>
              <w:rPr>
                <w:sz w:val="23"/>
                <w:szCs w:val="23"/>
                <w:color w:val="auto"/>
              </w:rPr>
            </w:pPr>
          </w:p>
        </w:tc>
        <w:tc>
          <w:tcPr>
            <w:tcW w:w="7920" w:type="dxa"/>
            <w:vAlign w:val="bottom"/>
          </w:tcPr>
          <w:p>
            <w:pPr>
              <w:ind w:left="66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Gross Margin, Costs, and Expenses</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43">
              <w:r>
                <w:rPr>
                  <w:rFonts w:ascii="Arial" w:cs="Arial" w:eastAsia="Arial" w:hAnsi="Arial"/>
                  <w:sz w:val="18"/>
                  <w:szCs w:val="18"/>
                  <w:u w:val="single" w:color="auto"/>
                  <w:color w:val="0000EE"/>
                  <w:w w:val="99"/>
                </w:rPr>
                <w:t>43</w:t>
              </w:r>
            </w:hyperlink>
          </w:p>
        </w:tc>
      </w:tr>
      <w:tr>
        <w:trPr>
          <w:trHeight w:val="270"/>
        </w:trPr>
        <w:tc>
          <w:tcPr>
            <w:tcW w:w="2740" w:type="dxa"/>
            <w:vAlign w:val="bottom"/>
          </w:tcPr>
          <w:p>
            <w:pPr>
              <w:spacing w:after="0"/>
              <w:rPr>
                <w:sz w:val="23"/>
                <w:szCs w:val="23"/>
                <w:color w:val="auto"/>
              </w:rPr>
            </w:pPr>
          </w:p>
        </w:tc>
        <w:tc>
          <w:tcPr>
            <w:tcW w:w="7920" w:type="dxa"/>
            <w:vAlign w:val="bottom"/>
          </w:tcPr>
          <w:p>
            <w:pPr>
              <w:ind w:left="6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Financial Condition</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44">
              <w:r>
                <w:rPr>
                  <w:rFonts w:ascii="Arial" w:cs="Arial" w:eastAsia="Arial" w:hAnsi="Arial"/>
                  <w:sz w:val="18"/>
                  <w:szCs w:val="18"/>
                  <w:u w:val="single" w:color="auto"/>
                  <w:color w:val="0000EE"/>
                  <w:w w:val="99"/>
                </w:rPr>
                <w:t>44</w:t>
              </w:r>
            </w:hyperlink>
          </w:p>
        </w:tc>
      </w:tr>
      <w:tr>
        <w:trPr>
          <w:trHeight w:val="270"/>
        </w:trPr>
        <w:tc>
          <w:tcPr>
            <w:tcW w:w="2740" w:type="dxa"/>
            <w:vAlign w:val="bottom"/>
          </w:tcPr>
          <w:p>
            <w:pPr>
              <w:spacing w:after="0"/>
              <w:rPr>
                <w:sz w:val="23"/>
                <w:szCs w:val="23"/>
                <w:color w:val="auto"/>
              </w:rPr>
            </w:pPr>
          </w:p>
        </w:tc>
        <w:tc>
          <w:tcPr>
            <w:tcW w:w="7920" w:type="dxa"/>
            <w:vAlign w:val="bottom"/>
          </w:tcPr>
          <w:p>
            <w:pPr>
              <w:ind w:left="4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Financial Expectations</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45">
              <w:r>
                <w:rPr>
                  <w:rFonts w:ascii="Arial" w:cs="Arial" w:eastAsia="Arial" w:hAnsi="Arial"/>
                  <w:sz w:val="18"/>
                  <w:szCs w:val="18"/>
                  <w:u w:val="single" w:color="auto"/>
                  <w:color w:val="0000EE"/>
                  <w:w w:val="99"/>
                </w:rPr>
                <w:t>45</w:t>
              </w:r>
            </w:hyperlink>
          </w:p>
        </w:tc>
      </w:tr>
      <w:tr>
        <w:trPr>
          <w:trHeight w:val="270"/>
        </w:trPr>
        <w:tc>
          <w:tcPr>
            <w:tcW w:w="2740" w:type="dxa"/>
            <w:vAlign w:val="bottom"/>
          </w:tcPr>
          <w:p>
            <w:pPr>
              <w:spacing w:after="0"/>
              <w:rPr>
                <w:sz w:val="23"/>
                <w:szCs w:val="23"/>
                <w:color w:val="auto"/>
              </w:rPr>
            </w:pPr>
          </w:p>
        </w:tc>
        <w:tc>
          <w:tcPr>
            <w:tcW w:w="7920" w:type="dxa"/>
            <w:vAlign w:val="bottom"/>
          </w:tcPr>
          <w:p>
            <w:pPr>
              <w:ind w:left="4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Available Information on our Website</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45">
              <w:r>
                <w:rPr>
                  <w:rFonts w:ascii="Arial" w:cs="Arial" w:eastAsia="Arial" w:hAnsi="Arial"/>
                  <w:sz w:val="18"/>
                  <w:szCs w:val="18"/>
                  <w:u w:val="single" w:color="auto"/>
                  <w:color w:val="0000EE"/>
                  <w:w w:val="99"/>
                </w:rPr>
                <w:t>45</w:t>
              </w:r>
            </w:hyperlink>
          </w:p>
        </w:tc>
      </w:tr>
      <w:tr>
        <w:trPr>
          <w:trHeight w:val="270"/>
        </w:trPr>
        <w:tc>
          <w:tcPr>
            <w:tcW w:w="27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4.</w:t>
              </w:r>
            </w:hyperlink>
          </w:p>
        </w:tc>
        <w:tc>
          <w:tcPr>
            <w:tcW w:w="7920" w:type="dxa"/>
            <w:vAlign w:val="bottom"/>
          </w:tcPr>
          <w:p>
            <w:pPr>
              <w:ind w:left="4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Controls and Procedures</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46">
              <w:r>
                <w:rPr>
                  <w:rFonts w:ascii="Arial" w:cs="Arial" w:eastAsia="Arial" w:hAnsi="Arial"/>
                  <w:sz w:val="18"/>
                  <w:szCs w:val="18"/>
                  <w:u w:val="single" w:color="auto"/>
                  <w:color w:val="0000EE"/>
                  <w:w w:val="99"/>
                </w:rPr>
                <w:t>46</w:t>
              </w:r>
            </w:hyperlink>
          </w:p>
        </w:tc>
      </w:tr>
      <w:tr>
        <w:trPr>
          <w:trHeight w:val="594"/>
        </w:trPr>
        <w:tc>
          <w:tcPr>
            <w:tcW w:w="27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PART II. Other Information</w:t>
              </w:r>
            </w:hyperlink>
          </w:p>
        </w:tc>
        <w:tc>
          <w:tcPr>
            <w:tcW w:w="7920" w:type="dxa"/>
            <w:vAlign w:val="bottom"/>
          </w:tcPr>
          <w:p>
            <w:pPr>
              <w:spacing w:after="0"/>
              <w:rPr>
                <w:sz w:val="24"/>
                <w:szCs w:val="24"/>
                <w:color w:val="auto"/>
              </w:rPr>
            </w:pPr>
          </w:p>
        </w:tc>
        <w:tc>
          <w:tcPr>
            <w:tcW w:w="420" w:type="dxa"/>
            <w:vAlign w:val="bottom"/>
          </w:tcPr>
          <w:p>
            <w:pPr>
              <w:jc w:val="center"/>
              <w:spacing w:after="0"/>
              <w:rPr>
                <w:rFonts w:ascii="Arial" w:cs="Arial" w:eastAsia="Arial" w:hAnsi="Arial"/>
                <w:sz w:val="18"/>
                <w:szCs w:val="18"/>
                <w:u w:val="single" w:color="auto"/>
                <w:color w:val="0000EE"/>
                <w:w w:val="99"/>
              </w:rPr>
            </w:pPr>
            <w:hyperlink w:anchor="page47">
              <w:r>
                <w:rPr>
                  <w:rFonts w:ascii="Arial" w:cs="Arial" w:eastAsia="Arial" w:hAnsi="Arial"/>
                  <w:sz w:val="18"/>
                  <w:szCs w:val="18"/>
                  <w:u w:val="single" w:color="auto"/>
                  <w:color w:val="0000EE"/>
                  <w:w w:val="99"/>
                </w:rPr>
                <w:t>47</w:t>
              </w:r>
            </w:hyperlink>
          </w:p>
        </w:tc>
      </w:tr>
      <w:tr>
        <w:trPr>
          <w:trHeight w:val="594"/>
        </w:trPr>
        <w:tc>
          <w:tcPr>
            <w:tcW w:w="27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1.</w:t>
              </w:r>
            </w:hyperlink>
          </w:p>
        </w:tc>
        <w:tc>
          <w:tcPr>
            <w:tcW w:w="7920" w:type="dxa"/>
            <w:vAlign w:val="bottom"/>
          </w:tcPr>
          <w:p>
            <w:pPr>
              <w:ind w:left="4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Legal Proceedings</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47">
              <w:r>
                <w:rPr>
                  <w:rFonts w:ascii="Arial" w:cs="Arial" w:eastAsia="Arial" w:hAnsi="Arial"/>
                  <w:sz w:val="18"/>
                  <w:szCs w:val="18"/>
                  <w:u w:val="single" w:color="auto"/>
                  <w:color w:val="0000EE"/>
                  <w:w w:val="99"/>
                </w:rPr>
                <w:t>47</w:t>
              </w:r>
            </w:hyperlink>
          </w:p>
        </w:tc>
      </w:tr>
      <w:tr>
        <w:trPr>
          <w:trHeight w:val="270"/>
        </w:trPr>
        <w:tc>
          <w:tcPr>
            <w:tcW w:w="27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1A.</w:t>
              </w:r>
            </w:hyperlink>
          </w:p>
        </w:tc>
        <w:tc>
          <w:tcPr>
            <w:tcW w:w="7920" w:type="dxa"/>
            <w:vAlign w:val="bottom"/>
          </w:tcPr>
          <w:p>
            <w:pPr>
              <w:ind w:left="4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Risk Factors</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47">
              <w:r>
                <w:rPr>
                  <w:rFonts w:ascii="Arial" w:cs="Arial" w:eastAsia="Arial" w:hAnsi="Arial"/>
                  <w:sz w:val="18"/>
                  <w:szCs w:val="18"/>
                  <w:u w:val="single" w:color="auto"/>
                  <w:color w:val="0000EE"/>
                  <w:w w:val="99"/>
                </w:rPr>
                <w:t>47</w:t>
              </w:r>
            </w:hyperlink>
          </w:p>
        </w:tc>
      </w:tr>
      <w:tr>
        <w:trPr>
          <w:trHeight w:val="270"/>
        </w:trPr>
        <w:tc>
          <w:tcPr>
            <w:tcW w:w="27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2.</w:t>
              </w:r>
            </w:hyperlink>
          </w:p>
        </w:tc>
        <w:tc>
          <w:tcPr>
            <w:tcW w:w="7920" w:type="dxa"/>
            <w:vAlign w:val="bottom"/>
          </w:tcPr>
          <w:p>
            <w:pPr>
              <w:ind w:left="4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Unregistered Sales of Equity Securities and Use of Proceeds</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48">
              <w:r>
                <w:rPr>
                  <w:rFonts w:ascii="Arial" w:cs="Arial" w:eastAsia="Arial" w:hAnsi="Arial"/>
                  <w:sz w:val="18"/>
                  <w:szCs w:val="18"/>
                  <w:u w:val="single" w:color="auto"/>
                  <w:color w:val="0000EE"/>
                  <w:w w:val="99"/>
                </w:rPr>
                <w:t>48</w:t>
              </w:r>
            </w:hyperlink>
          </w:p>
        </w:tc>
      </w:tr>
      <w:tr>
        <w:trPr>
          <w:trHeight w:val="270"/>
        </w:trPr>
        <w:tc>
          <w:tcPr>
            <w:tcW w:w="27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6.</w:t>
              </w:r>
            </w:hyperlink>
          </w:p>
        </w:tc>
        <w:tc>
          <w:tcPr>
            <w:tcW w:w="7920" w:type="dxa"/>
            <w:vAlign w:val="bottom"/>
          </w:tcPr>
          <w:p>
            <w:pPr>
              <w:ind w:left="4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Exhibits</w:t>
              </w:r>
            </w:hyperlink>
          </w:p>
        </w:tc>
        <w:tc>
          <w:tcPr>
            <w:tcW w:w="420" w:type="dxa"/>
            <w:vAlign w:val="bottom"/>
          </w:tcPr>
          <w:p>
            <w:pPr>
              <w:jc w:val="center"/>
              <w:spacing w:after="0"/>
              <w:rPr>
                <w:rFonts w:ascii="Arial" w:cs="Arial" w:eastAsia="Arial" w:hAnsi="Arial"/>
                <w:sz w:val="18"/>
                <w:szCs w:val="18"/>
                <w:u w:val="single" w:color="auto"/>
                <w:color w:val="0000EE"/>
                <w:w w:val="99"/>
              </w:rPr>
            </w:pPr>
            <w:hyperlink w:anchor="page48">
              <w:r>
                <w:rPr>
                  <w:rFonts w:ascii="Arial" w:cs="Arial" w:eastAsia="Arial" w:hAnsi="Arial"/>
                  <w:sz w:val="18"/>
                  <w:szCs w:val="18"/>
                  <w:u w:val="single" w:color="auto"/>
                  <w:color w:val="0000EE"/>
                  <w:w w:val="99"/>
                </w:rPr>
                <w:t>48</w:t>
              </w:r>
            </w:hyperlink>
          </w:p>
        </w:tc>
      </w:tr>
      <w:tr>
        <w:trPr>
          <w:trHeight w:val="608"/>
        </w:trPr>
        <w:tc>
          <w:tcPr>
            <w:tcW w:w="274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Index to Exhibits</w:t>
              </w:r>
            </w:hyperlink>
          </w:p>
        </w:tc>
        <w:tc>
          <w:tcPr>
            <w:tcW w:w="7920" w:type="dxa"/>
            <w:vAlign w:val="bottom"/>
          </w:tcPr>
          <w:p>
            <w:pPr>
              <w:spacing w:after="0"/>
              <w:rPr>
                <w:sz w:val="24"/>
                <w:szCs w:val="24"/>
                <w:color w:val="auto"/>
              </w:rPr>
            </w:pPr>
          </w:p>
        </w:tc>
        <w:tc>
          <w:tcPr>
            <w:tcW w:w="420" w:type="dxa"/>
            <w:vAlign w:val="bottom"/>
          </w:tcPr>
          <w:p>
            <w:pPr>
              <w:jc w:val="center"/>
              <w:spacing w:after="0"/>
              <w:rPr>
                <w:rFonts w:ascii="Arial" w:cs="Arial" w:eastAsia="Arial" w:hAnsi="Arial"/>
                <w:sz w:val="18"/>
                <w:szCs w:val="18"/>
                <w:u w:val="single" w:color="auto"/>
                <w:color w:val="0000EE"/>
                <w:w w:val="99"/>
              </w:rPr>
            </w:pPr>
            <w:hyperlink w:anchor="page49">
              <w:r>
                <w:rPr>
                  <w:rFonts w:ascii="Arial" w:cs="Arial" w:eastAsia="Arial" w:hAnsi="Arial"/>
                  <w:sz w:val="18"/>
                  <w:szCs w:val="18"/>
                  <w:u w:val="single" w:color="auto"/>
                  <w:color w:val="0000EE"/>
                  <w:w w:val="99"/>
                </w:rPr>
                <w:t>49</w:t>
              </w:r>
            </w:hyperlink>
          </w:p>
        </w:tc>
      </w:tr>
      <w:tr>
        <w:trPr>
          <w:trHeight w:val="270"/>
        </w:trPr>
        <w:tc>
          <w:tcPr>
            <w:tcW w:w="274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Signatures</w:t>
              </w:r>
            </w:hyperlink>
          </w:p>
        </w:tc>
        <w:tc>
          <w:tcPr>
            <w:tcW w:w="7920" w:type="dxa"/>
            <w:vAlign w:val="bottom"/>
          </w:tcPr>
          <w:p>
            <w:pPr>
              <w:spacing w:after="0"/>
              <w:rPr>
                <w:sz w:val="23"/>
                <w:szCs w:val="23"/>
                <w:color w:val="auto"/>
              </w:rPr>
            </w:pPr>
          </w:p>
        </w:tc>
        <w:tc>
          <w:tcPr>
            <w:tcW w:w="420" w:type="dxa"/>
            <w:vAlign w:val="bottom"/>
          </w:tcPr>
          <w:p>
            <w:pPr>
              <w:jc w:val="center"/>
              <w:spacing w:after="0"/>
              <w:rPr>
                <w:rFonts w:ascii="Arial" w:cs="Arial" w:eastAsia="Arial" w:hAnsi="Arial"/>
                <w:sz w:val="18"/>
                <w:szCs w:val="18"/>
                <w:u w:val="single" w:color="auto"/>
                <w:color w:val="0000EE"/>
                <w:w w:val="99"/>
              </w:rPr>
            </w:pPr>
            <w:hyperlink w:anchor="page49">
              <w:r>
                <w:rPr>
                  <w:rFonts w:ascii="Arial" w:cs="Arial" w:eastAsia="Arial" w:hAnsi="Arial"/>
                  <w:sz w:val="18"/>
                  <w:szCs w:val="18"/>
                  <w:u w:val="single" w:color="auto"/>
                  <w:color w:val="0000EE"/>
                  <w:w w:val="99"/>
                </w:rPr>
                <w:t>49</w:t>
              </w:r>
            </w:hyperlink>
          </w:p>
        </w:tc>
      </w:tr>
      <w:tr>
        <w:trPr>
          <w:trHeight w:val="445"/>
        </w:trPr>
        <w:tc>
          <w:tcPr>
            <w:tcW w:w="2740" w:type="dxa"/>
            <w:vAlign w:val="bottom"/>
          </w:tcPr>
          <w:p>
            <w:pPr>
              <w:spacing w:after="0"/>
              <w:rPr>
                <w:sz w:val="24"/>
                <w:szCs w:val="24"/>
                <w:color w:val="auto"/>
              </w:rPr>
            </w:pPr>
          </w:p>
        </w:tc>
        <w:tc>
          <w:tcPr>
            <w:tcW w:w="7920" w:type="dxa"/>
            <w:vAlign w:val="bottom"/>
          </w:tcPr>
          <w:p>
            <w:pPr>
              <w:ind w:left="280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r>
    </w:tbl>
    <w:p>
      <w:pPr>
        <w:sectPr>
          <w:pgSz w:w="11900" w:h="16838" w:orient="portrait"/>
          <w:cols w:equalWidth="0" w:num="1">
            <w:col w:w="11080"/>
          </w:cols>
          <w:pgMar w:left="360" w:top="549" w:right="45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92"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w:t>
      </w:r>
      <w:r>
        <w:rPr>
          <w:rFonts w:ascii="Arial" w:cs="Arial" w:eastAsia="Arial" w:hAnsi="Arial"/>
          <w:sz w:val="17"/>
          <w:szCs w:val="17"/>
          <w:color w:val="auto"/>
        </w:rPr>
        <w:t>his Quarterly Report on Form 10-Q includes forward-looking statements within the meaning of Section 27A of the Securities Act of 1933,</w:t>
      </w:r>
      <w:r>
        <w:rPr>
          <w:rFonts w:ascii="Arial" w:cs="Arial" w:eastAsia="Arial" w:hAnsi="Arial"/>
          <w:sz w:val="20"/>
          <w:szCs w:val="20"/>
          <w:color w:val="auto"/>
        </w:rPr>
        <w:t xml:space="preserve"> </w:t>
      </w:r>
      <w:r>
        <w:rPr>
          <w:rFonts w:ascii="Arial" w:cs="Arial" w:eastAsia="Arial" w:hAnsi="Arial"/>
          <w:sz w:val="17"/>
          <w:szCs w:val="17"/>
          <w:color w:val="auto"/>
        </w:rPr>
        <w:t>Section 21E of the Securities Exchange Act of 1934, and the Private Securities Litigation Reform Act of 1995.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7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particular, information appearing under “Management's Discussion and Analysis of Results of Operations and Financial Condition”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The following include some but not all of the factors that could cause actual results or events to differ materially from those anticipated:</w:t>
      </w:r>
    </w:p>
    <w:p>
      <w:pPr>
        <w:spacing w:after="0" w:line="45" w:lineRule="exact"/>
        <w:rPr>
          <w:sz w:val="20"/>
          <w:szCs w:val="20"/>
          <w:color w:val="auto"/>
        </w:rPr>
      </w:pPr>
    </w:p>
    <w:p>
      <w:pPr>
        <w:ind w:left="1300" w:right="100" w:hanging="968"/>
        <w:spacing w:after="0" w:line="261"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in the pharmaceutical research and development process, including with respect to the timing of anticipated regulatory approvals and launches of new products;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 and our pipeline;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actions of governmental and private payers affecting pricing of, reimbursement for, and access to pharmaceuticals;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stemming from manufacturing difficulties or disruptions;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data-package exclusivity;</w:t>
      </w:r>
    </w:p>
    <w:p>
      <w:pPr>
        <w:spacing w:after="0" w:line="63" w:lineRule="exact"/>
        <w:rPr>
          <w:rFonts w:ascii="Arial" w:cs="Arial" w:eastAsia="Arial" w:hAnsi="Arial"/>
          <w:sz w:val="18"/>
          <w:szCs w:val="18"/>
          <w:color w:val="auto"/>
        </w:rPr>
      </w:pPr>
    </w:p>
    <w:p>
      <w:pPr>
        <w:ind w:left="1300" w:right="340" w:hanging="968"/>
        <w:spacing w:after="0" w:line="261"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commercial activities as we are largely self-insured;</w:t>
      </w:r>
    </w:p>
    <w:p>
      <w:pPr>
        <w:spacing w:after="0" w:line="35" w:lineRule="exact"/>
        <w:rPr>
          <w:rFonts w:ascii="Arial" w:cs="Arial" w:eastAsia="Arial" w:hAnsi="Arial"/>
          <w:sz w:val="18"/>
          <w:szCs w:val="18"/>
          <w:color w:val="auto"/>
        </w:rPr>
      </w:pPr>
    </w:p>
    <w:p>
      <w:pPr>
        <w:ind w:left="1300" w:right="640" w:hanging="968"/>
        <w:spacing w:after="0" w:line="261"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disclosure, misappropriation, or compromise of trade secrets or other confidential data stored in our information systems, networks, and facilities, or those of third parties with whom we share our data;</w:t>
      </w:r>
    </w:p>
    <w:p>
      <w:pPr>
        <w:spacing w:after="0" w:line="35" w:lineRule="exact"/>
        <w:rPr>
          <w:rFonts w:ascii="Arial" w:cs="Arial" w:eastAsia="Arial" w:hAnsi="Arial"/>
          <w:sz w:val="18"/>
          <w:szCs w:val="18"/>
          <w:color w:val="auto"/>
        </w:rPr>
      </w:pPr>
    </w:p>
    <w:p>
      <w:pPr>
        <w:ind w:left="1300" w:right="160" w:hanging="968"/>
        <w:spacing w:after="0" w:line="261"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including the impact of United States tax reform legislation enacted in December 2017 and related guidance, or events that differ from our assumptions related to tax positions;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foreign currency exchange rates, interest rates, and inflation;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63" w:lineRule="exact"/>
        <w:rPr>
          <w:rFonts w:ascii="Arial" w:cs="Arial" w:eastAsia="Arial" w:hAnsi="Arial"/>
          <w:sz w:val="18"/>
          <w:szCs w:val="18"/>
          <w:color w:val="auto"/>
        </w:rPr>
      </w:pPr>
    </w:p>
    <w:p>
      <w:pPr>
        <w:ind w:left="1300" w:right="280" w:hanging="968"/>
        <w:spacing w:after="0" w:line="261"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and reporting standards promulgated by the Financial Accounting Standards Board and the Securities and Exchange Commission (SEC);</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acquisitions and business development transactions and related integration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or operating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evolving COVID-19 pandemic and the global response thereto;</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w:t>
      </w:r>
    </w:p>
    <w:p>
      <w:pPr>
        <w:spacing w:after="0" w:line="117" w:lineRule="exact"/>
        <w:rPr>
          <w:sz w:val="20"/>
          <w:szCs w:val="20"/>
          <w:color w:val="auto"/>
        </w:rPr>
      </w:pPr>
    </w:p>
    <w:p>
      <w:pPr>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More information on factors that could cause actual results or events to differ materially from those anticipated is included from time to time in our reports filed with the SEC, including in Part II, Item 1A of this Form 10-Q and in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particularly under the caption “Risk Factors”.</w:t>
      </w:r>
    </w:p>
    <w:p>
      <w:pPr>
        <w:spacing w:after="0" w:line="9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All forward-looking statements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547" w:right="35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5" w:lineRule="exact"/>
        <w:rPr>
          <w:sz w:val="20"/>
          <w:szCs w:val="20"/>
          <w:color w:val="auto"/>
        </w:rPr>
      </w:pPr>
    </w:p>
    <w:p>
      <w:pPr>
        <w:jc w:val="center"/>
        <w:ind w:left="3280"/>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1" w:lineRule="exact"/>
        <w:rPr>
          <w:sz w:val="20"/>
          <w:szCs w:val="20"/>
          <w:color w:val="auto"/>
        </w:rPr>
      </w:pPr>
    </w:p>
    <w:p>
      <w:pPr>
        <w:jc w:val="center"/>
        <w:ind w:left="32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left="3280"/>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626745</wp:posOffset>
            </wp:positionV>
            <wp:extent cx="7132320" cy="179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 (Note 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 selling, and administrative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Asset impairment, restructuring, and other special charges (Note 6)</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Other–net, (income) expense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(Note 8)</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from discontinued operations (Note 5)</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from continuing operations - basic</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from discontinued operations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from continuing operations - diluted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from discontinued operations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used in calculation of earnings per share: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185" w:lineRule="exact"/>
        <w:rPr>
          <w:sz w:val="20"/>
          <w:szCs w:val="20"/>
          <w:color w:val="auto"/>
        </w:rPr>
      </w:pPr>
    </w:p>
    <w:p>
      <w:pPr>
        <w:jc w:val="center"/>
        <w:ind w:left="3280"/>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459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5" w:lineRule="exact"/>
        <w:rPr>
          <w:sz w:val="20"/>
          <w:szCs w:val="20"/>
          <w:color w:val="auto"/>
        </w:rPr>
      </w:pPr>
    </w:p>
    <w:p>
      <w:pPr>
        <w:ind w:left="460"/>
        <w:spacing w:after="0"/>
        <w:tabs>
          <w:tab w:leader="none" w:pos="18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72" w:lineRule="exact"/>
        <w:rPr>
          <w:sz w:val="20"/>
          <w:szCs w:val="20"/>
          <w:color w:val="auto"/>
        </w:rPr>
      </w:pPr>
    </w:p>
    <w:p>
      <w:pPr>
        <w:ind w:left="540" w:hanging="505"/>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5,859.8  </w:t>
      </w:r>
      <w:r>
        <w:rPr>
          <w:rFonts w:ascii="Arial" w:cs="Arial" w:eastAsia="Arial" w:hAnsi="Arial"/>
          <w:sz w:val="18"/>
          <w:szCs w:val="18"/>
          <w:color w:val="auto"/>
        </w:rPr>
        <w:t>$    5,092.2</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1,215.1</w:t>
            </w:r>
          </w:p>
        </w:tc>
        <w:tc>
          <w:tcPr>
            <w:tcW w:w="3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1,138.7</w:t>
            </w:r>
          </w:p>
        </w:tc>
      </w:tr>
      <w:tr>
        <w:trPr>
          <w:trHeight w:val="270"/>
        </w:trPr>
        <w:tc>
          <w:tcPr>
            <w:tcW w:w="34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1,392.1</w:t>
            </w:r>
          </w:p>
        </w:tc>
        <w:tc>
          <w:tcPr>
            <w:tcW w:w="3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1,230.5</w:t>
            </w:r>
          </w:p>
        </w:tc>
      </w:tr>
      <w:tr>
        <w:trPr>
          <w:trHeight w:val="270"/>
        </w:trPr>
        <w:tc>
          <w:tcPr>
            <w:tcW w:w="34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1,549.6</w:t>
            </w:r>
          </w:p>
        </w:tc>
        <w:tc>
          <w:tcPr>
            <w:tcW w:w="3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1,517.1</w:t>
            </w:r>
          </w:p>
        </w:tc>
      </w:tr>
      <w:tr>
        <w:trPr>
          <w:trHeight w:val="270"/>
        </w:trPr>
        <w:tc>
          <w:tcPr>
            <w:tcW w:w="34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52.3</w:t>
            </w:r>
          </w:p>
        </w:tc>
        <w:tc>
          <w:tcPr>
            <w:tcW w:w="3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136.9</w:t>
            </w:r>
          </w:p>
        </w:tc>
      </w:tr>
      <w:tr>
        <w:trPr>
          <w:trHeight w:val="270"/>
        </w:trPr>
        <w:tc>
          <w:tcPr>
            <w:tcW w:w="34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59.9</w:t>
            </w:r>
          </w:p>
        </w:tc>
        <w:tc>
          <w:tcPr>
            <w:tcW w:w="3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423.9</w:t>
            </w:r>
          </w:p>
        </w:tc>
      </w:tr>
      <w:tr>
        <w:trPr>
          <w:trHeight w:val="277"/>
        </w:trPr>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(89.1)</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r>
      <w:tr>
        <w:trPr>
          <w:trHeight w:val="250"/>
        </w:trPr>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4,179.9</w:t>
            </w: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4,361.1</w:t>
            </w:r>
          </w:p>
        </w:tc>
      </w:tr>
      <w:tr>
        <w:trPr>
          <w:trHeight w:val="243"/>
        </w:trPr>
        <w:tc>
          <w:tcPr>
            <w:tcW w:w="3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1,679.9</w:t>
            </w: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731.1</w:t>
            </w:r>
          </w:p>
        </w:tc>
      </w:tr>
      <w:tr>
        <w:trPr>
          <w:trHeight w:val="277"/>
        </w:trPr>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223.4</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170.0</w:t>
            </w:r>
          </w:p>
        </w:tc>
      </w:tr>
      <w:tr>
        <w:trPr>
          <w:trHeight w:val="257"/>
        </w:trPr>
        <w:tc>
          <w:tcPr>
            <w:tcW w:w="34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1,456.5</w:t>
            </w:r>
          </w:p>
        </w:tc>
        <w:tc>
          <w:tcPr>
            <w:tcW w:w="38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561.1</w:t>
            </w:r>
          </w:p>
        </w:tc>
      </w:tr>
      <w:tr>
        <w:trPr>
          <w:trHeight w:val="277"/>
        </w:trPr>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3,680.5</w:t>
            </w:r>
          </w:p>
        </w:tc>
      </w:tr>
      <w:tr>
        <w:trPr>
          <w:trHeight w:val="263"/>
        </w:trPr>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1,456.5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4,241.6</w:t>
            </w:r>
          </w:p>
        </w:tc>
      </w:tr>
      <w:tr>
        <w:trPr>
          <w:trHeight w:val="851"/>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1.60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0.57</w:t>
            </w:r>
          </w:p>
        </w:tc>
      </w:tr>
      <w:tr>
        <w:trPr>
          <w:trHeight w:val="277"/>
        </w:trPr>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w:t>
            </w:r>
          </w:p>
        </w:tc>
      </w:tr>
      <w:tr>
        <w:trPr>
          <w:trHeight w:val="277"/>
        </w:trPr>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1.60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r>
      <w:tr>
        <w:trPr>
          <w:trHeight w:val="580"/>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1.60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0.57</w:t>
            </w:r>
          </w:p>
        </w:tc>
      </w:tr>
      <w:tr>
        <w:trPr>
          <w:trHeight w:val="277"/>
        </w:trPr>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3.74</w:t>
            </w:r>
          </w:p>
        </w:tc>
      </w:tr>
      <w:tr>
        <w:trPr>
          <w:trHeight w:val="277"/>
        </w:trPr>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1.60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w:t>
            </w:r>
          </w:p>
        </w:tc>
      </w:tr>
      <w:tr>
        <w:trPr>
          <w:trHeight w:val="851"/>
        </w:trPr>
        <w:tc>
          <w:tcPr>
            <w:tcW w:w="340" w:type="dxa"/>
            <w:vAlign w:val="bottom"/>
          </w:tcPr>
          <w:p>
            <w:pPr>
              <w:spacing w:after="0"/>
              <w:rPr>
                <w:sz w:val="24"/>
                <w:szCs w:val="24"/>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908.2</w:t>
            </w:r>
          </w:p>
        </w:tc>
        <w:tc>
          <w:tcPr>
            <w:tcW w:w="38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979.9</w:t>
            </w:r>
          </w:p>
        </w:tc>
      </w:tr>
      <w:tr>
        <w:trPr>
          <w:trHeight w:val="270"/>
        </w:trPr>
        <w:tc>
          <w:tcPr>
            <w:tcW w:w="34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911.7</w:t>
            </w:r>
          </w:p>
        </w:tc>
        <w:tc>
          <w:tcPr>
            <w:tcW w:w="3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984.0</w:t>
            </w:r>
          </w:p>
        </w:tc>
      </w:tr>
    </w:tbl>
    <w:p>
      <w:pPr>
        <w:sectPr>
          <w:pgSz w:w="11900" w:h="16838" w:orient="portrait"/>
          <w:cols w:equalWidth="0" w:num="2">
            <w:col w:w="7960" w:space="680"/>
            <w:col w:w="2600"/>
          </w:cols>
          <w:pgMar w:left="320" w:top="56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9"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14605</wp:posOffset>
            </wp:positionV>
            <wp:extent cx="16459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70"/>
        </w:trPr>
        <w:tc>
          <w:tcPr>
            <w:tcW w:w="8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1,456.5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4,241.6</w:t>
            </w:r>
          </w:p>
        </w:tc>
      </w:tr>
      <w:tr>
        <w:trPr>
          <w:trHeight w:val="263"/>
        </w:trPr>
        <w:tc>
          <w:tcPr>
            <w:tcW w:w="8640" w:type="dxa"/>
            <w:vAlign w:val="bottom"/>
          </w:tcPr>
          <w:p>
            <w:pPr>
              <w:ind w:left="40"/>
              <w:spacing w:after="0"/>
              <w:rPr>
                <w:sz w:val="20"/>
                <w:szCs w:val="20"/>
                <w:color w:val="auto"/>
              </w:rPr>
            </w:pPr>
            <w:r>
              <w:rPr>
                <w:rFonts w:ascii="Arial" w:cs="Arial" w:eastAsia="Arial" w:hAnsi="Arial"/>
                <w:sz w:val="18"/>
                <w:szCs w:val="18"/>
                <w:color w:val="auto"/>
              </w:rPr>
              <w:t>Other comprehensive loss from continuing operations, net of tax (Note 11)</w:t>
            </w:r>
          </w:p>
        </w:tc>
        <w:tc>
          <w:tcPr>
            <w:tcW w:w="30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b w:val="1"/>
                <w:bCs w:val="1"/>
                <w:color w:val="auto"/>
              </w:rPr>
              <w:t>(362.3)</w:t>
            </w:r>
          </w:p>
        </w:tc>
        <w:tc>
          <w:tcPr>
            <w:tcW w:w="3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8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from discontinued operations, net of tax (Note 11)</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56.8</w:t>
            </w:r>
          </w:p>
        </w:tc>
      </w:tr>
      <w:tr>
        <w:trPr>
          <w:trHeight w:val="263"/>
        </w:trPr>
        <w:tc>
          <w:tcPr>
            <w:tcW w:w="8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 net of tax (Note 11)</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(362.3)</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52.7</w:t>
            </w:r>
          </w:p>
        </w:tc>
      </w:tr>
      <w:tr>
        <w:trPr>
          <w:trHeight w:val="263"/>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1,094.2</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4,294.3</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69"/>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1,699.0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Short-term investments (Note 7)</w:t>
            </w:r>
          </w:p>
        </w:tc>
        <w:tc>
          <w:tcPr>
            <w:tcW w:w="260" w:type="dxa"/>
            <w:vAlign w:val="bottom"/>
          </w:tcPr>
          <w:p>
            <w:pPr>
              <w:spacing w:after="0"/>
              <w:rPr>
                <w:sz w:val="22"/>
                <w:szCs w:val="22"/>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rPr>
              <w:t>78.4</w:t>
            </w:r>
          </w:p>
        </w:tc>
        <w:tc>
          <w:tcPr>
            <w:tcW w:w="260" w:type="dxa"/>
            <w:vAlign w:val="bottom"/>
          </w:tcPr>
          <w:p>
            <w:pPr>
              <w:spacing w:after="0"/>
              <w:rPr>
                <w:sz w:val="22"/>
                <w:szCs w:val="22"/>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$23.7 (2020)</w:t>
            </w:r>
            <w:r>
              <w:rPr>
                <w:rFonts w:ascii="Arial" w:cs="Arial" w:eastAsia="Arial" w:hAnsi="Arial"/>
                <w:sz w:val="18"/>
                <w:szCs w:val="18"/>
                <w:color w:val="auto"/>
              </w:rPr>
              <w:t xml:space="preserve"> and $22.4 (2019)</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5,106.1</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4,547.3</w:t>
            </w:r>
          </w:p>
        </w:tc>
        <w:tc>
          <w:tcPr>
            <w:tcW w:w="0" w:type="dxa"/>
            <w:vAlign w:val="bottom"/>
          </w:tcPr>
          <w:p>
            <w:pPr>
              <w:spacing w:after="0"/>
              <w:rPr>
                <w:sz w:val="1"/>
                <w:szCs w:val="1"/>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22"/>
                <w:szCs w:val="22"/>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rPr>
              <w:t>1,246.4</w:t>
            </w:r>
          </w:p>
        </w:tc>
        <w:tc>
          <w:tcPr>
            <w:tcW w:w="260" w:type="dxa"/>
            <w:vAlign w:val="bottom"/>
          </w:tcPr>
          <w:p>
            <w:pPr>
              <w:spacing w:after="0"/>
              <w:rPr>
                <w:sz w:val="22"/>
                <w:szCs w:val="22"/>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3,102.4</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3,190.7</w:t>
            </w:r>
          </w:p>
        </w:tc>
        <w:tc>
          <w:tcPr>
            <w:tcW w:w="0" w:type="dxa"/>
            <w:vAlign w:val="bottom"/>
          </w:tcPr>
          <w:p>
            <w:pPr>
              <w:spacing w:after="0"/>
              <w:rPr>
                <w:sz w:val="1"/>
                <w:szCs w:val="1"/>
                <w:color w:val="auto"/>
              </w:rPr>
            </w:pPr>
          </w:p>
        </w:tc>
      </w:tr>
      <w:tr>
        <w:trPr>
          <w:trHeight w:val="263"/>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2,761.9</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2,538.9</w:t>
            </w:r>
          </w:p>
        </w:tc>
        <w:tc>
          <w:tcPr>
            <w:tcW w:w="0" w:type="dxa"/>
            <w:vAlign w:val="bottom"/>
          </w:tcPr>
          <w:p>
            <w:pPr>
              <w:spacing w:after="0"/>
              <w:rPr>
                <w:sz w:val="1"/>
                <w:szCs w:val="1"/>
                <w:color w:val="auto"/>
              </w:rPr>
            </w:pPr>
          </w:p>
        </w:tc>
      </w:tr>
      <w:tr>
        <w:trPr>
          <w:trHeight w:val="270"/>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13,994.2</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13,709.6</w:t>
            </w:r>
          </w:p>
        </w:tc>
        <w:tc>
          <w:tcPr>
            <w:tcW w:w="0" w:type="dxa"/>
            <w:vAlign w:val="bottom"/>
          </w:tcPr>
          <w:p>
            <w:pPr>
              <w:spacing w:after="0"/>
              <w:rPr>
                <w:sz w:val="1"/>
                <w:szCs w:val="1"/>
                <w:color w:val="auto"/>
              </w:rPr>
            </w:pP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color w:val="auto"/>
              </w:rPr>
              <w:t>Investments (Note 7)</w:t>
            </w:r>
          </w:p>
        </w:tc>
        <w:tc>
          <w:tcPr>
            <w:tcW w:w="260" w:type="dxa"/>
            <w:vAlign w:val="bottom"/>
          </w:tcPr>
          <w:p>
            <w:pPr>
              <w:spacing w:after="0"/>
              <w:rPr>
                <w:sz w:val="22"/>
                <w:szCs w:val="22"/>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rPr>
              <w:t>2,148.7</w:t>
            </w:r>
          </w:p>
        </w:tc>
        <w:tc>
          <w:tcPr>
            <w:tcW w:w="260" w:type="dxa"/>
            <w:vAlign w:val="bottom"/>
          </w:tcPr>
          <w:p>
            <w:pPr>
              <w:spacing w:after="0"/>
              <w:rPr>
                <w:sz w:val="22"/>
                <w:szCs w:val="22"/>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1,962.4</w:t>
            </w:r>
          </w:p>
        </w:tc>
        <w:tc>
          <w:tcPr>
            <w:tcW w:w="0" w:type="dxa"/>
            <w:vAlign w:val="bottom"/>
          </w:tcPr>
          <w:p>
            <w:pPr>
              <w:spacing w:after="0"/>
              <w:rPr>
                <w:sz w:val="1"/>
                <w:szCs w:val="1"/>
                <w:color w:val="auto"/>
              </w:rPr>
            </w:pPr>
          </w:p>
        </w:tc>
      </w:tr>
      <w:tr>
        <w:trPr>
          <w:trHeight w:val="277"/>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3,779.1</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3,679.4</w:t>
            </w:r>
          </w:p>
        </w:tc>
        <w:tc>
          <w:tcPr>
            <w:tcW w:w="0" w:type="dxa"/>
            <w:vAlign w:val="bottom"/>
          </w:tcPr>
          <w:p>
            <w:pPr>
              <w:spacing w:after="0"/>
              <w:rPr>
                <w:sz w:val="1"/>
                <w:szCs w:val="1"/>
                <w:color w:val="auto"/>
              </w:rPr>
            </w:pP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260" w:type="dxa"/>
            <w:vAlign w:val="bottom"/>
          </w:tcPr>
          <w:p>
            <w:pPr>
              <w:spacing w:after="0"/>
              <w:rPr>
                <w:sz w:val="22"/>
                <w:szCs w:val="22"/>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rPr>
              <w:t>7,766.7</w:t>
            </w:r>
          </w:p>
        </w:tc>
        <w:tc>
          <w:tcPr>
            <w:tcW w:w="260" w:type="dxa"/>
            <w:vAlign w:val="bottom"/>
          </w:tcPr>
          <w:p>
            <w:pPr>
              <w:spacing w:after="0"/>
              <w:rPr>
                <w:sz w:val="22"/>
                <w:szCs w:val="22"/>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6,618.0</w:t>
            </w:r>
          </w:p>
        </w:tc>
        <w:tc>
          <w:tcPr>
            <w:tcW w:w="0" w:type="dxa"/>
            <w:vAlign w:val="bottom"/>
          </w:tcPr>
          <w:p>
            <w:pPr>
              <w:spacing w:after="0"/>
              <w:rPr>
                <w:sz w:val="1"/>
                <w:szCs w:val="1"/>
                <w:color w:val="auto"/>
              </w:rPr>
            </w:pPr>
          </w:p>
        </w:tc>
      </w:tr>
      <w:tr>
        <w:trPr>
          <w:trHeight w:val="277"/>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2,471.6</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2,572.6</w:t>
            </w:r>
          </w:p>
        </w:tc>
        <w:tc>
          <w:tcPr>
            <w:tcW w:w="0" w:type="dxa"/>
            <w:vAlign w:val="bottom"/>
          </w:tcPr>
          <w:p>
            <w:pPr>
              <w:spacing w:after="0"/>
              <w:rPr>
                <w:sz w:val="1"/>
                <w:szCs w:val="1"/>
                <w:color w:val="auto"/>
              </w:rPr>
            </w:pPr>
          </w:p>
        </w:tc>
      </w:tr>
      <w:tr>
        <w:trPr>
          <w:trHeight w:val="229"/>
        </w:trPr>
        <w:tc>
          <w:tcPr>
            <w:tcW w:w="7520" w:type="dxa"/>
            <w:vAlign w:val="bottom"/>
          </w:tcPr>
          <w:p>
            <w:pPr>
              <w:ind w:left="40"/>
              <w:spacing w:after="0"/>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$9,141.5 (2020)</w:t>
            </w:r>
            <w:r>
              <w:rPr>
                <w:rFonts w:ascii="Arial" w:cs="Arial" w:eastAsia="Arial" w:hAnsi="Arial"/>
                <w:sz w:val="18"/>
                <w:szCs w:val="18"/>
                <w:color w:val="auto"/>
              </w:rPr>
              <w:t xml:space="preserve"> and $9,161.6</w:t>
            </w:r>
          </w:p>
        </w:tc>
        <w:tc>
          <w:tcPr>
            <w:tcW w:w="260" w:type="dxa"/>
            <w:vAlign w:val="bottom"/>
          </w:tcPr>
          <w:p>
            <w:pPr>
              <w:spacing w:after="0"/>
              <w:rPr>
                <w:sz w:val="19"/>
                <w:szCs w:val="19"/>
                <w:color w:val="auto"/>
              </w:rPr>
            </w:pPr>
          </w:p>
        </w:tc>
        <w:tc>
          <w:tcPr>
            <w:tcW w:w="158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7,897.9</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20" w:type="dxa"/>
            <w:vAlign w:val="bottom"/>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7,872.9</w:t>
            </w:r>
          </w:p>
        </w:tc>
        <w:tc>
          <w:tcPr>
            <w:tcW w:w="0" w:type="dxa"/>
            <w:vAlign w:val="bottom"/>
          </w:tcPr>
          <w:p>
            <w:pPr>
              <w:spacing w:after="0"/>
              <w:rPr>
                <w:sz w:val="1"/>
                <w:szCs w:val="1"/>
                <w:color w:val="auto"/>
              </w:rPr>
            </w:pPr>
          </w:p>
        </w:tc>
      </w:tr>
      <w:tr>
        <w:trPr>
          <w:trHeight w:val="270"/>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3,044.6</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2,871.2</w:t>
            </w:r>
          </w:p>
        </w:tc>
        <w:tc>
          <w:tcPr>
            <w:tcW w:w="0" w:type="dxa"/>
            <w:vAlign w:val="bottom"/>
          </w:tcPr>
          <w:p>
            <w:pPr>
              <w:spacing w:after="0"/>
              <w:rPr>
                <w:sz w:val="1"/>
                <w:szCs w:val="1"/>
                <w:color w:val="auto"/>
              </w:rPr>
            </w:pPr>
          </w:p>
        </w:tc>
      </w:tr>
      <w:tr>
        <w:trPr>
          <w:trHeight w:val="263"/>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41,102.8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39,286.1</w:t>
            </w:r>
          </w:p>
        </w:tc>
        <w:tc>
          <w:tcPr>
            <w:tcW w:w="0" w:type="dxa"/>
            <w:vAlign w:val="bottom"/>
          </w:tcPr>
          <w:p>
            <w:pPr>
              <w:spacing w:after="0"/>
              <w:rPr>
                <w:sz w:val="1"/>
                <w:szCs w:val="1"/>
                <w:color w:val="auto"/>
              </w:rPr>
            </w:pPr>
          </w:p>
        </w:tc>
      </w:tr>
      <w:tr>
        <w:trPr>
          <w:trHeight w:val="270"/>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 and current maturities of long-term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3,248.0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1,499.3</w:t>
            </w:r>
          </w:p>
        </w:tc>
        <w:tc>
          <w:tcPr>
            <w:tcW w:w="0" w:type="dxa"/>
            <w:vAlign w:val="bottom"/>
          </w:tcPr>
          <w:p>
            <w:pPr>
              <w:spacing w:after="0"/>
              <w:rPr>
                <w:sz w:val="1"/>
                <w:szCs w:val="1"/>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2"/>
                <w:szCs w:val="22"/>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rPr>
              <w:t>1,207.7</w:t>
            </w:r>
          </w:p>
        </w:tc>
        <w:tc>
          <w:tcPr>
            <w:tcW w:w="260" w:type="dxa"/>
            <w:vAlign w:val="bottom"/>
          </w:tcPr>
          <w:p>
            <w:pPr>
              <w:spacing w:after="0"/>
              <w:rPr>
                <w:sz w:val="22"/>
                <w:szCs w:val="22"/>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1,405.3</w:t>
            </w:r>
          </w:p>
        </w:tc>
        <w:tc>
          <w:tcPr>
            <w:tcW w:w="0" w:type="dxa"/>
            <w:vAlign w:val="bottom"/>
          </w:tcPr>
          <w:p>
            <w:pPr>
              <w:spacing w:after="0"/>
              <w:rPr>
                <w:sz w:val="1"/>
                <w:szCs w:val="1"/>
                <w:color w:val="auto"/>
              </w:rPr>
            </w:pP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compensation</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565.8</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Sales rebates and discounts</w:t>
            </w:r>
          </w:p>
        </w:tc>
        <w:tc>
          <w:tcPr>
            <w:tcW w:w="260" w:type="dxa"/>
            <w:vAlign w:val="bottom"/>
          </w:tcPr>
          <w:p>
            <w:pPr>
              <w:spacing w:after="0"/>
              <w:rPr>
                <w:sz w:val="22"/>
                <w:szCs w:val="22"/>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rPr>
              <w:t>4,703.9</w:t>
            </w:r>
          </w:p>
        </w:tc>
        <w:tc>
          <w:tcPr>
            <w:tcW w:w="260" w:type="dxa"/>
            <w:vAlign w:val="bottom"/>
          </w:tcPr>
          <w:p>
            <w:pPr>
              <w:spacing w:after="0"/>
              <w:rPr>
                <w:sz w:val="22"/>
                <w:szCs w:val="22"/>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4,933.6</w:t>
            </w:r>
          </w:p>
        </w:tc>
        <w:tc>
          <w:tcPr>
            <w:tcW w:w="0" w:type="dxa"/>
            <w:vAlign w:val="bottom"/>
          </w:tcPr>
          <w:p>
            <w:pPr>
              <w:spacing w:after="0"/>
              <w:rPr>
                <w:sz w:val="1"/>
                <w:szCs w:val="1"/>
                <w:color w:val="auto"/>
              </w:rPr>
            </w:pP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payable</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2"/>
                <w:szCs w:val="22"/>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rPr>
              <w:t>667.4</w:t>
            </w:r>
          </w:p>
        </w:tc>
        <w:tc>
          <w:tcPr>
            <w:tcW w:w="260" w:type="dxa"/>
            <w:vAlign w:val="bottom"/>
          </w:tcPr>
          <w:p>
            <w:pPr>
              <w:spacing w:after="0"/>
              <w:rPr>
                <w:sz w:val="22"/>
                <w:szCs w:val="22"/>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0"/>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2,217.4</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2,189.4</w:t>
            </w:r>
          </w:p>
        </w:tc>
        <w:tc>
          <w:tcPr>
            <w:tcW w:w="0" w:type="dxa"/>
            <w:vAlign w:val="bottom"/>
          </w:tcPr>
          <w:p>
            <w:pPr>
              <w:spacing w:after="0"/>
              <w:rPr>
                <w:sz w:val="1"/>
                <w:szCs w:val="1"/>
                <w:color w:val="auto"/>
              </w:rPr>
            </w:pP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2"/>
                <w:szCs w:val="22"/>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rPr>
              <w:t>12,610.2</w:t>
            </w:r>
          </w:p>
        </w:tc>
        <w:tc>
          <w:tcPr>
            <w:tcW w:w="260" w:type="dxa"/>
            <w:vAlign w:val="bottom"/>
          </w:tcPr>
          <w:p>
            <w:pPr>
              <w:spacing w:after="0"/>
              <w:rPr>
                <w:sz w:val="22"/>
                <w:szCs w:val="22"/>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11,775.2</w:t>
            </w:r>
          </w:p>
        </w:tc>
        <w:tc>
          <w:tcPr>
            <w:tcW w:w="0" w:type="dxa"/>
            <w:vAlign w:val="bottom"/>
          </w:tcPr>
          <w:p>
            <w:pPr>
              <w:spacing w:after="0"/>
              <w:rPr>
                <w:sz w:val="1"/>
                <w:szCs w:val="1"/>
                <w:color w:val="auto"/>
              </w:rPr>
            </w:pPr>
          </w:p>
        </w:tc>
      </w:tr>
      <w:tr>
        <w:trPr>
          <w:trHeight w:val="277"/>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Liabilities</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2"/>
                <w:szCs w:val="22"/>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rPr>
              <w:t>13,982.3</w:t>
            </w:r>
          </w:p>
        </w:tc>
        <w:tc>
          <w:tcPr>
            <w:tcW w:w="260" w:type="dxa"/>
            <w:vAlign w:val="bottom"/>
          </w:tcPr>
          <w:p>
            <w:pPr>
              <w:spacing w:after="0"/>
              <w:rPr>
                <w:sz w:val="22"/>
                <w:szCs w:val="22"/>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13,817.9</w:t>
            </w:r>
          </w:p>
        </w:tc>
        <w:tc>
          <w:tcPr>
            <w:tcW w:w="0" w:type="dxa"/>
            <w:vAlign w:val="bottom"/>
          </w:tcPr>
          <w:p>
            <w:pPr>
              <w:spacing w:after="0"/>
              <w:rPr>
                <w:sz w:val="1"/>
                <w:szCs w:val="1"/>
                <w:color w:val="auto"/>
              </w:rPr>
            </w:pP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retirement benefits (Note 9)</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3,632.0</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3,698.2</w:t>
            </w:r>
          </w:p>
        </w:tc>
        <w:tc>
          <w:tcPr>
            <w:tcW w:w="0" w:type="dxa"/>
            <w:vAlign w:val="bottom"/>
          </w:tcPr>
          <w:p>
            <w:pPr>
              <w:spacing w:after="0"/>
              <w:rPr>
                <w:sz w:val="1"/>
                <w:szCs w:val="1"/>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Long-term income taxes payable</w:t>
            </w:r>
          </w:p>
        </w:tc>
        <w:tc>
          <w:tcPr>
            <w:tcW w:w="260" w:type="dxa"/>
            <w:vAlign w:val="bottom"/>
          </w:tcPr>
          <w:p>
            <w:pPr>
              <w:spacing w:after="0"/>
              <w:rPr>
                <w:sz w:val="22"/>
                <w:szCs w:val="22"/>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rPr>
              <w:t>3,621.9</w:t>
            </w:r>
          </w:p>
        </w:tc>
        <w:tc>
          <w:tcPr>
            <w:tcW w:w="260" w:type="dxa"/>
            <w:vAlign w:val="bottom"/>
          </w:tcPr>
          <w:p>
            <w:pPr>
              <w:spacing w:after="0"/>
              <w:rPr>
                <w:sz w:val="22"/>
                <w:szCs w:val="22"/>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3,607.2</w:t>
            </w:r>
          </w:p>
        </w:tc>
        <w:tc>
          <w:tcPr>
            <w:tcW w:w="0" w:type="dxa"/>
            <w:vAlign w:val="bottom"/>
          </w:tcPr>
          <w:p>
            <w:pPr>
              <w:spacing w:after="0"/>
              <w:rPr>
                <w:sz w:val="1"/>
                <w:szCs w:val="1"/>
                <w:color w:val="auto"/>
              </w:rPr>
            </w:pP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2,186.2</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2,187.5</w:t>
            </w:r>
          </w:p>
        </w:tc>
        <w:tc>
          <w:tcPr>
            <w:tcW w:w="0" w:type="dxa"/>
            <w:vAlign w:val="bottom"/>
          </w:tcPr>
          <w:p>
            <w:pPr>
              <w:spacing w:after="0"/>
              <w:rPr>
                <w:sz w:val="1"/>
                <w:szCs w:val="1"/>
                <w:color w:val="auto"/>
              </w:rPr>
            </w:pPr>
          </w:p>
        </w:tc>
      </w:tr>
      <w:tr>
        <w:trPr>
          <w:trHeight w:val="263"/>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1,873.0</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270"/>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liabilities</w:t>
            </w: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25,295.4</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24,811.8</w:t>
            </w:r>
          </w:p>
        </w:tc>
        <w:tc>
          <w:tcPr>
            <w:tcW w:w="0" w:type="dxa"/>
            <w:vAlign w:val="bottom"/>
          </w:tcPr>
          <w:p>
            <w:pPr>
              <w:spacing w:after="0"/>
              <w:rPr>
                <w:sz w:val="1"/>
                <w:szCs w:val="1"/>
                <w:color w:val="auto"/>
              </w:rPr>
            </w:pP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i w:val="1"/>
                <w:iCs w:val="1"/>
                <w:color w:val="auto"/>
              </w:rPr>
              <w:t>Commitments and Contingencies (Note 10)</w:t>
            </w: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Eli Lilly and Company Shareholders’ Equity</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2"/>
                <w:szCs w:val="22"/>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rPr>
              <w:t>598.1</w:t>
            </w:r>
          </w:p>
        </w:tc>
        <w:tc>
          <w:tcPr>
            <w:tcW w:w="260" w:type="dxa"/>
            <w:vAlign w:val="bottom"/>
          </w:tcPr>
          <w:p>
            <w:pPr>
              <w:spacing w:after="0"/>
              <w:rPr>
                <w:sz w:val="22"/>
                <w:szCs w:val="22"/>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6,556.1</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6,685.3</w:t>
            </w:r>
          </w:p>
        </w:tc>
        <w:tc>
          <w:tcPr>
            <w:tcW w:w="0" w:type="dxa"/>
            <w:vAlign w:val="bottom"/>
          </w:tcPr>
          <w:p>
            <w:pPr>
              <w:spacing w:after="0"/>
              <w:rPr>
                <w:sz w:val="1"/>
                <w:szCs w:val="1"/>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2"/>
                <w:szCs w:val="22"/>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rPr>
              <w:t>5,879.4</w:t>
            </w:r>
          </w:p>
        </w:tc>
        <w:tc>
          <w:tcPr>
            <w:tcW w:w="260" w:type="dxa"/>
            <w:vAlign w:val="bottom"/>
          </w:tcPr>
          <w:p>
            <w:pPr>
              <w:spacing w:after="0"/>
              <w:rPr>
                <w:sz w:val="22"/>
                <w:szCs w:val="22"/>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4,920.4</w:t>
            </w:r>
          </w:p>
        </w:tc>
        <w:tc>
          <w:tcPr>
            <w:tcW w:w="0" w:type="dxa"/>
            <w:vAlign w:val="bottom"/>
          </w:tcPr>
          <w:p>
            <w:pPr>
              <w:spacing w:after="0"/>
              <w:rPr>
                <w:sz w:val="1"/>
                <w:szCs w:val="1"/>
                <w:color w:val="auto"/>
              </w:rPr>
            </w:pP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benefit trust</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(3,013.2)</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Accumulated other comprehensive loss (Note 11)</w:t>
            </w:r>
          </w:p>
        </w:tc>
        <w:tc>
          <w:tcPr>
            <w:tcW w:w="2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(6,885.9)</w:t>
            </w:r>
          </w:p>
        </w:tc>
        <w:tc>
          <w:tcPr>
            <w:tcW w:w="2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(6,523.6)</w:t>
            </w:r>
          </w:p>
        </w:tc>
        <w:tc>
          <w:tcPr>
            <w:tcW w:w="0" w:type="dxa"/>
            <w:vAlign w:val="bottom"/>
          </w:tcPr>
          <w:p>
            <w:pPr>
              <w:spacing w:after="0"/>
              <w:rPr>
                <w:sz w:val="1"/>
                <w:szCs w:val="1"/>
                <w:color w:val="auto"/>
              </w:rPr>
            </w:pPr>
          </w:p>
        </w:tc>
      </w:tr>
      <w:tr>
        <w:trPr>
          <w:trHeight w:val="270"/>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common stock in treasury</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(55.7)</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color w:val="auto"/>
              </w:rPr>
              <w:t>Total Eli Lilly and Company shareholders’ equity</w:t>
            </w:r>
          </w:p>
        </w:tc>
        <w:tc>
          <w:tcPr>
            <w:tcW w:w="260" w:type="dxa"/>
            <w:vAlign w:val="bottom"/>
          </w:tcPr>
          <w:p>
            <w:pPr>
              <w:spacing w:after="0"/>
              <w:rPr>
                <w:sz w:val="22"/>
                <w:szCs w:val="22"/>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rPr>
              <w:t>3,078.8</w:t>
            </w:r>
          </w:p>
        </w:tc>
        <w:tc>
          <w:tcPr>
            <w:tcW w:w="260" w:type="dxa"/>
            <w:vAlign w:val="bottom"/>
          </w:tcPr>
          <w:p>
            <w:pPr>
              <w:spacing w:after="0"/>
              <w:rPr>
                <w:sz w:val="22"/>
                <w:szCs w:val="22"/>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2,606.9</w:t>
            </w:r>
          </w:p>
        </w:tc>
        <w:tc>
          <w:tcPr>
            <w:tcW w:w="0" w:type="dxa"/>
            <w:vAlign w:val="bottom"/>
          </w:tcPr>
          <w:p>
            <w:pPr>
              <w:spacing w:after="0"/>
              <w:rPr>
                <w:sz w:val="1"/>
                <w:szCs w:val="1"/>
                <w:color w:val="auto"/>
              </w:rPr>
            </w:pPr>
          </w:p>
        </w:tc>
      </w:tr>
      <w:tr>
        <w:trPr>
          <w:trHeight w:val="270"/>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118.4</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64"/>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3,197.2</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2,699.1</w:t>
            </w:r>
          </w:p>
        </w:tc>
        <w:tc>
          <w:tcPr>
            <w:tcW w:w="0" w:type="dxa"/>
            <w:vAlign w:val="bottom"/>
          </w:tcPr>
          <w:p>
            <w:pPr>
              <w:spacing w:after="0"/>
              <w:rPr>
                <w:sz w:val="1"/>
                <w:szCs w:val="1"/>
                <w:color w:val="auto"/>
              </w:rPr>
            </w:pPr>
          </w:p>
        </w:tc>
      </w:tr>
      <w:tr>
        <w:trPr>
          <w:trHeight w:val="277"/>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41,102.8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39,286.1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240"/>
          </w:cols>
          <w:pgMar w:left="320" w:top="549"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549"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80" w:type="dxa"/>
            <w:vAlign w:val="bottom"/>
            <w:gridSpan w:val="6"/>
          </w:tcPr>
          <w:p>
            <w:pPr>
              <w:jc w:val="right"/>
              <w:ind w:right="881"/>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
        </w:trPr>
        <w:tc>
          <w:tcPr>
            <w:tcW w:w="2500" w:type="dxa"/>
            <w:vAlign w:val="bottom"/>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69"/>
        </w:trPr>
        <w:tc>
          <w:tcPr>
            <w:tcW w:w="250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4"/>
                <w:szCs w:val="14"/>
                <w:color w:val="auto"/>
              </w:rPr>
            </w:pPr>
          </w:p>
        </w:tc>
        <w:tc>
          <w:tcPr>
            <w:tcW w:w="620" w:type="dxa"/>
            <w:vAlign w:val="bottom"/>
          </w:tcPr>
          <w:p>
            <w:pPr>
              <w:jc w:val="right"/>
              <w:ind w:right="20"/>
              <w:spacing w:after="0"/>
              <w:rPr>
                <w:sz w:val="20"/>
                <w:szCs w:val="20"/>
                <w:color w:val="auto"/>
              </w:rPr>
            </w:pPr>
            <w:r>
              <w:rPr>
                <w:rFonts w:ascii="Arial" w:cs="Arial" w:eastAsia="Arial" w:hAnsi="Arial"/>
                <w:sz w:val="11"/>
                <w:szCs w:val="11"/>
                <w:b w:val="1"/>
                <w:bCs w:val="1"/>
                <w:color w:val="auto"/>
                <w:w w:val="96"/>
              </w:rPr>
              <w:t>Additional</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64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1"/>
                <w:szCs w:val="11"/>
                <w:b w:val="1"/>
                <w:bCs w:val="1"/>
                <w:color w:val="auto"/>
              </w:rPr>
              <w:t>Common Stock in Treasury</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00"/>
        </w:trPr>
        <w:tc>
          <w:tcPr>
            <w:tcW w:w="2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jc w:val="right"/>
              <w:ind w:right="100"/>
              <w:spacing w:after="0" w:line="100" w:lineRule="exact"/>
              <w:rPr>
                <w:sz w:val="20"/>
                <w:szCs w:val="20"/>
                <w:color w:val="auto"/>
              </w:rPr>
            </w:pPr>
            <w:r>
              <w:rPr>
                <w:rFonts w:ascii="Arial" w:cs="Arial" w:eastAsia="Arial" w:hAnsi="Arial"/>
                <w:sz w:val="11"/>
                <w:szCs w:val="11"/>
                <w:b w:val="1"/>
                <w:bCs w:val="1"/>
                <w:color w:val="auto"/>
              </w:rPr>
              <w:t>Paid-in</w:t>
            </w:r>
          </w:p>
        </w:tc>
        <w:tc>
          <w:tcPr>
            <w:tcW w:w="300" w:type="dxa"/>
            <w:vAlign w:val="bottom"/>
          </w:tcPr>
          <w:p>
            <w:pPr>
              <w:spacing w:after="0"/>
              <w:rPr>
                <w:sz w:val="8"/>
                <w:szCs w:val="8"/>
                <w:color w:val="auto"/>
              </w:rPr>
            </w:pPr>
          </w:p>
        </w:tc>
        <w:tc>
          <w:tcPr>
            <w:tcW w:w="700" w:type="dxa"/>
            <w:vAlign w:val="bottom"/>
          </w:tcPr>
          <w:p>
            <w:pPr>
              <w:jc w:val="right"/>
              <w:ind w:right="140"/>
              <w:spacing w:after="0" w:line="100" w:lineRule="exact"/>
              <w:rPr>
                <w:sz w:val="20"/>
                <w:szCs w:val="20"/>
                <w:color w:val="auto"/>
              </w:rPr>
            </w:pPr>
            <w:r>
              <w:rPr>
                <w:rFonts w:ascii="Arial" w:cs="Arial" w:eastAsia="Arial" w:hAnsi="Arial"/>
                <w:sz w:val="11"/>
                <w:szCs w:val="11"/>
                <w:b w:val="1"/>
                <w:bCs w:val="1"/>
                <w:color w:val="auto"/>
              </w:rPr>
              <w:t>Retained</w:t>
            </w:r>
          </w:p>
        </w:tc>
        <w:tc>
          <w:tcPr>
            <w:tcW w:w="180" w:type="dxa"/>
            <w:vAlign w:val="bottom"/>
          </w:tcPr>
          <w:p>
            <w:pPr>
              <w:spacing w:after="0"/>
              <w:rPr>
                <w:sz w:val="8"/>
                <w:szCs w:val="8"/>
                <w:color w:val="auto"/>
              </w:rPr>
            </w:pPr>
          </w:p>
        </w:tc>
        <w:tc>
          <w:tcPr>
            <w:tcW w:w="800" w:type="dxa"/>
            <w:vAlign w:val="bottom"/>
          </w:tcPr>
          <w:p>
            <w:pPr>
              <w:jc w:val="right"/>
              <w:ind w:right="142"/>
              <w:spacing w:after="0" w:line="100" w:lineRule="exact"/>
              <w:rPr>
                <w:sz w:val="20"/>
                <w:szCs w:val="20"/>
                <w:color w:val="auto"/>
              </w:rPr>
            </w:pPr>
            <w:r>
              <w:rPr>
                <w:rFonts w:ascii="Arial" w:cs="Arial" w:eastAsia="Arial" w:hAnsi="Arial"/>
                <w:sz w:val="11"/>
                <w:szCs w:val="11"/>
                <w:b w:val="1"/>
                <w:bCs w:val="1"/>
                <w:color w:val="auto"/>
              </w:rPr>
              <w:t>Employee</w:t>
            </w:r>
          </w:p>
        </w:tc>
        <w:tc>
          <w:tcPr>
            <w:tcW w:w="200" w:type="dxa"/>
            <w:vAlign w:val="bottom"/>
          </w:tcPr>
          <w:p>
            <w:pPr>
              <w:spacing w:after="0"/>
              <w:rPr>
                <w:sz w:val="8"/>
                <w:szCs w:val="8"/>
                <w:color w:val="auto"/>
              </w:rPr>
            </w:pPr>
          </w:p>
        </w:tc>
        <w:tc>
          <w:tcPr>
            <w:tcW w:w="1100" w:type="dxa"/>
            <w:vAlign w:val="bottom"/>
          </w:tcPr>
          <w:p>
            <w:pPr>
              <w:jc w:val="center"/>
              <w:ind w:right="161"/>
              <w:spacing w:after="0" w:line="100" w:lineRule="exact"/>
              <w:rPr>
                <w:sz w:val="20"/>
                <w:szCs w:val="20"/>
                <w:color w:val="auto"/>
              </w:rPr>
            </w:pPr>
            <w:r>
              <w:rPr>
                <w:rFonts w:ascii="Arial" w:cs="Arial" w:eastAsia="Arial" w:hAnsi="Arial"/>
                <w:sz w:val="11"/>
                <w:szCs w:val="11"/>
                <w:b w:val="1"/>
                <w:bCs w:val="1"/>
                <w:color w:val="auto"/>
                <w:w w:val="96"/>
              </w:rPr>
              <w:t>Comprehensive</w:t>
            </w: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jc w:val="right"/>
              <w:ind w:right="100"/>
              <w:spacing w:after="0" w:line="100" w:lineRule="exact"/>
              <w:rPr>
                <w:sz w:val="20"/>
                <w:szCs w:val="20"/>
                <w:color w:val="auto"/>
              </w:rPr>
            </w:pPr>
            <w:r>
              <w:rPr>
                <w:rFonts w:ascii="Arial" w:cs="Arial" w:eastAsia="Arial" w:hAnsi="Arial"/>
                <w:sz w:val="11"/>
                <w:szCs w:val="11"/>
                <w:b w:val="1"/>
                <w:bCs w:val="1"/>
                <w:color w:val="auto"/>
              </w:rPr>
              <w:t>Noncontrolling</w:t>
            </w:r>
          </w:p>
        </w:tc>
      </w:tr>
      <w:tr>
        <w:trPr>
          <w:trHeight w:val="142"/>
        </w:trPr>
        <w:tc>
          <w:tcPr>
            <w:tcW w:w="2500" w:type="dxa"/>
            <w:vAlign w:val="bottom"/>
          </w:tcPr>
          <w:p>
            <w:pPr>
              <w:ind w:left="40"/>
              <w:spacing w:after="0"/>
              <w:rPr>
                <w:sz w:val="20"/>
                <w:szCs w:val="20"/>
                <w:color w:val="auto"/>
              </w:rPr>
            </w:pPr>
            <w:r>
              <w:rPr>
                <w:rFonts w:ascii="Arial" w:cs="Arial" w:eastAsia="Arial" w:hAnsi="Arial"/>
                <w:sz w:val="11"/>
                <w:szCs w:val="11"/>
                <w:b w:val="1"/>
                <w:bCs w:val="1"/>
                <w:color w:val="auto"/>
              </w:rPr>
              <w:t>(Dollars in millions and shares in thousands)</w:t>
            </w:r>
          </w:p>
        </w:tc>
        <w:tc>
          <w:tcPr>
            <w:tcW w:w="940" w:type="dxa"/>
            <w:vAlign w:val="bottom"/>
          </w:tcPr>
          <w:p>
            <w:pPr>
              <w:jc w:val="right"/>
              <w:ind w:right="24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580" w:type="dxa"/>
            <w:vAlign w:val="bottom"/>
          </w:tcPr>
          <w:p>
            <w:pPr>
              <w:jc w:val="right"/>
              <w:ind w:right="99"/>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Pr>
          <w:p>
            <w:pPr>
              <w:spacing w:after="0"/>
              <w:rPr>
                <w:sz w:val="12"/>
                <w:szCs w:val="12"/>
                <w:color w:val="auto"/>
              </w:rPr>
            </w:pPr>
          </w:p>
        </w:tc>
        <w:tc>
          <w:tcPr>
            <w:tcW w:w="620" w:type="dxa"/>
            <w:vAlign w:val="bottom"/>
          </w:tcPr>
          <w:p>
            <w:pPr>
              <w:jc w:val="right"/>
              <w:ind w:right="100"/>
              <w:spacing w:after="0"/>
              <w:rPr>
                <w:sz w:val="20"/>
                <w:szCs w:val="20"/>
                <w:color w:val="auto"/>
              </w:rPr>
            </w:pPr>
            <w:r>
              <w:rPr>
                <w:rFonts w:ascii="Arial" w:cs="Arial" w:eastAsia="Arial" w:hAnsi="Arial"/>
                <w:sz w:val="11"/>
                <w:szCs w:val="11"/>
                <w:b w:val="1"/>
                <w:bCs w:val="1"/>
                <w:color w:val="auto"/>
              </w:rPr>
              <w:t>Capital</w:t>
            </w:r>
          </w:p>
        </w:tc>
        <w:tc>
          <w:tcPr>
            <w:tcW w:w="30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1"/>
                <w:szCs w:val="11"/>
                <w:b w:val="1"/>
                <w:bCs w:val="1"/>
                <w:color w:val="auto"/>
              </w:rPr>
              <w:t>Earnings</w:t>
            </w:r>
          </w:p>
        </w:tc>
        <w:tc>
          <w:tcPr>
            <w:tcW w:w="180" w:type="dxa"/>
            <w:vAlign w:val="bottom"/>
          </w:tcPr>
          <w:p>
            <w:pPr>
              <w:spacing w:after="0"/>
              <w:rPr>
                <w:sz w:val="12"/>
                <w:szCs w:val="12"/>
                <w:color w:val="auto"/>
              </w:rPr>
            </w:pPr>
          </w:p>
        </w:tc>
        <w:tc>
          <w:tcPr>
            <w:tcW w:w="800" w:type="dxa"/>
            <w:vAlign w:val="bottom"/>
          </w:tcPr>
          <w:p>
            <w:pPr>
              <w:jc w:val="right"/>
              <w:ind w:right="82"/>
              <w:spacing w:after="0"/>
              <w:rPr>
                <w:sz w:val="20"/>
                <w:szCs w:val="20"/>
                <w:color w:val="auto"/>
              </w:rPr>
            </w:pPr>
            <w:r>
              <w:rPr>
                <w:rFonts w:ascii="Arial" w:cs="Arial" w:eastAsia="Arial" w:hAnsi="Arial"/>
                <w:sz w:val="11"/>
                <w:szCs w:val="11"/>
                <w:b w:val="1"/>
                <w:bCs w:val="1"/>
                <w:color w:val="auto"/>
                <w:w w:val="94"/>
              </w:rPr>
              <w:t>Benefit Trust</w:t>
            </w:r>
          </w:p>
        </w:tc>
        <w:tc>
          <w:tcPr>
            <w:tcW w:w="200" w:type="dxa"/>
            <w:vAlign w:val="bottom"/>
          </w:tcPr>
          <w:p>
            <w:pPr>
              <w:spacing w:after="0"/>
              <w:rPr>
                <w:sz w:val="12"/>
                <w:szCs w:val="12"/>
                <w:color w:val="auto"/>
              </w:rPr>
            </w:pPr>
          </w:p>
        </w:tc>
        <w:tc>
          <w:tcPr>
            <w:tcW w:w="1100" w:type="dxa"/>
            <w:vAlign w:val="bottom"/>
          </w:tcPr>
          <w:p>
            <w:pPr>
              <w:jc w:val="center"/>
              <w:ind w:right="161"/>
              <w:spacing w:after="0"/>
              <w:rPr>
                <w:sz w:val="20"/>
                <w:szCs w:val="20"/>
                <w:color w:val="auto"/>
              </w:rPr>
            </w:pPr>
            <w:r>
              <w:rPr>
                <w:rFonts w:ascii="Arial" w:cs="Arial" w:eastAsia="Arial" w:hAnsi="Arial"/>
                <w:sz w:val="11"/>
                <w:szCs w:val="11"/>
                <w:b w:val="1"/>
                <w:bCs w:val="1"/>
                <w:color w:val="auto"/>
                <w:w w:val="93"/>
              </w:rPr>
              <w:t>Loss</w:t>
            </w:r>
          </w:p>
        </w:tc>
        <w:tc>
          <w:tcPr>
            <w:tcW w:w="800" w:type="dxa"/>
            <w:vAlign w:val="bottom"/>
          </w:tcPr>
          <w:p>
            <w:pPr>
              <w:jc w:val="right"/>
              <w:ind w:right="179"/>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2"/>
                <w:szCs w:val="12"/>
                <w:color w:val="auto"/>
              </w:rPr>
            </w:pPr>
          </w:p>
        </w:tc>
        <w:tc>
          <w:tcPr>
            <w:tcW w:w="640" w:type="dxa"/>
            <w:vAlign w:val="bottom"/>
          </w:tcPr>
          <w:p>
            <w:pPr>
              <w:jc w:val="right"/>
              <w:ind w:right="118"/>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980" w:type="dxa"/>
            <w:vAlign w:val="bottom"/>
          </w:tcPr>
          <w:p>
            <w:pPr>
              <w:jc w:val="right"/>
              <w:ind w:right="260"/>
              <w:spacing w:after="0"/>
              <w:rPr>
                <w:sz w:val="20"/>
                <w:szCs w:val="20"/>
                <w:color w:val="auto"/>
              </w:rPr>
            </w:pPr>
            <w:r>
              <w:rPr>
                <w:rFonts w:ascii="Arial" w:cs="Arial" w:eastAsia="Arial" w:hAnsi="Arial"/>
                <w:sz w:val="11"/>
                <w:szCs w:val="11"/>
                <w:b w:val="1"/>
                <w:bCs w:val="1"/>
                <w:color w:val="auto"/>
              </w:rPr>
              <w:t>Interests</w:t>
            </w:r>
          </w:p>
        </w:tc>
      </w:tr>
      <w:tr>
        <w:trPr>
          <w:trHeight w:val="22"/>
        </w:trPr>
        <w:tc>
          <w:tcPr>
            <w:tcW w:w="2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3"/>
        </w:trPr>
        <w:tc>
          <w:tcPr>
            <w:tcW w:w="2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January 1, 2019</w:t>
            </w: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1,057,639</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661.0</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6,583.6</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11,395.9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3"/>
                <w:szCs w:val="13"/>
                <w:color w:val="auto"/>
              </w:rPr>
              <w:t>(3,013.2)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3"/>
                <w:szCs w:val="13"/>
                <w:color w:val="auto"/>
              </w:rPr>
              <w:t>(5,729.2)</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604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1,080.4</w:t>
            </w:r>
          </w:p>
        </w:tc>
      </w:tr>
      <w:tr>
        <w:trPr>
          <w:trHeight w:val="262"/>
        </w:trPr>
        <w:tc>
          <w:tcPr>
            <w:tcW w:w="25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80"/>
              <w:spacing w:after="0"/>
              <w:rPr>
                <w:sz w:val="20"/>
                <w:szCs w:val="20"/>
                <w:color w:val="auto"/>
              </w:rPr>
            </w:pPr>
            <w:r>
              <w:rPr>
                <w:rFonts w:ascii="Arial" w:cs="Arial" w:eastAsia="Arial" w:hAnsi="Arial"/>
                <w:sz w:val="13"/>
                <w:szCs w:val="13"/>
                <w:color w:val="auto"/>
              </w:rPr>
              <w:t>4,241.6</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3"/>
                <w:szCs w:val="13"/>
                <w:color w:val="auto"/>
              </w:rPr>
              <w:t>22.2</w:t>
            </w:r>
          </w:p>
        </w:tc>
      </w:tr>
      <w:tr>
        <w:trPr>
          <w:trHeight w:val="278"/>
        </w:trPr>
        <w:tc>
          <w:tcPr>
            <w:tcW w:w="2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 net of tax</w:t>
            </w: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61"/>
              <w:spacing w:after="0"/>
              <w:rPr>
                <w:sz w:val="20"/>
                <w:szCs w:val="20"/>
                <w:color w:val="auto"/>
              </w:rPr>
            </w:pPr>
            <w:r>
              <w:rPr>
                <w:rFonts w:ascii="Arial" w:cs="Arial" w:eastAsia="Arial" w:hAnsi="Arial"/>
                <w:sz w:val="13"/>
                <w:szCs w:val="13"/>
                <w:color w:val="auto"/>
              </w:rPr>
              <w:t>41.7</w:t>
            </w: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11.0</w:t>
            </w:r>
          </w:p>
        </w:tc>
      </w:tr>
      <w:tr>
        <w:trPr>
          <w:trHeight w:val="262"/>
        </w:trPr>
        <w:tc>
          <w:tcPr>
            <w:tcW w:w="2500" w:type="dxa"/>
            <w:vAlign w:val="bottom"/>
          </w:tcPr>
          <w:p>
            <w:pPr>
              <w:ind w:left="40"/>
              <w:spacing w:after="0"/>
              <w:rPr>
                <w:sz w:val="20"/>
                <w:szCs w:val="20"/>
                <w:color w:val="auto"/>
              </w:rPr>
            </w:pPr>
            <w:r>
              <w:rPr>
                <w:rFonts w:ascii="Arial" w:cs="Arial" w:eastAsia="Arial" w:hAnsi="Arial"/>
                <w:sz w:val="13"/>
                <w:szCs w:val="13"/>
                <w:color w:val="auto"/>
              </w:rPr>
              <w:t>Retirement of treasury shares</w:t>
            </w:r>
          </w:p>
        </w:tc>
        <w:tc>
          <w:tcPr>
            <w:tcW w:w="940" w:type="dxa"/>
            <w:vAlign w:val="bottom"/>
          </w:tcPr>
          <w:p>
            <w:pPr>
              <w:jc w:val="right"/>
              <w:ind w:right="40"/>
              <w:spacing w:after="0"/>
              <w:rPr>
                <w:sz w:val="20"/>
                <w:szCs w:val="20"/>
                <w:color w:val="auto"/>
              </w:rPr>
            </w:pPr>
            <w:r>
              <w:rPr>
                <w:rFonts w:ascii="Arial" w:cs="Arial" w:eastAsia="Arial" w:hAnsi="Arial"/>
                <w:sz w:val="13"/>
                <w:szCs w:val="13"/>
                <w:color w:val="auto"/>
              </w:rPr>
              <w:t>(89,197)</w:t>
            </w:r>
          </w:p>
        </w:tc>
        <w:tc>
          <w:tcPr>
            <w:tcW w:w="2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(55.7)</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40"/>
              <w:spacing w:after="0"/>
              <w:rPr>
                <w:sz w:val="20"/>
                <w:szCs w:val="20"/>
                <w:color w:val="auto"/>
              </w:rPr>
            </w:pPr>
            <w:r>
              <w:rPr>
                <w:rFonts w:ascii="Arial" w:cs="Arial" w:eastAsia="Arial" w:hAnsi="Arial"/>
                <w:sz w:val="13"/>
                <w:szCs w:val="13"/>
                <w:color w:val="auto"/>
                <w:w w:val="97"/>
              </w:rPr>
              <w:t>(10,771.8)</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3"/>
                <w:szCs w:val="13"/>
                <w:color w:val="auto"/>
              </w:rPr>
              <w:t>(89,197)</w:t>
            </w:r>
          </w:p>
        </w:tc>
        <w:tc>
          <w:tcPr>
            <w:tcW w:w="200" w:type="dxa"/>
            <w:vAlign w:val="bottom"/>
          </w:tcPr>
          <w:p>
            <w:pPr>
              <w:spacing w:after="0"/>
              <w:rPr>
                <w:sz w:val="22"/>
                <w:szCs w:val="22"/>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10,827.5</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8"/>
        </w:trPr>
        <w:tc>
          <w:tcPr>
            <w:tcW w:w="2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treasury shares</w:t>
            </w: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w:t>
            </w: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24,196</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(2,800.0)</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156"/>
        </w:trPr>
        <w:tc>
          <w:tcPr>
            <w:tcW w:w="2500" w:type="dxa"/>
            <w:vAlign w:val="bottom"/>
          </w:tcPr>
          <w:p>
            <w:pPr>
              <w:ind w:left="40"/>
              <w:spacing w:after="0"/>
              <w:rPr>
                <w:sz w:val="20"/>
                <w:szCs w:val="20"/>
                <w:color w:val="auto"/>
              </w:rPr>
            </w:pPr>
            <w:r>
              <w:rPr>
                <w:rFonts w:ascii="Arial" w:cs="Arial" w:eastAsia="Arial" w:hAnsi="Arial"/>
                <w:sz w:val="13"/>
                <w:szCs w:val="13"/>
                <w:color w:val="auto"/>
              </w:rPr>
              <w:t>Issuance of stock under employee stock</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0"/>
        </w:trPr>
        <w:tc>
          <w:tcPr>
            <w:tcW w:w="2500" w:type="dxa"/>
            <w:vAlign w:val="bottom"/>
          </w:tcPr>
          <w:p>
            <w:pPr>
              <w:ind w:left="40"/>
              <w:spacing w:after="0"/>
              <w:rPr>
                <w:sz w:val="20"/>
                <w:szCs w:val="20"/>
                <w:color w:val="auto"/>
              </w:rPr>
            </w:pPr>
            <w:r>
              <w:rPr>
                <w:rFonts w:ascii="Arial" w:cs="Arial" w:eastAsia="Arial" w:hAnsi="Arial"/>
                <w:sz w:val="13"/>
                <w:szCs w:val="13"/>
                <w:color w:val="auto"/>
              </w:rPr>
              <w:t>plans, net</w:t>
            </w:r>
          </w:p>
        </w:tc>
        <w:tc>
          <w:tcPr>
            <w:tcW w:w="940" w:type="dxa"/>
            <w:vAlign w:val="bottom"/>
          </w:tcPr>
          <w:p>
            <w:pPr>
              <w:jc w:val="right"/>
              <w:ind w:right="100"/>
              <w:spacing w:after="0"/>
              <w:rPr>
                <w:sz w:val="20"/>
                <w:szCs w:val="20"/>
                <w:color w:val="auto"/>
              </w:rPr>
            </w:pPr>
            <w:r>
              <w:rPr>
                <w:rFonts w:ascii="Arial" w:cs="Arial" w:eastAsia="Arial" w:hAnsi="Arial"/>
                <w:sz w:val="13"/>
                <w:szCs w:val="13"/>
                <w:color w:val="auto"/>
              </w:rPr>
              <w:t>2,921</w:t>
            </w:r>
          </w:p>
        </w:tc>
        <w:tc>
          <w:tcPr>
            <w:tcW w:w="220" w:type="dxa"/>
            <w:vAlign w:val="bottom"/>
          </w:tcPr>
          <w:p>
            <w:pPr>
              <w:spacing w:after="0"/>
              <w:rPr>
                <w:sz w:val="13"/>
                <w:szCs w:val="13"/>
                <w:color w:val="auto"/>
              </w:rPr>
            </w:pPr>
          </w:p>
        </w:tc>
        <w:tc>
          <w:tcPr>
            <w:tcW w:w="580" w:type="dxa"/>
            <w:vAlign w:val="bottom"/>
          </w:tcPr>
          <w:p>
            <w:pPr>
              <w:jc w:val="right"/>
              <w:ind w:right="59"/>
              <w:spacing w:after="0"/>
              <w:rPr>
                <w:sz w:val="20"/>
                <w:szCs w:val="20"/>
                <w:color w:val="auto"/>
              </w:rPr>
            </w:pPr>
            <w:r>
              <w:rPr>
                <w:rFonts w:ascii="Arial" w:cs="Arial" w:eastAsia="Arial" w:hAnsi="Arial"/>
                <w:sz w:val="13"/>
                <w:szCs w:val="13"/>
                <w:color w:val="auto"/>
              </w:rPr>
              <w:t>1.8</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(202.8)</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jc w:val="right"/>
              <w:ind w:right="39"/>
              <w:spacing w:after="0"/>
              <w:rPr>
                <w:sz w:val="20"/>
                <w:szCs w:val="20"/>
                <w:color w:val="auto"/>
              </w:rPr>
            </w:pPr>
            <w:r>
              <w:rPr>
                <w:rFonts w:ascii="Arial" w:cs="Arial" w:eastAsia="Arial" w:hAnsi="Arial"/>
                <w:sz w:val="13"/>
                <w:szCs w:val="13"/>
                <w:color w:val="auto"/>
              </w:rPr>
              <w:t>(63)</w:t>
            </w:r>
          </w:p>
        </w:tc>
        <w:tc>
          <w:tcPr>
            <w:tcW w:w="200" w:type="dxa"/>
            <w:vAlign w:val="bottom"/>
          </w:tcPr>
          <w:p>
            <w:pPr>
              <w:spacing w:after="0"/>
              <w:rPr>
                <w:sz w:val="13"/>
                <w:szCs w:val="13"/>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7.3</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78"/>
        </w:trPr>
        <w:tc>
          <w:tcPr>
            <w:tcW w:w="2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156"/>
        </w:trPr>
        <w:tc>
          <w:tcPr>
            <w:tcW w:w="2500" w:type="dxa"/>
            <w:vAlign w:val="bottom"/>
          </w:tcPr>
          <w:p>
            <w:pPr>
              <w:ind w:left="40"/>
              <w:spacing w:after="0"/>
              <w:rPr>
                <w:sz w:val="20"/>
                <w:szCs w:val="20"/>
                <w:color w:val="auto"/>
              </w:rPr>
            </w:pPr>
            <w:r>
              <w:rPr>
                <w:rFonts w:ascii="Arial" w:cs="Arial" w:eastAsia="Arial" w:hAnsi="Arial"/>
                <w:sz w:val="13"/>
                <w:szCs w:val="13"/>
                <w:color w:val="auto"/>
              </w:rPr>
              <w:t>Acquisition of common stock in exchange</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0"/>
        </w:trPr>
        <w:tc>
          <w:tcPr>
            <w:tcW w:w="2500" w:type="dxa"/>
            <w:vAlign w:val="bottom"/>
          </w:tcPr>
          <w:p>
            <w:pPr>
              <w:ind w:left="40"/>
              <w:spacing w:after="0"/>
              <w:rPr>
                <w:sz w:val="20"/>
                <w:szCs w:val="20"/>
                <w:color w:val="auto"/>
              </w:rPr>
            </w:pPr>
            <w:r>
              <w:rPr>
                <w:rFonts w:ascii="Arial" w:cs="Arial" w:eastAsia="Arial" w:hAnsi="Arial"/>
                <w:sz w:val="13"/>
                <w:szCs w:val="13"/>
                <w:color w:val="auto"/>
              </w:rPr>
              <w:t>offer</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jc w:val="right"/>
              <w:ind w:right="79"/>
              <w:spacing w:after="0"/>
              <w:rPr>
                <w:sz w:val="20"/>
                <w:szCs w:val="20"/>
                <w:color w:val="auto"/>
              </w:rPr>
            </w:pPr>
            <w:r>
              <w:rPr>
                <w:rFonts w:ascii="Arial" w:cs="Arial" w:eastAsia="Arial" w:hAnsi="Arial"/>
                <w:sz w:val="13"/>
                <w:szCs w:val="13"/>
                <w:color w:val="auto"/>
              </w:rPr>
              <w:t>65,001</w:t>
            </w: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(8,027.5)</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78"/>
        </w:trPr>
        <w:tc>
          <w:tcPr>
            <w:tcW w:w="2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Deconsolidation of Elanco</w:t>
            </w: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(1,028.9)</w:t>
            </w:r>
          </w:p>
        </w:tc>
      </w:tr>
      <w:tr>
        <w:trPr>
          <w:trHeight w:val="263"/>
        </w:trPr>
        <w:tc>
          <w:tcPr>
            <w:tcW w:w="25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rPr>
              <w:t>13.7</w:t>
            </w: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277"/>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at March 31, 2019</w:t>
            </w:r>
          </w:p>
        </w:tc>
        <w:tc>
          <w:tcPr>
            <w:tcW w:w="9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3"/>
                <w:szCs w:val="13"/>
                <w:color w:val="auto"/>
              </w:rPr>
              <w:t>971,363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607.1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5,756.6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4,879.4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3"/>
                <w:szCs w:val="13"/>
                <w:color w:val="auto"/>
              </w:rPr>
              <w:t>(3,013.2)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3"/>
                <w:szCs w:val="13"/>
                <w:color w:val="auto"/>
              </w:rPr>
              <w:t>(5,687.5)</w:t>
            </w: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541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84.7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January 1, 2020</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loss, net of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Retirement of treasury shares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Purchase of treasury shares </w:t>
      </w:r>
      <w:r>
        <w:rPr>
          <w:rFonts w:ascii="Arial" w:cs="Arial" w:eastAsia="Arial" w:hAnsi="Arial"/>
          <w:sz w:val="8"/>
          <w:szCs w:val="8"/>
          <w:color w:val="auto"/>
        </w:rPr>
        <w:t>(1)</w:t>
      </w:r>
    </w:p>
    <w:p>
      <w:pPr>
        <w:spacing w:after="0" w:line="40" w:lineRule="exact"/>
        <w:rPr>
          <w:sz w:val="20"/>
          <w:szCs w:val="20"/>
          <w:color w:val="auto"/>
        </w:rPr>
      </w:pPr>
    </w:p>
    <w:p>
      <w:pPr>
        <w:ind w:left="40"/>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118" w:lineRule="exact"/>
        <w:rPr>
          <w:sz w:val="20"/>
          <w:szCs w:val="20"/>
          <w:color w:val="auto"/>
        </w:rPr>
      </w:pPr>
    </w:p>
    <w:p>
      <w:pPr>
        <w:ind w:left="40" w:right="720"/>
        <w:spacing w:after="0" w:line="437" w:lineRule="auto"/>
        <w:rPr>
          <w:sz w:val="20"/>
          <w:szCs w:val="20"/>
          <w:color w:val="auto"/>
        </w:rPr>
      </w:pPr>
      <w:r>
        <w:rPr>
          <w:rFonts w:ascii="Arial" w:cs="Arial" w:eastAsia="Arial" w:hAnsi="Arial"/>
          <w:sz w:val="13"/>
          <w:szCs w:val="13"/>
          <w:color w:val="auto"/>
        </w:rPr>
        <w:t>Stock-based compensation Other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March 31, 2020</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940" w:type="dxa"/>
            <w:vAlign w:val="bottom"/>
          </w:tcPr>
          <w:p>
            <w:pPr>
              <w:jc w:val="right"/>
              <w:ind w:right="97"/>
              <w:spacing w:after="0"/>
              <w:rPr>
                <w:sz w:val="20"/>
                <w:szCs w:val="20"/>
                <w:color w:val="auto"/>
              </w:rPr>
            </w:pPr>
            <w:r>
              <w:rPr>
                <w:rFonts w:ascii="Arial" w:cs="Arial" w:eastAsia="Arial" w:hAnsi="Arial"/>
                <w:sz w:val="13"/>
                <w:szCs w:val="13"/>
                <w:b w:val="1"/>
                <w:bCs w:val="1"/>
                <w:color w:val="auto"/>
              </w:rPr>
              <w:t>958,056</w:t>
            </w:r>
          </w:p>
        </w:tc>
        <w:tc>
          <w:tcPr>
            <w:tcW w:w="28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ind w:right="77"/>
              <w:spacing w:after="0"/>
              <w:rPr>
                <w:sz w:val="20"/>
                <w:szCs w:val="20"/>
                <w:color w:val="auto"/>
              </w:rPr>
            </w:pPr>
            <w:r>
              <w:rPr>
                <w:rFonts w:ascii="Arial" w:cs="Arial" w:eastAsia="Arial" w:hAnsi="Arial"/>
                <w:sz w:val="13"/>
                <w:szCs w:val="13"/>
                <w:b w:val="1"/>
                <w:bCs w:val="1"/>
                <w:color w:val="auto"/>
              </w:rPr>
              <w:t>598.8</w:t>
            </w:r>
          </w:p>
        </w:tc>
        <w:tc>
          <w:tcPr>
            <w:tcW w:w="28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6,685.3</w:t>
            </w:r>
          </w:p>
        </w:tc>
        <w:tc>
          <w:tcPr>
            <w:tcW w:w="26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rPr>
              <w:t>4,920.4</w:t>
            </w:r>
          </w:p>
        </w:tc>
        <w:tc>
          <w:tcPr>
            <w:tcW w:w="28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(3,013.2)</w:t>
            </w:r>
          </w:p>
        </w:tc>
        <w:tc>
          <w:tcPr>
            <w:tcW w:w="40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ind w:right="177"/>
              <w:spacing w:after="0"/>
              <w:rPr>
                <w:sz w:val="20"/>
                <w:szCs w:val="20"/>
                <w:color w:val="auto"/>
              </w:rPr>
            </w:pPr>
            <w:r>
              <w:rPr>
                <w:rFonts w:ascii="Arial" w:cs="Arial" w:eastAsia="Arial" w:hAnsi="Arial"/>
                <w:sz w:val="13"/>
                <w:szCs w:val="13"/>
                <w:b w:val="1"/>
                <w:bCs w:val="1"/>
                <w:color w:val="auto"/>
              </w:rPr>
              <w:t>(6,523.6)</w:t>
            </w:r>
          </w:p>
        </w:tc>
        <w:tc>
          <w:tcPr>
            <w:tcW w:w="740" w:type="dxa"/>
            <w:vAlign w:val="bottom"/>
          </w:tcPr>
          <w:p>
            <w:pPr>
              <w:jc w:val="right"/>
              <w:ind w:right="77"/>
              <w:spacing w:after="0"/>
              <w:rPr>
                <w:sz w:val="20"/>
                <w:szCs w:val="20"/>
                <w:color w:val="auto"/>
              </w:rPr>
            </w:pPr>
            <w:r>
              <w:rPr>
                <w:rFonts w:ascii="Arial" w:cs="Arial" w:eastAsia="Arial" w:hAnsi="Arial"/>
                <w:sz w:val="13"/>
                <w:szCs w:val="13"/>
                <w:b w:val="1"/>
                <w:bCs w:val="1"/>
                <w:color w:val="auto"/>
              </w:rPr>
              <w:t>530</w:t>
            </w:r>
          </w:p>
        </w:tc>
        <w:tc>
          <w:tcPr>
            <w:tcW w:w="28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b w:val="1"/>
                <w:bCs w:val="1"/>
                <w:color w:val="auto"/>
              </w:rPr>
              <w:t>(60.8)</w:t>
            </w:r>
          </w:p>
        </w:tc>
        <w:tc>
          <w:tcPr>
            <w:tcW w:w="46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rPr>
              <w:t>92.2</w:t>
            </w:r>
          </w:p>
        </w:tc>
      </w:tr>
      <w:tr>
        <w:trPr>
          <w:trHeight w:val="270"/>
        </w:trPr>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rPr>
              <w:t>1,456.5</w:t>
            </w: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rPr>
              <w:t>26.2</w:t>
            </w:r>
          </w:p>
        </w:tc>
      </w:tr>
      <w:tr>
        <w:trPr>
          <w:trHeight w:val="270"/>
        </w:trPr>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77"/>
              <w:spacing w:after="0"/>
              <w:rPr>
                <w:sz w:val="20"/>
                <w:szCs w:val="20"/>
                <w:color w:val="auto"/>
              </w:rPr>
            </w:pPr>
            <w:r>
              <w:rPr>
                <w:rFonts w:ascii="Arial" w:cs="Arial" w:eastAsia="Arial" w:hAnsi="Arial"/>
                <w:sz w:val="13"/>
                <w:szCs w:val="13"/>
                <w:b w:val="1"/>
                <w:bCs w:val="1"/>
                <w:color w:val="auto"/>
              </w:rPr>
              <w:t>(362.3)</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940" w:type="dxa"/>
            <w:vAlign w:val="bottom"/>
          </w:tcPr>
          <w:p>
            <w:pPr>
              <w:jc w:val="right"/>
              <w:ind w:right="37"/>
              <w:spacing w:after="0"/>
              <w:rPr>
                <w:sz w:val="20"/>
                <w:szCs w:val="20"/>
                <w:color w:val="auto"/>
              </w:rPr>
            </w:pPr>
            <w:r>
              <w:rPr>
                <w:rFonts w:ascii="Arial" w:cs="Arial" w:eastAsia="Arial" w:hAnsi="Arial"/>
                <w:sz w:val="13"/>
                <w:szCs w:val="13"/>
                <w:b w:val="1"/>
                <w:bCs w:val="1"/>
                <w:color w:val="auto"/>
              </w:rPr>
              <w:t>(3,627)</w:t>
            </w:r>
          </w:p>
        </w:tc>
        <w:tc>
          <w:tcPr>
            <w:tcW w:w="28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b w:val="1"/>
                <w:bCs w:val="1"/>
                <w:color w:val="auto"/>
              </w:rPr>
              <w:t>(2.3)</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(497.7)</w:t>
            </w: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b w:val="1"/>
                <w:bCs w:val="1"/>
                <w:color w:val="auto"/>
              </w:rPr>
              <w:t>(3,627)</w:t>
            </w:r>
          </w:p>
        </w:tc>
        <w:tc>
          <w:tcPr>
            <w:tcW w:w="280" w:type="dxa"/>
            <w:vAlign w:val="bottom"/>
          </w:tcPr>
          <w:p>
            <w:pPr>
              <w:spacing w:after="0"/>
              <w:rPr>
                <w:sz w:val="23"/>
                <w:szCs w:val="23"/>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rPr>
              <w:t>500.0</w:t>
            </w: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b w:val="1"/>
                <w:bCs w:val="1"/>
                <w:color w:val="auto"/>
              </w:rPr>
              <w:t>3,627</w:t>
            </w:r>
          </w:p>
        </w:tc>
        <w:tc>
          <w:tcPr>
            <w:tcW w:w="2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b w:val="1"/>
                <w:bCs w:val="1"/>
                <w:color w:val="auto"/>
              </w:rPr>
              <w:t>(500.0)</w:t>
            </w: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324"/>
        </w:trPr>
        <w:tc>
          <w:tcPr>
            <w:tcW w:w="940" w:type="dxa"/>
            <w:vAlign w:val="bottom"/>
          </w:tcPr>
          <w:p>
            <w:pPr>
              <w:jc w:val="right"/>
              <w:ind w:right="97"/>
              <w:spacing w:after="0"/>
              <w:rPr>
                <w:sz w:val="20"/>
                <w:szCs w:val="20"/>
                <w:color w:val="auto"/>
              </w:rPr>
            </w:pPr>
            <w:r>
              <w:rPr>
                <w:rFonts w:ascii="Arial" w:cs="Arial" w:eastAsia="Arial" w:hAnsi="Arial"/>
                <w:sz w:val="13"/>
                <w:szCs w:val="13"/>
                <w:b w:val="1"/>
                <w:bCs w:val="1"/>
                <w:color w:val="auto"/>
              </w:rPr>
              <w:t>2,500</w:t>
            </w:r>
          </w:p>
        </w:tc>
        <w:tc>
          <w:tcPr>
            <w:tcW w:w="280" w:type="dxa"/>
            <w:vAlign w:val="bottom"/>
          </w:tcPr>
          <w:p>
            <w:pPr>
              <w:spacing w:after="0"/>
              <w:rPr>
                <w:sz w:val="24"/>
                <w:szCs w:val="24"/>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b w:val="1"/>
                <w:bCs w:val="1"/>
                <w:color w:val="auto"/>
              </w:rPr>
              <w:t>1.6</w:t>
            </w:r>
          </w:p>
        </w:tc>
        <w:tc>
          <w:tcPr>
            <w:tcW w:w="28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auto"/>
              </w:rPr>
              <w:t>(201.0)</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b w:val="1"/>
                <w:bCs w:val="1"/>
                <w:color w:val="auto"/>
              </w:rPr>
              <w:t>(43)</w:t>
            </w:r>
          </w:p>
        </w:tc>
        <w:tc>
          <w:tcPr>
            <w:tcW w:w="280" w:type="dxa"/>
            <w:vAlign w:val="bottom"/>
          </w:tcPr>
          <w:p>
            <w:pPr>
              <w:spacing w:after="0"/>
              <w:rPr>
                <w:sz w:val="24"/>
                <w:szCs w:val="24"/>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rPr>
              <w:t>5.1</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71.8</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80"/>
        </w:trPr>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0.2</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77"/>
        </w:trPr>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956,929</w:t>
            </w:r>
          </w:p>
        </w:tc>
        <w:tc>
          <w:tcPr>
            <w:tcW w:w="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598.1</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6,556.1</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5,879.4</w:t>
            </w:r>
          </w:p>
        </w:tc>
        <w:tc>
          <w:tcPr>
            <w:tcW w:w="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(3,013.2)</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(6,885.9)</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487</w:t>
            </w:r>
          </w:p>
        </w:tc>
        <w:tc>
          <w:tcPr>
            <w:tcW w:w="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(55.7)</w:t>
            </w:r>
          </w:p>
        </w:tc>
        <w:tc>
          <w:tcPr>
            <w:tcW w:w="4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-1259205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-916305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-539115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-196215</wp:posOffset>
            </wp:positionV>
            <wp:extent cx="71323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2280" w:space="220"/>
            <w:col w:w="8740"/>
          </w:cols>
          <w:pgMar w:left="320" w:top="549" w:right="339" w:bottom="1440" w:gutter="0" w:footer="0" w:header="0"/>
          <w:type w:val="continuous"/>
        </w:sectPr>
      </w:pPr>
    </w:p>
    <w:p>
      <w:pPr>
        <w:ind w:left="160" w:hanging="152"/>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3"/>
          <w:szCs w:val="13"/>
          <w:color w:val="auto"/>
        </w:rPr>
        <w:t>As of March 31, 2020, there was $1.00 billion remaining under our $8.00 billion share repurchase program authorized in June 2018.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49"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339"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660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5"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26035</wp:posOffset>
            </wp:positionV>
            <wp:extent cx="23660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7500" w:val="left"/>
          <w:tab w:leader="none" w:pos="8560" w:val="left"/>
          <w:tab w:leader="none" w:pos="9420" w:val="left"/>
          <w:tab w:leader="none" w:pos="1048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1,456.5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4,241.6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Gain related to disposition of Elanco (Note 5)</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deferred income taxes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 3)</w:t>
      </w:r>
    </w:p>
    <w:p>
      <w:pPr>
        <w:spacing w:after="0" w:line="77" w:lineRule="exact"/>
        <w:rPr>
          <w:sz w:val="20"/>
          <w:szCs w:val="20"/>
          <w:color w:val="auto"/>
        </w:rPr>
      </w:pPr>
    </w:p>
    <w:p>
      <w:pPr>
        <w:ind w:left="180"/>
        <w:spacing w:after="0" w:line="308" w:lineRule="auto"/>
        <w:rPr>
          <w:sz w:val="20"/>
          <w:szCs w:val="20"/>
          <w:color w:val="auto"/>
        </w:rPr>
      </w:pPr>
      <w:r>
        <w:rPr>
          <w:rFonts w:ascii="Arial" w:cs="Arial" w:eastAsia="Arial" w:hAnsi="Arial"/>
          <w:sz w:val="18"/>
          <w:szCs w:val="18"/>
          <w:color w:val="auto"/>
        </w:rPr>
        <w:t>Other changes in operating assets and liabilities, net of acquisitions and divestitures Other non-cash operating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151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sales and maturities of short-term investments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sales of noncurrent investments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acquisitions, net of cash acquired (Note 3)</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investing activities, net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change in short-term borrowings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Repayments of long-term debt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financing activities, net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7"/>
          <w:szCs w:val="17"/>
          <w:color w:val="auto"/>
        </w:rPr>
        <w:t>(3,680.5)</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273.6</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356.5</w:t>
            </w:r>
          </w:p>
        </w:tc>
      </w:tr>
      <w:tr>
        <w:trPr>
          <w:trHeight w:val="270"/>
        </w:trPr>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11.2</w:t>
            </w:r>
          </w:p>
        </w:tc>
        <w:tc>
          <w:tcPr>
            <w:tcW w:w="138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70"/>
        </w:trPr>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71.8</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75.8</w:t>
            </w:r>
          </w:p>
        </w:tc>
      </w:tr>
      <w:tr>
        <w:trPr>
          <w:trHeight w:val="270"/>
        </w:trPr>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52.3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136.9</w:t>
            </w:r>
          </w:p>
        </w:tc>
      </w:tr>
      <w:tr>
        <w:trPr>
          <w:trHeight w:val="270"/>
        </w:trPr>
        <w:tc>
          <w:tcPr>
            <w:tcW w:w="2360" w:type="dxa"/>
            <w:vAlign w:val="bottom"/>
          </w:tcPr>
          <w:p>
            <w:pPr>
              <w:jc w:val="right"/>
              <w:ind w:right="510"/>
              <w:spacing w:after="0"/>
              <w:rPr>
                <w:sz w:val="20"/>
                <w:szCs w:val="20"/>
                <w:color w:val="auto"/>
              </w:rPr>
            </w:pPr>
            <w:r>
              <w:rPr>
                <w:rFonts w:ascii="Arial" w:cs="Arial" w:eastAsia="Arial" w:hAnsi="Arial"/>
                <w:sz w:val="18"/>
                <w:szCs w:val="18"/>
                <w:b w:val="1"/>
                <w:bCs w:val="1"/>
                <w:color w:val="auto"/>
              </w:rPr>
              <w:t>(1,408.1)</w:t>
            </w:r>
          </w:p>
        </w:tc>
        <w:tc>
          <w:tcPr>
            <w:tcW w:w="1380" w:type="dxa"/>
            <w:vAlign w:val="bottom"/>
          </w:tcPr>
          <w:p>
            <w:pPr>
              <w:jc w:val="right"/>
              <w:spacing w:after="0"/>
              <w:rPr>
                <w:sz w:val="20"/>
                <w:szCs w:val="20"/>
                <w:color w:val="auto"/>
              </w:rPr>
            </w:pPr>
            <w:r>
              <w:rPr>
                <w:rFonts w:ascii="Arial" w:cs="Arial" w:eastAsia="Arial" w:hAnsi="Arial"/>
                <w:sz w:val="18"/>
                <w:szCs w:val="18"/>
                <w:color w:val="auto"/>
              </w:rPr>
              <w:t>(714.3)</w:t>
            </w:r>
          </w:p>
        </w:tc>
      </w:tr>
      <w:tr>
        <w:trPr>
          <w:trHeight w:val="277"/>
        </w:trPr>
        <w:tc>
          <w:tcPr>
            <w:tcW w:w="2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(74.9)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243"/>
        </w:trPr>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382.4</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311.3</w:t>
            </w:r>
          </w:p>
        </w:tc>
      </w:tr>
      <w:tr>
        <w:trPr>
          <w:trHeight w:val="553"/>
        </w:trPr>
        <w:tc>
          <w:tcPr>
            <w:tcW w:w="2360" w:type="dxa"/>
            <w:vAlign w:val="bottom"/>
          </w:tcPr>
          <w:p>
            <w:pPr>
              <w:jc w:val="right"/>
              <w:ind w:right="510"/>
              <w:spacing w:after="0"/>
              <w:rPr>
                <w:sz w:val="20"/>
                <w:szCs w:val="20"/>
                <w:color w:val="auto"/>
              </w:rPr>
            </w:pPr>
            <w:r>
              <w:rPr>
                <w:rFonts w:ascii="Arial" w:cs="Arial" w:eastAsia="Arial" w:hAnsi="Arial"/>
                <w:sz w:val="18"/>
                <w:szCs w:val="18"/>
                <w:b w:val="1"/>
                <w:bCs w:val="1"/>
                <w:color w:val="auto"/>
              </w:rPr>
              <w:t>(258.3)</w:t>
            </w:r>
          </w:p>
        </w:tc>
        <w:tc>
          <w:tcPr>
            <w:tcW w:w="1380" w:type="dxa"/>
            <w:vAlign w:val="bottom"/>
          </w:tcPr>
          <w:p>
            <w:pPr>
              <w:jc w:val="right"/>
              <w:spacing w:after="0"/>
              <w:rPr>
                <w:sz w:val="20"/>
                <w:szCs w:val="20"/>
                <w:color w:val="auto"/>
              </w:rPr>
            </w:pPr>
            <w:r>
              <w:rPr>
                <w:rFonts w:ascii="Arial" w:cs="Arial" w:eastAsia="Arial" w:hAnsi="Arial"/>
                <w:sz w:val="18"/>
                <w:szCs w:val="18"/>
                <w:color w:val="auto"/>
              </w:rPr>
              <w:t>(203.7)</w:t>
            </w:r>
          </w:p>
        </w:tc>
      </w:tr>
      <w:tr>
        <w:trPr>
          <w:trHeight w:val="270"/>
        </w:trPr>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36.8</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35.9</w:t>
            </w:r>
          </w:p>
        </w:tc>
      </w:tr>
      <w:tr>
        <w:trPr>
          <w:trHeight w:val="270"/>
        </w:trPr>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0"/>
        </w:trPr>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54.5</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83.6</w:t>
            </w:r>
          </w:p>
        </w:tc>
      </w:tr>
      <w:tr>
        <w:trPr>
          <w:trHeight w:val="270"/>
        </w:trPr>
        <w:tc>
          <w:tcPr>
            <w:tcW w:w="2360" w:type="dxa"/>
            <w:vAlign w:val="bottom"/>
          </w:tcPr>
          <w:p>
            <w:pPr>
              <w:jc w:val="right"/>
              <w:ind w:right="510"/>
              <w:spacing w:after="0"/>
              <w:rPr>
                <w:sz w:val="20"/>
                <w:szCs w:val="20"/>
                <w:color w:val="auto"/>
              </w:rPr>
            </w:pPr>
            <w:r>
              <w:rPr>
                <w:rFonts w:ascii="Arial" w:cs="Arial" w:eastAsia="Arial" w:hAnsi="Arial"/>
                <w:sz w:val="18"/>
                <w:szCs w:val="18"/>
                <w:b w:val="1"/>
                <w:bCs w:val="1"/>
                <w:color w:val="auto"/>
              </w:rPr>
              <w:t>(83.0)</w:t>
            </w:r>
          </w:p>
        </w:tc>
        <w:tc>
          <w:tcPr>
            <w:tcW w:w="138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70"/>
        </w:trPr>
        <w:tc>
          <w:tcPr>
            <w:tcW w:w="2360" w:type="dxa"/>
            <w:vAlign w:val="bottom"/>
          </w:tcPr>
          <w:p>
            <w:pPr>
              <w:jc w:val="right"/>
              <w:ind w:right="510"/>
              <w:spacing w:after="0"/>
              <w:rPr>
                <w:sz w:val="20"/>
                <w:szCs w:val="20"/>
                <w:color w:val="auto"/>
              </w:rPr>
            </w:pPr>
            <w:r>
              <w:rPr>
                <w:rFonts w:ascii="Arial" w:cs="Arial" w:eastAsia="Arial" w:hAnsi="Arial"/>
                <w:sz w:val="18"/>
                <w:szCs w:val="18"/>
                <w:b w:val="1"/>
                <w:bCs w:val="1"/>
                <w:color w:val="auto"/>
              </w:rPr>
              <w:t>(849.3)</w:t>
            </w:r>
          </w:p>
        </w:tc>
        <w:tc>
          <w:tcPr>
            <w:tcW w:w="1380" w:type="dxa"/>
            <w:vAlign w:val="bottom"/>
          </w:tcPr>
          <w:p>
            <w:pPr>
              <w:jc w:val="right"/>
              <w:spacing w:after="0"/>
              <w:rPr>
                <w:sz w:val="20"/>
                <w:szCs w:val="20"/>
                <w:color w:val="auto"/>
              </w:rPr>
            </w:pPr>
            <w:r>
              <w:rPr>
                <w:rFonts w:ascii="Arial" w:cs="Arial" w:eastAsia="Arial" w:hAnsi="Arial"/>
                <w:sz w:val="18"/>
                <w:szCs w:val="18"/>
                <w:color w:val="auto"/>
              </w:rPr>
              <w:t>(6,917.7)</w:t>
            </w:r>
          </w:p>
        </w:tc>
      </w:tr>
      <w:tr>
        <w:trPr>
          <w:trHeight w:val="270"/>
        </w:trPr>
        <w:tc>
          <w:tcPr>
            <w:tcW w:w="2360" w:type="dxa"/>
            <w:vAlign w:val="bottom"/>
          </w:tcPr>
          <w:p>
            <w:pPr>
              <w:jc w:val="right"/>
              <w:ind w:right="510"/>
              <w:spacing w:after="0"/>
              <w:rPr>
                <w:sz w:val="20"/>
                <w:szCs w:val="20"/>
                <w:color w:val="auto"/>
              </w:rPr>
            </w:pPr>
            <w:r>
              <w:rPr>
                <w:rFonts w:ascii="Arial" w:cs="Arial" w:eastAsia="Arial" w:hAnsi="Arial"/>
                <w:sz w:val="18"/>
                <w:szCs w:val="18"/>
                <w:b w:val="1"/>
                <w:bCs w:val="1"/>
                <w:color w:val="auto"/>
              </w:rPr>
              <w:t>(13.0)</w:t>
            </w:r>
          </w:p>
        </w:tc>
        <w:tc>
          <w:tcPr>
            <w:tcW w:w="1380" w:type="dxa"/>
            <w:vAlign w:val="bottom"/>
          </w:tcPr>
          <w:p>
            <w:pPr>
              <w:jc w:val="right"/>
              <w:spacing w:after="0"/>
              <w:rPr>
                <w:sz w:val="20"/>
                <w:szCs w:val="20"/>
                <w:color w:val="auto"/>
              </w:rPr>
            </w:pPr>
            <w:r>
              <w:rPr>
                <w:rFonts w:ascii="Arial" w:cs="Arial" w:eastAsia="Arial" w:hAnsi="Arial"/>
                <w:sz w:val="18"/>
                <w:szCs w:val="18"/>
                <w:color w:val="auto"/>
              </w:rPr>
              <w:t>(196.9)</w:t>
            </w:r>
          </w:p>
        </w:tc>
      </w:tr>
      <w:tr>
        <w:trPr>
          <w:trHeight w:val="257"/>
        </w:trPr>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51.4</w:t>
            </w:r>
          </w:p>
        </w:tc>
        <w:tc>
          <w:tcPr>
            <w:tcW w:w="1380" w:type="dxa"/>
            <w:vAlign w:val="bottom"/>
          </w:tcPr>
          <w:p>
            <w:pPr>
              <w:jc w:val="right"/>
              <w:spacing w:after="0"/>
              <w:rPr>
                <w:sz w:val="20"/>
                <w:szCs w:val="20"/>
                <w:color w:val="auto"/>
              </w:rPr>
            </w:pPr>
            <w:r>
              <w:rPr>
                <w:rFonts w:ascii="Arial" w:cs="Arial" w:eastAsia="Arial" w:hAnsi="Arial"/>
                <w:sz w:val="18"/>
                <w:szCs w:val="18"/>
                <w:color w:val="auto"/>
              </w:rPr>
              <w:t>(385.6)</w:t>
            </w:r>
          </w:p>
        </w:tc>
      </w:tr>
      <w:tr>
        <w:trPr>
          <w:trHeight w:val="27"/>
        </w:trPr>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2360" w:type="dxa"/>
            <w:vAlign w:val="bottom"/>
          </w:tcPr>
          <w:p>
            <w:pPr>
              <w:jc w:val="right"/>
              <w:ind w:right="510"/>
              <w:spacing w:after="0"/>
              <w:rPr>
                <w:sz w:val="20"/>
                <w:szCs w:val="20"/>
                <w:color w:val="auto"/>
              </w:rPr>
            </w:pPr>
            <w:r>
              <w:rPr>
                <w:rFonts w:ascii="Arial" w:cs="Arial" w:eastAsia="Arial" w:hAnsi="Arial"/>
                <w:sz w:val="18"/>
                <w:szCs w:val="18"/>
                <w:b w:val="1"/>
                <w:bCs w:val="1"/>
                <w:color w:val="auto"/>
              </w:rPr>
              <w:t>(1,060.9)</w:t>
            </w:r>
          </w:p>
        </w:tc>
        <w:tc>
          <w:tcPr>
            <w:tcW w:w="1380" w:type="dxa"/>
            <w:vAlign w:val="bottom"/>
          </w:tcPr>
          <w:p>
            <w:pPr>
              <w:jc w:val="right"/>
              <w:spacing w:after="0"/>
              <w:rPr>
                <w:sz w:val="20"/>
                <w:szCs w:val="20"/>
                <w:color w:val="auto"/>
              </w:rPr>
            </w:pPr>
            <w:r>
              <w:rPr>
                <w:rFonts w:ascii="Arial" w:cs="Arial" w:eastAsia="Arial" w:hAnsi="Arial"/>
                <w:sz w:val="18"/>
                <w:szCs w:val="18"/>
                <w:color w:val="auto"/>
              </w:rPr>
              <w:t>(7,678.7)</w:t>
            </w:r>
          </w:p>
        </w:tc>
      </w:tr>
      <w:tr>
        <w:trPr>
          <w:trHeight w:val="554"/>
        </w:trPr>
        <w:tc>
          <w:tcPr>
            <w:tcW w:w="2360" w:type="dxa"/>
            <w:vAlign w:val="bottom"/>
          </w:tcPr>
          <w:p>
            <w:pPr>
              <w:jc w:val="right"/>
              <w:ind w:right="510"/>
              <w:spacing w:after="0"/>
              <w:rPr>
                <w:sz w:val="20"/>
                <w:szCs w:val="20"/>
                <w:color w:val="auto"/>
              </w:rPr>
            </w:pPr>
            <w:r>
              <w:rPr>
                <w:rFonts w:ascii="Arial" w:cs="Arial" w:eastAsia="Arial" w:hAnsi="Arial"/>
                <w:sz w:val="18"/>
                <w:szCs w:val="18"/>
                <w:b w:val="1"/>
                <w:bCs w:val="1"/>
                <w:color w:val="auto"/>
              </w:rPr>
              <w:t>(671.3)</w:t>
            </w:r>
          </w:p>
        </w:tc>
        <w:tc>
          <w:tcPr>
            <w:tcW w:w="1380" w:type="dxa"/>
            <w:vAlign w:val="bottom"/>
          </w:tcPr>
          <w:p>
            <w:pPr>
              <w:jc w:val="right"/>
              <w:spacing w:after="0"/>
              <w:rPr>
                <w:sz w:val="20"/>
                <w:szCs w:val="20"/>
                <w:color w:val="auto"/>
              </w:rPr>
            </w:pPr>
            <w:r>
              <w:rPr>
                <w:rFonts w:ascii="Arial" w:cs="Arial" w:eastAsia="Arial" w:hAnsi="Arial"/>
                <w:sz w:val="18"/>
                <w:szCs w:val="18"/>
                <w:color w:val="auto"/>
              </w:rPr>
              <w:t>(637.2)</w:t>
            </w:r>
          </w:p>
        </w:tc>
      </w:tr>
      <w:tr>
        <w:trPr>
          <w:trHeight w:val="270"/>
        </w:trPr>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1,748.7</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1,850.4</w:t>
            </w:r>
          </w:p>
        </w:tc>
      </w:tr>
    </w:tbl>
    <w:p>
      <w:pPr>
        <w:spacing w:after="0" w:line="31"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7"/>
          <w:szCs w:val="17"/>
          <w:color w:val="auto"/>
        </w:rPr>
        <w:t>4,448.3</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60" w:type="dxa"/>
            <w:vAlign w:val="bottom"/>
          </w:tcPr>
          <w:p>
            <w:pPr>
              <w:jc w:val="right"/>
              <w:ind w:right="510"/>
              <w:spacing w:after="0"/>
              <w:rPr>
                <w:sz w:val="20"/>
                <w:szCs w:val="20"/>
                <w:color w:val="auto"/>
              </w:rPr>
            </w:pPr>
            <w:r>
              <w:rPr>
                <w:rFonts w:ascii="Arial" w:cs="Arial" w:eastAsia="Arial" w:hAnsi="Arial"/>
                <w:sz w:val="18"/>
                <w:szCs w:val="18"/>
                <w:b w:val="1"/>
                <w:bCs w:val="1"/>
                <w:color w:val="auto"/>
              </w:rPr>
              <w:t>(276.3)</w:t>
            </w:r>
          </w:p>
        </w:tc>
        <w:tc>
          <w:tcPr>
            <w:tcW w:w="138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70"/>
        </w:trPr>
        <w:tc>
          <w:tcPr>
            <w:tcW w:w="2360" w:type="dxa"/>
            <w:vAlign w:val="bottom"/>
          </w:tcPr>
          <w:p>
            <w:pPr>
              <w:jc w:val="right"/>
              <w:ind w:right="510"/>
              <w:spacing w:after="0"/>
              <w:rPr>
                <w:sz w:val="20"/>
                <w:szCs w:val="20"/>
                <w:color w:val="auto"/>
              </w:rPr>
            </w:pPr>
            <w:r>
              <w:rPr>
                <w:rFonts w:ascii="Arial" w:cs="Arial" w:eastAsia="Arial" w:hAnsi="Arial"/>
                <w:sz w:val="18"/>
                <w:szCs w:val="18"/>
                <w:b w:val="1"/>
                <w:bCs w:val="1"/>
                <w:color w:val="auto"/>
              </w:rPr>
              <w:t>(500.0)</w:t>
            </w:r>
          </w:p>
        </w:tc>
        <w:tc>
          <w:tcPr>
            <w:tcW w:w="138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77"/>
        </w:trPr>
        <w:tc>
          <w:tcPr>
            <w:tcW w:w="2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(194.4)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r>
      <w:tr>
        <w:trPr>
          <w:trHeight w:val="243"/>
        </w:trPr>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106.7</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1,367.8</w:t>
            </w:r>
          </w:p>
        </w:tc>
      </w:tr>
      <w:tr>
        <w:trPr>
          <w:trHeight w:val="290"/>
        </w:trPr>
        <w:tc>
          <w:tcPr>
            <w:tcW w:w="2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(66.7)</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37.8</w:t>
            </w:r>
          </w:p>
        </w:tc>
      </w:tr>
    </w:tbl>
    <w:p>
      <w:pPr>
        <w:spacing w:after="0" w:line="200" w:lineRule="exact"/>
        <w:rPr>
          <w:sz w:val="20"/>
          <w:szCs w:val="20"/>
          <w:color w:val="auto"/>
        </w:rPr>
      </w:pPr>
    </w:p>
    <w:p>
      <w:pPr>
        <w:sectPr>
          <w:pgSz w:w="11900" w:h="16838" w:orient="portrait"/>
          <w:cols w:equalWidth="0" w:num="2">
            <w:col w:w="6840" w:space="640"/>
            <w:col w:w="3740"/>
          </w:cols>
          <w:pgMar w:left="320" w:top="549" w:right="359" w:bottom="144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6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(638.5)</w:t>
            </w:r>
          </w:p>
        </w:tc>
        <w:tc>
          <w:tcPr>
            <w:tcW w:w="6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(5,961.8)</w:t>
            </w:r>
          </w:p>
        </w:tc>
      </w:tr>
      <w:tr>
        <w:trPr>
          <w:trHeight w:val="264"/>
        </w:trPr>
        <w:tc>
          <w:tcPr>
            <w:tcW w:w="7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January 1 (2019 includes $677.5 of discontinued operations)</w:t>
            </w:r>
          </w:p>
        </w:tc>
        <w:tc>
          <w:tcPr>
            <w:tcW w:w="6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2,337.5</w:t>
            </w:r>
          </w:p>
        </w:tc>
        <w:tc>
          <w:tcPr>
            <w:tcW w:w="6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7,998.2</w:t>
            </w:r>
          </w:p>
        </w:tc>
      </w:tr>
      <w:tr>
        <w:trPr>
          <w:trHeight w:val="277"/>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March 31</w:t>
            </w:r>
          </w:p>
        </w:tc>
        <w:tc>
          <w:tcPr>
            <w:tcW w:w="6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1,699.0</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2,036.4</w:t>
            </w: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549" w:right="359" w:bottom="1440" w:gutter="0" w:footer="0" w:header="0"/>
          <w:type w:val="continuous"/>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207" w:lineRule="exact"/>
        <w:rPr>
          <w:sz w:val="20"/>
          <w:szCs w:val="20"/>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We issue our financial statements by filing them with the Securities and Exchange Commission and have evaluated subsequent events up to the time of the filing of our Form 10-Q.</w:t>
      </w:r>
    </w:p>
    <w:p>
      <w:pPr>
        <w:spacing w:after="0" w:line="9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9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320" w:top="549"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Revenue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159"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14605</wp:posOffset>
            </wp:positionV>
            <wp:extent cx="16459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269"/>
        </w:trPr>
        <w:tc>
          <w:tcPr>
            <w:tcW w:w="8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5,403.5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4,692.3</w:t>
            </w:r>
          </w:p>
        </w:tc>
      </w:tr>
      <w:tr>
        <w:trPr>
          <w:trHeight w:val="270"/>
        </w:trPr>
        <w:tc>
          <w:tcPr>
            <w:tcW w:w="8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Collaboration and other revenue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456.3</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399.9</w:t>
            </w:r>
          </w:p>
        </w:tc>
      </w:tr>
      <w:tr>
        <w:trPr>
          <w:trHeight w:val="271"/>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5,859.8</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5,092.2</w:t>
            </w:r>
          </w:p>
        </w:tc>
      </w:tr>
    </w:tbl>
    <w:p>
      <w:pPr>
        <w:spacing w:after="0" w:line="113" w:lineRule="exact"/>
        <w:rPr>
          <w:sz w:val="20"/>
          <w:szCs w:val="20"/>
          <w:color w:val="auto"/>
        </w:rPr>
      </w:pPr>
    </w:p>
    <w:p>
      <w:pPr>
        <w:ind w:left="180" w:right="260" w:hanging="172"/>
        <w:spacing w:after="0" w:line="232" w:lineRule="auto"/>
        <w:tabs>
          <w:tab w:leader="none" w:pos="153"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Collaboration and other revenue associated with prior period transfers of intellectual property was $35.4 million and $35.5 million during the three months ended March 31, 2020 and 2019, respectively.</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 as well as royalties, upfront and milestone payments we receive under these types of contracts. See Note 4 for additional information related to certain of our collaborations and other arrangements. Collaboration and other revenue disclosed above includes the revenue from the Trajenta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and Jardiance</w:t>
      </w:r>
      <w:r>
        <w:rPr>
          <w:rFonts w:ascii="Arial" w:cs="Arial" w:eastAsia="Arial" w:hAnsi="Arial"/>
          <w:sz w:val="20"/>
          <w:szCs w:val="20"/>
          <w:color w:val="auto"/>
          <w:vertAlign w:val="superscript"/>
        </w:rPr>
        <w:t>®</w:t>
      </w:r>
      <w:r>
        <w:rPr>
          <w:rFonts w:ascii="Arial" w:cs="Arial" w:eastAsia="Arial" w:hAnsi="Arial"/>
          <w:sz w:val="17"/>
          <w:szCs w:val="17"/>
          <w:color w:val="auto"/>
        </w:rPr>
        <w:t xml:space="preserve"> families of products resulting from our collaboration with Boehringer Ingelheim discussed in Note</w:t>
      </w:r>
    </w:p>
    <w:p>
      <w:pPr>
        <w:spacing w:after="0" w:line="1" w:lineRule="exact"/>
        <w:rPr>
          <w:sz w:val="20"/>
          <w:szCs w:val="20"/>
          <w:color w:val="auto"/>
        </w:rPr>
      </w:pPr>
    </w:p>
    <w:p>
      <w:pPr>
        <w:ind w:right="420" w:firstLine="8"/>
        <w:spacing w:after="0" w:line="375" w:lineRule="auto"/>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Substantially all of the remainder of collaboration and other revenue is related to contracts accounted for as contracts with customers. </w:t>
      </w:r>
      <w:r>
        <w:rPr>
          <w:rFonts w:ascii="Arial" w:cs="Arial" w:eastAsia="Arial" w:hAnsi="Arial"/>
          <w:sz w:val="18"/>
          <w:szCs w:val="18"/>
          <w:u w:val="single" w:color="auto"/>
          <w:color w:val="auto"/>
        </w:rPr>
        <w:t>Adjustments to Revenue</w:t>
      </w:r>
    </w:p>
    <w:p>
      <w:pPr>
        <w:spacing w:after="0" w:line="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Adjustments to revenue recognized as a result of changes in estimates for our most significant U.S. sales returns, rebates, and discounts liability balances for products shipped in previous periods were approximately 2 percent and 3 percent of U.S. revenue during the three months ended March 31, 2020 and 2019,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December 31, 2019</w:t>
            </w: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3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307.8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264.6</w:t>
            </w:r>
          </w:p>
        </w:tc>
      </w:tr>
    </w:tbl>
    <w:p>
      <w:pPr>
        <w:spacing w:after="0" w:line="32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the three months ended March 31, 2020 and 2019, revenue recognized from contract liabilities as of the beginning of the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product:</w:t>
      </w:r>
    </w:p>
    <w:p>
      <w:pPr>
        <w:spacing w:after="0" w:line="213" w:lineRule="exact"/>
        <w:rPr>
          <w:sz w:val="20"/>
          <w:szCs w:val="20"/>
          <w:color w:val="auto"/>
        </w:rPr>
      </w:pPr>
    </w:p>
    <w:p>
      <w:pPr>
        <w:ind w:left="69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14605</wp:posOffset>
            </wp:positionV>
            <wp:extent cx="45262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75"/>
        </w:trPr>
        <w:tc>
          <w:tcPr>
            <w:tcW w:w="4120" w:type="dxa"/>
            <w:vAlign w:val="bottom"/>
          </w:tcPr>
          <w:p>
            <w:pPr>
              <w:spacing w:after="0"/>
              <w:rPr>
                <w:sz w:val="15"/>
                <w:szCs w:val="15"/>
                <w:color w:val="auto"/>
              </w:rPr>
            </w:pPr>
          </w:p>
        </w:tc>
        <w:tc>
          <w:tcPr>
            <w:tcW w:w="112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United States</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2"/>
        </w:trPr>
        <w:tc>
          <w:tcPr>
            <w:tcW w:w="4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Revenue—to unaffiliated customers: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63"/>
        </w:trPr>
        <w:tc>
          <w:tcPr>
            <w:tcW w:w="4120" w:type="dxa"/>
            <w:vAlign w:val="bottom"/>
          </w:tcPr>
          <w:p>
            <w:pPr>
              <w:ind w:left="280"/>
              <w:spacing w:after="0"/>
              <w:rPr>
                <w:sz w:val="20"/>
                <w:szCs w:val="20"/>
                <w:color w:val="auto"/>
              </w:rPr>
            </w:pPr>
            <w:r>
              <w:rPr>
                <w:rFonts w:ascii="Arial" w:cs="Arial" w:eastAsia="Arial" w:hAnsi="Arial"/>
                <w:sz w:val="18"/>
                <w:szCs w:val="18"/>
                <w:color w:val="auto"/>
              </w:rPr>
              <w:t>Diabetes: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41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color w:val="auto"/>
                <w:vertAlign w:val="superscript"/>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929.5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1,229.4</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879.7</w:t>
            </w:r>
          </w:p>
        </w:tc>
      </w:tr>
      <w:tr>
        <w:trPr>
          <w:trHeight w:val="270"/>
        </w:trPr>
        <w:tc>
          <w:tcPr>
            <w:tcW w:w="4120" w:type="dxa"/>
            <w:vAlign w:val="bottom"/>
          </w:tcPr>
          <w:p>
            <w:pPr>
              <w:ind w:left="7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color w:val="auto"/>
                <w:vertAlign w:val="superscript"/>
              </w:rPr>
              <w:t>® (2)</w:t>
            </w:r>
          </w:p>
        </w:tc>
        <w:tc>
          <w:tcPr>
            <w:tcW w:w="2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398.6</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297.2</w:t>
            </w:r>
          </w:p>
        </w:tc>
        <w:tc>
          <w:tcPr>
            <w:tcW w:w="3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695.8</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448.6</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282.2</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730.8</w:t>
            </w:r>
          </w:p>
        </w:tc>
      </w:tr>
      <w:tr>
        <w:trPr>
          <w:trHeight w:val="270"/>
        </w:trPr>
        <w:tc>
          <w:tcPr>
            <w:tcW w:w="41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214.1</w:t>
            </w: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101.5</w:t>
            </w: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315.7</w:t>
            </w: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297.7</w:t>
            </w:r>
          </w:p>
        </w:tc>
      </w:tr>
      <w:tr>
        <w:trPr>
          <w:trHeight w:val="270"/>
        </w:trPr>
        <w:tc>
          <w:tcPr>
            <w:tcW w:w="4120" w:type="dxa"/>
            <w:vAlign w:val="bottom"/>
          </w:tcPr>
          <w:p>
            <w:pPr>
              <w:ind w:left="720"/>
              <w:spacing w:after="0"/>
              <w:rPr>
                <w:sz w:val="20"/>
                <w:szCs w:val="20"/>
                <w:color w:val="auto"/>
              </w:rPr>
            </w:pPr>
            <w:r>
              <w:rPr>
                <w:rFonts w:ascii="Arial" w:cs="Arial" w:eastAsia="Arial" w:hAnsi="Arial"/>
                <w:sz w:val="18"/>
                <w:szCs w:val="18"/>
                <w:i w:val="1"/>
                <w:iCs w:val="1"/>
                <w:color w:val="auto"/>
              </w:rPr>
              <w:t>Basaglar</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230.4</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73.3</w:t>
            </w:r>
          </w:p>
        </w:tc>
        <w:tc>
          <w:tcPr>
            <w:tcW w:w="3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303.7</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198.2</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251.4</w:t>
            </w:r>
          </w:p>
        </w:tc>
      </w:tr>
      <w:tr>
        <w:trPr>
          <w:trHeight w:val="270"/>
        </w:trPr>
        <w:tc>
          <w:tcPr>
            <w:tcW w:w="41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144.6</w:t>
            </w: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122.9</w:t>
            </w: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267.5</w:t>
            </w: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203.6</w:t>
            </w:r>
          </w:p>
        </w:tc>
      </w:tr>
      <w:tr>
        <w:trPr>
          <w:trHeight w:val="270"/>
        </w:trPr>
        <w:tc>
          <w:tcPr>
            <w:tcW w:w="4120" w:type="dxa"/>
            <w:vAlign w:val="bottom"/>
          </w:tcPr>
          <w:p>
            <w:pPr>
              <w:ind w:left="720"/>
              <w:spacing w:after="0"/>
              <w:rPr>
                <w:sz w:val="20"/>
                <w:szCs w:val="20"/>
                <w:color w:val="auto"/>
              </w:rPr>
            </w:pPr>
            <w:r>
              <w:rPr>
                <w:rFonts w:ascii="Arial" w:cs="Arial" w:eastAsia="Arial" w:hAnsi="Arial"/>
                <w:sz w:val="18"/>
                <w:szCs w:val="18"/>
                <w:i w:val="1"/>
                <w:iCs w:val="1"/>
                <w:color w:val="auto"/>
              </w:rPr>
              <w:t xml:space="preserve">Trajenta </w:t>
            </w:r>
            <w:r>
              <w:rPr>
                <w:rFonts w:ascii="Arial" w:cs="Arial" w:eastAsia="Arial" w:hAnsi="Arial"/>
                <w:sz w:val="21"/>
                <w:szCs w:val="21"/>
                <w:color w:val="auto"/>
                <w:vertAlign w:val="superscript"/>
              </w:rPr>
              <w:t>(4)</w:t>
            </w:r>
          </w:p>
        </w:tc>
        <w:tc>
          <w:tcPr>
            <w:tcW w:w="2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28.7</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64.5</w:t>
            </w:r>
          </w:p>
        </w:tc>
        <w:tc>
          <w:tcPr>
            <w:tcW w:w="3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93.2</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84.6</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131.9</w:t>
            </w:r>
          </w:p>
        </w:tc>
      </w:tr>
      <w:tr>
        <w:trPr>
          <w:trHeight w:val="263"/>
        </w:trPr>
        <w:tc>
          <w:tcPr>
            <w:tcW w:w="41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Diabetes</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45.3</w:t>
            </w: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3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63.6</w:t>
            </w:r>
          </w:p>
        </w:tc>
        <w:tc>
          <w:tcPr>
            <w:tcW w:w="3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57.9</w:t>
            </w:r>
          </w:p>
        </w:tc>
      </w:tr>
      <w:tr>
        <w:trPr>
          <w:trHeight w:val="263"/>
        </w:trPr>
        <w:tc>
          <w:tcPr>
            <w:tcW w:w="4120" w:type="dxa"/>
            <w:vAlign w:val="bottom"/>
          </w:tcPr>
          <w:p>
            <w:pPr>
              <w:ind w:left="500"/>
              <w:spacing w:after="0"/>
              <w:rPr>
                <w:sz w:val="20"/>
                <w:szCs w:val="20"/>
                <w:color w:val="auto"/>
              </w:rPr>
            </w:pPr>
            <w:r>
              <w:rPr>
                <w:rFonts w:ascii="Arial" w:cs="Arial" w:eastAsia="Arial" w:hAnsi="Arial"/>
                <w:sz w:val="18"/>
                <w:szCs w:val="18"/>
                <w:color w:val="auto"/>
              </w:rPr>
              <w:t>Total Diabetes</w:t>
            </w:r>
          </w:p>
        </w:tc>
        <w:tc>
          <w:tcPr>
            <w:tcW w:w="20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1,991.2</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977.7</w:t>
            </w:r>
          </w:p>
        </w:tc>
        <w:tc>
          <w:tcPr>
            <w:tcW w:w="32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2,968.9</w:t>
            </w: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1,719.4</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833.6</w:t>
            </w:r>
          </w:p>
        </w:tc>
        <w:tc>
          <w:tcPr>
            <w:tcW w:w="3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2,553.0</w:t>
            </w:r>
          </w:p>
        </w:tc>
      </w:tr>
      <w:tr>
        <w:trPr>
          <w:trHeight w:val="128"/>
        </w:trPr>
        <w:tc>
          <w:tcPr>
            <w:tcW w:w="4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63"/>
        </w:trPr>
        <w:tc>
          <w:tcPr>
            <w:tcW w:w="4120" w:type="dxa"/>
            <w:vAlign w:val="bottom"/>
          </w:tcPr>
          <w:p>
            <w:pPr>
              <w:ind w:left="280"/>
              <w:spacing w:after="0"/>
              <w:rPr>
                <w:sz w:val="20"/>
                <w:szCs w:val="20"/>
                <w:color w:val="auto"/>
              </w:rPr>
            </w:pPr>
            <w:r>
              <w:rPr>
                <w:rFonts w:ascii="Arial" w:cs="Arial" w:eastAsia="Arial" w:hAnsi="Arial"/>
                <w:sz w:val="18"/>
                <w:szCs w:val="18"/>
                <w:color w:val="auto"/>
              </w:rPr>
              <w:t>Oncology:</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41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Alimta</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324.2</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235.8</w:t>
            </w: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560.1</w:t>
            </w: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499.2</w:t>
            </w:r>
          </w:p>
        </w:tc>
      </w:tr>
      <w:tr>
        <w:trPr>
          <w:trHeight w:val="270"/>
        </w:trPr>
        <w:tc>
          <w:tcPr>
            <w:tcW w:w="4120" w:type="dxa"/>
            <w:vAlign w:val="bottom"/>
          </w:tcPr>
          <w:p>
            <w:pPr>
              <w:ind w:left="7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89.1</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149.9</w:t>
            </w:r>
          </w:p>
        </w:tc>
        <w:tc>
          <w:tcPr>
            <w:tcW w:w="3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239.0</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123.2</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198.3</w:t>
            </w:r>
          </w:p>
        </w:tc>
      </w:tr>
      <w:tr>
        <w:trPr>
          <w:trHeight w:val="270"/>
        </w:trPr>
        <w:tc>
          <w:tcPr>
            <w:tcW w:w="41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Verzenio</w:t>
            </w:r>
            <w:r>
              <w:rPr>
                <w:rFonts w:ascii="Arial" w:cs="Arial" w:eastAsia="Arial" w:hAnsi="Arial"/>
                <w:sz w:val="21"/>
                <w:szCs w:val="21"/>
                <w:i w:val="1"/>
                <w:iCs w:val="1"/>
                <w:color w:val="auto"/>
                <w:vertAlign w:val="superscript"/>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129.4</w:t>
            </w: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58.6</w:t>
            </w: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188.0</w:t>
            </w: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109.4</w:t>
            </w:r>
          </w:p>
        </w:tc>
      </w:tr>
      <w:tr>
        <w:trPr>
          <w:trHeight w:val="270"/>
        </w:trPr>
        <w:tc>
          <w:tcPr>
            <w:tcW w:w="4120" w:type="dxa"/>
            <w:vAlign w:val="bottom"/>
          </w:tcPr>
          <w:p>
            <w:pPr>
              <w:ind w:left="720"/>
              <w:spacing w:after="0"/>
              <w:rPr>
                <w:sz w:val="20"/>
                <w:szCs w:val="20"/>
                <w:color w:val="auto"/>
              </w:rPr>
            </w:pPr>
            <w:r>
              <w:rPr>
                <w:rFonts w:ascii="Arial" w:cs="Arial" w:eastAsia="Arial" w:hAnsi="Arial"/>
                <w:sz w:val="18"/>
                <w:szCs w:val="18"/>
                <w:i w:val="1"/>
                <w:iCs w:val="1"/>
                <w:color w:val="auto"/>
              </w:rPr>
              <w:t>Erbitux</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117.8</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3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130.8</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113.3</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118.4</w:t>
            </w:r>
          </w:p>
        </w:tc>
      </w:tr>
      <w:tr>
        <w:trPr>
          <w:trHeight w:val="263"/>
        </w:trPr>
        <w:tc>
          <w:tcPr>
            <w:tcW w:w="41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Oncology</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w:t>
            </w:r>
          </w:p>
        </w:tc>
        <w:tc>
          <w:tcPr>
            <w:tcW w:w="3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83.6</w:t>
            </w:r>
          </w:p>
        </w:tc>
        <w:tc>
          <w:tcPr>
            <w:tcW w:w="3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87.4</w:t>
            </w:r>
          </w:p>
        </w:tc>
      </w:tr>
      <w:tr>
        <w:trPr>
          <w:trHeight w:val="263"/>
        </w:trPr>
        <w:tc>
          <w:tcPr>
            <w:tcW w:w="4120" w:type="dxa"/>
            <w:vAlign w:val="bottom"/>
          </w:tcPr>
          <w:p>
            <w:pPr>
              <w:ind w:left="500"/>
              <w:spacing w:after="0"/>
              <w:rPr>
                <w:sz w:val="20"/>
                <w:szCs w:val="20"/>
                <w:color w:val="auto"/>
              </w:rPr>
            </w:pPr>
            <w:r>
              <w:rPr>
                <w:rFonts w:ascii="Arial" w:cs="Arial" w:eastAsia="Arial" w:hAnsi="Arial"/>
                <w:sz w:val="18"/>
                <w:szCs w:val="18"/>
                <w:color w:val="auto"/>
              </w:rPr>
              <w:t>Total Oncology</w:t>
            </w:r>
          </w:p>
        </w:tc>
        <w:tc>
          <w:tcPr>
            <w:tcW w:w="20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657.9</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543.6</w:t>
            </w:r>
          </w:p>
        </w:tc>
        <w:tc>
          <w:tcPr>
            <w:tcW w:w="32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1,201.5</w:t>
            </w: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593.9</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418.9</w:t>
            </w:r>
          </w:p>
        </w:tc>
        <w:tc>
          <w:tcPr>
            <w:tcW w:w="3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1,012.7</w:t>
            </w:r>
          </w:p>
        </w:tc>
      </w:tr>
      <w:tr>
        <w:trPr>
          <w:trHeight w:val="128"/>
        </w:trPr>
        <w:tc>
          <w:tcPr>
            <w:tcW w:w="4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63"/>
        </w:trPr>
        <w:tc>
          <w:tcPr>
            <w:tcW w:w="4120" w:type="dxa"/>
            <w:vAlign w:val="bottom"/>
          </w:tcPr>
          <w:p>
            <w:pPr>
              <w:ind w:left="380"/>
              <w:spacing w:after="0"/>
              <w:rPr>
                <w:sz w:val="20"/>
                <w:szCs w:val="20"/>
                <w:color w:val="auto"/>
              </w:rPr>
            </w:pPr>
            <w:r>
              <w:rPr>
                <w:rFonts w:ascii="Arial" w:cs="Arial" w:eastAsia="Arial" w:hAnsi="Arial"/>
                <w:sz w:val="18"/>
                <w:szCs w:val="18"/>
                <w:color w:val="auto"/>
              </w:rPr>
              <w:t>Immunology:</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41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Taltz</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327.5</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116.0</w:t>
            </w: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443.5</w:t>
            </w: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252.5</w:t>
            </w:r>
          </w:p>
        </w:tc>
      </w:tr>
      <w:tr>
        <w:trPr>
          <w:trHeight w:val="270"/>
        </w:trPr>
        <w:tc>
          <w:tcPr>
            <w:tcW w:w="4120" w:type="dxa"/>
            <w:vAlign w:val="bottom"/>
          </w:tcPr>
          <w:p>
            <w:pPr>
              <w:ind w:left="720"/>
              <w:spacing w:after="0"/>
              <w:rPr>
                <w:sz w:val="20"/>
                <w:szCs w:val="20"/>
                <w:color w:val="auto"/>
              </w:rPr>
            </w:pPr>
            <w:r>
              <w:rPr>
                <w:rFonts w:ascii="Arial" w:cs="Arial" w:eastAsia="Arial" w:hAnsi="Arial"/>
                <w:sz w:val="18"/>
                <w:szCs w:val="18"/>
                <w:i w:val="1"/>
                <w:iCs w:val="1"/>
                <w:color w:val="auto"/>
              </w:rPr>
              <w:t>Olumiant</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11.3</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128.4</w:t>
            </w:r>
          </w:p>
        </w:tc>
        <w:tc>
          <w:tcPr>
            <w:tcW w:w="3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139.7</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75.7</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82.1</w:t>
            </w:r>
          </w:p>
        </w:tc>
      </w:tr>
      <w:tr>
        <w:trPr>
          <w:trHeight w:val="264"/>
        </w:trPr>
        <w:tc>
          <w:tcPr>
            <w:tcW w:w="41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Immunology</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w:t>
            </w: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w:t>
            </w:r>
          </w:p>
        </w:tc>
        <w:tc>
          <w:tcPr>
            <w:tcW w:w="3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120" w:type="dxa"/>
            <w:vAlign w:val="bottom"/>
          </w:tcPr>
          <w:p>
            <w:pPr>
              <w:ind w:left="500"/>
              <w:spacing w:after="0"/>
              <w:rPr>
                <w:sz w:val="20"/>
                <w:szCs w:val="20"/>
                <w:color w:val="auto"/>
              </w:rPr>
            </w:pPr>
            <w:r>
              <w:rPr>
                <w:rFonts w:ascii="Arial" w:cs="Arial" w:eastAsia="Arial" w:hAnsi="Arial"/>
                <w:sz w:val="18"/>
                <w:szCs w:val="18"/>
                <w:color w:val="auto"/>
              </w:rPr>
              <w:t>Total Immunology</w:t>
            </w:r>
          </w:p>
        </w:tc>
        <w:tc>
          <w:tcPr>
            <w:tcW w:w="20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341.4</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244.4</w:t>
            </w:r>
          </w:p>
        </w:tc>
        <w:tc>
          <w:tcPr>
            <w:tcW w:w="32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585.8</w:t>
            </w: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187.2</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147.4</w:t>
            </w:r>
          </w:p>
        </w:tc>
        <w:tc>
          <w:tcPr>
            <w:tcW w:w="3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334.7</w:t>
            </w:r>
          </w:p>
        </w:tc>
      </w:tr>
      <w:tr>
        <w:trPr>
          <w:trHeight w:val="128"/>
        </w:trPr>
        <w:tc>
          <w:tcPr>
            <w:tcW w:w="4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63"/>
        </w:trPr>
        <w:tc>
          <w:tcPr>
            <w:tcW w:w="4120" w:type="dxa"/>
            <w:vAlign w:val="bottom"/>
          </w:tcPr>
          <w:p>
            <w:pPr>
              <w:ind w:left="380"/>
              <w:spacing w:after="0"/>
              <w:rPr>
                <w:sz w:val="20"/>
                <w:szCs w:val="20"/>
                <w:color w:val="auto"/>
              </w:rPr>
            </w:pPr>
            <w:r>
              <w:rPr>
                <w:rFonts w:ascii="Arial" w:cs="Arial" w:eastAsia="Arial" w:hAnsi="Arial"/>
                <w:sz w:val="18"/>
                <w:szCs w:val="18"/>
                <w:color w:val="auto"/>
              </w:rPr>
              <w:t>Neuroscience:</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41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Cymbalta</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11.6</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198.8</w:t>
            </w: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210.4</w:t>
            </w: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164.1</w:t>
            </w:r>
          </w:p>
        </w:tc>
      </w:tr>
      <w:tr>
        <w:trPr>
          <w:trHeight w:val="270"/>
        </w:trPr>
        <w:tc>
          <w:tcPr>
            <w:tcW w:w="4120" w:type="dxa"/>
            <w:vAlign w:val="bottom"/>
          </w:tcPr>
          <w:p>
            <w:pPr>
              <w:ind w:left="7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11.2</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87.2</w:t>
            </w:r>
          </w:p>
        </w:tc>
        <w:tc>
          <w:tcPr>
            <w:tcW w:w="3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98.4</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97.9</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107.2</w:t>
            </w:r>
          </w:p>
        </w:tc>
      </w:tr>
      <w:tr>
        <w:trPr>
          <w:trHeight w:val="270"/>
        </w:trPr>
        <w:tc>
          <w:tcPr>
            <w:tcW w:w="41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Emgality</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67.3</w:t>
            </w: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74.0</w:t>
            </w: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63"/>
        </w:trPr>
        <w:tc>
          <w:tcPr>
            <w:tcW w:w="41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80.7</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107.6</w:t>
            </w:r>
          </w:p>
        </w:tc>
      </w:tr>
      <w:tr>
        <w:trPr>
          <w:trHeight w:val="270"/>
        </w:trPr>
        <w:tc>
          <w:tcPr>
            <w:tcW w:w="4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Neuroscience</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110.3</w:t>
            </w: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353.2</w:t>
            </w: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463.5</w:t>
            </w: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393.1</w:t>
            </w:r>
          </w:p>
        </w:tc>
      </w:tr>
      <w:tr>
        <w:trPr>
          <w:trHeight w:val="122"/>
        </w:trPr>
        <w:tc>
          <w:tcPr>
            <w:tcW w:w="4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70"/>
        </w:trPr>
        <w:tc>
          <w:tcPr>
            <w:tcW w:w="4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0"/>
        </w:trPr>
        <w:tc>
          <w:tcPr>
            <w:tcW w:w="4120" w:type="dxa"/>
            <w:vAlign w:val="bottom"/>
          </w:tcPr>
          <w:p>
            <w:pPr>
              <w:ind w:left="7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p>
        </w:tc>
        <w:tc>
          <w:tcPr>
            <w:tcW w:w="2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122.5</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149.8</w:t>
            </w:r>
          </w:p>
        </w:tc>
        <w:tc>
          <w:tcPr>
            <w:tcW w:w="3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272.4</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125.9</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187.0</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312.9</w:t>
            </w:r>
          </w:p>
        </w:tc>
      </w:tr>
      <w:tr>
        <w:trPr>
          <w:trHeight w:val="270"/>
        </w:trPr>
        <w:tc>
          <w:tcPr>
            <w:tcW w:w="41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26.1</w:t>
            </w: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167.0</w:t>
            </w: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193.0</w:t>
            </w: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308.2</w:t>
            </w:r>
          </w:p>
        </w:tc>
      </w:tr>
      <w:tr>
        <w:trPr>
          <w:trHeight w:val="263"/>
        </w:trPr>
        <w:tc>
          <w:tcPr>
            <w:tcW w:w="41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79.4</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174.7</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177.6</w:t>
            </w:r>
          </w:p>
        </w:tc>
      </w:tr>
      <w:tr>
        <w:trPr>
          <w:trHeight w:val="264"/>
        </w:trPr>
        <w:tc>
          <w:tcPr>
            <w:tcW w:w="4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228.0</w:t>
            </w: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412.1</w:t>
            </w:r>
          </w:p>
        </w:tc>
        <w:tc>
          <w:tcPr>
            <w:tcW w:w="3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640.1</w:t>
            </w:r>
          </w:p>
        </w:tc>
        <w:tc>
          <w:tcPr>
            <w:tcW w:w="3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3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798.7</w:t>
            </w:r>
          </w:p>
        </w:tc>
      </w:tr>
      <w:tr>
        <w:trPr>
          <w:trHeight w:val="277"/>
        </w:trPr>
        <w:tc>
          <w:tcPr>
            <w:tcW w:w="412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3,328.8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2,531.0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5,859.8</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5,092.2</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3"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Humalog revenue includes Insulin Lispro.</w:t>
      </w:r>
    </w:p>
    <w:p>
      <w:pPr>
        <w:spacing w:after="0" w:line="44"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3"/>
          <w:szCs w:val="13"/>
          <w:color w:val="auto"/>
        </w:rPr>
        <w:t>, Synjardy</w:t>
      </w:r>
      <w:r>
        <w:rPr>
          <w:rFonts w:ascii="Arial" w:cs="Arial" w:eastAsia="Arial" w:hAnsi="Arial"/>
          <w:sz w:val="15"/>
          <w:szCs w:val="15"/>
          <w:color w:val="auto"/>
          <w:vertAlign w:val="superscript"/>
        </w:rPr>
        <w:t>®</w:t>
      </w:r>
      <w:r>
        <w:rPr>
          <w:rFonts w:ascii="Arial" w:cs="Arial" w:eastAsia="Arial" w:hAnsi="Arial"/>
          <w:sz w:val="13"/>
          <w:szCs w:val="13"/>
          <w:color w:val="auto"/>
        </w:rPr>
        <w:t>, and Trijardy</w:t>
      </w:r>
      <w:r>
        <w:rPr>
          <w:rFonts w:ascii="Arial" w:cs="Arial" w:eastAsia="Arial" w:hAnsi="Arial"/>
          <w:sz w:val="15"/>
          <w:szCs w:val="15"/>
          <w:color w:val="auto"/>
          <w:vertAlign w:val="superscript"/>
        </w:rPr>
        <w:t>®</w:t>
      </w:r>
      <w:r>
        <w:rPr>
          <w:rFonts w:ascii="Arial" w:cs="Arial" w:eastAsia="Arial" w:hAnsi="Arial"/>
          <w:sz w:val="13"/>
          <w:szCs w:val="13"/>
          <w:color w:val="auto"/>
        </w:rPr>
        <w:t xml:space="preserve"> XR.</w:t>
      </w:r>
    </w:p>
    <w:p>
      <w:pPr>
        <w:spacing w:after="0" w:line="3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r>
        <w:rPr>
          <w:rFonts w:ascii="Arial" w:cs="Arial" w:eastAsia="Arial" w:hAnsi="Arial"/>
          <w:sz w:val="15"/>
          <w:szCs w:val="15"/>
          <w:color w:val="auto"/>
          <w:vertAlign w:val="superscript"/>
        </w:rPr>
        <w:t>®</w:t>
      </w:r>
      <w:r>
        <w:rPr>
          <w:rFonts w:ascii="Arial" w:cs="Arial" w:eastAsia="Arial" w:hAnsi="Arial"/>
          <w:sz w:val="7"/>
          <w:szCs w:val="7"/>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679" w:right="3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679"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7"/>
          <w:szCs w:val="17"/>
          <w:color w:val="auto"/>
        </w:rPr>
        <w:t>The following table summarizes revenue by geographical area:</w:t>
      </w:r>
    </w:p>
    <w:p>
      <w:pPr>
        <w:sectPr>
          <w:pgSz w:w="11900" w:h="16838" w:orient="portrait"/>
          <w:cols w:equalWidth="0" w:num="1">
            <w:col w:w="11240"/>
          </w:cols>
          <w:pgMar w:left="320" w:top="6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Revenue—to unaffiliated customers </w:t>
      </w:r>
      <w:r>
        <w:rPr>
          <w:rFonts w:ascii="Arial" w:cs="Arial" w:eastAsia="Arial" w:hAnsi="Arial"/>
          <w:sz w:val="20"/>
          <w:szCs w:val="20"/>
          <w:color w:val="auto"/>
          <w:vertAlign w:val="superscript"/>
        </w:rPr>
        <w:t>(1)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Europe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foreign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974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13716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85"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342" w:lineRule="exact"/>
        <w:rPr>
          <w:sz w:val="20"/>
          <w:szCs w:val="20"/>
          <w:color w:val="auto"/>
        </w:rPr>
      </w:pPr>
    </w:p>
    <w:p>
      <w:pPr>
        <w:ind w:left="300" w:hanging="293"/>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3,328.8  </w:t>
      </w:r>
      <w:r>
        <w:rPr>
          <w:rFonts w:ascii="Arial" w:cs="Arial" w:eastAsia="Arial" w:hAnsi="Arial"/>
          <w:sz w:val="18"/>
          <w:szCs w:val="18"/>
          <w:color w:val="auto"/>
        </w:rPr>
        <w:t>$  2,890.8</w:t>
      </w:r>
    </w:p>
    <w:p>
      <w:pPr>
        <w:spacing w:after="0" w:line="63" w:lineRule="exact"/>
        <w:rPr>
          <w:rFonts w:ascii="Arial" w:cs="Arial" w:eastAsia="Arial" w:hAnsi="Arial"/>
          <w:sz w:val="18"/>
          <w:szCs w:val="18"/>
          <w:b w:val="1"/>
          <w:bCs w:val="1"/>
          <w:color w:val="auto"/>
        </w:rPr>
      </w:pPr>
    </w:p>
    <w:p>
      <w:pPr>
        <w:ind w:left="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1,061.0</w:t>
      </w:r>
      <w:r>
        <w:rPr>
          <w:rFonts w:ascii="Arial" w:cs="Arial" w:eastAsia="Arial" w:hAnsi="Arial"/>
          <w:sz w:val="18"/>
          <w:szCs w:val="18"/>
          <w:color w:val="auto"/>
        </w:rPr>
        <w:t>900.3</w:t>
      </w:r>
    </w:p>
    <w:p>
      <w:pPr>
        <w:spacing w:after="0" w:line="63"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592.3</w:t>
      </w:r>
      <w:r>
        <w:rPr>
          <w:rFonts w:ascii="Arial" w:cs="Arial" w:eastAsia="Arial" w:hAnsi="Arial"/>
          <w:sz w:val="18"/>
          <w:szCs w:val="18"/>
          <w:color w:val="auto"/>
        </w:rPr>
        <w:t>543.7</w:t>
      </w:r>
    </w:p>
    <w:p>
      <w:pPr>
        <w:spacing w:after="0" w:line="63"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267.3</w:t>
      </w:r>
      <w:r>
        <w:rPr>
          <w:rFonts w:ascii="Arial" w:cs="Arial" w:eastAsia="Arial" w:hAnsi="Arial"/>
          <w:sz w:val="18"/>
          <w:szCs w:val="18"/>
          <w:color w:val="auto"/>
        </w:rPr>
        <w:t>211.2</w:t>
      </w:r>
    </w:p>
    <w:p>
      <w:pPr>
        <w:spacing w:after="0" w:line="63"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610.4</w:t>
      </w:r>
      <w:r>
        <w:rPr>
          <w:rFonts w:ascii="Arial" w:cs="Arial" w:eastAsia="Arial" w:hAnsi="Arial"/>
          <w:sz w:val="18"/>
          <w:szCs w:val="18"/>
          <w:color w:val="auto"/>
        </w:rPr>
        <w:t>546.2</w:t>
      </w:r>
    </w:p>
    <w:p>
      <w:pPr>
        <w:spacing w:after="0" w:line="77" w:lineRule="exact"/>
        <w:rPr>
          <w:sz w:val="20"/>
          <w:szCs w:val="20"/>
          <w:color w:val="auto"/>
        </w:rPr>
      </w:pPr>
    </w:p>
    <w:p>
      <w:pPr>
        <w:spacing w:after="0"/>
        <w:tabs>
          <w:tab w:leader="none" w:pos="280" w:val="left"/>
          <w:tab w:leader="none" w:pos="1120" w:val="left"/>
          <w:tab w:leader="none" w:pos="1420" w:val="left"/>
        </w:tabs>
        <w:rPr>
          <w:sz w:val="20"/>
          <w:szCs w:val="20"/>
          <w:color w:val="auto"/>
        </w:rPr>
      </w:pPr>
      <w:r>
        <w:rPr>
          <w:rFonts w:ascii="Arial" w:cs="Arial" w:eastAsia="Arial" w:hAnsi="Arial"/>
          <w:sz w:val="18"/>
          <w:szCs w:val="18"/>
          <w:b w:val="1"/>
          <w:bCs w:val="1"/>
          <w:color w:val="auto"/>
        </w:rPr>
        <w:t>$</w:t>
        <w:tab/>
        <w:t>5,859.8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5,092.2</w:t>
      </w:r>
    </w:p>
    <w:p>
      <w:pPr>
        <w:spacing w:after="0" w:line="185" w:lineRule="exact"/>
        <w:rPr>
          <w:sz w:val="20"/>
          <w:szCs w:val="20"/>
          <w:color w:val="auto"/>
        </w:rPr>
      </w:pPr>
    </w:p>
    <w:p>
      <w:pPr>
        <w:sectPr>
          <w:pgSz w:w="11900" w:h="16838" w:orient="portrait"/>
          <w:cols w:equalWidth="0" w:num="2">
            <w:col w:w="8380" w:space="720"/>
            <w:col w:w="2140"/>
          </w:cols>
          <w:pgMar w:left="320" w:top="679" w:right="339" w:bottom="1440" w:gutter="0" w:footer="0" w:header="0"/>
          <w:type w:val="continuous"/>
        </w:sectPr>
      </w:pPr>
    </w:p>
    <w:p>
      <w:pPr>
        <w:spacing w:after="0"/>
        <w:rPr>
          <w:sz w:val="20"/>
          <w:szCs w:val="20"/>
          <w:color w:val="auto"/>
        </w:rPr>
      </w:pPr>
      <w:r>
        <w:rPr>
          <w:rFonts w:ascii="Arial" w:cs="Arial" w:eastAsia="Arial" w:hAnsi="Arial"/>
          <w:sz w:val="14"/>
          <w:szCs w:val="14"/>
          <w:color w:val="auto"/>
        </w:rPr>
        <w:t>Numbers may not add due to rounding.</w:t>
      </w:r>
    </w:p>
    <w:p>
      <w:pPr>
        <w:spacing w:after="0" w:line="43"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Revenue is attributed to the countries based on the location of the customer.</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During the three months ended March 31, 2020 we completed the acquisition of Dermira, Inc. (Dermira) and during the three months ended March 31, 2019, we completed the acquisition of Loxo Oncology, Inc. (Loxo). These transactions, as further discussed in this note below in Acquisitions of Businesses, were accounted for as business combinations under the acquisition method of accounting. Under this method,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are included in our consolidated condensed financial statements from the date of acquisition.</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also acquired assets in development in the three months ended March 31, 2020 and 2019, which are further discussed in this note below in Asset Acquisitions. Upon acquisition, the acquired in-process research and development (IPR&amp;D) charges related to these compounds were immediately expensed because the compounds had no alternative future use. We incurred acquired IPR&amp;D charges of $52.3 million and $136.9 million for the three months ended March 31, 2020 and 2019,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Dermira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In February 2020, we acquired all shares of Dermira for a purchase price of approximately $849.3 million, net of cash acquired. Under terms of the agreement, we acquired lebrikizumab, a novel, investigational, monoclonal antibody being evaluated for the treatment of moderate-to-severe atopic dermatitis. Lebrikizumab was granted Fast Track designation from the U.S. Food and Drug Administration (FDA). We also acquired Qbrexza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(glycopyrronium) cloth, a medicated cloth approved by the FDA for the topical treatment of primary axillary hyperhidrosis (uncontrolled excessive underarm sweating).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access to Dermira information was limited prior to the acquisition. As a consequence, we are in the process of determining fair values and tax bases of a significant portion of the assets acquired and liabilities assumed, including the identification and valuation of intangible assets, long-term debt,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 Preliminary fair values related to this acquisition included goodwill of $99.7 million, other intangibles of $1.21 billion, and long-term debt of $375.5 million. After the acquisition, we repaid $276.2 million of long-term debt assumed as part of our acquisition of Dermira.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679"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Loxo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February 2019, we acquired all shares of Loxo for a purchase price of $ 6.92 billion, net of cash acquired. The accelerated vesting of Loxo employee equity awards was recognized as transaction expense included in asset impairment, restructuring, and other special charges during the three months ended March 31, 2019 (see Note 6).</w:t>
      </w:r>
    </w:p>
    <w:p>
      <w:pPr>
        <w:spacing w:after="0" w:line="9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Under the terms of the agreement, we acquired a pipeline of investigational medicines, including selpercatinib (LOXO-292), an oral RET inhibitor granted Breakthrough Therapy designation and Priority Review by the FDA, and LOXO-305, an oral BTK inhibitor.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following table summarizes the amounts recognized for assets acquired and liabilities assumed in the acquisition of Loxo as of the acquisition date: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February 15, 2019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xml:space="preserve">Acquired IPR&amp;D </w:t>
            </w:r>
            <w:r>
              <w:rPr>
                <w:rFonts w:ascii="Arial" w:cs="Arial" w:eastAsia="Arial" w:hAnsi="Arial"/>
                <w:sz w:val="21"/>
                <w:szCs w:val="21"/>
                <w:color w:val="auto"/>
                <w:vertAlign w:val="superscript"/>
              </w:rPr>
              <w:t>(1)</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4,670.0</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 xml:space="preserve">Finite-lived intangibles </w:t>
            </w:r>
            <w:r>
              <w:rPr>
                <w:rFonts w:ascii="Arial" w:cs="Arial" w:eastAsia="Arial" w:hAnsi="Arial"/>
                <w:sz w:val="21"/>
                <w:szCs w:val="21"/>
                <w:color w:val="auto"/>
                <w:vertAlign w:val="superscript"/>
              </w:rPr>
              <w:t>(2)</w:t>
            </w:r>
          </w:p>
        </w:tc>
        <w:tc>
          <w:tcPr>
            <w:tcW w:w="4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980.0</w:t>
            </w:r>
          </w:p>
        </w:tc>
      </w:tr>
      <w:tr>
        <w:trPr>
          <w:trHeight w:val="257"/>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(1,032.8)</w:t>
            </w:r>
          </w:p>
        </w:tc>
      </w:tr>
      <w:tr>
        <w:trPr>
          <w:trHeight w:val="250"/>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57"/>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4,590.8</w:t>
            </w:r>
          </w:p>
        </w:tc>
      </w:tr>
      <w:tr>
        <w:trPr>
          <w:trHeight w:val="256"/>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(3)</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2,326.9</w:t>
            </w: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6,917.7</w:t>
            </w:r>
          </w:p>
        </w:tc>
      </w:tr>
    </w:tbl>
    <w:p>
      <w:pPr>
        <w:spacing w:after="0" w:line="236"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$4.60 billion of the acquired IPR&amp;D relates to selpercatinib (LOXO-292).</w:t>
      </w:r>
    </w:p>
    <w:p>
      <w:pPr>
        <w:spacing w:after="0" w:line="65" w:lineRule="exact"/>
        <w:rPr>
          <w:rFonts w:ascii="Arial" w:cs="Arial" w:eastAsia="Arial" w:hAnsi="Arial"/>
          <w:sz w:val="16"/>
          <w:szCs w:val="16"/>
          <w:color w:val="auto"/>
          <w:vertAlign w:val="superscript"/>
        </w:rPr>
      </w:pPr>
    </w:p>
    <w:p>
      <w:pPr>
        <w:ind w:left="180" w:right="60" w:hanging="172"/>
        <w:spacing w:after="0" w:line="316"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Contract-based intangibles (primarily related to Vitrakvi</w:t>
      </w:r>
      <w:r>
        <w:rPr>
          <w:rFonts w:ascii="Arial" w:cs="Arial" w:eastAsia="Arial" w:hAnsi="Arial"/>
          <w:sz w:val="17"/>
          <w:szCs w:val="17"/>
          <w:color w:val="auto"/>
          <w:vertAlign w:val="superscript"/>
        </w:rPr>
        <w:t>®</w:t>
      </w:r>
      <w:r>
        <w:rPr>
          <w:rFonts w:ascii="Arial" w:cs="Arial" w:eastAsia="Arial" w:hAnsi="Arial"/>
          <w:sz w:val="14"/>
          <w:szCs w:val="14"/>
          <w:color w:val="auto"/>
        </w:rPr>
        <w:t>) which are being amortized to cost of sales on a straight-line basis over their estimated useful lives, were expected to have a weighted average useful life of approximately 12 years from the acquisition date.</w:t>
      </w:r>
    </w:p>
    <w:p>
      <w:pPr>
        <w:spacing w:after="0" w:line="33" w:lineRule="exact"/>
        <w:rPr>
          <w:rFonts w:ascii="Arial" w:cs="Arial" w:eastAsia="Arial" w:hAnsi="Arial"/>
          <w:sz w:val="18"/>
          <w:szCs w:val="18"/>
          <w:color w:val="auto"/>
          <w:vertAlign w:val="superscript"/>
        </w:rPr>
      </w:pPr>
    </w:p>
    <w:p>
      <w:pPr>
        <w:ind w:left="180" w:right="160" w:hanging="172"/>
        <w:spacing w:after="0" w:line="270"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attributable primarily to future unidentified projects and products and the assembled workforce for Loxo and is not deductible for tax purposes.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narrative summarize our asset acquisitions during the three months ended March 31, 2020 and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jc w:val="center"/>
              <w:ind w:left="17"/>
              <w:spacing w:after="0"/>
              <w:rPr>
                <w:sz w:val="20"/>
                <w:szCs w:val="20"/>
                <w:color w:val="auto"/>
              </w:rPr>
            </w:pPr>
            <w:r>
              <w:rPr>
                <w:rFonts w:ascii="Arial" w:cs="Arial" w:eastAsia="Arial" w:hAnsi="Arial"/>
                <w:sz w:val="14"/>
                <w:szCs w:val="14"/>
                <w:b w:val="1"/>
                <w:bCs w:val="1"/>
                <w:color w:val="auto"/>
              </w:rPr>
              <w:t>Phase of</w:t>
            </w:r>
          </w:p>
        </w:tc>
        <w:tc>
          <w:tcPr>
            <w:tcW w:w="320" w:type="dxa"/>
            <w:vAlign w:val="bottom"/>
          </w:tcPr>
          <w:p>
            <w:pPr>
              <w:spacing w:after="0"/>
              <w:rPr>
                <w:sz w:val="14"/>
                <w:szCs w:val="14"/>
                <w:color w:val="auto"/>
              </w:rPr>
            </w:pPr>
          </w:p>
        </w:tc>
        <w:tc>
          <w:tcPr>
            <w:tcW w:w="1320" w:type="dxa"/>
            <w:vAlign w:val="bottom"/>
          </w:tcPr>
          <w:p>
            <w:pPr>
              <w:jc w:val="right"/>
              <w:ind w:right="97"/>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2"/>
        </w:trPr>
        <w:tc>
          <w:tcPr>
            <w:tcW w:w="2700" w:type="dxa"/>
            <w:vAlign w:val="bottom"/>
          </w:tcPr>
          <w:p>
            <w:pPr>
              <w:ind w:left="1120"/>
              <w:spacing w:after="0"/>
              <w:rPr>
                <w:sz w:val="20"/>
                <w:szCs w:val="20"/>
                <w:color w:val="auto"/>
              </w:rPr>
            </w:pPr>
            <w:r>
              <w:rPr>
                <w:rFonts w:ascii="Arial" w:cs="Arial" w:eastAsia="Arial" w:hAnsi="Arial"/>
                <w:sz w:val="14"/>
                <w:szCs w:val="14"/>
                <w:b w:val="1"/>
                <w:bCs w:val="1"/>
                <w:color w:val="auto"/>
              </w:rPr>
              <w:t>Counterparty</w:t>
            </w:r>
          </w:p>
        </w:tc>
        <w:tc>
          <w:tcPr>
            <w:tcW w:w="3600" w:type="dxa"/>
            <w:vAlign w:val="bottom"/>
          </w:tcPr>
          <w:p>
            <w:pPr>
              <w:ind w:left="1160"/>
              <w:spacing w:after="0"/>
              <w:rPr>
                <w:sz w:val="20"/>
                <w:szCs w:val="20"/>
                <w:color w:val="auto"/>
              </w:rPr>
            </w:pPr>
            <w:r>
              <w:rPr>
                <w:rFonts w:ascii="Arial" w:cs="Arial" w:eastAsia="Arial" w:hAnsi="Arial"/>
                <w:sz w:val="14"/>
                <w:szCs w:val="14"/>
                <w:b w:val="1"/>
                <w:bCs w:val="1"/>
                <w:color w:val="auto"/>
              </w:rPr>
              <w:t>Compound(s) or Therapy</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Acquisition Month</w:t>
            </w:r>
          </w:p>
        </w:tc>
        <w:tc>
          <w:tcPr>
            <w:tcW w:w="1540" w:type="dxa"/>
            <w:vAlign w:val="bottom"/>
          </w:tcPr>
          <w:p>
            <w:pPr>
              <w:jc w:val="center"/>
              <w:ind w:left="17"/>
              <w:spacing w:after="0"/>
              <w:rPr>
                <w:sz w:val="20"/>
                <w:szCs w:val="20"/>
                <w:color w:val="auto"/>
              </w:rPr>
            </w:pPr>
            <w:r>
              <w:rPr>
                <w:rFonts w:ascii="Arial" w:cs="Arial" w:eastAsia="Arial" w:hAnsi="Arial"/>
                <w:sz w:val="14"/>
                <w:szCs w:val="14"/>
                <w:b w:val="1"/>
                <w:bCs w:val="1"/>
                <w:color w:val="auto"/>
                <w:w w:val="98"/>
              </w:rPr>
              <w:t xml:space="preserve">Development </w:t>
            </w:r>
            <w:r>
              <w:rPr>
                <w:rFonts w:ascii="Arial" w:cs="Arial" w:eastAsia="Arial" w:hAnsi="Arial"/>
                <w:sz w:val="17"/>
                <w:szCs w:val="17"/>
                <w:b w:val="1"/>
                <w:bCs w:val="1"/>
                <w:color w:val="auto"/>
                <w:w w:val="98"/>
                <w:vertAlign w:val="superscript"/>
              </w:rPr>
              <w:t>(1)</w:t>
            </w:r>
          </w:p>
        </w:tc>
        <w:tc>
          <w:tcPr>
            <w:tcW w:w="320" w:type="dxa"/>
            <w:vAlign w:val="bottom"/>
          </w:tcPr>
          <w:p>
            <w:pPr>
              <w:spacing w:after="0"/>
              <w:rPr>
                <w:sz w:val="17"/>
                <w:szCs w:val="17"/>
                <w:color w:val="auto"/>
              </w:rPr>
            </w:pPr>
          </w:p>
        </w:tc>
        <w:tc>
          <w:tcPr>
            <w:tcW w:w="1320" w:type="dxa"/>
            <w:vAlign w:val="bottom"/>
          </w:tcPr>
          <w:p>
            <w:pPr>
              <w:jc w:val="right"/>
              <w:ind w:right="357"/>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spacing w:after="0"/>
              <w:rPr>
                <w:sz w:val="19"/>
                <w:szCs w:val="19"/>
                <w:color w:val="auto"/>
              </w:rPr>
            </w:pPr>
          </w:p>
        </w:tc>
        <w:tc>
          <w:tcPr>
            <w:tcW w:w="3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Preclinical targets that could lead to</w:t>
            </w:r>
          </w:p>
        </w:tc>
        <w:tc>
          <w:tcPr>
            <w:tcW w:w="17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52.3</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Sitryx Therapeutics Limited</w:t>
            </w:r>
          </w:p>
        </w:tc>
        <w:tc>
          <w:tcPr>
            <w:tcW w:w="360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potential new medicines for</w:t>
            </w:r>
          </w:p>
        </w:tc>
        <w:tc>
          <w:tcPr>
            <w:tcW w:w="17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March 2020</w:t>
            </w:r>
          </w:p>
        </w:tc>
        <w:tc>
          <w:tcPr>
            <w:tcW w:w="1540" w:type="dxa"/>
            <w:vAlign w:val="bottom"/>
            <w:shd w:val="clear" w:color="auto" w:fill="CCEEFF"/>
          </w:tcPr>
          <w:p>
            <w:pPr>
              <w:jc w:val="center"/>
              <w:ind w:left="17"/>
              <w:spacing w:after="0" w:line="202" w:lineRule="exact"/>
              <w:rPr>
                <w:sz w:val="20"/>
                <w:szCs w:val="20"/>
                <w:color w:val="auto"/>
              </w:rPr>
            </w:pPr>
            <w:r>
              <w:rPr>
                <w:rFonts w:ascii="Arial" w:cs="Arial" w:eastAsia="Arial" w:hAnsi="Arial"/>
                <w:sz w:val="18"/>
                <w:szCs w:val="18"/>
                <w:color w:val="auto"/>
                <w:w w:val="99"/>
              </w:rPr>
              <w:t>Pre-clinical</w:t>
            </w:r>
          </w:p>
        </w:tc>
        <w:tc>
          <w:tcPr>
            <w:tcW w:w="32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00" w:type="dxa"/>
            <w:vAlign w:val="bottom"/>
            <w:tcBorders>
              <w:bottom w:val="single" w:sz="8" w:color="auto"/>
            </w:tcBorders>
            <w:shd w:val="clear" w:color="auto" w:fill="CCEEFF"/>
          </w:tcPr>
          <w:p>
            <w:pPr>
              <w:spacing w:after="0"/>
              <w:rPr>
                <w:sz w:val="20"/>
                <w:szCs w:val="20"/>
                <w:color w:val="auto"/>
              </w:rPr>
            </w:pPr>
          </w:p>
        </w:tc>
        <w:tc>
          <w:tcPr>
            <w:tcW w:w="36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autoimmune diseases</w:t>
            </w:r>
          </w:p>
        </w:tc>
        <w:tc>
          <w:tcPr>
            <w:tcW w:w="17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27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spacing w:after="0"/>
              <w:rPr>
                <w:sz w:val="19"/>
                <w:szCs w:val="19"/>
                <w:color w:val="auto"/>
              </w:rPr>
            </w:pPr>
          </w:p>
        </w:tc>
        <w:tc>
          <w:tcPr>
            <w:tcW w:w="3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Tau aggregation inhibitor small</w:t>
            </w:r>
          </w:p>
        </w:tc>
        <w:tc>
          <w:tcPr>
            <w:tcW w:w="17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AC Immune SA </w:t>
            </w:r>
            <w:r>
              <w:rPr>
                <w:rFonts w:ascii="Arial" w:cs="Arial" w:eastAsia="Arial" w:hAnsi="Arial"/>
                <w:sz w:val="18"/>
                <w:szCs w:val="18"/>
                <w:color w:val="auto"/>
                <w:vertAlign w:val="superscript"/>
              </w:rPr>
              <w:t>(2)</w:t>
            </w:r>
          </w:p>
        </w:tc>
        <w:tc>
          <w:tcPr>
            <w:tcW w:w="3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molecules for the potential treatment</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January 2019</w:t>
            </w:r>
          </w:p>
        </w:tc>
        <w:tc>
          <w:tcPr>
            <w:tcW w:w="154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Pre-clinical</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3600" w:type="dxa"/>
            <w:vAlign w:val="bottom"/>
            <w:shd w:val="clear" w:color="auto" w:fill="CCEEFF"/>
          </w:tcPr>
          <w:p>
            <w:pPr>
              <w:ind w:left="480"/>
              <w:spacing w:after="0" w:line="148" w:lineRule="exact"/>
              <w:rPr>
                <w:sz w:val="20"/>
                <w:szCs w:val="20"/>
                <w:color w:val="auto"/>
              </w:rPr>
            </w:pPr>
            <w:r>
              <w:rPr>
                <w:rFonts w:ascii="Arial" w:cs="Arial" w:eastAsia="Arial" w:hAnsi="Arial"/>
                <w:sz w:val="17"/>
                <w:szCs w:val="17"/>
                <w:color w:val="auto"/>
              </w:rPr>
              <w:t>of Alzheimer's disease and other</w:t>
            </w:r>
          </w:p>
        </w:tc>
        <w:tc>
          <w:tcPr>
            <w:tcW w:w="17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700" w:type="dxa"/>
            <w:vAlign w:val="bottom"/>
            <w:tcBorders>
              <w:bottom w:val="single" w:sz="8" w:color="auto"/>
            </w:tcBorders>
            <w:shd w:val="clear" w:color="auto" w:fill="CCEEFF"/>
          </w:tcPr>
          <w:p>
            <w:pPr>
              <w:spacing w:after="0"/>
              <w:rPr>
                <w:sz w:val="19"/>
                <w:szCs w:val="19"/>
                <w:color w:val="auto"/>
              </w:rPr>
            </w:pPr>
          </w:p>
        </w:tc>
        <w:tc>
          <w:tcPr>
            <w:tcW w:w="36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neurodegenerative diseases</w:t>
            </w:r>
          </w:p>
        </w:tc>
        <w:tc>
          <w:tcPr>
            <w:tcW w:w="17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ImmuNext, Inc.</w:t>
            </w:r>
          </w:p>
        </w:tc>
        <w:tc>
          <w:tcPr>
            <w:tcW w:w="3600" w:type="dxa"/>
            <w:vAlign w:val="bottom"/>
          </w:tcPr>
          <w:p>
            <w:pPr>
              <w:ind w:left="480"/>
              <w:spacing w:after="0"/>
              <w:rPr>
                <w:sz w:val="20"/>
                <w:szCs w:val="20"/>
                <w:color w:val="auto"/>
              </w:rPr>
            </w:pPr>
            <w:r>
              <w:rPr>
                <w:rFonts w:ascii="Arial" w:cs="Arial" w:eastAsia="Arial" w:hAnsi="Arial"/>
                <w:sz w:val="18"/>
                <w:szCs w:val="18"/>
                <w:color w:val="auto"/>
              </w:rPr>
              <w:t>Novel immunometabolism target</w:t>
            </w:r>
          </w:p>
        </w:tc>
        <w:tc>
          <w:tcPr>
            <w:tcW w:w="1760" w:type="dxa"/>
            <w:vAlign w:val="bottom"/>
          </w:tcPr>
          <w:p>
            <w:pPr>
              <w:jc w:val="center"/>
              <w:spacing w:after="0"/>
              <w:rPr>
                <w:sz w:val="20"/>
                <w:szCs w:val="20"/>
                <w:color w:val="auto"/>
              </w:rPr>
            </w:pPr>
            <w:r>
              <w:rPr>
                <w:rFonts w:ascii="Arial" w:cs="Arial" w:eastAsia="Arial" w:hAnsi="Arial"/>
                <w:sz w:val="18"/>
                <w:szCs w:val="18"/>
                <w:color w:val="auto"/>
              </w:rPr>
              <w:t>March 2019</w:t>
            </w:r>
          </w:p>
        </w:tc>
        <w:tc>
          <w:tcPr>
            <w:tcW w:w="1540" w:type="dxa"/>
            <w:vAlign w:val="bottom"/>
          </w:tcPr>
          <w:p>
            <w:pPr>
              <w:jc w:val="center"/>
              <w:ind w:left="17"/>
              <w:spacing w:after="0"/>
              <w:rPr>
                <w:sz w:val="20"/>
                <w:szCs w:val="20"/>
                <w:color w:val="auto"/>
              </w:rPr>
            </w:pPr>
            <w:r>
              <w:rPr>
                <w:rFonts w:ascii="Arial" w:cs="Arial" w:eastAsia="Arial" w:hAnsi="Arial"/>
                <w:sz w:val="18"/>
                <w:szCs w:val="18"/>
                <w:color w:val="auto"/>
                <w:w w:val="99"/>
              </w:rPr>
              <w:t>Pre-clinical</w:t>
            </w:r>
          </w:p>
        </w:tc>
        <w:tc>
          <w:tcPr>
            <w:tcW w:w="32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 and represents the phase of development of the most advanced asset acquired, where applicable.</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We recognized an additional acquired IPR&amp;D expense of $30.2 million in September 2019 upon entering into an amendment to the license agreement.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661" w:right="339" w:bottom="1440" w:gutter="0" w:footer="0" w:header="0"/>
        </w:sectPr>
      </w:pPr>
    </w:p>
    <w:bookmarkStart w:id="13" w:name="page14"/>
    <w:bookmarkEnd w:id="13"/>
    <w:p>
      <w:pPr>
        <w:ind w:right="60"/>
        <w:spacing w:after="0" w:line="254" w:lineRule="auto"/>
        <w:rPr>
          <w:sz w:val="20"/>
          <w:szCs w:val="20"/>
          <w:color w:val="auto"/>
        </w:rPr>
      </w:pPr>
      <w:r>
        <w:rPr>
          <w:rFonts w:ascii="Arial" w:cs="Arial" w:eastAsia="Arial" w:hAnsi="Arial"/>
          <w:sz w:val="18"/>
          <w:szCs w:val="18"/>
          <w:color w:val="auto"/>
        </w:rPr>
        <w:t>We entered into an agreement with AbCellera Biologics Inc. (AbCellera) to co-develop antibody products for the potential treatment and prevention of COVID-19. Under the terms of the agreement, we have committed to equally share initial development costs towards a product with AbCellera, after which we will be responsible for all further development, manufacturing, and distribution. We expect to record an acquired IPR&amp;D charge of $25.0 million in the second quarter of 2020 upon closing of the transaction.</w:t>
      </w:r>
    </w:p>
    <w:p>
      <w:pPr>
        <w:spacing w:after="0" w:line="20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from or payments to the collaboration partner. See Note 2 for amounts of collaboration and other revenue recognized from these types of arrangements.</w:t>
      </w:r>
    </w:p>
    <w:p>
      <w:pPr>
        <w:spacing w:after="0" w:line="20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 Jentadueto, Jardiance, Glyxambi, Synjardy, and Trijardy XR as well as our basal insulin, Basaglar. Jentadueto is included in the Trajenta product family. Glyxambi, Synjardy, and Trijardy XR are included in the Jardiance product family.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significant milestones (deferred) capitalized for the compounds included in this collaboration: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120" w:type="dxa"/>
            <w:vAlign w:val="bottom"/>
          </w:tcPr>
          <w:p>
            <w:pPr>
              <w:jc w:val="right"/>
              <w:ind w:right="737"/>
              <w:spacing w:after="0"/>
              <w:rPr>
                <w:sz w:val="20"/>
                <w:szCs w:val="20"/>
                <w:color w:val="auto"/>
              </w:rPr>
            </w:pPr>
            <w:r>
              <w:rPr>
                <w:rFonts w:ascii="Arial" w:cs="Arial" w:eastAsia="Arial" w:hAnsi="Arial"/>
                <w:sz w:val="14"/>
                <w:szCs w:val="14"/>
                <w:b w:val="1"/>
                <w:bCs w:val="1"/>
                <w:color w:val="auto"/>
              </w:rPr>
              <w:t>Milestones</w:t>
            </w:r>
          </w:p>
        </w:tc>
      </w:tr>
      <w:tr>
        <w:trPr>
          <w:trHeight w:val="202"/>
        </w:trPr>
        <w:tc>
          <w:tcPr>
            <w:tcW w:w="602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Product Family</w:t>
            </w:r>
          </w:p>
        </w:tc>
        <w:tc>
          <w:tcPr>
            <w:tcW w:w="3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 xml:space="preserve">(Deferred) Capitalized </w:t>
            </w:r>
            <w:r>
              <w:rPr>
                <w:rFonts w:ascii="Arial" w:cs="Arial" w:eastAsia="Arial" w:hAnsi="Arial"/>
                <w:sz w:val="17"/>
                <w:szCs w:val="17"/>
                <w:b w:val="1"/>
                <w:bCs w:val="1"/>
                <w:color w:val="auto"/>
                <w:vertAlign w:val="superscript"/>
              </w:rPr>
              <w:t>(1)</w:t>
            </w:r>
          </w:p>
        </w:tc>
      </w:tr>
      <w:tr>
        <w:trPr>
          <w:trHeight w:val="264"/>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(2)</w:t>
            </w:r>
          </w:p>
        </w:tc>
        <w:tc>
          <w:tcPr>
            <w:tcW w:w="3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446.4</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3100" w:type="dxa"/>
            <w:vAlign w:val="bottom"/>
          </w:tcPr>
          <w:p>
            <w:pPr>
              <w:spacing w:after="0"/>
              <w:rPr>
                <w:sz w:val="23"/>
                <w:szCs w:val="23"/>
                <w:color w:val="auto"/>
              </w:rPr>
            </w:pPr>
          </w:p>
        </w:tc>
        <w:tc>
          <w:tcPr>
            <w:tcW w:w="2120" w:type="dxa"/>
            <w:vAlign w:val="bottom"/>
          </w:tcPr>
          <w:p>
            <w:pPr>
              <w:jc w:val="right"/>
              <w:ind w:right="17"/>
              <w:spacing w:after="0"/>
              <w:rPr>
                <w:sz w:val="20"/>
                <w:szCs w:val="20"/>
                <w:color w:val="auto"/>
              </w:rPr>
            </w:pPr>
            <w:r>
              <w:rPr>
                <w:rFonts w:ascii="Arial" w:cs="Arial" w:eastAsia="Arial" w:hAnsi="Arial"/>
                <w:sz w:val="18"/>
                <w:szCs w:val="18"/>
                <w:color w:val="auto"/>
              </w:rPr>
              <w:t>289.0</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3100" w:type="dxa"/>
            <w:vAlign w:val="bottom"/>
            <w:shd w:val="clear" w:color="auto" w:fill="CCEEFF"/>
          </w:tcPr>
          <w:p>
            <w:pPr>
              <w:spacing w:after="0"/>
              <w:rPr>
                <w:sz w:val="23"/>
                <w:szCs w:val="23"/>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bl>
    <w:p>
      <w:pPr>
        <w:spacing w:after="0" w:line="329" w:lineRule="exact"/>
        <w:rPr>
          <w:sz w:val="20"/>
          <w:szCs w:val="20"/>
          <w:color w:val="auto"/>
        </w:rPr>
      </w:pPr>
    </w:p>
    <w:p>
      <w:pPr>
        <w:ind w:left="180" w:right="100" w:hanging="172"/>
        <w:spacing w:after="0" w:line="246" w:lineRule="auto"/>
        <w:tabs>
          <w:tab w:leader="none" w:pos="153"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In connection with the regulatory approvals of Basaglar in the U.S., Europe, and Japan, milestone payments received were recorded as contract liabilities and are being amortized through the term of the collaboration (2029) to collaboration and other revenue. In connection with the regulatory approvals of Trajenta and Jardiance, milestone payments made were capitalized as intangible assets and are being amortized to cost of sales through the term of the collaboration. This represents the cumulative amounts that have been (deferred) or capitalized from the start of this collaboration through the end of the reporting period.</w:t>
      </w:r>
    </w:p>
    <w:p>
      <w:pPr>
        <w:spacing w:after="0" w:line="41" w:lineRule="exact"/>
        <w:rPr>
          <w:rFonts w:ascii="Arial" w:cs="Arial" w:eastAsia="Arial" w:hAnsi="Arial"/>
          <w:sz w:val="17"/>
          <w:szCs w:val="17"/>
          <w:color w:val="auto"/>
          <w:vertAlign w:val="superscript"/>
        </w:rPr>
      </w:pPr>
    </w:p>
    <w:p>
      <w:pPr>
        <w:ind w:left="180" w:right="40" w:hanging="172"/>
        <w:spacing w:after="0"/>
        <w:tabs>
          <w:tab w:leader="none" w:pos="153"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The collaboration agreement with Boehringer Ingelheim for Trajenta ends upon expiration of the compound patent and any supplementary protection certificates or extensions thereto.</w:t>
      </w:r>
    </w:p>
    <w:p>
      <w:pPr>
        <w:spacing w:after="0" w:line="182" w:lineRule="exact"/>
        <w:rPr>
          <w:rFonts w:ascii="Arial" w:cs="Arial" w:eastAsia="Arial" w:hAnsi="Arial"/>
          <w:sz w:val="17"/>
          <w:szCs w:val="17"/>
          <w:color w:val="auto"/>
          <w:vertAlign w:val="superscript"/>
        </w:rPr>
      </w:pPr>
    </w:p>
    <w:p>
      <w:pPr>
        <w:ind w:left="180" w:right="660" w:hanging="172"/>
        <w:spacing w:after="0" w:line="232" w:lineRule="auto"/>
        <w:tabs>
          <w:tab w:leader="none" w:pos="153"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The collaboration agreement with Boehringer Ingelheim for Jardiance ends upon expiration of the compound patent and any supplementary protection certificates or extensions thereto.</w:t>
      </w:r>
    </w:p>
    <w:p>
      <w:pPr>
        <w:spacing w:after="0" w:line="9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Through December 31, 2019, in the most significant markets, we and Boehringer Ingelheim shared equally the ongoing development costs, commercialization costs, and agreed upon gross margin for any product resulting from the collaboration. We recorded our portion of the gross margin associated with Boehringer Ingelheim's products as collaboration and other revenue. We recorded our sales of Basaglar to third parties as net product revenue with the payments made to Boehringer Ingelheim for their portion of the gross margin recorded as cost of sales. For all compounds under this collaboration, we recorded our portion of the development and commercialization costs as research and development expense and marketing, selling, and administrative expense, respectively. Each company was entitled to potential performance payments depending on the sales of the molecules it contributes to the collaboration. These performance payments may have resulted in the owner of the molecule retaining a greater share of the agreed upon gross margin of that product. Subject to achieving these thresholds, in a given period, our reported revenue for Trajenta and Jardiance may have been reduced by any performance payments we made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679" w:right="339" w:bottom="1440" w:gutter="0" w:footer="0" w:header="0"/>
        </w:sectPr>
      </w:pPr>
    </w:p>
    <w:bookmarkStart w:id="14" w:name="page15"/>
    <w:bookmarkEnd w:id="14"/>
    <w:p>
      <w:pPr>
        <w:ind w:right="660"/>
        <w:spacing w:after="0" w:line="261" w:lineRule="auto"/>
        <w:rPr>
          <w:sz w:val="20"/>
          <w:szCs w:val="20"/>
          <w:color w:val="auto"/>
        </w:rPr>
      </w:pPr>
      <w:r>
        <w:rPr>
          <w:rFonts w:ascii="Arial" w:cs="Arial" w:eastAsia="Arial" w:hAnsi="Arial"/>
          <w:sz w:val="18"/>
          <w:szCs w:val="18"/>
          <w:color w:val="auto"/>
        </w:rPr>
        <w:t>related to these products. Similarly, performance payments we may have received related to Basaglar effectively reduced Boehringer Ingelheim's share of the gross margin, which reduced our cost of sales.</w:t>
      </w:r>
    </w:p>
    <w:p>
      <w:pPr>
        <w:spacing w:after="0" w:line="9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Effective January 1, 2020, we and Boehringer Ingelheim modernized the alliance. In the most significant markets, we and Boehringer Ingelheim share equally the ongoing development costs and commercialization costs for the Jardiance product family. We receive a royalty on net sales of Boehringer Ingelheim's products in the most significant markets and recognize the royalty as collaboration and other revenue. We pay to Boehringer Ingelheim a royalty on net sales for Basaglar in the U.S. We record our sales of Basaglar to third parties as net product revenue with the royalty payments made to Boehringer Ingelheim recorded as cost of sales. For the Jardiance product family, we record our portion of the development and commercialization costs as research and development expense and marketing, selling, and administrative expense, respectively. Boehringer Ingelheim is entitled to potential performance payments depending on the net sales of the Jardiance product family; therefore, our reported revenue for Jardiance may be reduced by any potential performance payments we make related to this product. Beginning January 1, 2021, the royalty received by us related to the Jardiance product family may also be increased or decreased depending on whether net sales for this product family exceed or fall below certain thresholds.</w:t>
      </w:r>
    </w:p>
    <w:p>
      <w:pPr>
        <w:spacing w:after="0" w:line="103"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The following table summarizes our net product revenue recognized with respect to Basaglar and collaboration and other revenue recognized with respect to the Jardiance and Trajenta families of products:</w:t>
      </w:r>
    </w:p>
    <w:p>
      <w:pPr>
        <w:spacing w:after="0" w:line="131"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14605</wp:posOffset>
            </wp:positionV>
            <wp:extent cx="1800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69"/>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41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303.7</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251.4</w:t>
            </w:r>
          </w:p>
        </w:tc>
      </w:tr>
      <w:tr>
        <w:trPr>
          <w:trHeight w:val="263"/>
        </w:trPr>
        <w:tc>
          <w:tcPr>
            <w:tcW w:w="4620" w:type="dxa"/>
            <w:vAlign w:val="bottom"/>
          </w:tcPr>
          <w:p>
            <w:pPr>
              <w:ind w:left="40"/>
              <w:spacing w:after="0"/>
              <w:rPr>
                <w:sz w:val="20"/>
                <w:szCs w:val="20"/>
                <w:color w:val="auto"/>
              </w:rPr>
            </w:pPr>
            <w:r>
              <w:rPr>
                <w:rFonts w:ascii="Arial" w:cs="Arial" w:eastAsia="Arial" w:hAnsi="Arial"/>
                <w:sz w:val="18"/>
                <w:szCs w:val="18"/>
                <w:color w:val="auto"/>
              </w:rPr>
              <w:t>Jardiance</w:t>
            </w:r>
          </w:p>
        </w:tc>
        <w:tc>
          <w:tcPr>
            <w:tcW w:w="4100" w:type="dxa"/>
            <w:vAlign w:val="bottom"/>
          </w:tcPr>
          <w:p>
            <w:pPr>
              <w:spacing w:after="0"/>
              <w:rPr>
                <w:sz w:val="22"/>
                <w:szCs w:val="22"/>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b w:val="1"/>
                <w:bCs w:val="1"/>
                <w:color w:val="auto"/>
              </w:rPr>
              <w:t>267.5</w:t>
            </w:r>
          </w:p>
        </w:tc>
        <w:tc>
          <w:tcPr>
            <w:tcW w:w="4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203.6</w:t>
            </w:r>
          </w:p>
        </w:tc>
      </w:tr>
      <w:tr>
        <w:trPr>
          <w:trHeight w:val="27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p>
        </w:tc>
        <w:tc>
          <w:tcPr>
            <w:tcW w:w="4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93.2</w:t>
            </w: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131.9</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p>
    <w:p>
      <w:pPr>
        <w:spacing w:after="0" w:line="13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(JAK) inhibitor compound, now known as Olumiant, and certain follow-on compounds, for the treatment of inflammatory and autoimmune diseases. Incyte has the right to receive tiered, double-digit royalty payments on future global sales with rates ranging up to 20 percent. The agreement calls for payments by us to Incyte associated with certain development, success-based regulatory, and sales-based milestones.</w:t>
      </w:r>
    </w:p>
    <w:p>
      <w:pPr>
        <w:spacing w:after="0" w:line="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connection with the regulatory approvals of Olumiant in the U.S., Europe, and Japan, milestone payments made of $180.0 million were capitalized as intangible assets and are being amortized to cost of sales through the term of the collaboration. This represents the cumulative amounts that have been capitalized from the start of this collaboration through the end of the reporting period.</w:t>
      </w:r>
    </w:p>
    <w:p>
      <w:pPr>
        <w:spacing w:after="0" w:line="94"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As of March 31, 2020, Incyte is eligible to receive up to $130.0 million of additional payments from us contingent upon certain development and success-based regulatory milestones. Incyte is also eligible to receive up to $150.0 million of potential sales-based milestones.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We record our sales of Olumiant to third parties as net product revenue with the royalty payments made to Incyte recorded as cost of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product revenue recognized with respect to Olumiant:</w:t>
      </w:r>
    </w:p>
    <w:p>
      <w:pPr>
        <w:spacing w:after="0" w:line="267"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14605</wp:posOffset>
            </wp:positionV>
            <wp:extent cx="1800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85" w:lineRule="exact"/>
        <w:rPr>
          <w:sz w:val="20"/>
          <w:szCs w:val="20"/>
          <w:color w:val="auto"/>
        </w:rPr>
      </w:pPr>
    </w:p>
    <w:p>
      <w:pPr>
        <w:ind w:left="8920"/>
        <w:spacing w:after="0"/>
        <w:tabs>
          <w:tab w:leader="none" w:pos="103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2" w:lineRule="exact"/>
        <w:rPr>
          <w:sz w:val="20"/>
          <w:szCs w:val="20"/>
          <w:color w:val="auto"/>
        </w:rPr>
      </w:pPr>
    </w:p>
    <w:p>
      <w:pPr>
        <w:ind w:left="40"/>
        <w:spacing w:after="0"/>
        <w:tabs>
          <w:tab w:leader="none" w:pos="8420" w:val="left"/>
          <w:tab w:leader="none" w:pos="9200" w:val="left"/>
          <w:tab w:leader="none" w:pos="9880" w:val="left"/>
          <w:tab w:leader="none" w:pos="10760" w:val="left"/>
        </w:tabs>
        <w:rPr>
          <w:sz w:val="20"/>
          <w:szCs w:val="20"/>
          <w:color w:val="auto"/>
        </w:rPr>
      </w:pPr>
      <w:r>
        <w:rPr>
          <w:rFonts w:ascii="Arial" w:cs="Arial" w:eastAsia="Arial" w:hAnsi="Arial"/>
          <w:sz w:val="18"/>
          <w:szCs w:val="18"/>
          <w:color w:val="auto"/>
        </w:rPr>
        <w:t>Olumiant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139.7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Tanezumab</w:t>
      </w:r>
    </w:p>
    <w:p>
      <w:pPr>
        <w:spacing w:after="0" w:line="13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As of March 31, 2020, Pfizer is eligible to receive up to $350.0 million in success-based regulatory milestones and up to $1.23 billion in a series of sales-based milestones, contingent upon the commercial success of tanezumab.</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67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Lebrikizumab</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 a result of our acquisition of Dermira, we have a worldwide licensing agreement with F. Hoffmann-La Roche Ltd and Genentech, Inc. (collectively Roche), which provides us the global development and commercialization rights to lebrikizumab. Roche has the right to receive tiered royalty payments on future global net sales ranging in percentages from high single digits to high teens if the product is successfully commercialized. The agreement calls for payments by us to Roche associated with certain success-based regulatory and sales-based milestones.</w:t>
      </w:r>
    </w:p>
    <w:p>
      <w:pPr>
        <w:spacing w:after="0" w:line="9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As of March 31, 2020, Roche is eligible to receive up to $180.0 million of payments from us contingent upon the achievement of success-based regulatory milestones and up to $1.03 billion in a series of sales-based milestones, contingent upon the commercial success of lebrikizumab.</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our acquisition of Dermira, we have a license agreement with Almirall, S.A. (Almirall), under which Almirall licensed the rights to develop and commercialize lebrikizumab for the treatment or prevention of dermatology indications, including, but not limited to atopic dermatitis, in Europe. We have the right to receive tiered royalty payments on future net sales in Europe ranging in percentages from low double digits to low twenties if the product is successfully commercialized. The agreement calls for payments to us by Almirall associated with certain development, success-based regulatory, and sales-based milestones.</w:t>
      </w:r>
    </w:p>
    <w:p>
      <w:pPr>
        <w:spacing w:after="0" w:line="9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of March 31, 2020, $43.8 million was recorded as a contract liability on the consolidated condensed balance sheet and is expected to be recognized as collaboration and other revenue over the remaining Phase III development period. During the three months ended March 31, 2020, milestones received and collaboration and other revenue recognized were not material. As of March 31, 2020, we are eligible to receive additional payments of $85.0 million from Almirall contingent upon the achievement of success-based regulatory milestones and up to $1.25 billion in a series of sales-based milestones, contingent upon the commercial success of lebrikizumab.</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Discontinued Operations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11, 2019, we completed the disposition of our remaining 80.2 percent ownership of Elanco Animal Health (Elanco) common stock through a tax-free exchange offer. As a result, we have presented Elanco as discontinued operations in our consolidated condensed financial statements for all periods presented.</w:t>
      </w: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Revenue and net income from discontinued operations for the three months ended March 31, 2019 were $580.0 million and $3.68 billion, respectively. Net income from discontinued operations for the three months ended March 31, 2019 included an approximate $3.7 billion gain related to the disposition of Elanco.</w:t>
      </w:r>
    </w:p>
    <w:p>
      <w:pPr>
        <w:spacing w:after="0" w:line="20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gain related to the disposition of Elanco in the consolidated condensed statement of cash flows included the operating results of Elanco through the disposition date, which were not material. Net cash flows of our discontinued operations for operating and investing activities for the three months ended March 31, 2019 were not material.</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entered into a transitional services agreement (TSA) with Elanco in order to facilitate the orderly transfer of various services to Elanco. The TSA relates primarily to administrative services, which are generally to be provided over 24 months from March 11, 2019, the disposition date. This agreement is not material and does not confer upon us the ability to influence the operating and/or financial policies of Elanco subsequent to the disposition date.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711"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Asset Impairment, Restructuring, and Other Special Charges</w:t>
      </w:r>
    </w:p>
    <w:p>
      <w:pPr>
        <w:spacing w:after="0" w:line="19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131"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14605</wp:posOffset>
            </wp:positionV>
            <wp:extent cx="13716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r>
      <w:tr>
        <w:trPr>
          <w:trHeight w:val="270"/>
        </w:trPr>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63"/>
        </w:trPr>
        <w:tc>
          <w:tcPr>
            <w:tcW w:w="9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 impairment and other special charges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50.1</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427.5</w:t>
            </w:r>
          </w:p>
        </w:tc>
      </w:tr>
      <w:tr>
        <w:trPr>
          <w:trHeight w:val="277"/>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impairment, restructuring, and other special charges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59.9</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423.9</w:t>
            </w:r>
          </w:p>
        </w:tc>
      </w:tr>
    </w:tbl>
    <w:p>
      <w:pPr>
        <w:spacing w:after="0" w:line="3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Asset impairment, restructuring, and other special charges recognized during the three months ended March 31, 2020 were primarily related to acquisition and integration costs as part of the closing of the acquisition of Dermira.</w:t>
      </w:r>
    </w:p>
    <w:p>
      <w:pPr>
        <w:spacing w:after="0" w:line="19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Asset impairment and other special charges recognized during the three months ended March 31, 2019 consisted of $ 400.7 million related to the acquisition of Loxo, substantially all of which was associated with the accelerated vesting of Loxo employee equity awards.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93"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We seek to mitigate the risk associated with this concentration through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9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71" w:lineRule="exact"/>
        <w:rPr>
          <w:sz w:val="20"/>
          <w:szCs w:val="20"/>
          <w:color w:val="auto"/>
        </w:rPr>
      </w:pPr>
    </w:p>
    <w:p>
      <w:pPr>
        <w:ind w:left="660" w:right="24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143" w:lineRule="exact"/>
        <w:rPr>
          <w:rFonts w:ascii="Arial" w:cs="Arial" w:eastAsia="Arial" w:hAnsi="Arial"/>
          <w:sz w:val="18"/>
          <w:szCs w:val="18"/>
          <w:color w:val="auto"/>
        </w:rPr>
      </w:pPr>
    </w:p>
    <w:p>
      <w:pPr>
        <w:ind w:left="660" w:right="70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147"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14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review equity investments other than public equity investments for indications of impairment and observable price changes on a regular basis.</w:t>
      </w:r>
    </w:p>
    <w:p>
      <w:pPr>
        <w:spacing w:after="0" w:line="90"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loss and reclassified into earnings in the same period the hedged transaction affects earnings. For derivative and non-derivative instruments that are designated and qualify as net investment hedges, the foreign currency translation gains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49" w:right="339" w:bottom="1440" w:gutter="0" w:footer="0" w:header="0"/>
        </w:sectPr>
      </w:pPr>
    </w:p>
    <w:bookmarkStart w:id="17" w:name="page18"/>
    <w:bookmarkEnd w:id="17"/>
    <w:p>
      <w:pPr>
        <w:ind w:right="80"/>
        <w:spacing w:after="0" w:line="261" w:lineRule="auto"/>
        <w:rPr>
          <w:sz w:val="20"/>
          <w:szCs w:val="20"/>
          <w:color w:val="auto"/>
        </w:rPr>
      </w:pPr>
      <w:r>
        <w:rPr>
          <w:rFonts w:ascii="Arial" w:cs="Arial" w:eastAsia="Arial" w:hAnsi="Arial"/>
          <w:sz w:val="18"/>
          <w:szCs w:val="18"/>
          <w:color w:val="auto"/>
        </w:rPr>
        <w:t>losses due to spot rate fluctuations are reported as a component of accumulated other comprehensive loss. Derivative contracts that are not designated as hedging instruments are recorded at fair value with the gain or loss recognized in earnings during the period of change.</w:t>
      </w:r>
    </w:p>
    <w:p>
      <w:pPr>
        <w:spacing w:after="0" w:line="9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March 31, 2020, we had outstanding foreign currency forward commitments to purchase 946.2 million U.S. dollars and sell 856.3 million euro, commitments to purchase 1.57 billion euro and sell 1.75 billion U.S. dollars, commitments to purchase 291.2 million U.S. dollars and sell 31.26 billion Japanese yen, and commitments to purchase 168.1 million British pounds and sell 210.3 million U.S. dollars which will all settle within 30 days.</w:t>
      </w:r>
    </w:p>
    <w:p>
      <w:pPr>
        <w:spacing w:after="0" w:line="10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$5.43 billion and $5.49 billion as of March 31, 2020 and December 31, 2019, respectively, of which $4.02 billion and $ 4.10 billion have been designated as, and are effective as, economic hedges of net investments in certain of our euro-denominated foreign operations as of March 31, 2020 and December 31, 2019, respectively. At March 31, 2020, we had outstanding cross currency swaps with notional amounts of $2.35 billion swapping U.S. dollars to euro, $1.00 billion swapping Swiss francs to U.S. dollars, and $396.0 million swapping U.S. dollars to British pounds, which have settlement dates ranging through 2028. Our cross-currency interest rate swaps, for which a majority convert a portion of our U.S. dollar-denominated floating rate debt to foreign-denominated floating rate debt, have also been designated as, and are effective as, economic hedges of net investments.</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20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March 31, 2020, substantially all of our total long-term debt is at a fixed rate. We have converted approximately 11 percent of our long-term fixed-rate notes to floating rates through the use of interest rate swaps.</w:t>
      </w:r>
    </w:p>
    <w:p>
      <w:pPr>
        <w:spacing w:after="0" w:line="20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also may enter into forward-starting interest rate swaps, which we designate as cash flow hedges, as part of anticipated future debt issuances in order to reduce the risk of cash flow volatility from future changes in interest rates. The change in fair value of these instruments is recorded as part of other comprehensive income (loss), and upon completion of a debt issuance and termination of the swap, is amortized to interest expense over the life of the underlying debt. As of March 31, 2020, the total notional amounts of forward-starting interest rate contracts in designated cash flow hedging instruments were $1.75 billion, which have settlement dates ranging between 2023 and 2025.</w:t>
      </w:r>
    </w:p>
    <w:p>
      <w:pPr>
        <w:spacing w:after="0" w:line="19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April 2020, we agreed to issue $1.00 billion of 2.25 percent fixed-rate notes due in May 2050, with interest to be paid semi-annually. We intend to use the net proceeds from the sale of these notes for general corporate purposes, which may include the repayment of outstanding commercial paper. The offering of notes is expected to close in May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679"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59"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14605</wp:posOffset>
            </wp:positionV>
            <wp:extent cx="13716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r>
      <w:tr>
        <w:trPr>
          <w:trHeight w:val="270"/>
        </w:trPr>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hedges: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3"/>
        </w:trPr>
        <w:tc>
          <w:tcPr>
            <w:tcW w:w="9080" w:type="dxa"/>
            <w:vAlign w:val="bottom"/>
          </w:tcPr>
          <w:p>
            <w:pPr>
              <w:ind w:left="280"/>
              <w:spacing w:after="0"/>
              <w:rPr>
                <w:sz w:val="20"/>
                <w:szCs w:val="20"/>
                <w:color w:val="auto"/>
              </w:rPr>
            </w:pPr>
            <w:r>
              <w:rPr>
                <w:rFonts w:ascii="Arial" w:cs="Arial" w:eastAsia="Arial" w:hAnsi="Arial"/>
                <w:sz w:val="18"/>
                <w:szCs w:val="18"/>
                <w:color w:val="auto"/>
              </w:rPr>
              <w:t>Effect from hedged fixed-rate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53"/>
              <w:spacing w:after="0"/>
              <w:rPr>
                <w:sz w:val="20"/>
                <w:szCs w:val="20"/>
                <w:color w:val="auto"/>
              </w:rPr>
            </w:pPr>
            <w:r>
              <w:rPr>
                <w:rFonts w:ascii="Arial" w:cs="Arial" w:eastAsia="Arial" w:hAnsi="Arial"/>
                <w:sz w:val="18"/>
                <w:szCs w:val="18"/>
                <w:b w:val="1"/>
                <w:bCs w:val="1"/>
                <w:color w:val="auto"/>
              </w:rPr>
              <w:t>117.3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39.3</w:t>
            </w:r>
          </w:p>
        </w:tc>
      </w:tr>
      <w:tr>
        <w:trPr>
          <w:trHeight w:val="277"/>
        </w:trPr>
        <w:tc>
          <w:tcPr>
            <w:tcW w:w="9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from interest rate contracts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(117.3)</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63"/>
        </w:trPr>
        <w:tc>
          <w:tcPr>
            <w:tcW w:w="908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7"/>
        </w:trPr>
        <w:tc>
          <w:tcPr>
            <w:tcW w:w="9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portion of losses on interest rate contracts reclassified from accumulated other comprehensive loss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4.0</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r>
      <w:tr>
        <w:trPr>
          <w:trHeight w:val="263"/>
        </w:trPr>
        <w:tc>
          <w:tcPr>
            <w:tcW w:w="9080" w:type="dxa"/>
            <w:vAlign w:val="bottom"/>
          </w:tcPr>
          <w:p>
            <w:pPr>
              <w:ind w:left="28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0"/>
        </w:trPr>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on foreign currency exchange contracts not designated as hedging instruments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48.9</w:t>
            </w:r>
          </w:p>
        </w:tc>
      </w:tr>
      <w:tr>
        <w:trPr>
          <w:trHeight w:val="277"/>
        </w:trPr>
        <w:tc>
          <w:tcPr>
            <w:tcW w:w="908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24.4</w:t>
            </w:r>
          </w:p>
        </w:tc>
      </w:tr>
    </w:tbl>
    <w:p>
      <w:pPr>
        <w:spacing w:after="0" w:line="3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During the three months ended March 31, 2020 and 2019, the amortization of losses related to the portion of our risk management hedging instruments, fair value hedges, and cash flow hedges that was excluded from the assessment of effectiveness was not material.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59"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14605</wp:posOffset>
            </wp:positionV>
            <wp:extent cx="13716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r>
      <w:tr>
        <w:trPr>
          <w:trHeight w:val="269"/>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hedges:</w:t>
            </w:r>
          </w:p>
        </w:tc>
        <w:tc>
          <w:tcPr>
            <w:tcW w:w="3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3"/>
        </w:trPr>
        <w:tc>
          <w:tcPr>
            <w:tcW w:w="6140" w:type="dxa"/>
            <w:vAlign w:val="bottom"/>
          </w:tcPr>
          <w:p>
            <w:pPr>
              <w:ind w:left="240"/>
              <w:spacing w:after="0"/>
              <w:rPr>
                <w:sz w:val="20"/>
                <w:szCs w:val="20"/>
                <w:color w:val="auto"/>
              </w:rPr>
            </w:pPr>
            <w:r>
              <w:rPr>
                <w:rFonts w:ascii="Arial" w:cs="Arial" w:eastAsia="Arial" w:hAnsi="Arial"/>
                <w:sz w:val="18"/>
                <w:szCs w:val="18"/>
                <w:color w:val="auto"/>
              </w:rPr>
              <w:t>Foreign currency-denominated notes</w:t>
            </w:r>
          </w:p>
        </w:tc>
        <w:tc>
          <w:tcPr>
            <w:tcW w:w="31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b w:val="1"/>
                <w:bCs w:val="1"/>
                <w:color w:val="auto"/>
              </w:rPr>
              <w:t>67.4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53.7</w:t>
            </w:r>
          </w:p>
        </w:tc>
      </w:tr>
      <w:tr>
        <w:trPr>
          <w:trHeight w:val="277"/>
        </w:trPr>
        <w:tc>
          <w:tcPr>
            <w:tcW w:w="6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Cross-currency interest rate swaps</w:t>
            </w:r>
          </w:p>
        </w:tc>
        <w:tc>
          <w:tcPr>
            <w:tcW w:w="3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115.8</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38.3</w:t>
            </w:r>
          </w:p>
        </w:tc>
      </w:tr>
      <w:tr>
        <w:trPr>
          <w:trHeight w:val="263"/>
        </w:trPr>
        <w:tc>
          <w:tcPr>
            <w:tcW w:w="61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3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7"/>
        </w:trPr>
        <w:tc>
          <w:tcPr>
            <w:tcW w:w="6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swaps</w:t>
            </w:r>
          </w:p>
        </w:tc>
        <w:tc>
          <w:tcPr>
            <w:tcW w:w="3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(369.8)</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57"/>
        </w:trPr>
        <w:tc>
          <w:tcPr>
            <w:tcW w:w="6140" w:type="dxa"/>
            <w:vAlign w:val="bottom"/>
          </w:tcPr>
          <w:p>
            <w:pPr>
              <w:ind w:left="240"/>
              <w:spacing w:after="0"/>
              <w:rPr>
                <w:sz w:val="20"/>
                <w:szCs w:val="20"/>
                <w:color w:val="auto"/>
              </w:rPr>
            </w:pPr>
            <w:r>
              <w:rPr>
                <w:rFonts w:ascii="Arial" w:cs="Arial" w:eastAsia="Arial" w:hAnsi="Arial"/>
                <w:sz w:val="18"/>
                <w:szCs w:val="18"/>
                <w:color w:val="auto"/>
              </w:rPr>
              <w:t>Cross-currency interest rate swaps</w:t>
            </w:r>
          </w:p>
        </w:tc>
        <w:tc>
          <w:tcPr>
            <w:tcW w:w="3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(69.8)</w:t>
            </w: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w:t>
            </w:r>
          </w:p>
        </w:tc>
      </w:tr>
    </w:tbl>
    <w:p>
      <w:pPr>
        <w:spacing w:after="0" w:line="33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next 12 months, we expect to reclassify $16.4 million of pretax net losses on cash flow hedges from accumulated other comprehensive loss to other–net, (income) expense. During the three months ended March 31, 2020 and 2019, the amounts excluded from the assessment of hedge effectiveness recognized in other comprehensive income (loss) were not material.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1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tables summarize certain fair value information at March 31, 2020 and December 31, 2019 for assets and liabilities measured at fair value on a recurring basis, as well as the carrying amount and amortized cost of certain other investments: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4"/>
                <w:szCs w:val="14"/>
                <w:color w:val="auto"/>
              </w:rPr>
            </w:pPr>
          </w:p>
        </w:tc>
        <w:tc>
          <w:tcPr>
            <w:tcW w:w="98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4"/>
                <w:szCs w:val="14"/>
                <w:color w:val="auto"/>
              </w:rPr>
            </w:pPr>
          </w:p>
        </w:tc>
        <w:tc>
          <w:tcPr>
            <w:tcW w:w="980" w:type="dxa"/>
            <w:vAlign w:val="bottom"/>
          </w:tcPr>
          <w:p>
            <w:pPr>
              <w:jc w:val="center"/>
              <w:ind w:right="81"/>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4"/>
                <w:szCs w:val="14"/>
                <w:color w:val="auto"/>
              </w:rPr>
            </w:pPr>
          </w:p>
        </w:tc>
        <w:tc>
          <w:tcPr>
            <w:tcW w:w="980" w:type="dxa"/>
            <w:vAlign w:val="bottom"/>
          </w:tcPr>
          <w:p>
            <w:pPr>
              <w:jc w:val="center"/>
              <w:ind w:right="81"/>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18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98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Inputs</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Inputs</w:t>
            </w:r>
          </w:p>
        </w:tc>
        <w:tc>
          <w:tcPr>
            <w:tcW w:w="340" w:type="dxa"/>
            <w:vAlign w:val="bottom"/>
          </w:tcPr>
          <w:p>
            <w:pPr>
              <w:spacing w:after="0"/>
              <w:rPr>
                <w:sz w:val="14"/>
                <w:szCs w:val="14"/>
                <w:color w:val="auto"/>
              </w:rPr>
            </w:pPr>
          </w:p>
        </w:tc>
        <w:tc>
          <w:tcPr>
            <w:tcW w:w="880" w:type="dxa"/>
            <w:vAlign w:val="bottom"/>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2"/>
        </w:trPr>
        <w:tc>
          <w:tcPr>
            <w:tcW w:w="3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7"/>
                <w:szCs w:val="17"/>
                <w:b w:val="1"/>
                <w:bCs w:val="1"/>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63"/>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2020</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417.1</w:t>
            </w:r>
          </w:p>
        </w:tc>
        <w:tc>
          <w:tcPr>
            <w:tcW w:w="3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b w:val="1"/>
                <w:bCs w:val="1"/>
                <w:color w:val="auto"/>
              </w:rPr>
              <w:t>417.1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417.1</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417.1</w:t>
            </w: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72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9.3</w:t>
            </w:r>
          </w:p>
        </w:tc>
        <w:tc>
          <w:tcPr>
            <w:tcW w:w="3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9.3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9.3</w:t>
            </w:r>
          </w:p>
        </w:tc>
        <w:tc>
          <w:tcPr>
            <w:tcW w:w="0" w:type="dxa"/>
            <w:vAlign w:val="bottom"/>
          </w:tcPr>
          <w:p>
            <w:pPr>
              <w:spacing w:after="0"/>
              <w:rPr>
                <w:sz w:val="1"/>
                <w:szCs w:val="1"/>
                <w:color w:val="auto"/>
              </w:rPr>
            </w:pPr>
          </w:p>
        </w:tc>
      </w:tr>
      <w:tr>
        <w:trPr>
          <w:trHeight w:val="260"/>
        </w:trPr>
        <w:tc>
          <w:tcPr>
            <w:tcW w:w="372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61.2</w:t>
            </w:r>
          </w:p>
        </w:tc>
        <w:tc>
          <w:tcPr>
            <w:tcW w:w="340" w:type="dxa"/>
            <w:vAlign w:val="bottom"/>
          </w:tcPr>
          <w:p>
            <w:pPr>
              <w:spacing w:after="0"/>
              <w:rPr>
                <w:sz w:val="22"/>
                <w:szCs w:val="22"/>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62.7</w:t>
            </w: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61.2</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61.2</w:t>
            </w:r>
          </w:p>
        </w:tc>
        <w:tc>
          <w:tcPr>
            <w:tcW w:w="0" w:type="dxa"/>
            <w:vAlign w:val="bottom"/>
          </w:tcPr>
          <w:p>
            <w:pPr>
              <w:spacing w:after="0"/>
              <w:rPr>
                <w:sz w:val="1"/>
                <w:szCs w:val="1"/>
                <w:color w:val="auto"/>
              </w:rPr>
            </w:pPr>
          </w:p>
        </w:tc>
      </w:tr>
      <w:tr>
        <w:trPr>
          <w:trHeight w:val="280"/>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2.5</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2.5</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2.5</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264"/>
        </w:trPr>
        <w:tc>
          <w:tcPr>
            <w:tcW w:w="37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5.4</w:t>
            </w:r>
          </w:p>
        </w:tc>
        <w:tc>
          <w:tcPr>
            <w:tcW w:w="3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b w:val="1"/>
                <w:bCs w:val="1"/>
                <w:color w:val="auto"/>
              </w:rPr>
              <w:t>5.4</w:t>
            </w: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5.4</w:t>
            </w:r>
          </w:p>
        </w:tc>
        <w:tc>
          <w:tcPr>
            <w:tcW w:w="3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5.4</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78.4</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72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81.2</w:t>
            </w:r>
          </w:p>
        </w:tc>
        <w:tc>
          <w:tcPr>
            <w:tcW w:w="3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77.4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81.2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81.2</w:t>
            </w:r>
          </w:p>
        </w:tc>
        <w:tc>
          <w:tcPr>
            <w:tcW w:w="0" w:type="dxa"/>
            <w:vAlign w:val="bottom"/>
          </w:tcPr>
          <w:p>
            <w:pPr>
              <w:spacing w:after="0"/>
              <w:rPr>
                <w:sz w:val="1"/>
                <w:szCs w:val="1"/>
                <w:color w:val="auto"/>
              </w:rPr>
            </w:pPr>
          </w:p>
        </w:tc>
      </w:tr>
      <w:tr>
        <w:trPr>
          <w:trHeight w:val="280"/>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230.6</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241.0</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230.6</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230.6</w:t>
            </w:r>
          </w:p>
        </w:tc>
        <w:tc>
          <w:tcPr>
            <w:tcW w:w="0" w:type="dxa"/>
            <w:vAlign w:val="bottom"/>
          </w:tcPr>
          <w:p>
            <w:pPr>
              <w:spacing w:after="0"/>
              <w:rPr>
                <w:sz w:val="1"/>
                <w:szCs w:val="1"/>
                <w:color w:val="auto"/>
              </w:rPr>
            </w:pPr>
          </w:p>
        </w:tc>
      </w:tr>
      <w:tr>
        <w:trPr>
          <w:trHeight w:val="260"/>
        </w:trPr>
        <w:tc>
          <w:tcPr>
            <w:tcW w:w="372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102.5</w:t>
            </w:r>
          </w:p>
        </w:tc>
        <w:tc>
          <w:tcPr>
            <w:tcW w:w="340" w:type="dxa"/>
            <w:vAlign w:val="bottom"/>
          </w:tcPr>
          <w:p>
            <w:pPr>
              <w:spacing w:after="0"/>
              <w:rPr>
                <w:sz w:val="22"/>
                <w:szCs w:val="22"/>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99.3</w:t>
            </w: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102.5</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102.5</w:t>
            </w:r>
          </w:p>
        </w:tc>
        <w:tc>
          <w:tcPr>
            <w:tcW w:w="0" w:type="dxa"/>
            <w:vAlign w:val="bottom"/>
          </w:tcPr>
          <w:p>
            <w:pPr>
              <w:spacing w:after="0"/>
              <w:rPr>
                <w:sz w:val="1"/>
                <w:szCs w:val="1"/>
                <w:color w:val="auto"/>
              </w:rPr>
            </w:pPr>
          </w:p>
        </w:tc>
      </w:tr>
      <w:tr>
        <w:trPr>
          <w:trHeight w:val="280"/>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30.1</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30.1</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30.1</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30.1</w:t>
            </w:r>
          </w:p>
        </w:tc>
        <w:tc>
          <w:tcPr>
            <w:tcW w:w="0" w:type="dxa"/>
            <w:vAlign w:val="bottom"/>
          </w:tcPr>
          <w:p>
            <w:pPr>
              <w:spacing w:after="0"/>
              <w:rPr>
                <w:sz w:val="1"/>
                <w:szCs w:val="1"/>
                <w:color w:val="auto"/>
              </w:rPr>
            </w:pPr>
          </w:p>
        </w:tc>
      </w:tr>
      <w:tr>
        <w:trPr>
          <w:trHeight w:val="260"/>
        </w:trPr>
        <w:tc>
          <w:tcPr>
            <w:tcW w:w="372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60.0</w:t>
            </w:r>
          </w:p>
        </w:tc>
        <w:tc>
          <w:tcPr>
            <w:tcW w:w="340" w:type="dxa"/>
            <w:vAlign w:val="bottom"/>
          </w:tcPr>
          <w:p>
            <w:pPr>
              <w:spacing w:after="0"/>
              <w:rPr>
                <w:sz w:val="22"/>
                <w:szCs w:val="22"/>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27.4</w:t>
            </w: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60.2</w:t>
            </w:r>
          </w:p>
        </w:tc>
        <w:tc>
          <w:tcPr>
            <w:tcW w:w="3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60.2</w:t>
            </w:r>
          </w:p>
        </w:tc>
        <w:tc>
          <w:tcPr>
            <w:tcW w:w="0" w:type="dxa"/>
            <w:vAlign w:val="bottom"/>
          </w:tcPr>
          <w:p>
            <w:pPr>
              <w:spacing w:after="0"/>
              <w:rPr>
                <w:sz w:val="1"/>
                <w:szCs w:val="1"/>
                <w:color w:val="auto"/>
              </w:rPr>
            </w:pPr>
          </w:p>
        </w:tc>
      </w:tr>
      <w:tr>
        <w:trPr>
          <w:trHeight w:val="280"/>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869.5</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250.1</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869.5</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869.5</w:t>
            </w:r>
          </w:p>
        </w:tc>
        <w:tc>
          <w:tcPr>
            <w:tcW w:w="0" w:type="dxa"/>
            <w:vAlign w:val="bottom"/>
          </w:tcPr>
          <w:p>
            <w:pPr>
              <w:spacing w:after="0"/>
              <w:rPr>
                <w:sz w:val="1"/>
                <w:szCs w:val="1"/>
                <w:color w:val="auto"/>
              </w:rPr>
            </w:pPr>
          </w:p>
        </w:tc>
      </w:tr>
      <w:tr>
        <w:trPr>
          <w:trHeight w:val="213"/>
        </w:trPr>
        <w:tc>
          <w:tcPr>
            <w:tcW w:w="3720" w:type="dxa"/>
            <w:vAlign w:val="bottom"/>
          </w:tcPr>
          <w:p>
            <w:pPr>
              <w:ind w:left="180"/>
              <w:spacing w:after="0"/>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8"/>
                <w:szCs w:val="18"/>
                <w:color w:val="auto"/>
              </w:rPr>
            </w:pP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426.3</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tcPr>
          <w:p>
            <w:pPr>
              <w:ind w:left="180"/>
              <w:spacing w:after="0" w:line="219"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348.5</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2,148.7</w:t>
            </w:r>
          </w:p>
        </w:tc>
        <w:tc>
          <w:tcPr>
            <w:tcW w:w="3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720" w:type="dxa"/>
            <w:vAlign w:val="bottom"/>
          </w:tcPr>
          <w:p>
            <w:pPr>
              <w:ind w:left="4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1,025.4</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1,025.4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1,025.4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1,025.4</w:t>
            </w: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72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7.2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80"/>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81.4</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81.1</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81.4</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60"/>
        </w:trPr>
        <w:tc>
          <w:tcPr>
            <w:tcW w:w="372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340" w:type="dxa"/>
            <w:vAlign w:val="bottom"/>
          </w:tcPr>
          <w:p>
            <w:pPr>
              <w:spacing w:after="0"/>
              <w:rPr>
                <w:sz w:val="22"/>
                <w:szCs w:val="22"/>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3"/>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9.8</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101.0</w:t>
            </w:r>
          </w:p>
        </w:tc>
        <w:tc>
          <w:tcPr>
            <w:tcW w:w="3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720" w:type="dxa"/>
            <w:vAlign w:val="bottom"/>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77.2</w:t>
            </w:r>
          </w:p>
        </w:tc>
        <w:tc>
          <w:tcPr>
            <w:tcW w:w="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77.2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60"/>
        </w:trPr>
        <w:tc>
          <w:tcPr>
            <w:tcW w:w="372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271.1</w:t>
            </w:r>
          </w:p>
        </w:tc>
        <w:tc>
          <w:tcPr>
            <w:tcW w:w="340" w:type="dxa"/>
            <w:vAlign w:val="bottom"/>
          </w:tcPr>
          <w:p>
            <w:pPr>
              <w:spacing w:after="0"/>
              <w:rPr>
                <w:sz w:val="22"/>
                <w:szCs w:val="22"/>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267.8</w:t>
            </w: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271.1</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271.1</w:t>
            </w:r>
          </w:p>
        </w:tc>
        <w:tc>
          <w:tcPr>
            <w:tcW w:w="0" w:type="dxa"/>
            <w:vAlign w:val="bottom"/>
          </w:tcPr>
          <w:p>
            <w:pPr>
              <w:spacing w:after="0"/>
              <w:rPr>
                <w:sz w:val="1"/>
                <w:szCs w:val="1"/>
                <w:color w:val="auto"/>
              </w:rPr>
            </w:pPr>
          </w:p>
        </w:tc>
      </w:tr>
      <w:tr>
        <w:trPr>
          <w:trHeight w:val="280"/>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101.1</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99.6</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101.1</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60"/>
        </w:trPr>
        <w:tc>
          <w:tcPr>
            <w:tcW w:w="372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30.0</w:t>
            </w:r>
          </w:p>
        </w:tc>
        <w:tc>
          <w:tcPr>
            <w:tcW w:w="340" w:type="dxa"/>
            <w:vAlign w:val="bottom"/>
          </w:tcPr>
          <w:p>
            <w:pPr>
              <w:spacing w:after="0"/>
              <w:rPr>
                <w:sz w:val="22"/>
                <w:szCs w:val="22"/>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29.6</w:t>
            </w: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30.0</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80"/>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60.0</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27.4</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60.0</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60"/>
        </w:trPr>
        <w:tc>
          <w:tcPr>
            <w:tcW w:w="3720" w:type="dxa"/>
            <w:vAlign w:val="bottom"/>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718.6</w:t>
            </w:r>
          </w:p>
        </w:tc>
        <w:tc>
          <w:tcPr>
            <w:tcW w:w="340" w:type="dxa"/>
            <w:vAlign w:val="bottom"/>
          </w:tcPr>
          <w:p>
            <w:pPr>
              <w:spacing w:after="0"/>
              <w:rPr>
                <w:sz w:val="22"/>
                <w:szCs w:val="22"/>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254.4</w:t>
            </w: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718.6</w:t>
            </w:r>
          </w:p>
        </w:tc>
        <w:tc>
          <w:tcPr>
            <w:tcW w:w="22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718.6</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investments without readily determinable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180"/>
              <w:spacing w:after="0" w:line="219"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405.0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299.4</w:t>
            </w:r>
          </w:p>
        </w:tc>
        <w:tc>
          <w:tcPr>
            <w:tcW w:w="34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1,962.4</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For available-for-sale debt securities, amounts disclosed represent the securities' amortized cost.</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Fair value disclosures are not applicable for equity method investments and investments accounted for under the measurement alternative for equity investments.</w:t>
      </w:r>
    </w:p>
    <w:p>
      <w:pPr>
        <w:sectPr>
          <w:pgSz w:w="11900" w:h="16838" w:orient="portrait"/>
          <w:cols w:equalWidth="0" w:num="1">
            <w:col w:w="11240"/>
          </w:cols>
          <w:pgMar w:left="320" w:top="715" w:right="3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715"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96"/>
        </w:trPr>
        <w:tc>
          <w:tcPr>
            <w:tcW w:w="3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Fair Value Measurements Using</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75"/>
        </w:trPr>
        <w:tc>
          <w:tcPr>
            <w:tcW w:w="3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2"/>
        </w:trPr>
        <w:tc>
          <w:tcPr>
            <w:tcW w:w="3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180" w:type="dxa"/>
            <w:vAlign w:val="bottom"/>
          </w:tcPr>
          <w:p>
            <w:pPr>
              <w:jc w:val="center"/>
              <w:ind w:right="198"/>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180" w:type="dxa"/>
            <w:vAlign w:val="bottom"/>
          </w:tcPr>
          <w:p>
            <w:pPr>
              <w:jc w:val="center"/>
              <w:ind w:right="79"/>
              <w:spacing w:after="0"/>
              <w:rPr>
                <w:sz w:val="20"/>
                <w:szCs w:val="20"/>
                <w:color w:val="auto"/>
              </w:rPr>
            </w:pPr>
            <w:r>
              <w:rPr>
                <w:rFonts w:ascii="Arial" w:cs="Arial" w:eastAsia="Arial" w:hAnsi="Arial"/>
                <w:sz w:val="14"/>
                <w:szCs w:val="14"/>
                <w:b w:val="1"/>
                <w:bCs w:val="1"/>
                <w:color w:val="auto"/>
              </w:rPr>
              <w:t>Significant</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19"/>
              <w:spacing w:after="0"/>
              <w:rPr>
                <w:sz w:val="20"/>
                <w:szCs w:val="20"/>
                <w:color w:val="auto"/>
              </w:rPr>
            </w:pPr>
            <w:r>
              <w:rPr>
                <w:rFonts w:ascii="Arial" w:cs="Arial" w:eastAsia="Arial" w:hAnsi="Arial"/>
                <w:sz w:val="14"/>
                <w:szCs w:val="14"/>
                <w:b w:val="1"/>
                <w:bCs w:val="1"/>
                <w:color w:val="auto"/>
              </w:rPr>
              <w:t>for Identical</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180" w:type="dxa"/>
            <w:vAlign w:val="bottom"/>
          </w:tcPr>
          <w:p>
            <w:pPr>
              <w:jc w:val="center"/>
              <w:ind w:right="79"/>
              <w:spacing w:after="0"/>
              <w:rPr>
                <w:sz w:val="20"/>
                <w:szCs w:val="20"/>
                <w:color w:val="auto"/>
              </w:rPr>
            </w:pPr>
            <w:r>
              <w:rPr>
                <w:rFonts w:ascii="Arial" w:cs="Arial" w:eastAsia="Arial" w:hAnsi="Arial"/>
                <w:sz w:val="14"/>
                <w:szCs w:val="14"/>
                <w:b w:val="1"/>
                <w:bCs w:val="1"/>
                <w:color w:val="auto"/>
              </w:rPr>
              <w:t>Unobservable</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jc w:val="right"/>
              <w:ind w:right="396"/>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100" w:type="dxa"/>
            <w:vAlign w:val="bottom"/>
          </w:tcPr>
          <w:p>
            <w:pPr>
              <w:jc w:val="center"/>
              <w:ind w:right="119"/>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180" w:type="dxa"/>
            <w:vAlign w:val="bottom"/>
          </w:tcPr>
          <w:p>
            <w:pPr>
              <w:jc w:val="center"/>
              <w:ind w:right="178"/>
              <w:spacing w:after="0"/>
              <w:rPr>
                <w:sz w:val="20"/>
                <w:szCs w:val="20"/>
                <w:color w:val="auto"/>
              </w:rPr>
            </w:pPr>
            <w:r>
              <w:rPr>
                <w:rFonts w:ascii="Arial" w:cs="Arial" w:eastAsia="Arial" w:hAnsi="Arial"/>
                <w:sz w:val="14"/>
                <w:szCs w:val="14"/>
                <w:b w:val="1"/>
                <w:bCs w:val="1"/>
                <w:color w:val="auto"/>
              </w:rPr>
              <w:t>Inputs</w:t>
            </w:r>
          </w:p>
        </w:tc>
        <w:tc>
          <w:tcPr>
            <w:tcW w:w="240" w:type="dxa"/>
            <w:vAlign w:val="bottom"/>
          </w:tcPr>
          <w:p>
            <w:pPr>
              <w:spacing w:after="0"/>
              <w:rPr>
                <w:sz w:val="14"/>
                <w:szCs w:val="14"/>
                <w:color w:val="auto"/>
              </w:rPr>
            </w:pPr>
          </w:p>
        </w:tc>
        <w:tc>
          <w:tcPr>
            <w:tcW w:w="1180" w:type="dxa"/>
            <w:vAlign w:val="bottom"/>
          </w:tcPr>
          <w:p>
            <w:pPr>
              <w:jc w:val="center"/>
              <w:ind w:right="79"/>
              <w:spacing w:after="0"/>
              <w:rPr>
                <w:sz w:val="20"/>
                <w:szCs w:val="20"/>
                <w:color w:val="auto"/>
              </w:rPr>
            </w:pPr>
            <w:r>
              <w:rPr>
                <w:rFonts w:ascii="Arial" w:cs="Arial" w:eastAsia="Arial" w:hAnsi="Arial"/>
                <w:sz w:val="14"/>
                <w:szCs w:val="14"/>
                <w:b w:val="1"/>
                <w:bCs w:val="1"/>
                <w:color w:val="auto"/>
                <w:w w:val="99"/>
              </w:rPr>
              <w:t>Inputs</w:t>
            </w:r>
          </w:p>
        </w:tc>
        <w:tc>
          <w:tcPr>
            <w:tcW w:w="360" w:type="dxa"/>
            <w:vAlign w:val="bottom"/>
          </w:tcPr>
          <w:p>
            <w:pPr>
              <w:spacing w:after="0"/>
              <w:rPr>
                <w:sz w:val="14"/>
                <w:szCs w:val="14"/>
                <w:color w:val="auto"/>
              </w:rPr>
            </w:pPr>
          </w:p>
        </w:tc>
        <w:tc>
          <w:tcPr>
            <w:tcW w:w="1000" w:type="dxa"/>
            <w:vAlign w:val="bottom"/>
          </w:tcPr>
          <w:p>
            <w:pPr>
              <w:jc w:val="right"/>
              <w:ind w:right="396"/>
              <w:spacing w:after="0"/>
              <w:rPr>
                <w:sz w:val="20"/>
                <w:szCs w:val="20"/>
                <w:color w:val="auto"/>
              </w:rPr>
            </w:pPr>
            <w:r>
              <w:rPr>
                <w:rFonts w:ascii="Arial" w:cs="Arial" w:eastAsia="Arial" w:hAnsi="Arial"/>
                <w:sz w:val="14"/>
                <w:szCs w:val="14"/>
                <w:b w:val="1"/>
                <w:bCs w:val="1"/>
                <w:color w:val="auto"/>
              </w:rPr>
              <w:t>Fair</w:t>
            </w:r>
          </w:p>
        </w:tc>
      </w:tr>
      <w:tr>
        <w:trPr>
          <w:trHeight w:val="196"/>
        </w:trPr>
        <w:tc>
          <w:tcPr>
            <w:tcW w:w="3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Value</w:t>
            </w:r>
          </w:p>
        </w:tc>
      </w:tr>
      <w:tr>
        <w:trPr>
          <w:trHeight w:val="269"/>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commercial paper borrowings</w:t>
            </w:r>
          </w:p>
        </w:tc>
        <w:tc>
          <w:tcPr>
            <w:tcW w:w="5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March 31, 2020</w:t>
            </w: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6"/>
              <w:spacing w:after="0"/>
              <w:rPr>
                <w:sz w:val="20"/>
                <w:szCs w:val="20"/>
                <w:color w:val="auto"/>
              </w:rPr>
            </w:pPr>
            <w:r>
              <w:rPr>
                <w:rFonts w:ascii="Arial" w:cs="Arial" w:eastAsia="Arial" w:hAnsi="Arial"/>
                <w:sz w:val="18"/>
                <w:szCs w:val="18"/>
                <w:b w:val="1"/>
                <w:bCs w:val="1"/>
                <w:color w:val="auto"/>
              </w:rPr>
              <w:t>(3,243.1)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9"/>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(3,239.0)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ind w:left="9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(3,239.0)</w:t>
            </w:r>
          </w:p>
        </w:tc>
      </w:tr>
      <w:tr>
        <w:trPr>
          <w:trHeight w:val="27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5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(1,494.2)</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5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2020</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(13,987.2)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(15,119.0)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(15,119.0)</w:t>
            </w:r>
          </w:p>
        </w:tc>
      </w:tr>
      <w:tr>
        <w:trPr>
          <w:trHeight w:val="257"/>
        </w:trPr>
        <w:tc>
          <w:tcPr>
            <w:tcW w:w="392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580" w:type="dxa"/>
            <w:vAlign w:val="bottom"/>
          </w:tcPr>
          <w:p>
            <w:pPr>
              <w:spacing w:after="0"/>
              <w:rPr>
                <w:sz w:val="22"/>
                <w:szCs w:val="22"/>
                <w:color w:val="auto"/>
              </w:rPr>
            </w:pP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(13,823.0)</w:t>
            </w:r>
          </w:p>
        </w:tc>
        <w:tc>
          <w:tcPr>
            <w:tcW w:w="18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(15,150.0)</w:t>
            </w:r>
          </w:p>
        </w:tc>
        <w:tc>
          <w:tcPr>
            <w:tcW w:w="240" w:type="dxa"/>
            <w:vAlign w:val="bottom"/>
          </w:tcPr>
          <w:p>
            <w:pPr>
              <w:spacing w:after="0"/>
              <w:rPr>
                <w:sz w:val="22"/>
                <w:szCs w:val="22"/>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(15,150.0)</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77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gridSpan w:val="6"/>
          </w:tcPr>
          <w:p>
            <w:pPr>
              <w:ind w:left="1040"/>
              <w:spacing w:after="0"/>
              <w:rPr>
                <w:sz w:val="20"/>
                <w:szCs w:val="20"/>
                <w:color w:val="auto"/>
              </w:rPr>
            </w:pPr>
            <w:r>
              <w:rPr>
                <w:rFonts w:ascii="Arial" w:cs="Arial" w:eastAsia="Arial" w:hAnsi="Arial"/>
                <w:sz w:val="14"/>
                <w:szCs w:val="14"/>
                <w:b w:val="1"/>
                <w:bCs w:val="1"/>
                <w:color w:val="auto"/>
              </w:rPr>
              <w:t>Fair Value Measurements Using</w:t>
            </w:r>
          </w:p>
        </w:tc>
        <w:tc>
          <w:tcPr>
            <w:tcW w:w="800" w:type="dxa"/>
            <w:vAlign w:val="bottom"/>
          </w:tcPr>
          <w:p>
            <w:pPr>
              <w:spacing w:after="0"/>
              <w:rPr>
                <w:sz w:val="17"/>
                <w:szCs w:val="17"/>
                <w:color w:val="auto"/>
              </w:rPr>
            </w:pPr>
          </w:p>
        </w:tc>
      </w:tr>
      <w:tr>
        <w:trPr>
          <w:trHeight w:val="175"/>
        </w:trPr>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2"/>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 Active</w:t>
            </w:r>
          </w:p>
        </w:tc>
        <w:tc>
          <w:tcPr>
            <w:tcW w:w="220" w:type="dxa"/>
            <w:vAlign w:val="bottom"/>
          </w:tcPr>
          <w:p>
            <w:pPr>
              <w:spacing w:after="0"/>
              <w:rPr>
                <w:sz w:val="14"/>
                <w:szCs w:val="14"/>
                <w:color w:val="auto"/>
              </w:rPr>
            </w:pPr>
          </w:p>
        </w:tc>
        <w:tc>
          <w:tcPr>
            <w:tcW w:w="1100" w:type="dxa"/>
            <w:vAlign w:val="bottom"/>
          </w:tcPr>
          <w:p>
            <w:pPr>
              <w:jc w:val="center"/>
              <w:ind w:right="121"/>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Significant</w:t>
            </w:r>
          </w:p>
        </w:tc>
        <w:tc>
          <w:tcPr>
            <w:tcW w:w="800" w:type="dxa"/>
            <w:vAlign w:val="bottom"/>
          </w:tcPr>
          <w:p>
            <w:pPr>
              <w:spacing w:after="0"/>
              <w:rPr>
                <w:sz w:val="14"/>
                <w:szCs w:val="14"/>
                <w:color w:val="auto"/>
              </w:rPr>
            </w:pPr>
          </w:p>
        </w:tc>
      </w:tr>
      <w:tr>
        <w:trPr>
          <w:trHeight w:val="162"/>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right="101"/>
              <w:spacing w:after="0"/>
              <w:rPr>
                <w:sz w:val="20"/>
                <w:szCs w:val="20"/>
                <w:color w:val="auto"/>
              </w:rPr>
            </w:pPr>
            <w:r>
              <w:rPr>
                <w:rFonts w:ascii="Arial" w:cs="Arial" w:eastAsia="Arial" w:hAnsi="Arial"/>
                <w:sz w:val="14"/>
                <w:szCs w:val="14"/>
                <w:b w:val="1"/>
                <w:bCs w:val="1"/>
                <w:color w:val="auto"/>
              </w:rPr>
              <w:t>Markets for Identical</w:t>
            </w:r>
          </w:p>
        </w:tc>
        <w:tc>
          <w:tcPr>
            <w:tcW w:w="220" w:type="dxa"/>
            <w:vAlign w:val="bottom"/>
          </w:tcPr>
          <w:p>
            <w:pPr>
              <w:spacing w:after="0"/>
              <w:rPr>
                <w:sz w:val="14"/>
                <w:szCs w:val="14"/>
                <w:color w:val="auto"/>
              </w:rPr>
            </w:pPr>
          </w:p>
        </w:tc>
        <w:tc>
          <w:tcPr>
            <w:tcW w:w="1100" w:type="dxa"/>
            <w:vAlign w:val="bottom"/>
          </w:tcPr>
          <w:p>
            <w:pPr>
              <w:jc w:val="center"/>
              <w:ind w:right="121"/>
              <w:spacing w:after="0"/>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Unobservable</w:t>
            </w:r>
          </w:p>
        </w:tc>
        <w:tc>
          <w:tcPr>
            <w:tcW w:w="800" w:type="dxa"/>
            <w:vAlign w:val="bottom"/>
          </w:tcPr>
          <w:p>
            <w:pPr>
              <w:spacing w:after="0"/>
              <w:rPr>
                <w:sz w:val="14"/>
                <w:szCs w:val="14"/>
                <w:color w:val="auto"/>
              </w:rPr>
            </w:pPr>
          </w:p>
        </w:tc>
      </w:tr>
      <w:tr>
        <w:trPr>
          <w:trHeight w:val="162"/>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4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620" w:type="dxa"/>
            <w:vAlign w:val="bottom"/>
          </w:tcPr>
          <w:p>
            <w:pPr>
              <w:jc w:val="center"/>
              <w:ind w:right="101"/>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100" w:type="dxa"/>
            <w:vAlign w:val="bottom"/>
          </w:tcPr>
          <w:p>
            <w:pPr>
              <w:jc w:val="center"/>
              <w:ind w:right="121"/>
              <w:spacing w:after="0"/>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Inputs</w:t>
            </w:r>
          </w:p>
        </w:tc>
        <w:tc>
          <w:tcPr>
            <w:tcW w:w="800" w:type="dxa"/>
            <w:vAlign w:val="bottom"/>
          </w:tcPr>
          <w:p>
            <w:pPr>
              <w:jc w:val="right"/>
              <w:ind w:right="300"/>
              <w:spacing w:after="0"/>
              <w:rPr>
                <w:sz w:val="20"/>
                <w:szCs w:val="20"/>
                <w:color w:val="auto"/>
              </w:rPr>
            </w:pPr>
            <w:r>
              <w:rPr>
                <w:rFonts w:ascii="Arial" w:cs="Arial" w:eastAsia="Arial" w:hAnsi="Arial"/>
                <w:sz w:val="14"/>
                <w:szCs w:val="14"/>
                <w:b w:val="1"/>
                <w:bCs w:val="1"/>
                <w:color w:val="auto"/>
              </w:rPr>
              <w:t>Fair</w:t>
            </w:r>
          </w:p>
        </w:tc>
      </w:tr>
      <w:tr>
        <w:trPr>
          <w:trHeight w:val="196"/>
        </w:trPr>
        <w:tc>
          <w:tcPr>
            <w:tcW w:w="4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(Level 3)</w:t>
            </w: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Value</w:t>
            </w:r>
          </w:p>
        </w:tc>
      </w:t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2020</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4480" w:type="dxa"/>
            <w:vAlign w:val="bottom"/>
          </w:tcPr>
          <w:p>
            <w:pPr>
              <w:ind w:left="40"/>
              <w:spacing w:after="0"/>
              <w:rPr>
                <w:sz w:val="20"/>
                <w:szCs w:val="20"/>
                <w:color w:val="auto"/>
              </w:rPr>
            </w:pPr>
            <w:r>
              <w:rPr>
                <w:rFonts w:ascii="Arial" w:cs="Arial" w:eastAsia="Arial" w:hAnsi="Arial"/>
                <w:sz w:val="16"/>
                <w:szCs w:val="16"/>
                <w:color w:val="auto"/>
              </w:rPr>
              <w:t>Risk-management instruments: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0"/>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rate contracts designated as fair value hedges: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0"/>
        </w:trPr>
        <w:tc>
          <w:tcPr>
            <w:tcW w:w="4480" w:type="dxa"/>
            <w:vAlign w:val="bottom"/>
          </w:tcPr>
          <w:p>
            <w:pPr>
              <w:ind w:left="380"/>
              <w:spacing w:after="0"/>
              <w:rPr>
                <w:sz w:val="20"/>
                <w:szCs w:val="20"/>
                <w:color w:val="auto"/>
              </w:rPr>
            </w:pPr>
            <w:r>
              <w:rPr>
                <w:rFonts w:ascii="Arial" w:cs="Arial" w:eastAsia="Arial" w:hAnsi="Arial"/>
                <w:sz w:val="16"/>
                <w:szCs w:val="16"/>
                <w:color w:val="auto"/>
              </w:rPr>
              <w:t>Other noncurrent assets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189.3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ind w:left="130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189.3</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gridSpan w:val="2"/>
          </w:tcPr>
          <w:p>
            <w:pPr>
              <w:ind w:left="920"/>
              <w:spacing w:after="0"/>
              <w:rPr>
                <w:sz w:val="20"/>
                <w:szCs w:val="20"/>
                <w:color w:val="auto"/>
              </w:rPr>
            </w:pPr>
            <w:r>
              <w:rPr>
                <w:rFonts w:ascii="Arial" w:cs="Arial" w:eastAsia="Arial" w:hAnsi="Arial"/>
                <w:sz w:val="16"/>
                <w:szCs w:val="16"/>
                <w:b w:val="1"/>
                <w:bCs w:val="1"/>
                <w:color w:val="auto"/>
              </w:rPr>
              <w:t>—  $</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189.3</w:t>
            </w:r>
          </w:p>
        </w:tc>
      </w:tr>
      <w:tr>
        <w:trPr>
          <w:trHeight w:val="280"/>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rate contracts designated as cash flow hedges: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0"/>
        </w:trPr>
        <w:tc>
          <w:tcPr>
            <w:tcW w:w="4480" w:type="dxa"/>
            <w:vAlign w:val="bottom"/>
          </w:tcPr>
          <w:p>
            <w:pPr>
              <w:ind w:left="380"/>
              <w:spacing w:after="0"/>
              <w:rPr>
                <w:sz w:val="20"/>
                <w:szCs w:val="20"/>
                <w:color w:val="auto"/>
              </w:rPr>
            </w:pPr>
            <w:r>
              <w:rPr>
                <w:rFonts w:ascii="Arial" w:cs="Arial" w:eastAsia="Arial" w:hAnsi="Arial"/>
                <w:sz w:val="16"/>
                <w:szCs w:val="16"/>
                <w:color w:val="auto"/>
              </w:rPr>
              <w:t>Other noncurrent assets</w:t>
            </w:r>
          </w:p>
        </w:tc>
        <w:tc>
          <w:tcPr>
            <w:tcW w:w="200" w:type="dxa"/>
            <w:vAlign w:val="bottom"/>
          </w:tcPr>
          <w:p>
            <w:pPr>
              <w:spacing w:after="0"/>
              <w:rPr>
                <w:sz w:val="22"/>
                <w:szCs w:val="22"/>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0.5</w:t>
            </w:r>
          </w:p>
        </w:tc>
        <w:tc>
          <w:tcPr>
            <w:tcW w:w="120" w:type="dxa"/>
            <w:vAlign w:val="bottom"/>
          </w:tcPr>
          <w:p>
            <w:pPr>
              <w:spacing w:after="0"/>
              <w:rPr>
                <w:sz w:val="22"/>
                <w:szCs w:val="22"/>
                <w:color w:val="auto"/>
              </w:rPr>
            </w:pPr>
          </w:p>
        </w:tc>
        <w:tc>
          <w:tcPr>
            <w:tcW w:w="1620" w:type="dxa"/>
            <w:vAlign w:val="bottom"/>
          </w:tcPr>
          <w:p>
            <w:pPr>
              <w:ind w:left="130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0.5</w:t>
            </w:r>
          </w:p>
        </w:tc>
        <w:tc>
          <w:tcPr>
            <w:tcW w:w="220" w:type="dxa"/>
            <w:vAlign w:val="bottom"/>
          </w:tcPr>
          <w:p>
            <w:pPr>
              <w:spacing w:after="0"/>
              <w:rPr>
                <w:sz w:val="22"/>
                <w:szCs w:val="22"/>
                <w:color w:val="auto"/>
              </w:rPr>
            </w:pPr>
          </w:p>
        </w:tc>
        <w:tc>
          <w:tcPr>
            <w:tcW w:w="1520" w:type="dxa"/>
            <w:vAlign w:val="bottom"/>
            <w:gridSpan w:val="2"/>
          </w:tcPr>
          <w:p>
            <w:pPr>
              <w:ind w:left="9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0.5</w:t>
            </w:r>
          </w:p>
        </w:tc>
      </w:tr>
      <w:tr>
        <w:trPr>
          <w:trHeight w:val="280"/>
        </w:trPr>
        <w:tc>
          <w:tcPr>
            <w:tcW w:w="4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noncurrent liabilities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(327.0)</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(327.0)</w:t>
            </w:r>
          </w:p>
        </w:tc>
        <w:tc>
          <w:tcPr>
            <w:tcW w:w="2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9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(327.0)</w:t>
            </w:r>
          </w:p>
        </w:tc>
      </w:tr>
      <w:tr>
        <w:trPr>
          <w:trHeight w:val="218"/>
        </w:trPr>
        <w:tc>
          <w:tcPr>
            <w:tcW w:w="4480" w:type="dxa"/>
            <w:vAlign w:val="bottom"/>
          </w:tcPr>
          <w:p>
            <w:pPr>
              <w:ind w:left="280"/>
              <w:spacing w:after="0"/>
              <w:rPr>
                <w:sz w:val="20"/>
                <w:szCs w:val="20"/>
                <w:color w:val="auto"/>
              </w:rPr>
            </w:pPr>
            <w:r>
              <w:rPr>
                <w:rFonts w:ascii="Arial" w:cs="Arial" w:eastAsia="Arial" w:hAnsi="Arial"/>
                <w:sz w:val="16"/>
                <w:szCs w:val="16"/>
                <w:color w:val="auto"/>
              </w:rPr>
              <w:t>Cross-currency interest rate contracts designated as net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4480" w:type="dxa"/>
            <w:vAlign w:val="bottom"/>
          </w:tcPr>
          <w:p>
            <w:pPr>
              <w:ind w:left="440"/>
              <w:spacing w:after="0"/>
              <w:rPr>
                <w:sz w:val="20"/>
                <w:szCs w:val="20"/>
                <w:color w:val="auto"/>
              </w:rPr>
            </w:pPr>
            <w:r>
              <w:rPr>
                <w:rFonts w:ascii="Arial" w:cs="Arial" w:eastAsia="Arial" w:hAnsi="Arial"/>
                <w:sz w:val="16"/>
                <w:szCs w:val="16"/>
                <w:color w:val="auto"/>
              </w:rPr>
              <w:t>investment hedges: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80"/>
        </w:trPr>
        <w:tc>
          <w:tcPr>
            <w:tcW w:w="4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receivables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18.0</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18.0</w:t>
            </w:r>
          </w:p>
        </w:tc>
        <w:tc>
          <w:tcPr>
            <w:tcW w:w="2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9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18.0</w:t>
            </w:r>
          </w:p>
        </w:tc>
      </w:tr>
      <w:tr>
        <w:trPr>
          <w:trHeight w:val="260"/>
        </w:trPr>
        <w:tc>
          <w:tcPr>
            <w:tcW w:w="4480" w:type="dxa"/>
            <w:vAlign w:val="bottom"/>
          </w:tcPr>
          <w:p>
            <w:pPr>
              <w:ind w:left="380"/>
              <w:spacing w:after="0"/>
              <w:rPr>
                <w:sz w:val="20"/>
                <w:szCs w:val="20"/>
                <w:color w:val="auto"/>
              </w:rPr>
            </w:pPr>
            <w:r>
              <w:rPr>
                <w:rFonts w:ascii="Arial" w:cs="Arial" w:eastAsia="Arial" w:hAnsi="Arial"/>
                <w:sz w:val="16"/>
                <w:szCs w:val="16"/>
                <w:color w:val="auto"/>
              </w:rPr>
              <w:t>Other noncurrent assets</w:t>
            </w:r>
          </w:p>
        </w:tc>
        <w:tc>
          <w:tcPr>
            <w:tcW w:w="200" w:type="dxa"/>
            <w:vAlign w:val="bottom"/>
          </w:tcPr>
          <w:p>
            <w:pPr>
              <w:spacing w:after="0"/>
              <w:rPr>
                <w:sz w:val="22"/>
                <w:szCs w:val="22"/>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116.1</w:t>
            </w:r>
          </w:p>
        </w:tc>
        <w:tc>
          <w:tcPr>
            <w:tcW w:w="120" w:type="dxa"/>
            <w:vAlign w:val="bottom"/>
          </w:tcPr>
          <w:p>
            <w:pPr>
              <w:spacing w:after="0"/>
              <w:rPr>
                <w:sz w:val="22"/>
                <w:szCs w:val="22"/>
                <w:color w:val="auto"/>
              </w:rPr>
            </w:pPr>
          </w:p>
        </w:tc>
        <w:tc>
          <w:tcPr>
            <w:tcW w:w="1620" w:type="dxa"/>
            <w:vAlign w:val="bottom"/>
          </w:tcPr>
          <w:p>
            <w:pPr>
              <w:ind w:left="130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116.1</w:t>
            </w:r>
          </w:p>
        </w:tc>
        <w:tc>
          <w:tcPr>
            <w:tcW w:w="220" w:type="dxa"/>
            <w:vAlign w:val="bottom"/>
          </w:tcPr>
          <w:p>
            <w:pPr>
              <w:spacing w:after="0"/>
              <w:rPr>
                <w:sz w:val="22"/>
                <w:szCs w:val="22"/>
                <w:color w:val="auto"/>
              </w:rPr>
            </w:pPr>
          </w:p>
        </w:tc>
        <w:tc>
          <w:tcPr>
            <w:tcW w:w="1520" w:type="dxa"/>
            <w:vAlign w:val="bottom"/>
            <w:gridSpan w:val="2"/>
          </w:tcPr>
          <w:p>
            <w:pPr>
              <w:ind w:left="9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116.1</w:t>
            </w:r>
          </w:p>
        </w:tc>
      </w:tr>
      <w:tr>
        <w:trPr>
          <w:trHeight w:val="280"/>
        </w:trPr>
        <w:tc>
          <w:tcPr>
            <w:tcW w:w="4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(1.8)</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(1.8)</w:t>
            </w:r>
          </w:p>
        </w:tc>
        <w:tc>
          <w:tcPr>
            <w:tcW w:w="2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9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r>
      <w:tr>
        <w:trPr>
          <w:trHeight w:val="218"/>
        </w:trPr>
        <w:tc>
          <w:tcPr>
            <w:tcW w:w="4480" w:type="dxa"/>
            <w:vAlign w:val="bottom"/>
          </w:tcPr>
          <w:p>
            <w:pPr>
              <w:ind w:left="280"/>
              <w:spacing w:after="0"/>
              <w:rPr>
                <w:sz w:val="20"/>
                <w:szCs w:val="20"/>
                <w:color w:val="auto"/>
              </w:rPr>
            </w:pPr>
            <w:r>
              <w:rPr>
                <w:rFonts w:ascii="Arial" w:cs="Arial" w:eastAsia="Arial" w:hAnsi="Arial"/>
                <w:sz w:val="16"/>
                <w:szCs w:val="16"/>
                <w:color w:val="auto"/>
              </w:rPr>
              <w:t>Cross-currency interest rate contracts designated as cash</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4480" w:type="dxa"/>
            <w:vAlign w:val="bottom"/>
          </w:tcPr>
          <w:p>
            <w:pPr>
              <w:ind w:left="440"/>
              <w:spacing w:after="0"/>
              <w:rPr>
                <w:sz w:val="20"/>
                <w:szCs w:val="20"/>
                <w:color w:val="auto"/>
              </w:rPr>
            </w:pPr>
            <w:r>
              <w:rPr>
                <w:rFonts w:ascii="Arial" w:cs="Arial" w:eastAsia="Arial" w:hAnsi="Arial"/>
                <w:sz w:val="16"/>
                <w:szCs w:val="16"/>
                <w:color w:val="auto"/>
              </w:rPr>
              <w:t>flow hedges: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80"/>
        </w:trPr>
        <w:tc>
          <w:tcPr>
            <w:tcW w:w="4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noncurrent liabilities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(74.1)</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(74.1)</w:t>
            </w:r>
          </w:p>
        </w:tc>
        <w:tc>
          <w:tcPr>
            <w:tcW w:w="2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9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(74.1)</w:t>
            </w:r>
          </w:p>
        </w:tc>
      </w:tr>
      <w:tr>
        <w:trPr>
          <w:trHeight w:val="218"/>
        </w:trPr>
        <w:tc>
          <w:tcPr>
            <w:tcW w:w="4480" w:type="dxa"/>
            <w:vAlign w:val="bottom"/>
          </w:tcPr>
          <w:p>
            <w:pPr>
              <w:ind w:left="280"/>
              <w:spacing w:after="0"/>
              <w:rPr>
                <w:sz w:val="20"/>
                <w:szCs w:val="20"/>
                <w:color w:val="auto"/>
              </w:rPr>
            </w:pPr>
            <w:r>
              <w:rPr>
                <w:rFonts w:ascii="Arial" w:cs="Arial" w:eastAsia="Arial" w:hAnsi="Arial"/>
                <w:sz w:val="16"/>
                <w:szCs w:val="16"/>
                <w:color w:val="auto"/>
              </w:rPr>
              <w:t>Foreign exchange contracts not designated as hedging</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4480" w:type="dxa"/>
            <w:vAlign w:val="bottom"/>
          </w:tcPr>
          <w:p>
            <w:pPr>
              <w:ind w:left="440"/>
              <w:spacing w:after="0"/>
              <w:rPr>
                <w:sz w:val="20"/>
                <w:szCs w:val="20"/>
                <w:color w:val="auto"/>
              </w:rPr>
            </w:pPr>
            <w:r>
              <w:rPr>
                <w:rFonts w:ascii="Arial" w:cs="Arial" w:eastAsia="Arial" w:hAnsi="Arial"/>
                <w:sz w:val="16"/>
                <w:szCs w:val="16"/>
                <w:color w:val="auto"/>
              </w:rPr>
              <w:t>instruments: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80"/>
        </w:trPr>
        <w:tc>
          <w:tcPr>
            <w:tcW w:w="4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receivables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14.5</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14.5</w:t>
            </w:r>
          </w:p>
        </w:tc>
        <w:tc>
          <w:tcPr>
            <w:tcW w:w="2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9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14.5</w:t>
            </w:r>
          </w:p>
        </w:tc>
      </w:tr>
      <w:tr>
        <w:trPr>
          <w:trHeight w:val="260"/>
        </w:trPr>
        <w:tc>
          <w:tcPr>
            <w:tcW w:w="448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22"/>
                <w:szCs w:val="22"/>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(24.6)</w:t>
            </w:r>
          </w:p>
        </w:tc>
        <w:tc>
          <w:tcPr>
            <w:tcW w:w="120" w:type="dxa"/>
            <w:vAlign w:val="bottom"/>
          </w:tcPr>
          <w:p>
            <w:pPr>
              <w:spacing w:after="0"/>
              <w:rPr>
                <w:sz w:val="22"/>
                <w:szCs w:val="22"/>
                <w:color w:val="auto"/>
              </w:rPr>
            </w:pPr>
          </w:p>
        </w:tc>
        <w:tc>
          <w:tcPr>
            <w:tcW w:w="1620" w:type="dxa"/>
            <w:vAlign w:val="bottom"/>
          </w:tcPr>
          <w:p>
            <w:pPr>
              <w:ind w:left="130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b w:val="1"/>
                <w:bCs w:val="1"/>
                <w:color w:val="auto"/>
              </w:rPr>
              <w:t>(24.6)</w:t>
            </w:r>
          </w:p>
        </w:tc>
        <w:tc>
          <w:tcPr>
            <w:tcW w:w="220" w:type="dxa"/>
            <w:vAlign w:val="bottom"/>
          </w:tcPr>
          <w:p>
            <w:pPr>
              <w:spacing w:after="0"/>
              <w:rPr>
                <w:sz w:val="22"/>
                <w:szCs w:val="22"/>
                <w:color w:val="auto"/>
              </w:rPr>
            </w:pPr>
          </w:p>
        </w:tc>
        <w:tc>
          <w:tcPr>
            <w:tcW w:w="1520" w:type="dxa"/>
            <w:vAlign w:val="bottom"/>
            <w:gridSpan w:val="2"/>
          </w:tcPr>
          <w:p>
            <w:pPr>
              <w:ind w:left="9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(24.6)</w:t>
            </w:r>
          </w:p>
        </w:tc>
      </w:tr>
      <w:tr>
        <w:trPr>
          <w:trHeight w:val="280"/>
        </w:trPr>
        <w:tc>
          <w:tcPr>
            <w:tcW w:w="44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0"/>
        </w:trPr>
        <w:tc>
          <w:tcPr>
            <w:tcW w:w="4480" w:type="dxa"/>
            <w:vAlign w:val="bottom"/>
          </w:tcPr>
          <w:p>
            <w:pPr>
              <w:ind w:left="4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0"/>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Risk-management instruments: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0"/>
        </w:trPr>
        <w:tc>
          <w:tcPr>
            <w:tcW w:w="4480" w:type="dxa"/>
            <w:vAlign w:val="bottom"/>
          </w:tcPr>
          <w:p>
            <w:pPr>
              <w:ind w:left="280"/>
              <w:spacing w:after="0"/>
              <w:rPr>
                <w:sz w:val="20"/>
                <w:szCs w:val="20"/>
                <w:color w:val="auto"/>
              </w:rPr>
            </w:pPr>
            <w:r>
              <w:rPr>
                <w:rFonts w:ascii="Arial" w:cs="Arial" w:eastAsia="Arial" w:hAnsi="Arial"/>
                <w:sz w:val="16"/>
                <w:szCs w:val="16"/>
                <w:color w:val="auto"/>
              </w:rPr>
              <w:t>Interest rate contracts designated as fair value hedges: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0"/>
        </w:trPr>
        <w:tc>
          <w:tcPr>
            <w:tcW w:w="4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noncurrent assets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72.0</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72.0</w:t>
            </w:r>
          </w:p>
        </w:tc>
        <w:tc>
          <w:tcPr>
            <w:tcW w:w="2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72.0</w:t>
            </w:r>
          </w:p>
        </w:tc>
      </w:tr>
      <w:tr>
        <w:trPr>
          <w:trHeight w:val="260"/>
        </w:trPr>
        <w:tc>
          <w:tcPr>
            <w:tcW w:w="4480" w:type="dxa"/>
            <w:vAlign w:val="bottom"/>
          </w:tcPr>
          <w:p>
            <w:pPr>
              <w:ind w:left="280"/>
              <w:spacing w:after="0"/>
              <w:rPr>
                <w:sz w:val="20"/>
                <w:szCs w:val="20"/>
                <w:color w:val="auto"/>
              </w:rPr>
            </w:pPr>
            <w:r>
              <w:rPr>
                <w:rFonts w:ascii="Arial" w:cs="Arial" w:eastAsia="Arial" w:hAnsi="Arial"/>
                <w:sz w:val="16"/>
                <w:szCs w:val="16"/>
                <w:color w:val="auto"/>
              </w:rPr>
              <w:t>Interest rate contracts designated as cash flow hedges: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0"/>
        </w:trPr>
        <w:tc>
          <w:tcPr>
            <w:tcW w:w="4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noncurrent assets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43.3</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43.3</w:t>
            </w:r>
          </w:p>
        </w:tc>
        <w:tc>
          <w:tcPr>
            <w:tcW w:w="2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43.3</w:t>
            </w:r>
          </w:p>
        </w:tc>
      </w:tr>
      <w:tr>
        <w:trPr>
          <w:trHeight w:val="218"/>
        </w:trPr>
        <w:tc>
          <w:tcPr>
            <w:tcW w:w="4480" w:type="dxa"/>
            <w:vAlign w:val="bottom"/>
          </w:tcPr>
          <w:p>
            <w:pPr>
              <w:ind w:left="280"/>
              <w:spacing w:after="0"/>
              <w:rPr>
                <w:sz w:val="20"/>
                <w:szCs w:val="20"/>
                <w:color w:val="auto"/>
              </w:rPr>
            </w:pPr>
            <w:r>
              <w:rPr>
                <w:rFonts w:ascii="Arial" w:cs="Arial" w:eastAsia="Arial" w:hAnsi="Arial"/>
                <w:sz w:val="16"/>
                <w:szCs w:val="16"/>
                <w:color w:val="auto"/>
              </w:rPr>
              <w:t>Cross-currency interest rate contracts designated as net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4480" w:type="dxa"/>
            <w:vAlign w:val="bottom"/>
          </w:tcPr>
          <w:p>
            <w:pPr>
              <w:ind w:left="440"/>
              <w:spacing w:after="0"/>
              <w:rPr>
                <w:sz w:val="20"/>
                <w:szCs w:val="20"/>
                <w:color w:val="auto"/>
              </w:rPr>
            </w:pPr>
            <w:r>
              <w:rPr>
                <w:rFonts w:ascii="Arial" w:cs="Arial" w:eastAsia="Arial" w:hAnsi="Arial"/>
                <w:sz w:val="16"/>
                <w:szCs w:val="16"/>
                <w:color w:val="auto"/>
              </w:rPr>
              <w:t>investment hedges: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80"/>
        </w:trPr>
        <w:tc>
          <w:tcPr>
            <w:tcW w:w="4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noncurrent assets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45.1</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45.1</w:t>
            </w:r>
          </w:p>
        </w:tc>
        <w:tc>
          <w:tcPr>
            <w:tcW w:w="2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45.1</w:t>
            </w:r>
          </w:p>
        </w:tc>
      </w:tr>
      <w:tr>
        <w:trPr>
          <w:trHeight w:val="260"/>
        </w:trPr>
        <w:tc>
          <w:tcPr>
            <w:tcW w:w="448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22"/>
                <w:szCs w:val="22"/>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2"/>
                <w:szCs w:val="22"/>
                <w:color w:val="auto"/>
              </w:rPr>
            </w:pPr>
          </w:p>
        </w:tc>
        <w:tc>
          <w:tcPr>
            <w:tcW w:w="1620" w:type="dxa"/>
            <w:vAlign w:val="bottom"/>
          </w:tcPr>
          <w:p>
            <w:pPr>
              <w:ind w:left="1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(21.4)</w:t>
            </w:r>
          </w:p>
        </w:tc>
        <w:tc>
          <w:tcPr>
            <w:tcW w:w="220" w:type="dxa"/>
            <w:vAlign w:val="bottom"/>
          </w:tcPr>
          <w:p>
            <w:pPr>
              <w:spacing w:after="0"/>
              <w:rPr>
                <w:sz w:val="22"/>
                <w:szCs w:val="22"/>
                <w:color w:val="auto"/>
              </w:rPr>
            </w:pPr>
          </w:p>
        </w:tc>
        <w:tc>
          <w:tcPr>
            <w:tcW w:w="152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80"/>
        </w:trPr>
        <w:tc>
          <w:tcPr>
            <w:tcW w:w="4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noncurrent liabilities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w:t>
            </w:r>
          </w:p>
        </w:tc>
        <w:tc>
          <w:tcPr>
            <w:tcW w:w="2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8"/>
        </w:trPr>
        <w:tc>
          <w:tcPr>
            <w:tcW w:w="4480" w:type="dxa"/>
            <w:vAlign w:val="bottom"/>
          </w:tcPr>
          <w:p>
            <w:pPr>
              <w:ind w:left="280"/>
              <w:spacing w:after="0"/>
              <w:rPr>
                <w:sz w:val="20"/>
                <w:szCs w:val="20"/>
                <w:color w:val="auto"/>
              </w:rPr>
            </w:pPr>
            <w:r>
              <w:rPr>
                <w:rFonts w:ascii="Arial" w:cs="Arial" w:eastAsia="Arial" w:hAnsi="Arial"/>
                <w:sz w:val="16"/>
                <w:szCs w:val="16"/>
                <w:color w:val="auto"/>
              </w:rPr>
              <w:t>Cross-currency interest rate contracts designated as cash</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4480" w:type="dxa"/>
            <w:vAlign w:val="bottom"/>
          </w:tcPr>
          <w:p>
            <w:pPr>
              <w:ind w:left="440"/>
              <w:spacing w:after="0"/>
              <w:rPr>
                <w:sz w:val="20"/>
                <w:szCs w:val="20"/>
                <w:color w:val="auto"/>
              </w:rPr>
            </w:pPr>
            <w:r>
              <w:rPr>
                <w:rFonts w:ascii="Arial" w:cs="Arial" w:eastAsia="Arial" w:hAnsi="Arial"/>
                <w:sz w:val="16"/>
                <w:szCs w:val="16"/>
                <w:color w:val="auto"/>
              </w:rPr>
              <w:t>flow hedges: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80"/>
        </w:trPr>
        <w:tc>
          <w:tcPr>
            <w:tcW w:w="4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noncurrent assets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r>
      <w:tr>
        <w:trPr>
          <w:trHeight w:val="260"/>
        </w:trPr>
        <w:tc>
          <w:tcPr>
            <w:tcW w:w="4480" w:type="dxa"/>
            <w:vAlign w:val="bottom"/>
          </w:tcPr>
          <w:p>
            <w:pPr>
              <w:ind w:left="380"/>
              <w:spacing w:after="0"/>
              <w:rPr>
                <w:sz w:val="20"/>
                <w:szCs w:val="20"/>
                <w:color w:val="auto"/>
              </w:rPr>
            </w:pPr>
            <w:r>
              <w:rPr>
                <w:rFonts w:ascii="Arial" w:cs="Arial" w:eastAsia="Arial" w:hAnsi="Arial"/>
                <w:sz w:val="16"/>
                <w:szCs w:val="16"/>
                <w:color w:val="auto"/>
              </w:rPr>
              <w:t>Other noncurrent liabilities</w:t>
            </w:r>
          </w:p>
        </w:tc>
        <w:tc>
          <w:tcPr>
            <w:tcW w:w="200" w:type="dxa"/>
            <w:vAlign w:val="bottom"/>
          </w:tcPr>
          <w:p>
            <w:pPr>
              <w:spacing w:after="0"/>
              <w:rPr>
                <w:sz w:val="22"/>
                <w:szCs w:val="22"/>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2"/>
                <w:szCs w:val="22"/>
                <w:color w:val="auto"/>
              </w:rPr>
            </w:pPr>
          </w:p>
        </w:tc>
        <w:tc>
          <w:tcPr>
            <w:tcW w:w="1620" w:type="dxa"/>
            <w:vAlign w:val="bottom"/>
          </w:tcPr>
          <w:p>
            <w:pPr>
              <w:ind w:left="1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(20.1)</w:t>
            </w:r>
          </w:p>
        </w:tc>
        <w:tc>
          <w:tcPr>
            <w:tcW w:w="220" w:type="dxa"/>
            <w:vAlign w:val="bottom"/>
          </w:tcPr>
          <w:p>
            <w:pPr>
              <w:spacing w:after="0"/>
              <w:rPr>
                <w:sz w:val="22"/>
                <w:szCs w:val="22"/>
                <w:color w:val="auto"/>
              </w:rPr>
            </w:pPr>
          </w:p>
        </w:tc>
        <w:tc>
          <w:tcPr>
            <w:tcW w:w="152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228"/>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exchange contracts not designated as hedging</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4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instruments: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60"/>
        </w:trPr>
        <w:tc>
          <w:tcPr>
            <w:tcW w:w="4480" w:type="dxa"/>
            <w:vAlign w:val="bottom"/>
          </w:tcPr>
          <w:p>
            <w:pPr>
              <w:ind w:left="380"/>
              <w:spacing w:after="0"/>
              <w:rPr>
                <w:sz w:val="20"/>
                <w:szCs w:val="20"/>
                <w:color w:val="auto"/>
              </w:rPr>
            </w:pPr>
            <w:r>
              <w:rPr>
                <w:rFonts w:ascii="Arial" w:cs="Arial" w:eastAsia="Arial" w:hAnsi="Arial"/>
                <w:sz w:val="16"/>
                <w:szCs w:val="16"/>
                <w:color w:val="auto"/>
              </w:rPr>
              <w:t>Other receivables</w:t>
            </w:r>
          </w:p>
        </w:tc>
        <w:tc>
          <w:tcPr>
            <w:tcW w:w="200" w:type="dxa"/>
            <w:vAlign w:val="bottom"/>
          </w:tcPr>
          <w:p>
            <w:pPr>
              <w:spacing w:after="0"/>
              <w:rPr>
                <w:sz w:val="22"/>
                <w:szCs w:val="22"/>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2"/>
                <w:szCs w:val="22"/>
                <w:color w:val="auto"/>
              </w:rPr>
            </w:pPr>
          </w:p>
        </w:tc>
        <w:tc>
          <w:tcPr>
            <w:tcW w:w="1620" w:type="dxa"/>
            <w:vAlign w:val="bottom"/>
          </w:tcPr>
          <w:p>
            <w:pPr>
              <w:ind w:left="1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18.4</w:t>
            </w:r>
          </w:p>
        </w:tc>
        <w:tc>
          <w:tcPr>
            <w:tcW w:w="220" w:type="dxa"/>
            <w:vAlign w:val="bottom"/>
          </w:tcPr>
          <w:p>
            <w:pPr>
              <w:spacing w:after="0"/>
              <w:rPr>
                <w:sz w:val="22"/>
                <w:szCs w:val="22"/>
                <w:color w:val="auto"/>
              </w:rPr>
            </w:pPr>
          </w:p>
        </w:tc>
        <w:tc>
          <w:tcPr>
            <w:tcW w:w="152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18.4</w:t>
            </w:r>
          </w:p>
        </w:tc>
      </w:tr>
      <w:tr>
        <w:trPr>
          <w:trHeight w:val="280"/>
        </w:trPr>
        <w:tc>
          <w:tcPr>
            <w:tcW w:w="4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(11.9)</w:t>
            </w:r>
          </w:p>
        </w:tc>
        <w:tc>
          <w:tcPr>
            <w:tcW w:w="2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bl>
    <w:p>
      <w:pPr>
        <w:spacing w:after="0" w:line="1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882" w:right="339" w:bottom="1440" w:gutter="0" w:footer="0" w:header="0"/>
        </w:sectPr>
      </w:pPr>
    </w:p>
    <w:bookmarkStart w:id="22" w:name="page23"/>
    <w:bookmarkEnd w:id="22"/>
    <w:p>
      <w:pPr>
        <w:ind w:right="220"/>
        <w:spacing w:after="0" w:line="253"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values of equity method investments and investments measured under the measurement alternative for equity investments that do not have readily determinable fair values are not readily available.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March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75"/>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center"/>
              <w:ind w:right="82"/>
              <w:spacing w:after="0"/>
              <w:rPr>
                <w:sz w:val="20"/>
                <w:szCs w:val="20"/>
                <w:color w:val="auto"/>
              </w:rPr>
            </w:pPr>
            <w:r>
              <w:rPr>
                <w:rFonts w:ascii="Arial" w:cs="Arial" w:eastAsia="Arial" w:hAnsi="Arial"/>
                <w:sz w:val="14"/>
                <w:szCs w:val="14"/>
                <w:b w:val="1"/>
                <w:bCs w:val="1"/>
                <w:color w:val="auto"/>
              </w:rPr>
              <w:t>Less Than</w:t>
            </w:r>
          </w:p>
        </w:tc>
        <w:tc>
          <w:tcPr>
            <w:tcW w:w="420" w:type="dxa"/>
            <w:vAlign w:val="bottom"/>
          </w:tcPr>
          <w:p>
            <w:pPr>
              <w:spacing w:after="0"/>
              <w:rPr>
                <w:sz w:val="15"/>
                <w:szCs w:val="15"/>
                <w:color w:val="auto"/>
              </w:rPr>
            </w:pPr>
          </w:p>
        </w:tc>
        <w:tc>
          <w:tcPr>
            <w:tcW w:w="1060" w:type="dxa"/>
            <w:vAlign w:val="bottom"/>
          </w:tcPr>
          <w:p>
            <w:pPr>
              <w:jc w:val="center"/>
              <w:ind w:right="302"/>
              <w:spacing w:after="0"/>
              <w:rPr>
                <w:sz w:val="20"/>
                <w:szCs w:val="20"/>
                <w:color w:val="auto"/>
              </w:rPr>
            </w:pPr>
            <w:r>
              <w:rPr>
                <w:rFonts w:ascii="Arial" w:cs="Arial" w:eastAsia="Arial" w:hAnsi="Arial"/>
                <w:sz w:val="14"/>
                <w:szCs w:val="14"/>
                <w:b w:val="1"/>
                <w:bCs w:val="1"/>
                <w:color w:val="auto"/>
                <w:w w:val="98"/>
              </w:rPr>
              <w:t>1-5</w:t>
            </w:r>
          </w:p>
        </w:tc>
        <w:tc>
          <w:tcPr>
            <w:tcW w:w="280" w:type="dxa"/>
            <w:vAlign w:val="bottom"/>
          </w:tcPr>
          <w:p>
            <w:pPr>
              <w:spacing w:after="0"/>
              <w:rPr>
                <w:sz w:val="15"/>
                <w:szCs w:val="15"/>
                <w:color w:val="auto"/>
              </w:rPr>
            </w:pPr>
          </w:p>
        </w:tc>
        <w:tc>
          <w:tcPr>
            <w:tcW w:w="980" w:type="dxa"/>
            <w:vAlign w:val="bottom"/>
          </w:tcPr>
          <w:p>
            <w:pPr>
              <w:jc w:val="right"/>
              <w:ind w:right="402"/>
              <w:spacing w:after="0"/>
              <w:rPr>
                <w:sz w:val="20"/>
                <w:szCs w:val="20"/>
                <w:color w:val="auto"/>
              </w:rPr>
            </w:pPr>
            <w:r>
              <w:rPr>
                <w:rFonts w:ascii="Arial" w:cs="Arial" w:eastAsia="Arial" w:hAnsi="Arial"/>
                <w:sz w:val="14"/>
                <w:szCs w:val="14"/>
                <w:b w:val="1"/>
                <w:bCs w:val="1"/>
                <w:color w:val="auto"/>
              </w:rPr>
              <w:t>6-10</w:t>
            </w:r>
          </w:p>
        </w:tc>
        <w:tc>
          <w:tcPr>
            <w:tcW w:w="300" w:type="dxa"/>
            <w:vAlign w:val="bottom"/>
          </w:tcPr>
          <w:p>
            <w:pPr>
              <w:spacing w:after="0"/>
              <w:rPr>
                <w:sz w:val="15"/>
                <w:szCs w:val="15"/>
                <w:color w:val="auto"/>
              </w:rPr>
            </w:pPr>
          </w:p>
        </w:tc>
        <w:tc>
          <w:tcPr>
            <w:tcW w:w="104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4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9"/>
              </w:rPr>
              <w:t>1 Year</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10 Years</w:t>
            </w:r>
          </w:p>
        </w:tc>
      </w:tr>
      <w:tr>
        <w:trPr>
          <w:trHeight w:val="269"/>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517.8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73.3</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240.3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77.0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127.2</w:t>
            </w:r>
          </w:p>
        </w:tc>
      </w:tr>
    </w:tbl>
    <w:p>
      <w:pPr>
        <w:spacing w:after="0" w:line="3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net unrealized gains recognized in our consolidated condensed statements of operations for equity securities were $164.7 million and $149.6 million for the three months ended March 31, 2020 and 2019, respectively.</w:t>
      </w:r>
    </w:p>
    <w:p>
      <w:pPr>
        <w:spacing w:after="0" w:line="9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 term prospects of the issuer, general market conditions, and industry specific factors. Adjustments recorded during the three months ended March 31, 2020 and 2019 were not material.</w:t>
      </w:r>
    </w:p>
    <w:p>
      <w:pPr>
        <w:spacing w:after="0" w:line="9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in accumulated other comprehensive loss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2019</w:t>
            </w:r>
          </w:p>
        </w:tc>
      </w:tr>
      <w:tr>
        <w:trPr>
          <w:trHeight w:val="270"/>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gross gains</w:t>
            </w:r>
          </w:p>
        </w:tc>
        <w:tc>
          <w:tcPr>
            <w:tcW w:w="1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r>
      <w:tr>
        <w:trPr>
          <w:trHeight w:val="263"/>
        </w:trPr>
        <w:tc>
          <w:tcPr>
            <w:tcW w:w="588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1900" w:type="dxa"/>
            <w:vAlign w:val="bottom"/>
          </w:tcPr>
          <w:p>
            <w:pPr>
              <w:spacing w:after="0"/>
              <w:rPr>
                <w:sz w:val="22"/>
                <w:szCs w:val="22"/>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b w:val="1"/>
                <w:bCs w:val="1"/>
                <w:color w:val="auto"/>
              </w:rPr>
              <w:t>3.7</w:t>
            </w:r>
          </w:p>
        </w:tc>
        <w:tc>
          <w:tcPr>
            <w:tcW w:w="280" w:type="dxa"/>
            <w:vAlign w:val="bottom"/>
          </w:tcPr>
          <w:p>
            <w:pPr>
              <w:spacing w:after="0"/>
              <w:rPr>
                <w:sz w:val="22"/>
                <w:szCs w:val="22"/>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4.0</w:t>
            </w:r>
          </w:p>
        </w:tc>
      </w:tr>
      <w:tr>
        <w:trPr>
          <w:trHeight w:val="277"/>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19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297.7</w:t>
            </w: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426.5</w:t>
            </w:r>
          </w:p>
        </w:tc>
      </w:tr>
      <w:tr>
        <w:trPr>
          <w:trHeight w:val="257"/>
        </w:trPr>
        <w:tc>
          <w:tcPr>
            <w:tcW w:w="588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1900" w:type="dxa"/>
            <w:vAlign w:val="bottom"/>
          </w:tcPr>
          <w:p>
            <w:pPr>
              <w:spacing w:after="0"/>
              <w:rPr>
                <w:sz w:val="22"/>
                <w:szCs w:val="22"/>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b w:val="1"/>
                <w:bCs w:val="1"/>
                <w:color w:val="auto"/>
              </w:rPr>
              <w:t>63.8</w:t>
            </w:r>
          </w:p>
        </w:tc>
        <w:tc>
          <w:tcPr>
            <w:tcW w:w="280" w:type="dxa"/>
            <w:vAlign w:val="bottom"/>
          </w:tcPr>
          <w:p>
            <w:pPr>
              <w:spacing w:after="0"/>
              <w:rPr>
                <w:sz w:val="22"/>
                <w:szCs w:val="22"/>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141.1</w:t>
            </w:r>
          </w:p>
        </w:tc>
      </w:tr>
    </w:tbl>
    <w:p>
      <w:pPr>
        <w:spacing w:after="0" w:line="33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periodically assess our investment in available-for-sale securities for other-than-temporary impairment losses. Other than temporary impairment losses were not material in the three months ended March 31, 2020. There were no other-than-temporary impairment losses in the three months ended March 31, 2019.</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debt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Credit losses related to debt securities were not material in the three months ended March 31, 2020.</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March 31, 2020, the available-for-sale securities in an unrealized loss position include primarily fixed-rate debt securities of varying maturities, which are sensitive to changes in the yield curve and other market conditions. Approximately 96 percent of the fixed-rate debt securities in a loss position are investment-grade debt securities. As of March 31, 2020,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67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Activity related to our investment portfolio, substantially all of which related to equity and available-for-sale securities, was as follows:</w:t>
      </w:r>
    </w:p>
    <w:p>
      <w:pPr>
        <w:spacing w:after="0" w:line="159"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14605</wp:posOffset>
            </wp:positionV>
            <wp:extent cx="13716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r>
      <w:tr>
        <w:trPr>
          <w:trHeight w:val="270"/>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35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63.3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93.7</w:t>
            </w:r>
          </w:p>
        </w:tc>
      </w:tr>
      <w:tr>
        <w:trPr>
          <w:trHeight w:val="263"/>
        </w:trPr>
        <w:tc>
          <w:tcPr>
            <w:tcW w:w="580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352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11.6</w:t>
            </w:r>
          </w:p>
        </w:tc>
        <w:tc>
          <w:tcPr>
            <w:tcW w:w="340" w:type="dxa"/>
            <w:vAlign w:val="bottom"/>
          </w:tcPr>
          <w:p>
            <w:pPr>
              <w:spacing w:after="0"/>
              <w:rPr>
                <w:sz w:val="22"/>
                <w:szCs w:val="22"/>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2.5</w:t>
            </w:r>
          </w:p>
        </w:tc>
      </w:tr>
      <w:tr>
        <w:trPr>
          <w:trHeight w:val="277"/>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gross losses on sales</w:t>
            </w:r>
          </w:p>
        </w:tc>
        <w:tc>
          <w:tcPr>
            <w:tcW w:w="35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0.8</w:t>
            </w: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r>
    </w:tbl>
    <w:p>
      <w:pPr>
        <w:spacing w:after="0" w:line="32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$687.0 million and $678.8 million of accounts receivable as of March 31, 2020 and December 31, 2019, respectively, under these factoring arrangements. The costs of factoring such accounts receivable on our consolidated condensed results of operations for the three months ended March 31, 2020 and 2019 were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93"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The effective tax rates were 13.3 percent and 23.3 percent for the three months ended March 31, 2020 and 2019, respectively. The higher effective tax rate in the first quarter of 2019 was primarily due to the non-deductibility of the accelerated vesting of Loxo employee equity awards as part of the closing of the acquisition of Loxo, as well as tax expenses associated with the withdrawal of Lartruvo</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During the fourth quarter of 2019, the Internal Revenue Service began its examination of tax years 2016-2018. Because this examination is still in the early stages of information gathering, the resolution of the audit will likely extend beyond the next 12 months.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67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9: 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213" w:lineRule="exact"/>
        <w:rPr>
          <w:sz w:val="20"/>
          <w:szCs w:val="20"/>
          <w:color w:val="auto"/>
        </w:rPr>
      </w:pPr>
    </w:p>
    <w:p>
      <w:pPr>
        <w:jc w:val="right"/>
        <w:ind w:right="480"/>
        <w:spacing w:after="0"/>
        <w:rPr>
          <w:sz w:val="20"/>
          <w:szCs w:val="20"/>
          <w:color w:val="auto"/>
        </w:rPr>
      </w:pPr>
      <w:r>
        <w:rPr>
          <w:rFonts w:ascii="Arial" w:cs="Arial" w:eastAsia="Arial" w:hAnsi="Arial"/>
          <w:sz w:val="14"/>
          <w:szCs w:val="14"/>
          <w:b w:val="1"/>
          <w:bCs w:val="1"/>
          <w:color w:val="auto"/>
        </w:rPr>
        <w:t>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26035</wp:posOffset>
            </wp:positionV>
            <wp:extent cx="19373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49"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14605</wp:posOffset>
            </wp:positionV>
            <wp:extent cx="19373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85" w:lineRule="exact"/>
        <w:rPr>
          <w:sz w:val="20"/>
          <w:szCs w:val="20"/>
          <w:color w:val="auto"/>
        </w:rPr>
      </w:pPr>
    </w:p>
    <w:p>
      <w:pPr>
        <w:ind w:left="8760"/>
        <w:spacing w:after="0"/>
        <w:tabs>
          <w:tab w:leader="none" w:pos="103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Components of net periodic benefit cost:</w:t>
      </w:r>
    </w:p>
    <w:p>
      <w:pPr>
        <w:sectPr>
          <w:pgSz w:w="11900" w:h="16838" w:orient="portrait"/>
          <w:cols w:equalWidth="0" w:num="1">
            <w:col w:w="11240"/>
          </w:cols>
          <w:pgMar w:left="320" w:top="549" w:right="339" w:bottom="1440" w:gutter="0" w:footer="0" w:header="0"/>
        </w:sectPr>
      </w:pP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Expected return on plan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Amortization of prior service cost</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Recognized actuarial loss</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periodic benefit cost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tabs>
          <w:tab w:leader="none" w:pos="960" w:val="left"/>
          <w:tab w:leader="none" w:pos="1560" w:val="left"/>
          <w:tab w:leader="none" w:pos="25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78.7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28575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18"/>
          <w:szCs w:val="18"/>
          <w:b w:val="1"/>
          <w:bCs w:val="1"/>
          <w:color w:val="auto"/>
        </w:rPr>
        <w:t>105.0</w:t>
      </w:r>
      <w:r>
        <w:rPr>
          <w:sz w:val="20"/>
          <w:szCs w:val="20"/>
          <w:color w:val="auto"/>
        </w:rPr>
        <w:tab/>
      </w:r>
      <w:r>
        <w:rPr>
          <w:rFonts w:ascii="Arial" w:cs="Arial" w:eastAsia="Arial" w:hAnsi="Arial"/>
          <w:sz w:val="18"/>
          <w:szCs w:val="18"/>
          <w:color w:val="auto"/>
        </w:rPr>
        <w:t>120.7</w:t>
      </w:r>
    </w:p>
    <w:p>
      <w:pPr>
        <w:spacing w:after="0" w:line="63" w:lineRule="exact"/>
        <w:rPr>
          <w:sz w:val="20"/>
          <w:szCs w:val="20"/>
          <w:color w:val="auto"/>
        </w:rPr>
      </w:pPr>
    </w:p>
    <w:p>
      <w:pPr>
        <w:jc w:val="right"/>
        <w:ind w:right="40"/>
        <w:spacing w:after="0"/>
        <w:tabs>
          <w:tab w:leader="none" w:pos="560" w:val="left"/>
        </w:tabs>
        <w:rPr>
          <w:sz w:val="20"/>
          <w:szCs w:val="20"/>
          <w:color w:val="auto"/>
        </w:rPr>
      </w:pPr>
      <w:r>
        <w:rPr>
          <w:rFonts w:ascii="Arial" w:cs="Arial" w:eastAsia="Arial" w:hAnsi="Arial"/>
          <w:sz w:val="18"/>
          <w:szCs w:val="18"/>
          <w:b w:val="1"/>
          <w:bCs w:val="1"/>
          <w:color w:val="auto"/>
        </w:rPr>
        <w:t>(221.2)</w:t>
      </w:r>
      <w:r>
        <w:rPr>
          <w:sz w:val="20"/>
          <w:szCs w:val="20"/>
          <w:color w:val="auto"/>
        </w:rPr>
        <w:tab/>
      </w:r>
      <w:r>
        <w:rPr>
          <w:rFonts w:ascii="Arial" w:cs="Arial" w:eastAsia="Arial" w:hAnsi="Arial"/>
          <w:sz w:val="18"/>
          <w:szCs w:val="18"/>
          <w:color w:val="auto"/>
        </w:rPr>
        <w:t>(211.1)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28575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080"/>
        <w:spacing w:after="0"/>
        <w:tabs>
          <w:tab w:leader="none" w:pos="2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1.5</w:t>
      </w:r>
    </w:p>
    <w:p>
      <w:pPr>
        <w:spacing w:after="0" w:line="63"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8"/>
          <w:szCs w:val="18"/>
          <w:color w:val="auto"/>
        </w:rPr>
        <w:t>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28575</wp:posOffset>
            </wp:positionV>
            <wp:extent cx="7132320" cy="196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57" w:lineRule="exact"/>
        <w:rPr>
          <w:sz w:val="20"/>
          <w:szCs w:val="20"/>
          <w:color w:val="auto"/>
        </w:rPr>
      </w:pPr>
    </w:p>
    <w:p>
      <w:pPr>
        <w:spacing w:after="0"/>
        <w:tabs>
          <w:tab w:leader="none" w:pos="960" w:val="left"/>
          <w:tab w:leader="none" w:pos="1560" w:val="left"/>
          <w:tab w:leader="none" w:pos="25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74.6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42.5</w:t>
      </w: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Retiree Health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26035</wp:posOffset>
            </wp:positionV>
            <wp:extent cx="19373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49"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14605</wp:posOffset>
            </wp:positionV>
            <wp:extent cx="19373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7500" w:space="720"/>
            <w:col w:w="302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69"/>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income:</w:t>
            </w:r>
          </w:p>
        </w:tc>
        <w:tc>
          <w:tcPr>
            <w:tcW w:w="9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940" w:type="dxa"/>
            <w:vAlign w:val="bottom"/>
          </w:tcPr>
          <w:p>
            <w:pPr>
              <w:jc w:val="right"/>
              <w:ind w:right="716"/>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rPr>
              <w:t>9.8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8.8</w:t>
            </w: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9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11.0</w:t>
            </w: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9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(37.4)</w:t>
            </w:r>
          </w:p>
        </w:tc>
        <w:tc>
          <w:tcPr>
            <w:tcW w:w="4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benefit</w:t>
            </w:r>
          </w:p>
        </w:tc>
        <w:tc>
          <w:tcPr>
            <w:tcW w:w="9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64"/>
        </w:trPr>
        <w:tc>
          <w:tcPr>
            <w:tcW w:w="81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9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0.8</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0.5</w:t>
            </w:r>
          </w:p>
        </w:tc>
      </w:tr>
      <w:tr>
        <w:trPr>
          <w:trHeight w:val="277"/>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income</w:t>
            </w:r>
          </w:p>
        </w:tc>
        <w:tc>
          <w:tcPr>
            <w:tcW w:w="94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bl>
    <w:p>
      <w:pPr>
        <w:spacing w:after="0" w:line="200" w:lineRule="exact"/>
        <w:rPr>
          <w:sz w:val="20"/>
          <w:szCs w:val="20"/>
          <w:color w:val="auto"/>
        </w:rPr>
      </w:pPr>
    </w:p>
    <w:p>
      <w:pPr>
        <w:spacing w:after="0" w:line="23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contributed approximately $15 million to satisfy minimum funding requirements to our defined benefit pension and retiree health benefit plans during the three months ended March 31, 2020. There was no additional discretionary funding during the three months ended March 31, 2020. In April 2020, we made a $200 million discretionary contribution to our defined benefit pension plans, and during the remainder of 2020, we expect to make contributions of approximately $15 million to our defined benefit pension and retiree health plans to satisfy minimum funding requirements.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549"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10: Contingencies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Alimta Patent Litigation and Administrative Proceedings</w:t>
      </w:r>
    </w:p>
    <w:p>
      <w:pPr>
        <w:spacing w:after="0" w:line="2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number of manufacturers are seeking approvals in the U.S., a number of countries in Europe, and Japan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in the U.S. could have a material adverse impact on our future consolidated results of operations, liquidity, and financial position. We expect that a loss of exclusivity for Alimta in any of the below jurisdictions would result in a rapid and severe decline in future revenue for the product in the relevant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Patent Litigation and Administrative Proceedings</w:t>
      </w:r>
    </w:p>
    <w:p>
      <w:pPr>
        <w:spacing w:after="0" w:line="24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June 2018, the U.S. District Court for the Southern District of Indiana ruled in our favor in two cases, finding Dr. Reddy's Laboratories' (Dr. Reddy) and Hospira, Inc.'s (Hospira) proposed products using an alternative form of pemetrexed (the active ingredient in Alimta) would infringe our method of use patent under the doctrine of equivalents. The district court also ruled that the use of Hospira’s proposed product would literally infringe our method of use patent. In August 2019, the U.S. Court of Appeals for the Federal Circuit affirmed the district court’s ruling that the use of Dr. Reddy’s and Hospira’s proposed products would infringe our patent under the doctrine of equivalents but reversed the finding of literal infringement with respect to Hospira’s product. In November 2019, the court denied Dr. Reddy and Hospira’s petition for rehearing of the court’s doctrine of equivalents ruling. Dr. Reddy and Hospira have petitioned the U.S. Supreme Court to review the case.</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two additional lawsuits pending in federal courts in which we allege infringement against Actavis LLC (Actavis) and Apotex Inc. (Apotex) in response to their applications to market products using alternative forms of pemetrexed. In December 2019, the U.S. District Court for the Southern District of Indiana granted our motion for summary judgment of infringement under the doctrine of equivalents against Apotex. Apotex has appealed that ruling to the U.S. Court of Appeals for the Federal Circuit. The lawsuit against Actavis pending in the U.S. District Court for the Southern District of Indiana has been stayed, pending the conclusion of the Dr. Reddy and Hospira appeals (described above).</w:t>
      </w:r>
    </w:p>
    <w:p>
      <w:pPr>
        <w:spacing w:after="0" w:line="100" w:lineRule="exact"/>
        <w:rPr>
          <w:sz w:val="20"/>
          <w:szCs w:val="20"/>
          <w:color w:val="auto"/>
        </w:rPr>
      </w:pPr>
    </w:p>
    <w:p>
      <w:pPr>
        <w:jc w:val="both"/>
        <w:ind w:right="540"/>
        <w:spacing w:after="0" w:line="254" w:lineRule="auto"/>
        <w:rPr>
          <w:sz w:val="20"/>
          <w:szCs w:val="20"/>
          <w:color w:val="auto"/>
        </w:rPr>
      </w:pPr>
      <w:r>
        <w:rPr>
          <w:rFonts w:ascii="Arial" w:cs="Arial" w:eastAsia="Arial" w:hAnsi="Arial"/>
          <w:sz w:val="18"/>
          <w:szCs w:val="18"/>
          <w:color w:val="auto"/>
        </w:rPr>
        <w:t>In December 2019, we settled a lawsuit we filed against Eagle Pharmaceuticals, Inc. (Eagle) in response to its application to market a product using an alternative form of pemetrexed. Per the settlement agreement, Eagle has a limited initial entry into the market with its product starting February 2022 (up to an approximate three-week supply) and subsequent unlimited entry starting April 2022. Alimta is protected by a vitamin regimen patent until 2021, plus pediatric exclusivity through May 2022.</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Patent Litigation</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Legal proceedings are ongoing regarding our Alimta patents in various national courts throughout Europe. We are aware that several companies have received approval to market generic versions of pemetrexed in major European markets (including generics currently on the market at risk in France, Germany, and the Netherlands) and that additional generic competitors may choose to launch at risk. We will continue to seek to remove any generic pemetrexed products launched at risk in European markets, seek damages with respect to such launches, and defend our patents against validity challenges.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Japanese Administrative Proceedings</w:t>
      </w:r>
    </w:p>
    <w:p>
      <w:pPr>
        <w:spacing w:after="0" w:line="24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Three separate sets of demands for invalidation of our two Japanese vitamin regimen patents, involving several companies, have been filed with the Japanese Patent Office (JPO). The JPO has rejected demands for invalidation by Sawai Pharmaceutical Co., Ltd. and Nipro Corporation, and both rejections have been affirmed on appeal. The JPO scheduled a hearing in March 2020 concerning the demands brought by Hospira, but the hearing has been</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549" w:right="379" w:bottom="1440" w:gutter="0" w:footer="0" w:header="0"/>
        </w:sectPr>
      </w:pPr>
    </w:p>
    <w:bookmarkStart w:id="26" w:name="page27"/>
    <w:bookmarkEnd w:id="26"/>
    <w:p>
      <w:pPr>
        <w:ind w:right="300"/>
        <w:spacing w:after="0" w:line="254" w:lineRule="auto"/>
        <w:rPr>
          <w:sz w:val="20"/>
          <w:szCs w:val="20"/>
          <w:color w:val="auto"/>
        </w:rPr>
      </w:pPr>
      <w:r>
        <w:rPr>
          <w:rFonts w:ascii="Arial" w:cs="Arial" w:eastAsia="Arial" w:hAnsi="Arial"/>
          <w:sz w:val="18"/>
          <w:szCs w:val="18"/>
          <w:color w:val="auto"/>
        </w:rPr>
        <w:t>postponed because of the COVID-19 pandemic and the court has not yet scheduled a new date for the hearing. If upheld through all challenges, these patents would provide intellectual property protection for Alimta until June 2021. Notwithstanding our patents, generic versions of Alimta received regulatory approval in Japan starting in February 2016. We do not currently anticipate that generic versions of Alimta will proceed to pricing approval.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Jardiance Patent Litigation</w:t>
      </w:r>
    </w:p>
    <w:p>
      <w:pPr>
        <w:spacing w:after="0" w:line="24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Boehringer Ingelheim, our partner in marketing and development of Jardiance, initiated U.S. patent litigation in the U.S. District Court of Delaware involving Jardiance, Glyxambi, and Synjardy in accordance with the procedures set out in the Drug Price Competition and Patent Term Restoration Act of 1984 (the Hatch-Waxman Act). Several companies submitted Abbreviated New Drug Applications seeking approval to market generic versions of Jardiance prior to the expiration of the relevant patents, alleging certain patents, including in some allegations the compound patent, are invalid or would not be infringed. Trial is scheduled for April 2021.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Taltz Patent Litigation</w:t>
      </w:r>
    </w:p>
    <w:p>
      <w:pPr>
        <w:spacing w:after="0" w:line="24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have been named as a defendant in litigation filed by Genentech, Inc. (Genentech) in the U.S. District Court for the Southern District of California seeking a ruling that Genentech’s patent would be infringed by our continued sales of Taltz. Separately, the U.S. Patent and Trademark Office (USPTO) granted our request to initiate a post grant review (PGR) to examine the validity of Genentech’s patent asserted against us in the litigation. Genentech asked the USPTO to enter adverse judgment against it in the PGR proceeding, and the district court case has been dismissed with prejudice naming us the prevailing party. We have filed a motion seeking attorneys' fees and costs related to our successful defense.</w:t>
      </w:r>
    </w:p>
    <w:p>
      <w:pPr>
        <w:spacing w:after="0" w:line="10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also been named as defendant in litigation filed by Genentech in Germany asserting infringement of a related Genentech patent by sales of Taltz in Germany. We expect a trial to assess Genentech's infringement claims could take place in 2021. We have been named in litigation in the U.K. in which Genentech has asserted similar claims regarding Genentech’s corresponding U.K. patent.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lawsuits are without merit and we are vigorously defending against them.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243"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 xml:space="preserve">We have been named as a defendant in litigation filed by Teva Pharmaceuticals International GMBH and Teva Pharmaceuticals USA, Inc. (collectively, Teva) in the U.S. District Court for the District of Massachusetts seeking a ruling that various claims in nine different Teva patents would be infringed by our launch and continued sales of Emgality for the prevention of migraine in adults. We believe this lawsuit is without merit and are defending against it vigorously. Separately, the USPTO granted our request to initiate an </w:t>
      </w:r>
      <w:r>
        <w:rPr>
          <w:rFonts w:ascii="Arial" w:cs="Arial" w:eastAsia="Arial" w:hAnsi="Arial"/>
          <w:sz w:val="18"/>
          <w:szCs w:val="18"/>
          <w:i w:val="1"/>
          <w:iCs w:val="1"/>
          <w:color w:val="auto"/>
        </w:rPr>
        <w:t>inter partes review</w:t>
      </w:r>
      <w:r>
        <w:rPr>
          <w:rFonts w:ascii="Arial" w:cs="Arial" w:eastAsia="Arial" w:hAnsi="Arial"/>
          <w:sz w:val="18"/>
          <w:szCs w:val="18"/>
          <w:color w:val="auto"/>
        </w:rPr>
        <w:t xml:space="preserve"> (IPR) to reexamine the validity of the nine Teva patents asserted against us in the litigation. In February 2020, the USPTO ruled in our favor and found that the claims asserted against us in six of Teva's nine patents were invalid. In March 2020, the USPTO ruled against us on the remaining three Teva patents, finding that we failed to show that the remaining three patents were unpatentable based on the subset of invalidity arguments available in an IPR proceeding. We plan to appeal the USPTO's March 2020 ruling. The district court litigation will proceed in parallel with any appeals of the IPR rulings on the nine Teva patents.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Litigation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Cymbalta Product Liability Litigation</w:t>
      </w:r>
    </w:p>
    <w:p>
      <w:pPr>
        <w:spacing w:after="0" w:line="2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were named as a defendant in a purported class-action lawsuit in the U.S. District Court for the Central District of California (now called </w:t>
      </w:r>
      <w:r>
        <w:rPr>
          <w:rFonts w:ascii="Arial" w:cs="Arial" w:eastAsia="Arial" w:hAnsi="Arial"/>
          <w:sz w:val="18"/>
          <w:szCs w:val="18"/>
          <w:i w:val="1"/>
          <w:iCs w:val="1"/>
          <w:color w:val="auto"/>
        </w:rPr>
        <w:t>Strafford et al. v. Eli Lilly and Company</w:t>
      </w:r>
      <w:r>
        <w:rPr>
          <w:rFonts w:ascii="Arial" w:cs="Arial" w:eastAsia="Arial" w:hAnsi="Arial"/>
          <w:sz w:val="18"/>
          <w:szCs w:val="18"/>
          <w:color w:val="auto"/>
        </w:rPr>
        <w:t>) involving Cymbalta. The plaintiffs, purporting to represent a class of persons who purchased and/or</w:t>
      </w:r>
      <w:r>
        <w:rPr>
          <w:rFonts w:ascii="Arial" w:cs="Arial" w:eastAsia="Arial" w:hAnsi="Arial"/>
          <w:sz w:val="18"/>
          <w:szCs w:val="18"/>
          <w:i w:val="1"/>
          <w:iCs w:val="1"/>
          <w:color w:val="auto"/>
        </w:rPr>
        <w:t xml:space="preserve"> </w:t>
      </w:r>
      <w:r>
        <w:rPr>
          <w:rFonts w:ascii="Arial" w:cs="Arial" w:eastAsia="Arial" w:hAnsi="Arial"/>
          <w:sz w:val="18"/>
          <w:szCs w:val="18"/>
          <w:color w:val="auto"/>
        </w:rPr>
        <w:t>paid for Cymbalta, asserted claims under the consumer protection statutes of California, Massachusetts, Missouri, and New York, and sought declaratory, injunctive, and monetary relief for various alleged economic injuries arising from their purchases. After the district court denied the plaintiffs' motions for class certification, plaintiffs voluntarily dismissed their claims. The plaintiffs subsequently appealed to the U.S. Court of Appeals for the Ninth Circuit. In November 2017, the U.S. Court of Appeals for the Ninth Circuit dismissed the appeal for lack of jurisdiction. In July 2018, the U.S. District Court for the Central District of California denied the plaintiffs’ motion to reopen the case. In January 2020, the Ninth Circuit affirmed the district court's decision and subsequently denied plaintiffs’ petition for rehearing.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679"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the 15th Region in the Labor Court of Paulinia, State of Sao Paulo, Brazil, alleging possible harm to employees and former employees caused by exposure to heavy metals at a former Lilly Brasil manufacturing facility in Cosmopolis, Brazil, operated by the company between 1977 and 2003. In May 2014, the labor court judge ruled against Lilly Brasil, ordering it to undertake several actions of unspecified financial impact, including paying lifetime health coverage for the employees and contractors who worked at the Cosmopolis facility more than six months during the affected years and their children born during and after this period. We appealed this decision. In July 2018, the appeals court affirmed the labor court's ruling with the total financial impact of the ruling estimated to be approximately 500 million Brazilian real (approximately $95 million as of March 31, 2020). The appeals court restricted the broad health coverage awarded by the labor court to health problems that claimants could show arose from exposure to the alleged contamination. In August 2019, Lilly Brasil filed an appeal to the superior labor court. In September 2019, the appeals court stayed a number of elements of its prior decision, including the obligation to provide health coverage for contractors, their children, and children of employees who worked at the Cosmopolis facility, pending the determination of Lilly Brasil’s appeal to the superior labor court.</w:t>
      </w:r>
    </w:p>
    <w:p>
      <w:pPr>
        <w:spacing w:after="0" w:line="210"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In June 2019, the Labor Attorney filed an application in the labor court for enforcement of the healthcare coverage granted by the appeals court in its July 2018 ruling and requested restrictions on Lilly Brasil’s assets in Brazil. In July 2019, the labor court issued a ruling requiring either a freeze of Lilly Brasil’s immovable property or, alternatively, a security deposit of 500 million Brazilian real (approximately $95 million as of March 31, 2020). Lilly Brasil filed a writ of mandamus challenging this ruling, but the court stayed its decision on this writ and instead directed the parties to attend conciliation hearings, a process which is ongoing. The labor court also stayed the Labor Attorney’s application to enforce the previous healthcare coverage ruling until after the appeals court ruled on the various motions pending before it. If the conciliation hearings are unsuccessful, once concluded, we intend to file a motion to strike the Labor Attorney’s application to enforce the previous healthcare coverage given the appeals court’s stay in September 2019 of a number of elements of its prior decision described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Former Employee Litigation</w:t>
      </w:r>
    </w:p>
    <w:p>
      <w:pPr>
        <w:spacing w:after="0" w:line="24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are also named in approximately 30 lawsuits filed in the same labor court by individual former employees making similar claims. These lawsuits are each at various stages in the litigation process, with judgments being handed down in approximately half of the lawsuits, nearly all of which are on appeal in the labor courts.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lawsuits are without merit and are defending against them vigorously.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 Litigation, Investigations, and Inquiries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We, along with Sanofi and Novo Nordisk, are named as defendants in a consolidated purported class action lawsuit, </w:t>
      </w:r>
      <w:r>
        <w:rPr>
          <w:rFonts w:ascii="Arial" w:cs="Arial" w:eastAsia="Arial" w:hAnsi="Arial"/>
          <w:sz w:val="18"/>
          <w:szCs w:val="18"/>
          <w:i w:val="1"/>
          <w:iCs w:val="1"/>
          <w:color w:val="auto"/>
        </w:rPr>
        <w:t>In re. Insulin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in the U.S. District Court of New Jersey relating to insulin pricing seeking damages under various state consumer protection laws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 Federal Racketeer Influenced and Corrupt Organization Act (federal RICO Act). Separately, we, along with Sanofi and Novo Nordisk, are named as defendants in </w:t>
      </w:r>
      <w:r>
        <w:rPr>
          <w:rFonts w:ascii="Arial" w:cs="Arial" w:eastAsia="Arial" w:hAnsi="Arial"/>
          <w:sz w:val="18"/>
          <w:szCs w:val="18"/>
          <w:i w:val="1"/>
          <w:iCs w:val="1"/>
          <w:color w:val="auto"/>
        </w:rPr>
        <w:t>MSP Recovery Claims, Series, LLC et al. v. Sanofi Aventis U.S. LLC et al.</w:t>
      </w:r>
      <w:r>
        <w:rPr>
          <w:rFonts w:ascii="Arial" w:cs="Arial" w:eastAsia="Arial" w:hAnsi="Arial"/>
          <w:sz w:val="18"/>
          <w:szCs w:val="18"/>
          <w:color w:val="auto"/>
        </w:rPr>
        <w:t xml:space="preserve">, in the same court, seeking damages under various state consumer protection laws, common law fraud, unjust enrichment, and the federal RICO Act. In both </w:t>
      </w:r>
      <w:r>
        <w:rPr>
          <w:rFonts w:ascii="Arial" w:cs="Arial" w:eastAsia="Arial" w:hAnsi="Arial"/>
          <w:sz w:val="18"/>
          <w:szCs w:val="18"/>
          <w:i w:val="1"/>
          <w:iCs w:val="1"/>
          <w:color w:val="auto"/>
        </w:rPr>
        <w:t>In re. Insulin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MSP Recovery Claims </w:t>
      </w:r>
      <w:r>
        <w:rPr>
          <w:rFonts w:ascii="Arial" w:cs="Arial" w:eastAsia="Arial" w:hAnsi="Arial"/>
          <w:sz w:val="18"/>
          <w:szCs w:val="18"/>
          <w:color w:val="auto"/>
        </w:rPr>
        <w:t>litigation, the court dismissed claims under the federal RICO Act and certain state laws. Also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same court, we, along with Sanofi, Novo Nordisk, CVS, Express Scripts, and Optum, have been sued in a purported class action, </w:t>
      </w:r>
      <w:r>
        <w:rPr>
          <w:rFonts w:ascii="Arial" w:cs="Arial" w:eastAsia="Arial" w:hAnsi="Arial"/>
          <w:sz w:val="18"/>
          <w:szCs w:val="18"/>
          <w:i w:val="1"/>
          <w:iCs w:val="1"/>
          <w:color w:val="auto"/>
        </w:rPr>
        <w:t>FWK</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 LLC v. Novo Nordisk Inc., et al.</w:t>
      </w:r>
      <w:r>
        <w:rPr>
          <w:rFonts w:ascii="Arial" w:cs="Arial" w:eastAsia="Arial" w:hAnsi="Arial"/>
          <w:sz w:val="18"/>
          <w:szCs w:val="18"/>
          <w:color w:val="auto"/>
        </w:rPr>
        <w:t>, for alleged violations of the federal RICO Act as well as the New Jersey RICO Act and anti-trust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 That same group of defendants, along with Medco Health and United Health Group, also have been sued in other purported class actions in the same court, </w:t>
      </w:r>
      <w:r>
        <w:rPr>
          <w:rFonts w:ascii="Arial" w:cs="Arial" w:eastAsia="Arial" w:hAnsi="Arial"/>
          <w:sz w:val="18"/>
          <w:szCs w:val="18"/>
          <w:i w:val="1"/>
          <w:iCs w:val="1"/>
          <w:color w:val="auto"/>
        </w:rPr>
        <w:t>Rochester Drug Co-Operative Inc. v. Eli Lilly &amp; Co. et al.</w:t>
      </w:r>
      <w:r>
        <w:rPr>
          <w:rFonts w:ascii="Arial" w:cs="Arial" w:eastAsia="Arial" w:hAnsi="Arial"/>
          <w:sz w:val="18"/>
          <w:szCs w:val="18"/>
          <w:color w:val="auto"/>
        </w:rPr>
        <w:t xml:space="preserve"> and </w:t>
      </w:r>
      <w:r>
        <w:rPr>
          <w:rFonts w:ascii="Arial" w:cs="Arial" w:eastAsia="Arial" w:hAnsi="Arial"/>
          <w:sz w:val="18"/>
          <w:szCs w:val="18"/>
          <w:i w:val="1"/>
          <w:iCs w:val="1"/>
          <w:color w:val="auto"/>
        </w:rPr>
        <w:t>Value Drug Co. v. Eli Lilly &amp; Co. et al.</w:t>
      </w:r>
      <w:r>
        <w:rPr>
          <w:rFonts w:ascii="Arial" w:cs="Arial" w:eastAsia="Arial" w:hAnsi="Arial"/>
          <w:sz w:val="18"/>
          <w:szCs w:val="18"/>
          <w:color w:val="auto"/>
        </w:rPr>
        <w:t>, for alleged violations of the federal RICO Act.</w:t>
      </w:r>
    </w:p>
    <w:p>
      <w:pPr>
        <w:spacing w:after="0" w:line="8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The Minnesota Attorney General’s Office has initiated litigation against us, Sanofi, and Novo Nordisk, </w:t>
      </w:r>
      <w:r>
        <w:rPr>
          <w:rFonts w:ascii="Arial" w:cs="Arial" w:eastAsia="Arial" w:hAnsi="Arial"/>
          <w:sz w:val="18"/>
          <w:szCs w:val="18"/>
          <w:i w:val="1"/>
          <w:iCs w:val="1"/>
          <w:color w:val="auto"/>
        </w:rPr>
        <w:t>State of Minnesota v. Sanofi-Aventis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U.S. LLC et al., </w:t>
      </w:r>
      <w:r>
        <w:rPr>
          <w:rFonts w:ascii="Arial" w:cs="Arial" w:eastAsia="Arial" w:hAnsi="Arial"/>
          <w:sz w:val="18"/>
          <w:szCs w:val="18"/>
          <w:color w:val="auto"/>
        </w:rPr>
        <w:t>in the U.S. District Court of New Jersey, alleging unjust enrichment, violations of various Minnesota state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protection laws, and the federal RICO Act. Additionally, the Kentucky Attorney General’s Office filed a complaint against us, Sanofi, and Novo Nordisk, </w:t>
      </w:r>
      <w:r>
        <w:rPr>
          <w:rFonts w:ascii="Arial" w:cs="Arial" w:eastAsia="Arial" w:hAnsi="Arial"/>
          <w:sz w:val="18"/>
          <w:szCs w:val="18"/>
          <w:i w:val="1"/>
          <w:iCs w:val="1"/>
          <w:color w:val="auto"/>
        </w:rPr>
        <w:t>Commonwealth of Kentucky v. Novo Nordisk, Inc. et al.</w:t>
      </w:r>
      <w:r>
        <w:rPr>
          <w:rFonts w:ascii="Arial" w:cs="Arial" w:eastAsia="Arial" w:hAnsi="Arial"/>
          <w:sz w:val="18"/>
          <w:szCs w:val="18"/>
          <w:color w:val="auto"/>
        </w:rPr>
        <w:t>, in Kentucky state court, alleging violations of the Kentucky consumer</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711" w:right="359" w:bottom="1440" w:gutter="0" w:footer="0" w:header="0"/>
        </w:sectPr>
      </w:pPr>
    </w:p>
    <w:bookmarkStart w:id="28" w:name="page29"/>
    <w:bookmarkEnd w:id="28"/>
    <w:p>
      <w:pPr>
        <w:spacing w:after="0" w:line="253" w:lineRule="auto"/>
        <w:rPr>
          <w:sz w:val="20"/>
          <w:szCs w:val="20"/>
          <w:color w:val="auto"/>
        </w:rPr>
      </w:pPr>
      <w:r>
        <w:rPr>
          <w:rFonts w:ascii="Arial" w:cs="Arial" w:eastAsia="Arial" w:hAnsi="Arial"/>
          <w:sz w:val="18"/>
          <w:szCs w:val="18"/>
          <w:color w:val="auto"/>
        </w:rPr>
        <w:t xml:space="preserve">protection law, false advertising, and unjust enrichment. Harris County in Texas filed a complaint against us, Sanofi, Novo Nordisk, Express Scripts, CVS, Optum, and Aetna, </w:t>
      </w:r>
      <w:r>
        <w:rPr>
          <w:rFonts w:ascii="Arial" w:cs="Arial" w:eastAsia="Arial" w:hAnsi="Arial"/>
          <w:sz w:val="18"/>
          <w:szCs w:val="18"/>
          <w:i w:val="1"/>
          <w:iCs w:val="1"/>
          <w:color w:val="auto"/>
        </w:rPr>
        <w:t>County of Harris Texas v. Eli Lilly &amp; Co., et al.</w:t>
      </w:r>
      <w:r>
        <w:rPr>
          <w:rFonts w:ascii="Arial" w:cs="Arial" w:eastAsia="Arial" w:hAnsi="Arial"/>
          <w:sz w:val="18"/>
          <w:szCs w:val="18"/>
          <w:color w:val="auto"/>
        </w:rPr>
        <w:t>, in federal court in the Southern District of Texas, alleging violations of the federal RICO Act, federal and state anti -trust law, and the state deceptive trade practices-consumer protection act. Harris County also alleges common law claims such as, fraud, unjust enrichment, and civil conspiracy. This lawsuit relates to our insulin products as well as Trulicity.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claims are without merit and are defending against them vigorously.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Investigations, Subpoenas, and Inquiries</w:t>
      </w:r>
    </w:p>
    <w:p>
      <w:pPr>
        <w:spacing w:after="0" w:line="13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received a subpoena from the New York Attorney General’s Office and civil investigative demands from the Washington, New Mexico, and Colorado Attorney General Offices relating to the pricing and sale of our insulin products. The Offices of the Attorney General in Mississippi, Washington D.C., California, Florida, Hawaii, and Nevada have requested information relating to the pricing and sale of our insulin products. We also received interrogatories from the California Attorney General's Office regarding our competition in the long-acting insulin market. We received two requests from the House of Representatives’ Committee on Energy and Commerce and a request from the Senate’s Committee on Health, Education, Labor, and Pensions, seeking certain information related to the pricing of insulin products, among other issues. We also received requests from the House of Representatives’ Committee on Oversight and Reform and the Senate’s Committee on Finance, which seek detailed commercial information and business records. We are cooperating with all of these aforementioned investigations, subpoenas, and inquiries.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Liability Insurance</w:t>
      </w:r>
    </w:p>
    <w:p>
      <w:pPr>
        <w:spacing w:after="0" w:line="24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product liability insurance, we are self-insured for product liability losses for all our currently and previously marketed products.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57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11: Other Comprehensive Income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3"/>
                <w:szCs w:val="13"/>
                <w:b w:val="1"/>
                <w:bCs w:val="1"/>
                <w:color w:val="auto"/>
              </w:rPr>
              <w:t>Continuing Operations</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62"/>
              <w:spacing w:after="0" w:line="140" w:lineRule="exact"/>
              <w:rPr>
                <w:sz w:val="20"/>
                <w:szCs w:val="20"/>
                <w:color w:val="auto"/>
              </w:rPr>
            </w:pPr>
            <w:r>
              <w:rPr>
                <w:rFonts w:ascii="Arial" w:cs="Arial" w:eastAsia="Arial" w:hAnsi="Arial"/>
                <w:sz w:val="13"/>
                <w:szCs w:val="13"/>
                <w:b w:val="1"/>
                <w:bCs w:val="1"/>
                <w:color w:val="auto"/>
                <w:w w:val="96"/>
              </w:rPr>
              <w:t>Defined Benefit</w:t>
            </w: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148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Unrealized Net Gains</w:t>
            </w:r>
          </w:p>
        </w:tc>
        <w:tc>
          <w:tcPr>
            <w:tcW w:w="220" w:type="dxa"/>
            <w:vAlign w:val="bottom"/>
          </w:tcPr>
          <w:p>
            <w:pPr>
              <w:spacing w:after="0"/>
              <w:rPr>
                <w:sz w:val="11"/>
                <w:szCs w:val="11"/>
                <w:color w:val="auto"/>
              </w:rPr>
            </w:pPr>
          </w:p>
        </w:tc>
        <w:tc>
          <w:tcPr>
            <w:tcW w:w="114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8"/>
              </w:rPr>
              <w:t>Pension and</w:t>
            </w: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20" w:type="dxa"/>
            <w:vAlign w:val="bottom"/>
          </w:tcPr>
          <w:p>
            <w:pPr>
              <w:spacing w:after="0"/>
              <w:rPr>
                <w:sz w:val="11"/>
                <w:szCs w:val="11"/>
                <w:color w:val="auto"/>
              </w:rPr>
            </w:pPr>
          </w:p>
        </w:tc>
        <w:tc>
          <w:tcPr>
            <w:tcW w:w="118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94"/>
              </w:rPr>
              <w:t>Translation</w:t>
            </w:r>
          </w:p>
        </w:tc>
        <w:tc>
          <w:tcPr>
            <w:tcW w:w="320" w:type="dxa"/>
            <w:vAlign w:val="bottom"/>
          </w:tcPr>
          <w:p>
            <w:pPr>
              <w:spacing w:after="0"/>
              <w:rPr>
                <w:sz w:val="11"/>
                <w:szCs w:val="11"/>
                <w:color w:val="auto"/>
              </w:rPr>
            </w:pPr>
          </w:p>
        </w:tc>
        <w:tc>
          <w:tcPr>
            <w:tcW w:w="1160" w:type="dxa"/>
            <w:vAlign w:val="bottom"/>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(Losses)</w:t>
            </w:r>
          </w:p>
        </w:tc>
        <w:tc>
          <w:tcPr>
            <w:tcW w:w="220" w:type="dxa"/>
            <w:vAlign w:val="bottom"/>
          </w:tcPr>
          <w:p>
            <w:pPr>
              <w:spacing w:after="0"/>
              <w:rPr>
                <w:sz w:val="11"/>
                <w:szCs w:val="11"/>
                <w:color w:val="auto"/>
              </w:rPr>
            </w:pPr>
          </w:p>
        </w:tc>
        <w:tc>
          <w:tcPr>
            <w:tcW w:w="114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6"/>
              </w:rPr>
              <w:t>Retiree Health</w:t>
            </w:r>
          </w:p>
        </w:tc>
        <w:tc>
          <w:tcPr>
            <w:tcW w:w="1420" w:type="dxa"/>
            <w:vAlign w:val="bottom"/>
            <w:gridSpan w:val="2"/>
          </w:tcPr>
          <w:p>
            <w:pPr>
              <w:ind w:left="20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020" w:type="dxa"/>
            <w:vAlign w:val="bottom"/>
          </w:tcPr>
          <w:p>
            <w:pPr>
              <w:jc w:val="center"/>
              <w:ind w:right="98"/>
              <w:spacing w:after="0" w:line="135" w:lineRule="exact"/>
              <w:rPr>
                <w:sz w:val="20"/>
                <w:szCs w:val="20"/>
                <w:color w:val="auto"/>
              </w:rPr>
            </w:pPr>
            <w:r>
              <w:rPr>
                <w:rFonts w:ascii="Arial" w:cs="Arial" w:eastAsia="Arial" w:hAnsi="Arial"/>
                <w:sz w:val="13"/>
                <w:szCs w:val="13"/>
                <w:b w:val="1"/>
                <w:bCs w:val="1"/>
                <w:color w:val="auto"/>
                <w:w w:val="97"/>
              </w:rPr>
              <w:t>Discontinued</w:t>
            </w:r>
          </w:p>
        </w:tc>
        <w:tc>
          <w:tcPr>
            <w:tcW w:w="200" w:type="dxa"/>
            <w:vAlign w:val="bottom"/>
          </w:tcPr>
          <w:p>
            <w:pPr>
              <w:spacing w:after="0"/>
              <w:rPr>
                <w:sz w:val="11"/>
                <w:szCs w:val="11"/>
                <w:color w:val="auto"/>
              </w:rPr>
            </w:pPr>
          </w:p>
        </w:tc>
        <w:tc>
          <w:tcPr>
            <w:tcW w:w="128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2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6"/>
              </w:rPr>
              <w:t>Gains (Losses)</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60"/>
              <w:spacing w:after="0"/>
              <w:rPr>
                <w:sz w:val="20"/>
                <w:szCs w:val="20"/>
                <w:color w:val="auto"/>
              </w:rPr>
            </w:pPr>
            <w:r>
              <w:rPr>
                <w:rFonts w:ascii="Arial" w:cs="Arial" w:eastAsia="Arial" w:hAnsi="Arial"/>
                <w:sz w:val="13"/>
                <w:szCs w:val="13"/>
                <w:b w:val="1"/>
                <w:bCs w:val="1"/>
                <w:color w:val="auto"/>
                <w:w w:val="97"/>
              </w:rPr>
              <w:t>on Securities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7"/>
              </w:rPr>
              <w:t>Benefit Plans</w:t>
            </w:r>
          </w:p>
        </w:tc>
        <w:tc>
          <w:tcPr>
            <w:tcW w:w="142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Cash Flow Hedges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9"/>
              </w:rPr>
              <w:t>Operations</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63"/>
        </w:trPr>
        <w:tc>
          <w:tcPr>
            <w:tcW w:w="2940" w:type="dxa"/>
            <w:vAlign w:val="bottom"/>
          </w:tcPr>
          <w:p>
            <w:pPr>
              <w:ind w:left="40"/>
              <w:spacing w:after="0"/>
              <w:rPr>
                <w:sz w:val="20"/>
                <w:szCs w:val="20"/>
                <w:color w:val="auto"/>
              </w:rPr>
            </w:pPr>
            <w:r>
              <w:rPr>
                <w:rFonts w:ascii="Arial" w:cs="Arial" w:eastAsia="Arial" w:hAnsi="Arial"/>
                <w:sz w:val="18"/>
                <w:szCs w:val="18"/>
                <w:color w:val="auto"/>
              </w:rPr>
              <w:t>Balance at January 1, 2020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80"/>
              <w:spacing w:after="0"/>
              <w:rPr>
                <w:sz w:val="20"/>
                <w:szCs w:val="20"/>
                <w:color w:val="auto"/>
              </w:rPr>
            </w:pPr>
            <w:r>
              <w:rPr>
                <w:rFonts w:ascii="Arial" w:cs="Arial" w:eastAsia="Arial" w:hAnsi="Arial"/>
                <w:sz w:val="18"/>
                <w:szCs w:val="18"/>
                <w:b w:val="1"/>
                <w:bCs w:val="1"/>
                <w:color w:val="auto"/>
              </w:rPr>
              <w:t>(1,678.0)</w:t>
            </w:r>
          </w:p>
        </w:tc>
        <w:tc>
          <w:tcPr>
            <w:tcW w:w="32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00"/>
              <w:spacing w:after="0"/>
              <w:rPr>
                <w:sz w:val="20"/>
                <w:szCs w:val="20"/>
                <w:color w:val="auto"/>
              </w:rPr>
            </w:pPr>
            <w:r>
              <w:rPr>
                <w:rFonts w:ascii="Arial" w:cs="Arial" w:eastAsia="Arial" w:hAnsi="Arial"/>
                <w:sz w:val="18"/>
                <w:szCs w:val="18"/>
                <w:b w:val="1"/>
                <w:bCs w:val="1"/>
                <w:color w:val="auto"/>
              </w:rPr>
              <w:t>4.9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82"/>
              <w:spacing w:after="0"/>
              <w:rPr>
                <w:sz w:val="20"/>
                <w:szCs w:val="20"/>
                <w:color w:val="auto"/>
              </w:rPr>
            </w:pPr>
            <w:r>
              <w:rPr>
                <w:rFonts w:ascii="Arial" w:cs="Arial" w:eastAsia="Arial" w:hAnsi="Arial"/>
                <w:sz w:val="18"/>
                <w:szCs w:val="18"/>
                <w:b w:val="1"/>
                <w:bCs w:val="1"/>
                <w:color w:val="auto"/>
              </w:rPr>
              <w:t>(4,638.6)</w:t>
            </w:r>
          </w:p>
        </w:tc>
        <w:tc>
          <w:tcPr>
            <w:tcW w:w="460" w:type="dxa"/>
            <w:vAlign w:val="bottom"/>
          </w:tcPr>
          <w:p>
            <w:pPr>
              <w:jc w:val="right"/>
              <w:ind w:right="124"/>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(211.9)</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8"/>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75"/>
              <w:spacing w:after="0"/>
              <w:rPr>
                <w:sz w:val="20"/>
                <w:szCs w:val="20"/>
                <w:color w:val="auto"/>
              </w:rPr>
            </w:pPr>
            <w:r>
              <w:rPr>
                <w:rFonts w:ascii="Arial" w:cs="Arial" w:eastAsia="Arial" w:hAnsi="Arial"/>
                <w:sz w:val="18"/>
                <w:szCs w:val="18"/>
                <w:b w:val="1"/>
                <w:bCs w:val="1"/>
                <w:color w:val="auto"/>
              </w:rPr>
              <w:t>(6,523.6)</w:t>
            </w:r>
          </w:p>
        </w:tc>
        <w:tc>
          <w:tcPr>
            <w:tcW w:w="0" w:type="dxa"/>
            <w:vAlign w:val="bottom"/>
          </w:tcPr>
          <w:p>
            <w:pPr>
              <w:spacing w:after="0"/>
              <w:rPr>
                <w:sz w:val="1"/>
                <w:szCs w:val="1"/>
                <w:color w:val="auto"/>
              </w:rPr>
            </w:pPr>
          </w:p>
        </w:tc>
      </w:tr>
      <w:tr>
        <w:trPr>
          <w:trHeight w:val="235"/>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20"/>
                <w:szCs w:val="20"/>
                <w:color w:val="auto"/>
              </w:rPr>
            </w:pPr>
          </w:p>
        </w:tc>
        <w:tc>
          <w:tcPr>
            <w:tcW w:w="1180" w:type="dxa"/>
            <w:vAlign w:val="bottom"/>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(126.5)</w:t>
            </w:r>
          </w:p>
        </w:tc>
        <w:tc>
          <w:tcPr>
            <w:tcW w:w="32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w:t>
            </w:r>
          </w:p>
        </w:tc>
        <w:tc>
          <w:tcPr>
            <w:tcW w:w="22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ind w:right="142"/>
              <w:spacing w:after="0"/>
              <w:rPr>
                <w:sz w:val="20"/>
                <w:szCs w:val="20"/>
                <w:color w:val="auto"/>
              </w:rPr>
            </w:pPr>
            <w:r>
              <w:rPr>
                <w:rFonts w:ascii="Arial" w:cs="Arial" w:eastAsia="Arial" w:hAnsi="Arial"/>
                <w:sz w:val="18"/>
                <w:szCs w:val="18"/>
                <w:b w:val="1"/>
                <w:bCs w:val="1"/>
                <w:color w:val="auto"/>
              </w:rPr>
              <w:t>30.9</w:t>
            </w:r>
          </w:p>
        </w:tc>
        <w:tc>
          <w:tcPr>
            <w:tcW w:w="46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(348.2)</w:t>
            </w:r>
          </w:p>
        </w:tc>
        <w:tc>
          <w:tcPr>
            <w:tcW w:w="24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p>
        </w:tc>
        <w:tc>
          <w:tcPr>
            <w:tcW w:w="128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(442.8)</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before reclassifications</w:t>
            </w:r>
          </w:p>
        </w:tc>
        <w:tc>
          <w:tcPr>
            <w:tcW w:w="12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80"/>
              <w:spacing w:after="0"/>
              <w:rPr>
                <w:sz w:val="20"/>
                <w:szCs w:val="20"/>
                <w:color w:val="auto"/>
              </w:rPr>
            </w:pPr>
            <w:r>
              <w:rPr>
                <w:rFonts w:ascii="Arial" w:cs="Arial" w:eastAsia="Arial" w:hAnsi="Arial"/>
                <w:sz w:val="18"/>
                <w:szCs w:val="18"/>
                <w:color w:val="auto"/>
              </w:rPr>
              <w:t>Net amount reclassified from</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40" w:type="dxa"/>
            <w:vAlign w:val="bottom"/>
          </w:tcPr>
          <w:p>
            <w:pPr>
              <w:ind w:left="180"/>
              <w:spacing w:after="0" w:line="202" w:lineRule="exact"/>
              <w:rPr>
                <w:sz w:val="20"/>
                <w:szCs w:val="20"/>
                <w:color w:val="auto"/>
              </w:rPr>
            </w:pPr>
            <w:r>
              <w:rPr>
                <w:rFonts w:ascii="Arial" w:cs="Arial" w:eastAsia="Arial" w:hAnsi="Arial"/>
                <w:sz w:val="18"/>
                <w:szCs w:val="18"/>
                <w:color w:val="auto"/>
              </w:rPr>
              <w:t>accumulated other</w:t>
            </w:r>
          </w:p>
        </w:tc>
        <w:tc>
          <w:tcPr>
            <w:tcW w:w="120" w:type="dxa"/>
            <w:vAlign w:val="bottom"/>
          </w:tcPr>
          <w:p>
            <w:pPr>
              <w:spacing w:after="0"/>
              <w:rPr>
                <w:sz w:val="17"/>
                <w:szCs w:val="17"/>
                <w:color w:val="auto"/>
              </w:rPr>
            </w:pPr>
          </w:p>
        </w:tc>
        <w:tc>
          <w:tcPr>
            <w:tcW w:w="1180" w:type="dxa"/>
            <w:vAlign w:val="bottom"/>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160" w:type="dxa"/>
            <w:vAlign w:val="bottom"/>
            <w:vMerge w:val="restart"/>
          </w:tcPr>
          <w:p>
            <w:pPr>
              <w:jc w:val="right"/>
              <w:ind w:right="140"/>
              <w:spacing w:after="0"/>
              <w:rPr>
                <w:sz w:val="20"/>
                <w:szCs w:val="20"/>
                <w:color w:val="auto"/>
              </w:rPr>
            </w:pPr>
            <w:r>
              <w:rPr>
                <w:rFonts w:ascii="Arial" w:cs="Arial" w:eastAsia="Arial" w:hAnsi="Arial"/>
                <w:sz w:val="18"/>
                <w:szCs w:val="18"/>
                <w:b w:val="1"/>
                <w:bCs w:val="1"/>
                <w:color w:val="auto"/>
              </w:rPr>
              <w:t>(0.1)</w:t>
            </w:r>
          </w:p>
        </w:tc>
        <w:tc>
          <w:tcPr>
            <w:tcW w:w="220" w:type="dxa"/>
            <w:vAlign w:val="bottom"/>
          </w:tcPr>
          <w:p>
            <w:pPr>
              <w:spacing w:after="0"/>
              <w:rPr>
                <w:sz w:val="17"/>
                <w:szCs w:val="17"/>
                <w:color w:val="auto"/>
              </w:rPr>
            </w:pPr>
          </w:p>
        </w:tc>
        <w:tc>
          <w:tcPr>
            <w:tcW w:w="1140" w:type="dxa"/>
            <w:vAlign w:val="bottom"/>
            <w:vMerge w:val="restart"/>
          </w:tcPr>
          <w:p>
            <w:pPr>
              <w:jc w:val="right"/>
              <w:ind w:right="142"/>
              <w:spacing w:after="0"/>
              <w:rPr>
                <w:sz w:val="20"/>
                <w:szCs w:val="20"/>
                <w:color w:val="auto"/>
              </w:rPr>
            </w:pPr>
            <w:r>
              <w:rPr>
                <w:rFonts w:ascii="Arial" w:cs="Arial" w:eastAsia="Arial" w:hAnsi="Arial"/>
                <w:sz w:val="18"/>
                <w:szCs w:val="18"/>
                <w:b w:val="1"/>
                <w:bCs w:val="1"/>
                <w:color w:val="auto"/>
              </w:rPr>
              <w:t>77.4</w:t>
            </w:r>
          </w:p>
        </w:tc>
        <w:tc>
          <w:tcPr>
            <w:tcW w:w="460" w:type="dxa"/>
            <w:vAlign w:val="bottom"/>
          </w:tcPr>
          <w:p>
            <w:pPr>
              <w:spacing w:after="0"/>
              <w:rPr>
                <w:sz w:val="17"/>
                <w:szCs w:val="17"/>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3.2</w:t>
            </w:r>
          </w:p>
        </w:tc>
        <w:tc>
          <w:tcPr>
            <w:tcW w:w="240" w:type="dxa"/>
            <w:vAlign w:val="bottom"/>
          </w:tcPr>
          <w:p>
            <w:pPr>
              <w:spacing w:after="0"/>
              <w:rPr>
                <w:sz w:val="17"/>
                <w:szCs w:val="17"/>
                <w:color w:val="auto"/>
              </w:rPr>
            </w:pPr>
          </w:p>
        </w:tc>
        <w:tc>
          <w:tcPr>
            <w:tcW w:w="102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1280" w:type="dxa"/>
            <w:vAlign w:val="bottom"/>
            <w:vMerge w:val="restart"/>
          </w:tcPr>
          <w:p>
            <w:pPr>
              <w:jc w:val="right"/>
              <w:ind w:right="135"/>
              <w:spacing w:after="0"/>
              <w:rPr>
                <w:sz w:val="20"/>
                <w:szCs w:val="20"/>
                <w:color w:val="auto"/>
              </w:rPr>
            </w:pPr>
            <w:r>
              <w:rPr>
                <w:rFonts w:ascii="Arial" w:cs="Arial" w:eastAsia="Arial" w:hAnsi="Arial"/>
                <w:sz w:val="18"/>
                <w:szCs w:val="18"/>
                <w:b w:val="1"/>
                <w:bCs w:val="1"/>
                <w:color w:val="auto"/>
              </w:rPr>
              <w:t>80.5</w:t>
            </w:r>
          </w:p>
        </w:tc>
        <w:tc>
          <w:tcPr>
            <w:tcW w:w="0" w:type="dxa"/>
            <w:vAlign w:val="bottom"/>
          </w:tcPr>
          <w:p>
            <w:pPr>
              <w:spacing w:after="0"/>
              <w:rPr>
                <w:sz w:val="1"/>
                <w:szCs w:val="1"/>
                <w:color w:val="auto"/>
              </w:rPr>
            </w:pPr>
          </w:p>
        </w:tc>
      </w:tr>
      <w:tr>
        <w:trPr>
          <w:trHeight w:val="224"/>
        </w:trPr>
        <w:tc>
          <w:tcPr>
            <w:tcW w:w="2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w:t>
            </w:r>
          </w:p>
        </w:tc>
        <w:tc>
          <w:tcPr>
            <w:tcW w:w="1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(126.5)</w:t>
            </w:r>
          </w:p>
        </w:tc>
        <w:tc>
          <w:tcPr>
            <w:tcW w:w="3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0.9</w:t>
            </w:r>
          </w:p>
        </w:tc>
        <w:tc>
          <w:tcPr>
            <w:tcW w:w="2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142"/>
              <w:spacing w:after="0"/>
              <w:rPr>
                <w:sz w:val="20"/>
                <w:szCs w:val="20"/>
                <w:color w:val="auto"/>
              </w:rPr>
            </w:pPr>
            <w:r>
              <w:rPr>
                <w:rFonts w:ascii="Arial" w:cs="Arial" w:eastAsia="Arial" w:hAnsi="Arial"/>
                <w:sz w:val="18"/>
                <w:szCs w:val="18"/>
                <w:b w:val="1"/>
                <w:bCs w:val="1"/>
                <w:color w:val="auto"/>
              </w:rPr>
              <w:t>108.3</w:t>
            </w:r>
          </w:p>
        </w:tc>
        <w:tc>
          <w:tcPr>
            <w:tcW w:w="46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(345.0)</w:t>
            </w:r>
          </w:p>
        </w:tc>
        <w:tc>
          <w:tcPr>
            <w:tcW w:w="2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(362.3)</w:t>
            </w: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940" w:type="dxa"/>
            <w:vAlign w:val="bottom"/>
          </w:tcPr>
          <w:p>
            <w:pPr>
              <w:ind w:left="40"/>
              <w:spacing w:after="0"/>
              <w:rPr>
                <w:sz w:val="20"/>
                <w:szCs w:val="20"/>
                <w:color w:val="auto"/>
              </w:rPr>
            </w:pPr>
            <w:r>
              <w:rPr>
                <w:rFonts w:ascii="Arial" w:cs="Arial" w:eastAsia="Arial" w:hAnsi="Arial"/>
                <w:sz w:val="18"/>
                <w:szCs w:val="18"/>
                <w:color w:val="auto"/>
              </w:rPr>
              <w:t>Balance at March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(1,804.5)</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b w:val="1"/>
                <w:bCs w:val="1"/>
                <w:color w:val="auto"/>
              </w:rPr>
              <w:t>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b w:val="1"/>
                <w:bCs w:val="1"/>
                <w:color w:val="auto"/>
              </w:rPr>
              <w:t>(4,530.3)</w:t>
            </w:r>
          </w:p>
        </w:tc>
        <w:tc>
          <w:tcPr>
            <w:tcW w:w="460" w:type="dxa"/>
            <w:vAlign w:val="bottom"/>
            <w:tcBorders>
              <w:bottom w:val="single" w:sz="8" w:color="auto"/>
            </w:tcBorders>
          </w:tcPr>
          <w:p>
            <w:pPr>
              <w:jc w:val="right"/>
              <w:ind w:right="124"/>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(556.9)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(6,885.9)</w:t>
            </w:r>
          </w:p>
        </w:tc>
        <w:tc>
          <w:tcPr>
            <w:tcW w:w="0" w:type="dxa"/>
            <w:vAlign w:val="bottom"/>
          </w:tcPr>
          <w:p>
            <w:pPr>
              <w:spacing w:after="0"/>
              <w:rPr>
                <w:sz w:val="1"/>
                <w:szCs w:val="1"/>
                <w:color w:val="auto"/>
              </w:rPr>
            </w:pPr>
          </w:p>
        </w:tc>
      </w:tr>
      <w:tr>
        <w:trPr>
          <w:trHeight w:val="723"/>
        </w:trPr>
        <w:tc>
          <w:tcPr>
            <w:tcW w:w="2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3"/>
                <w:szCs w:val="13"/>
                <w:b w:val="1"/>
                <w:bCs w:val="1"/>
                <w:color w:val="auto"/>
              </w:rPr>
              <w:t>Continuing Operations</w:t>
            </w: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62"/>
              <w:spacing w:after="0" w:line="140" w:lineRule="exact"/>
              <w:rPr>
                <w:sz w:val="20"/>
                <w:szCs w:val="20"/>
                <w:color w:val="auto"/>
              </w:rPr>
            </w:pPr>
            <w:r>
              <w:rPr>
                <w:rFonts w:ascii="Arial" w:cs="Arial" w:eastAsia="Arial" w:hAnsi="Arial"/>
                <w:sz w:val="13"/>
                <w:szCs w:val="13"/>
                <w:b w:val="1"/>
                <w:bCs w:val="1"/>
                <w:color w:val="auto"/>
                <w:w w:val="96"/>
              </w:rPr>
              <w:t>Defined Benefit</w:t>
            </w: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148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Unrealized Net Gains</w:t>
            </w:r>
          </w:p>
        </w:tc>
        <w:tc>
          <w:tcPr>
            <w:tcW w:w="220" w:type="dxa"/>
            <w:vAlign w:val="bottom"/>
          </w:tcPr>
          <w:p>
            <w:pPr>
              <w:spacing w:after="0"/>
              <w:rPr>
                <w:sz w:val="11"/>
                <w:szCs w:val="11"/>
                <w:color w:val="auto"/>
              </w:rPr>
            </w:pPr>
          </w:p>
        </w:tc>
        <w:tc>
          <w:tcPr>
            <w:tcW w:w="114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8"/>
              </w:rPr>
              <w:t>Pension and</w:t>
            </w: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20" w:type="dxa"/>
            <w:vAlign w:val="bottom"/>
          </w:tcPr>
          <w:p>
            <w:pPr>
              <w:spacing w:after="0"/>
              <w:rPr>
                <w:sz w:val="11"/>
                <w:szCs w:val="11"/>
                <w:color w:val="auto"/>
              </w:rPr>
            </w:pPr>
          </w:p>
        </w:tc>
        <w:tc>
          <w:tcPr>
            <w:tcW w:w="118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94"/>
              </w:rPr>
              <w:t>Translation</w:t>
            </w:r>
          </w:p>
        </w:tc>
        <w:tc>
          <w:tcPr>
            <w:tcW w:w="320" w:type="dxa"/>
            <w:vAlign w:val="bottom"/>
          </w:tcPr>
          <w:p>
            <w:pPr>
              <w:spacing w:after="0"/>
              <w:rPr>
                <w:sz w:val="11"/>
                <w:szCs w:val="11"/>
                <w:color w:val="auto"/>
              </w:rPr>
            </w:pPr>
          </w:p>
        </w:tc>
        <w:tc>
          <w:tcPr>
            <w:tcW w:w="1160" w:type="dxa"/>
            <w:vAlign w:val="bottom"/>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(Losses)</w:t>
            </w:r>
          </w:p>
        </w:tc>
        <w:tc>
          <w:tcPr>
            <w:tcW w:w="220" w:type="dxa"/>
            <w:vAlign w:val="bottom"/>
          </w:tcPr>
          <w:p>
            <w:pPr>
              <w:spacing w:after="0"/>
              <w:rPr>
                <w:sz w:val="11"/>
                <w:szCs w:val="11"/>
                <w:color w:val="auto"/>
              </w:rPr>
            </w:pPr>
          </w:p>
        </w:tc>
        <w:tc>
          <w:tcPr>
            <w:tcW w:w="114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6"/>
              </w:rPr>
              <w:t>Retiree Health</w:t>
            </w:r>
          </w:p>
        </w:tc>
        <w:tc>
          <w:tcPr>
            <w:tcW w:w="1420" w:type="dxa"/>
            <w:vAlign w:val="bottom"/>
            <w:gridSpan w:val="2"/>
          </w:tcPr>
          <w:p>
            <w:pPr>
              <w:ind w:left="20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020" w:type="dxa"/>
            <w:vAlign w:val="bottom"/>
          </w:tcPr>
          <w:p>
            <w:pPr>
              <w:jc w:val="center"/>
              <w:ind w:right="98"/>
              <w:spacing w:after="0" w:line="135" w:lineRule="exact"/>
              <w:rPr>
                <w:sz w:val="20"/>
                <w:szCs w:val="20"/>
                <w:color w:val="auto"/>
              </w:rPr>
            </w:pPr>
            <w:r>
              <w:rPr>
                <w:rFonts w:ascii="Arial" w:cs="Arial" w:eastAsia="Arial" w:hAnsi="Arial"/>
                <w:sz w:val="13"/>
                <w:szCs w:val="13"/>
                <w:b w:val="1"/>
                <w:bCs w:val="1"/>
                <w:color w:val="auto"/>
                <w:w w:val="97"/>
              </w:rPr>
              <w:t>Discontinued</w:t>
            </w:r>
          </w:p>
        </w:tc>
        <w:tc>
          <w:tcPr>
            <w:tcW w:w="200" w:type="dxa"/>
            <w:vAlign w:val="bottom"/>
          </w:tcPr>
          <w:p>
            <w:pPr>
              <w:spacing w:after="0"/>
              <w:rPr>
                <w:sz w:val="11"/>
                <w:szCs w:val="11"/>
                <w:color w:val="auto"/>
              </w:rPr>
            </w:pPr>
          </w:p>
        </w:tc>
        <w:tc>
          <w:tcPr>
            <w:tcW w:w="128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2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6"/>
              </w:rPr>
              <w:t>Gains (Losses)</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60"/>
              <w:spacing w:after="0"/>
              <w:rPr>
                <w:sz w:val="20"/>
                <w:szCs w:val="20"/>
                <w:color w:val="auto"/>
              </w:rPr>
            </w:pPr>
            <w:r>
              <w:rPr>
                <w:rFonts w:ascii="Arial" w:cs="Arial" w:eastAsia="Arial" w:hAnsi="Arial"/>
                <w:sz w:val="13"/>
                <w:szCs w:val="13"/>
                <w:b w:val="1"/>
                <w:bCs w:val="1"/>
                <w:color w:val="auto"/>
                <w:w w:val="97"/>
              </w:rPr>
              <w:t>on Securities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7"/>
              </w:rPr>
              <w:t>Benefit Plans</w:t>
            </w:r>
          </w:p>
        </w:tc>
        <w:tc>
          <w:tcPr>
            <w:tcW w:w="142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Cash Flow Hedges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9"/>
              </w:rPr>
              <w:t>Operations</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69"/>
        </w:trPr>
        <w:tc>
          <w:tcPr>
            <w:tcW w:w="2940" w:type="dxa"/>
            <w:vAlign w:val="bottom"/>
          </w:tcPr>
          <w:p>
            <w:pPr>
              <w:ind w:left="40"/>
              <w:spacing w:after="0"/>
              <w:rPr>
                <w:sz w:val="20"/>
                <w:szCs w:val="20"/>
                <w:color w:val="auto"/>
              </w:rPr>
            </w:pPr>
            <w:r>
              <w:rPr>
                <w:rFonts w:ascii="Arial" w:cs="Arial" w:eastAsia="Arial" w:hAnsi="Arial"/>
                <w:sz w:val="18"/>
                <w:szCs w:val="18"/>
                <w:color w:val="auto"/>
              </w:rPr>
              <w:t xml:space="preserve">Balance at January 1, 2019 </w:t>
            </w:r>
            <w:r>
              <w:rPr>
                <w:rFonts w:ascii="Arial" w:cs="Arial" w:eastAsia="Arial" w:hAnsi="Arial"/>
                <w:sz w:val="21"/>
                <w:szCs w:val="2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80"/>
              <w:spacing w:after="0"/>
              <w:rPr>
                <w:sz w:val="20"/>
                <w:szCs w:val="20"/>
                <w:color w:val="auto"/>
              </w:rPr>
            </w:pPr>
            <w:r>
              <w:rPr>
                <w:rFonts w:ascii="Arial" w:cs="Arial" w:eastAsia="Arial" w:hAnsi="Arial"/>
                <w:sz w:val="18"/>
                <w:szCs w:val="18"/>
                <w:color w:val="auto"/>
              </w:rPr>
              <w:t>(1,569.7)</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0"/>
              <w:spacing w:after="0"/>
              <w:rPr>
                <w:sz w:val="20"/>
                <w:szCs w:val="20"/>
                <w:color w:val="auto"/>
              </w:rPr>
            </w:pPr>
            <w:r>
              <w:rPr>
                <w:rFonts w:ascii="Arial" w:cs="Arial" w:eastAsia="Arial" w:hAnsi="Arial"/>
                <w:sz w:val="18"/>
                <w:szCs w:val="18"/>
                <w:color w:val="auto"/>
              </w:rPr>
              <w:t>(22.1)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82"/>
              <w:spacing w:after="0"/>
              <w:rPr>
                <w:sz w:val="20"/>
                <w:szCs w:val="20"/>
                <w:color w:val="auto"/>
              </w:rPr>
            </w:pPr>
            <w:r>
              <w:rPr>
                <w:rFonts w:ascii="Arial" w:cs="Arial" w:eastAsia="Arial" w:hAnsi="Arial"/>
                <w:sz w:val="18"/>
                <w:szCs w:val="18"/>
                <w:color w:val="auto"/>
              </w:rPr>
              <w:t>(3,852.7)</w:t>
            </w:r>
          </w:p>
        </w:tc>
        <w:tc>
          <w:tcPr>
            <w:tcW w:w="460" w:type="dxa"/>
            <w:vAlign w:val="bottom"/>
          </w:tcPr>
          <w:p>
            <w:pPr>
              <w:jc w:val="right"/>
              <w:ind w:right="12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(238.9)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(56.8)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(5,740.2)</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before reclassifications</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(5.7)</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9"/>
        </w:trPr>
        <w:tc>
          <w:tcPr>
            <w:tcW w:w="2940" w:type="dxa"/>
            <w:vAlign w:val="bottom"/>
          </w:tcPr>
          <w:p>
            <w:pPr>
              <w:ind w:left="180"/>
              <w:spacing w:after="0"/>
              <w:rPr>
                <w:sz w:val="20"/>
                <w:szCs w:val="20"/>
                <w:color w:val="auto"/>
              </w:rPr>
            </w:pPr>
            <w:r>
              <w:rPr>
                <w:rFonts w:ascii="Arial" w:cs="Arial" w:eastAsia="Arial" w:hAnsi="Arial"/>
                <w:sz w:val="18"/>
                <w:szCs w:val="18"/>
                <w:color w:val="auto"/>
              </w:rPr>
              <w:t>Net amount reclassified from</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40" w:type="dxa"/>
            <w:vAlign w:val="bottom"/>
          </w:tcPr>
          <w:p>
            <w:pPr>
              <w:ind w:left="180"/>
              <w:spacing w:after="0" w:line="202" w:lineRule="exact"/>
              <w:rPr>
                <w:sz w:val="20"/>
                <w:szCs w:val="20"/>
                <w:color w:val="auto"/>
              </w:rPr>
            </w:pPr>
            <w:r>
              <w:rPr>
                <w:rFonts w:ascii="Arial" w:cs="Arial" w:eastAsia="Arial" w:hAnsi="Arial"/>
                <w:sz w:val="18"/>
                <w:szCs w:val="18"/>
                <w:color w:val="auto"/>
              </w:rPr>
              <w:t>accumulated other</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color w:val="auto"/>
              </w:rPr>
              <w:t>44.7</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84.0</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rPr>
              <w:t>39.0</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(29.9)</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56.8</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7"/>
        </w:trPr>
        <w:tc>
          <w:tcPr>
            <w:tcW w:w="2940" w:type="dxa"/>
            <w:vAlign w:val="bottom"/>
          </w:tcPr>
          <w:p>
            <w:pPr>
              <w:ind w:left="40"/>
              <w:spacing w:after="0"/>
              <w:rPr>
                <w:sz w:val="20"/>
                <w:szCs w:val="20"/>
                <w:color w:val="auto"/>
              </w:rPr>
            </w:pPr>
            <w:r>
              <w:rPr>
                <w:rFonts w:ascii="Arial" w:cs="Arial" w:eastAsia="Arial" w:hAnsi="Arial"/>
                <w:sz w:val="18"/>
                <w:szCs w:val="18"/>
                <w:color w:val="auto"/>
              </w:rPr>
              <w:t>Balance at March 31, 2019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color w:val="auto"/>
              </w:rPr>
              <w:t>(1,601.4)</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(3,813.7)</w:t>
            </w:r>
          </w:p>
        </w:tc>
        <w:tc>
          <w:tcPr>
            <w:tcW w:w="460" w:type="dxa"/>
            <w:vAlign w:val="bottom"/>
            <w:tcBorders>
              <w:bottom w:val="single" w:sz="8" w:color="auto"/>
            </w:tcBorders>
          </w:tcPr>
          <w:p>
            <w:pPr>
              <w:jc w:val="right"/>
              <w:ind w:right="124"/>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(5,687.5)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80" w:hanging="172"/>
        <w:spacing w:after="0" w:line="238" w:lineRule="auto"/>
        <w:tabs>
          <w:tab w:leader="none" w:pos="18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Accumulated other comprehensive loss as of January 1, 2019 consists of $5.73 billion of accumulated other comprehensive loss attributable to controlling interest and $11.0 million of accumulated other comprehensive loss attributable to noncontrolling interest.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3"/>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r>
      <w:tr>
        <w:trPr>
          <w:trHeight w:val="263"/>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gains/losses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w:t>
            </w:r>
          </w:p>
        </w:tc>
        <w:tc>
          <w:tcPr>
            <w:tcW w:w="7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(19.3)</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Unrealized net gains/losses on securities</w:t>
            </w: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760" w:type="dxa"/>
            <w:vAlign w:val="bottom"/>
          </w:tcPr>
          <w:p>
            <w:pPr>
              <w:spacing w:after="0"/>
              <w:rPr>
                <w:sz w:val="22"/>
                <w:szCs w:val="22"/>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(4.8)</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(11.4)</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w:t>
            </w:r>
          </w:p>
        </w:tc>
        <w:tc>
          <w:tcPr>
            <w:tcW w:w="7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8.0</w:t>
            </w:r>
          </w:p>
        </w:tc>
      </w:tr>
      <w:tr>
        <w:trPr>
          <w:trHeight w:val="263"/>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Benefit/(provision) for income taxes allocated to other comprehensive income (loss) items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7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(27.5)</w:t>
            </w:r>
          </w:p>
        </w:tc>
      </w:tr>
    </w:tbl>
    <w:p>
      <w:pPr>
        <w:spacing w:after="0" w:line="3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Three Months Ended</w:t>
            </w: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6"/>
                <w:szCs w:val="16"/>
                <w:color w:val="auto"/>
              </w:rPr>
            </w:pPr>
          </w:p>
        </w:tc>
        <w:tc>
          <w:tcPr>
            <w:tcW w:w="3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39"/>
        </w:trPr>
        <w:tc>
          <w:tcPr>
            <w:tcW w:w="59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9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Details about Accumulated Other Comprehensive Loss Components</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2019</w:t>
            </w: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Condensed Statements of Operations</w:t>
            </w:r>
          </w:p>
        </w:tc>
        <w:tc>
          <w:tcPr>
            <w:tcW w:w="0" w:type="dxa"/>
            <w:vAlign w:val="bottom"/>
          </w:tcPr>
          <w:p>
            <w:pPr>
              <w:spacing w:after="0"/>
              <w:rPr>
                <w:sz w:val="1"/>
                <w:szCs w:val="1"/>
                <w:color w:val="auto"/>
              </w:rPr>
            </w:pPr>
          </w:p>
        </w:tc>
      </w:tr>
      <w:tr>
        <w:trPr>
          <w:trHeight w:val="26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retirement benefit items:</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900" w:type="dxa"/>
            <w:vAlign w:val="bottom"/>
          </w:tcPr>
          <w:p>
            <w:pPr>
              <w:ind w:left="200"/>
              <w:spacing w:after="0"/>
              <w:rPr>
                <w:sz w:val="20"/>
                <w:szCs w:val="20"/>
                <w:color w:val="auto"/>
              </w:rPr>
            </w:pPr>
            <w:r>
              <w:rPr>
                <w:rFonts w:ascii="Arial" w:cs="Arial" w:eastAsia="Arial" w:hAnsi="Arial"/>
                <w:sz w:val="18"/>
                <w:szCs w:val="18"/>
                <w:color w:val="auto"/>
              </w:rPr>
              <w:t>Prior service benefits, net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(14.2)</w:t>
            </w:r>
          </w:p>
        </w:tc>
        <w:tc>
          <w:tcPr>
            <w:tcW w:w="3360" w:type="dxa"/>
            <w:vAlign w:val="bottom"/>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0"/>
        </w:trPr>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Actuarial losses, net</w:t>
            </w: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111.8</w:t>
            </w:r>
          </w:p>
        </w:tc>
        <w:tc>
          <w:tcPr>
            <w:tcW w:w="3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70.1</w:t>
            </w:r>
          </w:p>
        </w:tc>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3"/>
        </w:trPr>
        <w:tc>
          <w:tcPr>
            <w:tcW w:w="5900" w:type="dxa"/>
            <w:vAlign w:val="bottom"/>
          </w:tcPr>
          <w:p>
            <w:pPr>
              <w:jc w:val="right"/>
              <w:ind w:right="52"/>
              <w:spacing w:after="0"/>
              <w:rPr>
                <w:sz w:val="20"/>
                <w:szCs w:val="20"/>
                <w:color w:val="auto"/>
              </w:rPr>
            </w:pPr>
            <w:r>
              <w:rPr>
                <w:rFonts w:ascii="Arial" w:cs="Arial" w:eastAsia="Arial" w:hAnsi="Arial"/>
                <w:sz w:val="18"/>
                <w:szCs w:val="18"/>
                <w:color w:val="auto"/>
              </w:rPr>
              <w:t>Total before tax</w:t>
            </w:r>
          </w:p>
        </w:tc>
        <w:tc>
          <w:tcPr>
            <w:tcW w:w="180" w:type="dxa"/>
            <w:vAlign w:val="bottom"/>
          </w:tcPr>
          <w:p>
            <w:pPr>
              <w:spacing w:after="0"/>
              <w:rPr>
                <w:sz w:val="22"/>
                <w:szCs w:val="22"/>
                <w:color w:val="auto"/>
              </w:rPr>
            </w:pPr>
          </w:p>
        </w:tc>
        <w:tc>
          <w:tcPr>
            <w:tcW w:w="760" w:type="dxa"/>
            <w:vAlign w:val="bottom"/>
          </w:tcPr>
          <w:p>
            <w:pPr>
              <w:jc w:val="right"/>
              <w:ind w:right="55"/>
              <w:spacing w:after="0"/>
              <w:rPr>
                <w:sz w:val="20"/>
                <w:szCs w:val="20"/>
                <w:color w:val="auto"/>
              </w:rPr>
            </w:pPr>
            <w:r>
              <w:rPr>
                <w:rFonts w:ascii="Arial" w:cs="Arial" w:eastAsia="Arial" w:hAnsi="Arial"/>
                <w:sz w:val="18"/>
                <w:szCs w:val="18"/>
                <w:b w:val="1"/>
                <w:bCs w:val="1"/>
                <w:color w:val="auto"/>
              </w:rPr>
              <w:t>98.0</w:t>
            </w:r>
          </w:p>
        </w:tc>
        <w:tc>
          <w:tcPr>
            <w:tcW w:w="3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55.9</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Tax benefit</w:t>
            </w: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3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3"/>
        </w:trPr>
        <w:tc>
          <w:tcPr>
            <w:tcW w:w="5900" w:type="dxa"/>
            <w:vAlign w:val="bottom"/>
          </w:tcPr>
          <w:p>
            <w:pPr>
              <w:jc w:val="right"/>
              <w:ind w:right="52"/>
              <w:spacing w:after="0"/>
              <w:rPr>
                <w:sz w:val="20"/>
                <w:szCs w:val="20"/>
                <w:color w:val="auto"/>
              </w:rPr>
            </w:pPr>
            <w:r>
              <w:rPr>
                <w:rFonts w:ascii="Arial" w:cs="Arial" w:eastAsia="Arial" w:hAnsi="Arial"/>
                <w:sz w:val="18"/>
                <w:szCs w:val="18"/>
                <w:color w:val="auto"/>
              </w:rPr>
              <w:t>Net of tax</w:t>
            </w:r>
          </w:p>
        </w:tc>
        <w:tc>
          <w:tcPr>
            <w:tcW w:w="180" w:type="dxa"/>
            <w:vAlign w:val="bottom"/>
          </w:tcPr>
          <w:p>
            <w:pPr>
              <w:spacing w:after="0"/>
              <w:rPr>
                <w:sz w:val="22"/>
                <w:szCs w:val="22"/>
                <w:color w:val="auto"/>
              </w:rPr>
            </w:pPr>
          </w:p>
        </w:tc>
        <w:tc>
          <w:tcPr>
            <w:tcW w:w="760" w:type="dxa"/>
            <w:vAlign w:val="bottom"/>
          </w:tcPr>
          <w:p>
            <w:pPr>
              <w:jc w:val="right"/>
              <w:ind w:right="55"/>
              <w:spacing w:after="0"/>
              <w:rPr>
                <w:sz w:val="20"/>
                <w:szCs w:val="20"/>
                <w:color w:val="auto"/>
              </w:rPr>
            </w:pPr>
            <w:r>
              <w:rPr>
                <w:rFonts w:ascii="Arial" w:cs="Arial" w:eastAsia="Arial" w:hAnsi="Arial"/>
                <w:sz w:val="18"/>
                <w:szCs w:val="18"/>
                <w:b w:val="1"/>
                <w:bCs w:val="1"/>
                <w:color w:val="auto"/>
              </w:rPr>
              <w:t>77.4</w:t>
            </w:r>
          </w:p>
        </w:tc>
        <w:tc>
          <w:tcPr>
            <w:tcW w:w="3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44.7</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5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of tax</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3.1</w:t>
            </w: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w:t>
            </w:r>
          </w:p>
        </w:tc>
        <w:tc>
          <w:tcPr>
            <w:tcW w:w="3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from continuing operations (net of tax)</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80.5</w:t>
            </w: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49.4</w:t>
            </w:r>
          </w:p>
        </w:tc>
        <w:tc>
          <w:tcPr>
            <w:tcW w:w="3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Reclassifications from discontinued operations (net of tax)</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84.0</w:t>
            </w:r>
          </w:p>
        </w:tc>
        <w:tc>
          <w:tcPr>
            <w:tcW w:w="3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Net income from discontinued operations</w:t>
            </w:r>
          </w:p>
        </w:tc>
        <w:tc>
          <w:tcPr>
            <w:tcW w:w="0" w:type="dxa"/>
            <w:vAlign w:val="bottom"/>
          </w:tcPr>
          <w:p>
            <w:pPr>
              <w:spacing w:after="0"/>
              <w:rPr>
                <w:sz w:val="1"/>
                <w:szCs w:val="1"/>
                <w:color w:val="auto"/>
              </w:rPr>
            </w:pPr>
          </w:p>
        </w:tc>
      </w:tr>
      <w:tr>
        <w:trPr>
          <w:trHeight w:val="27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80.5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133.4</w:t>
            </w:r>
          </w:p>
        </w:tc>
        <w:tc>
          <w:tcPr>
            <w:tcW w:w="33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Other–Net, (Income)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159"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14605</wp:posOffset>
            </wp:positionV>
            <wp:extent cx="16459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Retirement benefit plans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Other–net, (income) expense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82"/>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b w:val="1"/>
                <w:bCs w:val="1"/>
                <w:color w:val="auto"/>
              </w:rPr>
              <w:t>92.5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86.5</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b w:val="1"/>
                <w:bCs w:val="1"/>
                <w:color w:val="auto"/>
              </w:rPr>
              <w:t>(14.3)</w:t>
            </w: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b w:val="1"/>
                <w:bCs w:val="1"/>
                <w:color w:val="auto"/>
              </w:rPr>
              <w:t>(44.6)</w:t>
            </w: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77"/>
        </w:trPr>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(122.7)</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r>
      <w:tr>
        <w:trPr>
          <w:trHeight w:val="264"/>
        </w:trPr>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(89.1)</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-530860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-187960</wp:posOffset>
            </wp:positionV>
            <wp:extent cx="713232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-882015</wp:posOffset>
            </wp:positionV>
            <wp:extent cx="713232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20" w:space="720"/>
            <w:col w:w="2600"/>
          </w:cols>
          <w:pgMar w:left="320" w:top="6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679"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Tables present dollars in millions, except per-share data)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ind w:right="8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Item 1 of Part I of this Quarterly Report on Form 10-Q. Certain statements in this Item 2 of Part I of this Quarterly Report on Form 10-Q constitute forward-looking statements. Various risks and uncertainties, including those discussed in "Forward-Looking Statements" and "Risk Factors" in Part II, Item 1A of this Quarterly Report on Form 10-Q and Item 1A, “Risk Factors,” of Part I of our Annual Report on </w:t>
      </w:r>
      <w:hyperlink r:id="rId10">
        <w:r>
          <w:rPr>
            <w:rFonts w:ascii="Arial" w:cs="Arial" w:eastAsia="Arial" w:hAnsi="Arial"/>
            <w:sz w:val="18"/>
            <w:szCs w:val="18"/>
            <w:u w:val="single" w:color="auto"/>
            <w:color w:val="0000EE"/>
          </w:rPr>
          <w:t>Form 10-K</w:t>
        </w:r>
      </w:hyperlink>
      <w:r>
        <w:rPr>
          <w:rFonts w:ascii="Arial" w:cs="Arial" w:eastAsia="Arial" w:hAnsi="Arial"/>
          <w:sz w:val="18"/>
          <w:szCs w:val="18"/>
          <w:color w:val="auto"/>
        </w:rPr>
        <w:t xml:space="preserve"> for the year ended December 31, 2019, may cause our actual results, financial position, and cash generated from operations to differ materially from these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4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response to the COVID-19 pandemic, we have been focused on the following: maintaining a reliable supply of our medicines; reducing the strain on the medical system by pausing new clinical trial starts and enrollment in new trials; developing potential treatments for the virus; keeping our employees safe; supporting our communities; and affordability of and access to our medicines, particularly insulin. Given the essential nature of our products, our consolidated operating results during the three months ended March 31, 2020 benefited from the COVID-19 pandemic due to increased revenue as a result of increased customer buying patterns and patient prescription trends for many of our products. Despite that near-term benefit, the COVID-19 pandemic could have a negative impact on our business in the future depending upon the duration and depth of the effects of the pandemic crisis. These potential negative impacts are due to destocking, as supply chains normalize from the recent demand surge and decreases in new prescriptions as a result of fewer patient visits to physician’s offices to begin or change treatment, particularly for our immunology and neuroscience products; potential changes in payer segment mix and the use of patient affordability programs in the United States (U.S.) due to rising unemployment; and potential additional pricing pressures resulting from the fiscal strain on government-funded healthcare systems around the world. Additionally, we may experience decreased demand as a result of temporarily halting in-person interactions by our employees with healthcare providers.</w:t>
      </w:r>
    </w:p>
    <w:p>
      <w:pPr>
        <w:spacing w:after="0" w:line="2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remain committed to discovering and developing new treatments for the patients we serve. With the exception of mirikizumab for Crohn's disease and ulcerative colitis, which we expect will be delayed due to a suspension in clinical trial enrollment, the trials for products in our late-stage pipeline are continuing. However, delays in the timing of our clinical trials, or in regulatory reviews, could adversely affect our ability to commercialize some assets in our product pipeline if the current pandemic crisis continues for a protracted period.</w:t>
      </w:r>
    </w:p>
    <w:p>
      <w:pPr>
        <w:spacing w:after="0" w:line="2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ability to continue to operate without any significant negative impacts will in part depend on our ability to protect our employees and our supply chain. We have taken steps to protect our employees world-wide, with particular measures in place for those working in our manufacturing sites and distribution facilities. For the three months ended March 31, 2020, we were able to largely maintain our normal operations. However, uncertainty resulting from the COVID-19 pandemic could have an adverse impact on our manufacturing operations, supply chain and distribution systems, which could impact our ability to produce and distribute our products and the ability of third parties on which we rely to fulfill their obligations to us, and could increase our expenses.</w:t>
      </w:r>
    </w:p>
    <w:p>
      <w:pPr>
        <w:spacing w:after="0" w:line="20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Because the pandemic has not materially impacted our operations or demand for our products, it has also not negatively impacted our liquidity position. We expect to continue to generate cash flows to meet our short-term liquidity needs and to have access to liquidity via the short-term and long-term debt markets. We have also not observed any material impairments of our assets or a significant change in the fair value of assets due to the COVID-19 pandemic.</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49" w:right="339" w:bottom="1440" w:gutter="0" w:footer="0" w:header="0"/>
        </w:sectPr>
      </w:pPr>
    </w:p>
    <w:bookmarkStart w:id="32" w:name="page33"/>
    <w:bookmarkEnd w:id="32"/>
    <w:p>
      <w:pPr>
        <w:ind w:right="100"/>
        <w:spacing w:after="0" w:line="252" w:lineRule="auto"/>
        <w:rPr>
          <w:sz w:val="20"/>
          <w:szCs w:val="20"/>
          <w:color w:val="auto"/>
        </w:rPr>
      </w:pPr>
      <w:r>
        <w:rPr>
          <w:rFonts w:ascii="Arial" w:cs="Arial" w:eastAsia="Arial" w:hAnsi="Arial"/>
          <w:sz w:val="18"/>
          <w:szCs w:val="18"/>
          <w:color w:val="auto"/>
        </w:rPr>
        <w:t>The degree to which the COVID-19 pandemic impacts our future business operations, financial results and liquidity will depend on future developments, is highly uncertain, and cannot be predicted due to, among other things, the duration and spread of the outbreak, its severity, the actions to contain the virus or treat its impact, and how quickly and to what extent normal economic and operating conditions resume. Should the COVID-19 pandemic and any associated recession or depression continue for a prolonged period, our results of operations, financial condition, liquidity, and cash flows could be materially impacted by lower revenues and profitability and a lower likelihood of effectively and efficiently developing and launching new medicines. See “Risk Factors” in Part II, Item 1A of this Quarterly Report on Form 10-Q for additional information on risk factors that could impact our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Elanco Animal Health (Elanco) Disposition</w:t>
      </w:r>
    </w:p>
    <w:p>
      <w:pPr>
        <w:spacing w:after="0" w:line="2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March 11, 2019, we completed the disposition of our remaining 80.2 percent ownership of Elanco common stock through a tax-free exchange offer. As a result, we recognized a gain on the disposition of approximately $3.7 billion in the first quarter of 2019 and now operate as a single segment. See Note 5 to the consolidated condensed financial statements for further discussion.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3"/>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r>
      <w:tr>
        <w:trPr>
          <w:trHeight w:val="196"/>
        </w:trPr>
        <w:tc>
          <w:tcPr>
            <w:tcW w:w="7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r>
      <w:tr>
        <w:trPr>
          <w:trHeight w:val="162"/>
        </w:trPr>
        <w:tc>
          <w:tcPr>
            <w:tcW w:w="7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jc w:val="center"/>
              <w:ind w:left="33"/>
              <w:spacing w:after="0"/>
              <w:rPr>
                <w:sz w:val="20"/>
                <w:szCs w:val="20"/>
                <w:color w:val="auto"/>
              </w:rPr>
            </w:pPr>
            <w:r>
              <w:rPr>
                <w:rFonts w:ascii="Arial" w:cs="Arial" w:eastAsia="Arial" w:hAnsi="Arial"/>
                <w:sz w:val="14"/>
                <w:szCs w:val="14"/>
                <w:b w:val="1"/>
                <w:bCs w:val="1"/>
                <w:color w:val="auto"/>
              </w:rPr>
              <w:t>Percent</w:t>
            </w:r>
          </w:p>
        </w:tc>
      </w:tr>
      <w:tr>
        <w:trPr>
          <w:trHeight w:val="196"/>
        </w:trPr>
        <w:tc>
          <w:tcPr>
            <w:tcW w:w="75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Change</w:t>
            </w:r>
          </w:p>
        </w:tc>
      </w:tr>
      <w:tr>
        <w:trPr>
          <w:trHeight w:val="269"/>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5,859.8</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5,092.2</w:t>
            </w:r>
          </w:p>
        </w:tc>
        <w:tc>
          <w:tcPr>
            <w:tcW w:w="8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15</w:t>
            </w:r>
          </w:p>
        </w:tc>
      </w:tr>
      <w:tr>
        <w:trPr>
          <w:trHeight w:val="263"/>
        </w:trPr>
        <w:tc>
          <w:tcPr>
            <w:tcW w:w="758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2"/>
                <w:szCs w:val="22"/>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b w:val="1"/>
                <w:bCs w:val="1"/>
                <w:color w:val="auto"/>
              </w:rPr>
              <w:t>4,644.7</w:t>
            </w:r>
          </w:p>
        </w:tc>
        <w:tc>
          <w:tcPr>
            <w:tcW w:w="440" w:type="dxa"/>
            <w:vAlign w:val="bottom"/>
          </w:tcPr>
          <w:p>
            <w:pPr>
              <w:spacing w:after="0"/>
              <w:rPr>
                <w:sz w:val="22"/>
                <w:szCs w:val="22"/>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3,953.5</w:t>
            </w:r>
          </w:p>
        </w:tc>
        <w:tc>
          <w:tcPr>
            <w:tcW w:w="880" w:type="dxa"/>
            <w:vAlign w:val="bottom"/>
          </w:tcPr>
          <w:p>
            <w:pPr>
              <w:jc w:val="center"/>
              <w:ind w:left="33"/>
              <w:spacing w:after="0"/>
              <w:rPr>
                <w:sz w:val="20"/>
                <w:szCs w:val="20"/>
                <w:color w:val="auto"/>
              </w:rPr>
            </w:pPr>
            <w:r>
              <w:rPr>
                <w:rFonts w:ascii="Arial" w:cs="Arial" w:eastAsia="Arial" w:hAnsi="Arial"/>
                <w:sz w:val="18"/>
                <w:szCs w:val="18"/>
                <w:color w:val="auto"/>
                <w:w w:val="99"/>
              </w:rPr>
              <w:t>17</w:t>
            </w:r>
          </w:p>
        </w:tc>
      </w:tr>
      <w:tr>
        <w:trPr>
          <w:trHeight w:val="277"/>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as a percent of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79.3%</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880" w:type="dxa"/>
            <w:vAlign w:val="bottom"/>
            <w:shd w:val="clear" w:color="auto" w:fill="CCEEFF"/>
          </w:tcPr>
          <w:p>
            <w:pPr>
              <w:spacing w:after="0"/>
              <w:rPr>
                <w:sz w:val="24"/>
                <w:szCs w:val="24"/>
                <w:color w:val="auto"/>
              </w:rPr>
            </w:pPr>
          </w:p>
        </w:tc>
      </w:tr>
      <w:tr>
        <w:trPr>
          <w:trHeight w:val="263"/>
        </w:trPr>
        <w:tc>
          <w:tcPr>
            <w:tcW w:w="7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54"/>
              <w:spacing w:after="0"/>
              <w:rPr>
                <w:sz w:val="20"/>
                <w:szCs w:val="20"/>
                <w:color w:val="auto"/>
              </w:rPr>
            </w:pPr>
            <w:r>
              <w:rPr>
                <w:rFonts w:ascii="Arial" w:cs="Arial" w:eastAsia="Arial" w:hAnsi="Arial"/>
                <w:sz w:val="18"/>
                <w:szCs w:val="18"/>
                <w:b w:val="1"/>
                <w:bCs w:val="1"/>
                <w:color w:val="auto"/>
              </w:rPr>
              <w:t>2,941.7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2,747.6</w:t>
            </w:r>
          </w:p>
        </w:tc>
        <w:tc>
          <w:tcPr>
            <w:tcW w:w="880" w:type="dxa"/>
            <w:vAlign w:val="bottom"/>
          </w:tcPr>
          <w:p>
            <w:pPr>
              <w:jc w:val="center"/>
              <w:ind w:left="13"/>
              <w:spacing w:after="0"/>
              <w:rPr>
                <w:sz w:val="20"/>
                <w:szCs w:val="20"/>
                <w:color w:val="auto"/>
              </w:rPr>
            </w:pPr>
            <w:r>
              <w:rPr>
                <w:rFonts w:ascii="Arial" w:cs="Arial" w:eastAsia="Arial" w:hAnsi="Arial"/>
                <w:sz w:val="18"/>
                <w:szCs w:val="18"/>
                <w:color w:val="auto"/>
                <w:w w:val="99"/>
              </w:rPr>
              <w:t>7</w:t>
            </w:r>
          </w:p>
        </w:tc>
      </w:tr>
      <w:tr>
        <w:trPr>
          <w:trHeight w:val="277"/>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 (IPR&amp;D)</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52.3</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136.9</w:t>
            </w:r>
          </w:p>
        </w:tc>
        <w:tc>
          <w:tcPr>
            <w:tcW w:w="8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(62)</w:t>
            </w:r>
          </w:p>
        </w:tc>
      </w:tr>
      <w:tr>
        <w:trPr>
          <w:trHeight w:val="263"/>
        </w:trPr>
        <w:tc>
          <w:tcPr>
            <w:tcW w:w="758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20" w:type="dxa"/>
            <w:vAlign w:val="bottom"/>
          </w:tcPr>
          <w:p>
            <w:pPr>
              <w:spacing w:after="0"/>
              <w:rPr>
                <w:sz w:val="22"/>
                <w:szCs w:val="22"/>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b w:val="1"/>
                <w:bCs w:val="1"/>
                <w:color w:val="auto"/>
              </w:rPr>
              <w:t>59.9</w:t>
            </w:r>
          </w:p>
        </w:tc>
        <w:tc>
          <w:tcPr>
            <w:tcW w:w="440" w:type="dxa"/>
            <w:vAlign w:val="bottom"/>
          </w:tcPr>
          <w:p>
            <w:pPr>
              <w:spacing w:after="0"/>
              <w:rPr>
                <w:sz w:val="22"/>
                <w:szCs w:val="22"/>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423.9</w:t>
            </w:r>
          </w:p>
        </w:tc>
        <w:tc>
          <w:tcPr>
            <w:tcW w:w="880" w:type="dxa"/>
            <w:vAlign w:val="bottom"/>
          </w:tcPr>
          <w:p>
            <w:pPr>
              <w:jc w:val="center"/>
              <w:ind w:left="33"/>
              <w:spacing w:after="0"/>
              <w:rPr>
                <w:sz w:val="20"/>
                <w:szCs w:val="20"/>
                <w:color w:val="auto"/>
              </w:rPr>
            </w:pPr>
            <w:r>
              <w:rPr>
                <w:rFonts w:ascii="Arial" w:cs="Arial" w:eastAsia="Arial" w:hAnsi="Arial"/>
                <w:sz w:val="18"/>
                <w:szCs w:val="18"/>
                <w:color w:val="auto"/>
                <w:w w:val="99"/>
              </w:rPr>
              <w:t>(86)</w:t>
            </w:r>
          </w:p>
        </w:tc>
      </w:tr>
      <w:tr>
        <w:trPr>
          <w:trHeight w:val="277"/>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1,456.5</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561.1</w:t>
            </w:r>
          </w:p>
        </w:tc>
        <w:tc>
          <w:tcPr>
            <w:tcW w:w="8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NM</w:t>
            </w:r>
          </w:p>
        </w:tc>
      </w:tr>
      <w:tr>
        <w:trPr>
          <w:trHeight w:val="263"/>
        </w:trPr>
        <w:tc>
          <w:tcPr>
            <w:tcW w:w="7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2"/>
                <w:szCs w:val="22"/>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b w:val="1"/>
                <w:bCs w:val="1"/>
                <w:color w:val="auto"/>
              </w:rPr>
              <w:t>1,456.5</w:t>
            </w:r>
          </w:p>
        </w:tc>
        <w:tc>
          <w:tcPr>
            <w:tcW w:w="440" w:type="dxa"/>
            <w:vAlign w:val="bottom"/>
          </w:tcPr>
          <w:p>
            <w:pPr>
              <w:spacing w:after="0"/>
              <w:rPr>
                <w:sz w:val="22"/>
                <w:szCs w:val="22"/>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4,241.6</w:t>
            </w:r>
          </w:p>
        </w:tc>
        <w:tc>
          <w:tcPr>
            <w:tcW w:w="880" w:type="dxa"/>
            <w:vAlign w:val="bottom"/>
          </w:tcPr>
          <w:p>
            <w:pPr>
              <w:jc w:val="center"/>
              <w:ind w:left="33"/>
              <w:spacing w:after="0"/>
              <w:rPr>
                <w:sz w:val="20"/>
                <w:szCs w:val="20"/>
                <w:color w:val="auto"/>
              </w:rPr>
            </w:pPr>
            <w:r>
              <w:rPr>
                <w:rFonts w:ascii="Arial" w:cs="Arial" w:eastAsia="Arial" w:hAnsi="Arial"/>
                <w:sz w:val="18"/>
                <w:szCs w:val="18"/>
                <w:color w:val="auto"/>
                <w:w w:val="99"/>
              </w:rPr>
              <w:t>(66)</w:t>
            </w:r>
          </w:p>
        </w:tc>
      </w:tr>
      <w:tr>
        <w:trPr>
          <w:trHeight w:val="277"/>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EPS from continuing operations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1.60</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0.57</w:t>
            </w:r>
          </w:p>
        </w:tc>
        <w:tc>
          <w:tcPr>
            <w:tcW w:w="8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NM</w:t>
            </w:r>
          </w:p>
        </w:tc>
      </w:tr>
      <w:tr>
        <w:trPr>
          <w:trHeight w:val="257"/>
        </w:trPr>
        <w:tc>
          <w:tcPr>
            <w:tcW w:w="7580" w:type="dxa"/>
            <w:vAlign w:val="bottom"/>
          </w:tcPr>
          <w:p>
            <w:pPr>
              <w:ind w:left="40"/>
              <w:spacing w:after="0"/>
              <w:rPr>
                <w:sz w:val="20"/>
                <w:szCs w:val="20"/>
                <w:color w:val="auto"/>
              </w:rPr>
            </w:pPr>
            <w:r>
              <w:rPr>
                <w:rFonts w:ascii="Arial" w:cs="Arial" w:eastAsia="Arial" w:hAnsi="Arial"/>
                <w:sz w:val="18"/>
                <w:szCs w:val="18"/>
                <w:color w:val="auto"/>
              </w:rPr>
              <w:t>EPS</w:t>
            </w:r>
          </w:p>
        </w:tc>
        <w:tc>
          <w:tcPr>
            <w:tcW w:w="320" w:type="dxa"/>
            <w:vAlign w:val="bottom"/>
          </w:tcPr>
          <w:p>
            <w:pPr>
              <w:spacing w:after="0"/>
              <w:rPr>
                <w:sz w:val="22"/>
                <w:szCs w:val="22"/>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b w:val="1"/>
                <w:bCs w:val="1"/>
                <w:color w:val="auto"/>
              </w:rPr>
              <w:t>1.60</w:t>
            </w:r>
          </w:p>
        </w:tc>
        <w:tc>
          <w:tcPr>
            <w:tcW w:w="440" w:type="dxa"/>
            <w:vAlign w:val="bottom"/>
          </w:tcPr>
          <w:p>
            <w:pPr>
              <w:spacing w:after="0"/>
              <w:rPr>
                <w:sz w:val="22"/>
                <w:szCs w:val="22"/>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4.31</w:t>
            </w:r>
          </w:p>
        </w:tc>
        <w:tc>
          <w:tcPr>
            <w:tcW w:w="880" w:type="dxa"/>
            <w:vAlign w:val="bottom"/>
          </w:tcPr>
          <w:p>
            <w:pPr>
              <w:jc w:val="center"/>
              <w:ind w:left="33"/>
              <w:spacing w:after="0"/>
              <w:rPr>
                <w:sz w:val="20"/>
                <w:szCs w:val="20"/>
                <w:color w:val="auto"/>
              </w:rPr>
            </w:pPr>
            <w:r>
              <w:rPr>
                <w:rFonts w:ascii="Arial" w:cs="Arial" w:eastAsia="Arial" w:hAnsi="Arial"/>
                <w:sz w:val="18"/>
                <w:szCs w:val="18"/>
                <w:color w:val="auto"/>
                <w:w w:val="99"/>
              </w:rPr>
              <w:t>(63)</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 increased for the three months ended March 31, 2020 driven by increased volume, partially offset by lower realized prices. We estimate that worldwide volume growth in the first quarter of 2020 for many of our products was favorably impacted by increased customer buying patterns and patient prescription trends resulting from the COVID-19 pandemic that increased revenue by approximately $250 million. Operating expenses increased for the three months ended March 31, 2020, reflecting higher development expenses for late-stage assets. The decrease in net income and EPS for the three months ended March 31, 2020 was primarily driven by approximately $3.7 billion gain recognized on the disposition of Elanco in the first quarter of 2019. EPS in the first quarter of 2020 benefited from lower weighted-average shares outstanding as a result of the Elanco exchange offer.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highlighted items also affect comparisons of our financial results for the three months ended March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condensed financial statements)</w:t>
      </w:r>
    </w:p>
    <w:p>
      <w:pPr>
        <w:spacing w:after="0" w:line="117" w:lineRule="exact"/>
        <w:rPr>
          <w:sz w:val="20"/>
          <w:szCs w:val="20"/>
          <w:color w:val="auto"/>
        </w:rPr>
      </w:pPr>
    </w:p>
    <w:p>
      <w:pPr>
        <w:ind w:left="340" w:right="640" w:hanging="8"/>
        <w:spacing w:after="0" w:line="397" w:lineRule="auto"/>
        <w:tabs>
          <w:tab w:leader="none" w:pos="664"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recognized acquired IPR&amp;D charges of $52.3 million related to the collaboration with Sitryx Therapeutics Limited (Sitryx). Asset Impairment, Restructuring, and Other Special Charges (Note 6 to the consolidated condensed financial statements)</w:t>
      </w:r>
    </w:p>
    <w:p>
      <w:pPr>
        <w:spacing w:after="0" w:line="1" w:lineRule="exact"/>
        <w:rPr>
          <w:rFonts w:ascii="Arial" w:cs="Arial" w:eastAsia="Arial" w:hAnsi="Arial"/>
          <w:sz w:val="17"/>
          <w:szCs w:val="17"/>
          <w:color w:val="auto"/>
        </w:rPr>
      </w:pPr>
    </w:p>
    <w:p>
      <w:pPr>
        <w:ind w:left="660" w:right="1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recognized charges of $59.9 million primarily related to acquisition and integration costs as part of the closing of the acquisition of Dermira, Inc. (Dermira).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679"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condensed financial statements)</w:t>
      </w:r>
    </w:p>
    <w:p>
      <w:pPr>
        <w:spacing w:after="0" w:line="117" w:lineRule="exact"/>
        <w:rPr>
          <w:sz w:val="20"/>
          <w:szCs w:val="20"/>
          <w:color w:val="auto"/>
        </w:rPr>
      </w:pPr>
    </w:p>
    <w:p>
      <w:pPr>
        <w:ind w:left="660" w:right="90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recognized acquired IPR&amp;D charges of $136.9 million related to collaborations with AC Immune SA (AC Immune) and ImmuNext, Inc. (ImmuNext).</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6 to the consolidated condensed financial statements)</w:t>
      </w:r>
    </w:p>
    <w:p>
      <w:pPr>
        <w:spacing w:after="0" w:line="117" w:lineRule="exact"/>
        <w:rPr>
          <w:sz w:val="20"/>
          <w:szCs w:val="20"/>
          <w:color w:val="auto"/>
        </w:rPr>
      </w:pPr>
    </w:p>
    <w:p>
      <w:pPr>
        <w:ind w:left="660" w:right="20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recognized charges of $423.9 million primarily associated with the accelerated vesting of Loxo Oncology, Inc. (Loxo) employee equity awards as a result of the closing of the acquisition of Loxo.</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from Discontinued Operations (Note 5 to the consolidated condensed financial statements)</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recognized a gain related to the disposition of Elanco of approximately $3.7 billion.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Late-Stage Pipeline</w:t>
      </w:r>
    </w:p>
    <w:p>
      <w:pPr>
        <w:spacing w:after="0" w:line="13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have approximately 40 potential new drugs in human testing or under regulatory review and a larger number of projects in preclinical research.</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new molecular entities (NMEs) have been approved by regulatory authorities in at least one of the major geographies for use in the conditions described. The first quarter in which the NMEs initially were approved in any major geography for any indication is shown in parentheses:</w:t>
      </w:r>
    </w:p>
    <w:p>
      <w:pPr>
        <w:spacing w:after="0" w:line="126" w:lineRule="exact"/>
        <w:rPr>
          <w:sz w:val="20"/>
          <w:szCs w:val="20"/>
          <w:color w:val="auto"/>
        </w:rPr>
      </w:pPr>
    </w:p>
    <w:p>
      <w:pPr>
        <w:ind w:left="660" w:right="80"/>
        <w:spacing w:after="0" w:line="248" w:lineRule="auto"/>
        <w:rPr>
          <w:sz w:val="20"/>
          <w:szCs w:val="20"/>
          <w:color w:val="auto"/>
        </w:rPr>
      </w:pPr>
      <w:r>
        <w:rPr>
          <w:rFonts w:ascii="Arial" w:cs="Arial" w:eastAsia="Arial" w:hAnsi="Arial"/>
          <w:sz w:val="18"/>
          <w:szCs w:val="18"/>
          <w:b w:val="1"/>
          <w:bCs w:val="1"/>
          <w:color w:val="auto"/>
        </w:rPr>
        <w:t>Galcanezumab* (Emgality</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(Q3 2018)</w:t>
      </w:r>
      <w:r>
        <w:rPr>
          <w:rFonts w:ascii="Arial" w:cs="Arial" w:eastAsia="Arial" w:hAnsi="Arial"/>
          <w:sz w:val="18"/>
          <w:szCs w:val="18"/>
          <w:color w:val="auto"/>
        </w:rPr>
        <w:t>—a once-monthly subcutaneously injected calcitonin gene-related peptide (CGRP)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migraine prevention and the treatment of episodic cluster headache. Refer to Note 10 to the consolidated condensed financial statements for discussion of the legal proceedings involving Teva Pharmaceuticals International GMBH and Teva Pharmaceuticals USA, Inc.</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Lasmiditan (Reyvow</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2019)</w:t>
      </w:r>
      <w:r>
        <w:rPr>
          <w:rFonts w:ascii="Arial" w:cs="Arial" w:eastAsia="Arial" w:hAnsi="Arial"/>
          <w:sz w:val="18"/>
          <w:szCs w:val="18"/>
          <w:color w:val="auto"/>
        </w:rPr>
        <w:t>—an oral 5-HT1F agonist for the acute treatment of migraine.</w:t>
      </w:r>
    </w:p>
    <w:p>
      <w:pPr>
        <w:spacing w:after="0" w:line="137" w:lineRule="exact"/>
        <w:rPr>
          <w:sz w:val="20"/>
          <w:szCs w:val="20"/>
          <w:color w:val="auto"/>
        </w:rPr>
      </w:pPr>
    </w:p>
    <w:p>
      <w:pPr>
        <w:ind w:left="660" w:right="80"/>
        <w:spacing w:after="0" w:line="247" w:lineRule="auto"/>
        <w:rPr>
          <w:sz w:val="20"/>
          <w:szCs w:val="20"/>
          <w:color w:val="auto"/>
        </w:rPr>
      </w:pPr>
      <w:r>
        <w:rPr>
          <w:rFonts w:ascii="Arial" w:cs="Arial" w:eastAsia="Arial" w:hAnsi="Arial"/>
          <w:sz w:val="18"/>
          <w:szCs w:val="18"/>
          <w:b w:val="1"/>
          <w:bCs w:val="1"/>
          <w:color w:val="auto"/>
        </w:rPr>
        <w:t>Nasal glucagon* (Baqsimi</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(Q3 2019)</w:t>
      </w:r>
      <w:r>
        <w:rPr>
          <w:rFonts w:ascii="Arial" w:cs="Arial" w:eastAsia="Arial" w:hAnsi="Arial"/>
          <w:sz w:val="18"/>
          <w:szCs w:val="18"/>
          <w:color w:val="auto"/>
        </w:rPr>
        <w:t>—a glucagon nasal powder formulation for the treatment of severe hypoglycemia in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diabetes ages four years and above.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Ultra-rapid Lispro* (Lyumjev</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(Q1 2020)</w:t>
      </w:r>
      <w:r>
        <w:rPr>
          <w:rFonts w:ascii="Arial" w:cs="Arial" w:eastAsia="Arial" w:hAnsi="Arial"/>
          <w:sz w:val="18"/>
          <w:szCs w:val="18"/>
          <w:color w:val="auto"/>
        </w:rPr>
        <w:t>—an ultra-rapid insulin for the treatment of type 1 and type 2 diabetes.</w:t>
      </w:r>
    </w:p>
    <w:p>
      <w:pPr>
        <w:spacing w:after="0" w:line="15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NMEs and diagnostic agent have been submitted for regulatory review in at least one of the major geographies for potential use in the conditions described. The first quarter in which each NME and the diagnostic agent initially were submitted in any major geography for any indication is shown in parentheses:</w:t>
      </w:r>
    </w:p>
    <w:p>
      <w:pPr>
        <w:spacing w:after="0" w:line="126" w:lineRule="exact"/>
        <w:rPr>
          <w:sz w:val="20"/>
          <w:szCs w:val="20"/>
          <w:color w:val="auto"/>
        </w:rPr>
      </w:pPr>
    </w:p>
    <w:p>
      <w:pPr>
        <w:ind w:left="660" w:right="480"/>
        <w:spacing w:after="0" w:line="287" w:lineRule="auto"/>
        <w:rPr>
          <w:sz w:val="20"/>
          <w:szCs w:val="20"/>
          <w:color w:val="auto"/>
        </w:rPr>
      </w:pPr>
      <w:r>
        <w:rPr>
          <w:rFonts w:ascii="Arial" w:cs="Arial" w:eastAsia="Arial" w:hAnsi="Arial"/>
          <w:sz w:val="18"/>
          <w:szCs w:val="18"/>
          <w:b w:val="1"/>
          <w:bCs w:val="1"/>
          <w:color w:val="auto"/>
        </w:rPr>
        <w:t>Flortaucipir** (Q3 2019)</w:t>
      </w:r>
      <w:r>
        <w:rPr>
          <w:rFonts w:ascii="Arial" w:cs="Arial" w:eastAsia="Arial" w:hAnsi="Arial"/>
          <w:sz w:val="18"/>
          <w:szCs w:val="18"/>
          <w:color w:val="auto"/>
        </w:rPr>
        <w:t>—a positron emission tomography (PET) tracer intended to image tau (or neurofibrillary) tangles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brain, which are an indicator of Alzheimer's disease.</w:t>
      </w:r>
    </w:p>
    <w:p>
      <w:pPr>
        <w:spacing w:after="0" w:line="99" w:lineRule="exact"/>
        <w:rPr>
          <w:sz w:val="20"/>
          <w:szCs w:val="20"/>
          <w:color w:val="auto"/>
        </w:rPr>
      </w:pPr>
    </w:p>
    <w:p>
      <w:pPr>
        <w:ind w:left="660" w:right="140"/>
        <w:spacing w:after="0" w:line="287" w:lineRule="auto"/>
        <w:rPr>
          <w:sz w:val="20"/>
          <w:szCs w:val="20"/>
          <w:color w:val="auto"/>
        </w:rPr>
      </w:pPr>
      <w:r>
        <w:rPr>
          <w:rFonts w:ascii="Arial" w:cs="Arial" w:eastAsia="Arial" w:hAnsi="Arial"/>
          <w:sz w:val="18"/>
          <w:szCs w:val="18"/>
          <w:b w:val="1"/>
          <w:bCs w:val="1"/>
          <w:color w:val="auto"/>
        </w:rPr>
        <w:t>Selpercatinib (Q4 2019)</w:t>
      </w:r>
      <w:r>
        <w:rPr>
          <w:rFonts w:ascii="Arial" w:cs="Arial" w:eastAsia="Arial" w:hAnsi="Arial"/>
          <w:sz w:val="18"/>
          <w:szCs w:val="18"/>
          <w:color w:val="auto"/>
        </w:rPr>
        <w:t>—an oral drug for the treatment of patients with cancers that harbor abnormalities in the rearranged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transfection (RET) kinase, specifically thyroid cancer and lung cancer.</w:t>
      </w:r>
    </w:p>
    <w:p>
      <w:pPr>
        <w:spacing w:after="0" w:line="45" w:lineRule="exact"/>
        <w:rPr>
          <w:sz w:val="20"/>
          <w:szCs w:val="20"/>
          <w:color w:val="auto"/>
        </w:rPr>
      </w:pPr>
    </w:p>
    <w:p>
      <w:pPr>
        <w:ind w:left="660" w:right="300"/>
        <w:spacing w:after="0" w:line="287" w:lineRule="auto"/>
        <w:rPr>
          <w:sz w:val="20"/>
          <w:szCs w:val="20"/>
          <w:color w:val="auto"/>
        </w:rPr>
      </w:pPr>
      <w:r>
        <w:rPr>
          <w:rFonts w:ascii="Arial" w:cs="Arial" w:eastAsia="Arial" w:hAnsi="Arial"/>
          <w:sz w:val="18"/>
          <w:szCs w:val="18"/>
          <w:b w:val="1"/>
          <w:bCs w:val="1"/>
          <w:color w:val="auto"/>
        </w:rPr>
        <w:t>Tanezumab* (Q4 2019)</w:t>
      </w:r>
      <w:r>
        <w:rPr>
          <w:rFonts w:ascii="Arial" w:cs="Arial" w:eastAsia="Arial" w:hAnsi="Arial"/>
          <w:sz w:val="18"/>
          <w:szCs w:val="18"/>
          <w:color w:val="auto"/>
        </w:rPr>
        <w:t>—an anti-nerve growth factor monoclonal antibody for the treatment of osteoarthritis pain (in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Pfizer Inc. (Pfizer)).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733" w:right="339" w:bottom="1440" w:gutter="0" w:footer="0" w:header="0"/>
        </w:sectPr>
      </w:pPr>
    </w:p>
    <w:bookmarkStart w:id="34" w:name="page35"/>
    <w:bookmarkEnd w:id="34"/>
    <w:p>
      <w:pPr>
        <w:ind w:right="60"/>
        <w:spacing w:after="0" w:line="256" w:lineRule="auto"/>
        <w:rPr>
          <w:sz w:val="20"/>
          <w:szCs w:val="20"/>
          <w:color w:val="auto"/>
        </w:rPr>
      </w:pPr>
      <w:r>
        <w:rPr>
          <w:rFonts w:ascii="Arial" w:cs="Arial" w:eastAsia="Arial" w:hAnsi="Arial"/>
          <w:sz w:val="18"/>
          <w:szCs w:val="18"/>
          <w:color w:val="auto"/>
        </w:rPr>
        <w:t>The following NMEs are currently in Phase III clinical trial testing for potential use in the conditions described below but have not yet been submitted for regulatory approval for any indication. The first quarter in which each NME initially entered Phase III for any indication is shown in parentheses:</w:t>
      </w:r>
    </w:p>
    <w:p>
      <w:pPr>
        <w:spacing w:after="0" w:line="126" w:lineRule="exact"/>
        <w:rPr>
          <w:sz w:val="20"/>
          <w:szCs w:val="20"/>
          <w:color w:val="auto"/>
        </w:rPr>
      </w:pPr>
    </w:p>
    <w:p>
      <w:pPr>
        <w:ind w:left="660" w:right="180"/>
        <w:spacing w:after="0" w:line="287" w:lineRule="auto"/>
        <w:rPr>
          <w:sz w:val="20"/>
          <w:szCs w:val="20"/>
          <w:color w:val="auto"/>
        </w:rPr>
      </w:pPr>
      <w:r>
        <w:rPr>
          <w:rFonts w:ascii="Arial" w:cs="Arial" w:eastAsia="Arial" w:hAnsi="Arial"/>
          <w:sz w:val="18"/>
          <w:szCs w:val="18"/>
          <w:b w:val="1"/>
          <w:bCs w:val="1"/>
          <w:color w:val="auto"/>
        </w:rPr>
        <w:t>Lebrikizumab* (acquired in Q1 2020)</w:t>
      </w:r>
      <w:r>
        <w:rPr>
          <w:rFonts w:ascii="Arial" w:cs="Arial" w:eastAsia="Arial" w:hAnsi="Arial"/>
          <w:sz w:val="18"/>
          <w:szCs w:val="18"/>
          <w:color w:val="auto"/>
        </w:rPr>
        <w:t>—a monoclonal antibody designed for the treatment of moderate-to-severe atopic dermatitis</w:t>
      </w:r>
      <w:r>
        <w:rPr>
          <w:rFonts w:ascii="Arial" w:cs="Arial" w:eastAsia="Arial" w:hAnsi="Arial"/>
          <w:sz w:val="18"/>
          <w:szCs w:val="18"/>
          <w:b w:val="1"/>
          <w:bCs w:val="1"/>
          <w:color w:val="auto"/>
        </w:rPr>
        <w:t xml:space="preserve"> </w:t>
      </w:r>
      <w:r>
        <w:rPr>
          <w:rFonts w:ascii="Arial" w:cs="Arial" w:eastAsia="Arial" w:hAnsi="Arial"/>
          <w:sz w:val="18"/>
          <w:szCs w:val="18"/>
          <w:color w:val="auto"/>
        </w:rPr>
        <w:t>(in collaboration with Almirall, S.A. in Europe).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Mirikizumab* (Q2 2018)</w:t>
      </w:r>
      <w:r>
        <w:rPr>
          <w:rFonts w:ascii="Arial" w:cs="Arial" w:eastAsia="Arial" w:hAnsi="Arial"/>
          <w:sz w:val="18"/>
          <w:szCs w:val="18"/>
          <w:color w:val="auto"/>
        </w:rPr>
        <w:t>—a monoclonal antibody designed for the treatment of autoimmune diseases.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Alzheimer’s disease.</w:t>
      </w:r>
    </w:p>
    <w:p>
      <w:pPr>
        <w:spacing w:after="0" w:line="171" w:lineRule="exact"/>
        <w:rPr>
          <w:sz w:val="20"/>
          <w:szCs w:val="20"/>
          <w:color w:val="auto"/>
        </w:rPr>
      </w:pPr>
    </w:p>
    <w:p>
      <w:pPr>
        <w:ind w:left="660" w:right="260"/>
        <w:spacing w:after="0" w:line="287" w:lineRule="auto"/>
        <w:rPr>
          <w:sz w:val="20"/>
          <w:szCs w:val="20"/>
          <w:color w:val="auto"/>
        </w:rPr>
      </w:pPr>
      <w:r>
        <w:rPr>
          <w:rFonts w:ascii="Arial" w:cs="Arial" w:eastAsia="Arial" w:hAnsi="Arial"/>
          <w:sz w:val="18"/>
          <w:szCs w:val="18"/>
          <w:b w:val="1"/>
          <w:bCs w:val="1"/>
          <w:color w:val="auto"/>
        </w:rPr>
        <w:t>Tirzepatide* (Q4 2018)</w:t>
      </w:r>
      <w:r>
        <w:rPr>
          <w:rFonts w:ascii="Arial" w:cs="Arial" w:eastAsia="Arial" w:hAnsi="Arial"/>
          <w:sz w:val="18"/>
          <w:szCs w:val="18"/>
          <w:color w:val="auto"/>
        </w:rPr>
        <w:t>—a long-acting, combination therapy of glucose-dependent insulinotropic polypeptide (GIP) and glucagon-like peptide 1 for the treatment of type 2 diabetes and obesity.</w:t>
      </w:r>
    </w:p>
    <w:p>
      <w:pPr>
        <w:spacing w:after="0" w:line="67" w:lineRule="exact"/>
        <w:rPr>
          <w:sz w:val="20"/>
          <w:szCs w:val="20"/>
          <w:color w:val="auto"/>
        </w:rPr>
      </w:pPr>
    </w:p>
    <w:p>
      <w:pPr>
        <w:ind w:left="340" w:right="3880" w:hanging="8"/>
        <w:spacing w:after="0" w:line="375" w:lineRule="auto"/>
        <w:tabs>
          <w:tab w:leader="none" w:pos="6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 ** Diagnostic agent</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reflects the status of the recently approved products, NMEs, and diagnostic agent set forth above, as well as certain other developments to our late-stage pipeline since January 1, 2020:</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6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46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Indication</w:t>
            </w:r>
          </w:p>
        </w:tc>
        <w:tc>
          <w:tcPr>
            <w:tcW w:w="12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12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22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1240" w:type="dxa"/>
            <w:vAlign w:val="bottom"/>
            <w:tcBorders>
              <w:top w:val="single" w:sz="8" w:color="auto"/>
              <w:bottom w:val="single" w:sz="8" w:color="auto"/>
              <w:right w:val="single" w:sz="8" w:color="auto"/>
            </w:tcBorders>
            <w:shd w:val="clear" w:color="auto" w:fill="D8D8D8"/>
          </w:tcPr>
          <w:p>
            <w:pPr>
              <w:jc w:val="right"/>
              <w:ind w:right="610"/>
              <w:spacing w:after="0"/>
              <w:rPr>
                <w:sz w:val="20"/>
                <w:szCs w:val="20"/>
                <w:color w:val="auto"/>
              </w:rPr>
            </w:pPr>
            <w:r>
              <w:rPr>
                <w:rFonts w:ascii="Arial" w:cs="Arial" w:eastAsia="Arial" w:hAnsi="Arial"/>
                <w:sz w:val="18"/>
                <w:szCs w:val="18"/>
                <w:b w:val="1"/>
                <w:bCs w:val="1"/>
                <w:color w:val="auto"/>
                <w:w w:val="99"/>
              </w:rPr>
              <w:t>Japan</w:t>
            </w:r>
          </w:p>
        </w:tc>
        <w:tc>
          <w:tcPr>
            <w:tcW w:w="43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Baqsimi</w:t>
            </w: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Severe</w:t>
            </w:r>
          </w:p>
        </w:tc>
        <w:tc>
          <w:tcPr>
            <w:tcW w:w="12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Launched</w:t>
            </w:r>
          </w:p>
        </w:tc>
        <w:tc>
          <w:tcPr>
            <w:tcW w:w="2580" w:type="dxa"/>
            <w:vAlign w:val="bottom"/>
            <w:tcBorders>
              <w:right w:val="single" w:sz="8" w:color="auto"/>
            </w:tcBorders>
            <w:gridSpan w:val="3"/>
            <w:vMerge w:val="restart"/>
          </w:tcPr>
          <w:p>
            <w:pPr>
              <w:ind w:left="900"/>
              <w:spacing w:after="0"/>
              <w:rPr>
                <w:sz w:val="20"/>
                <w:szCs w:val="20"/>
                <w:color w:val="auto"/>
              </w:rPr>
            </w:pPr>
            <w:r>
              <w:rPr>
                <w:rFonts w:ascii="Arial" w:cs="Arial" w:eastAsia="Arial" w:hAnsi="Arial"/>
                <w:sz w:val="18"/>
                <w:szCs w:val="18"/>
                <w:color w:val="auto"/>
              </w:rPr>
              <w:t>Approved</w:t>
            </w:r>
          </w:p>
        </w:tc>
        <w:tc>
          <w:tcPr>
            <w:tcW w:w="4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 in Japan in the first quarter of 2020.</w:t>
            </w: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hypoglycemia</w:t>
            </w:r>
          </w:p>
        </w:tc>
        <w:tc>
          <w:tcPr>
            <w:tcW w:w="12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gridSpan w:val="3"/>
            <w:vMerge w:val="continue"/>
          </w:tcPr>
          <w:p>
            <w:pPr>
              <w:spacing w:after="0"/>
              <w:rPr>
                <w:sz w:val="9"/>
                <w:szCs w:val="9"/>
                <w:color w:val="auto"/>
              </w:rPr>
            </w:pPr>
          </w:p>
        </w:tc>
        <w:tc>
          <w:tcPr>
            <w:tcW w:w="4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vMerge w:val="continue"/>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Tirzepatide</w:t>
            </w: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Type 2 diabetes</w:t>
            </w:r>
          </w:p>
        </w:tc>
        <w:tc>
          <w:tcPr>
            <w:tcW w:w="1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Phase III</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4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Obesity</w:t>
            </w:r>
          </w:p>
        </w:tc>
        <w:tc>
          <w:tcPr>
            <w:tcW w:w="1220" w:type="dxa"/>
            <w:vAlign w:val="bottom"/>
          </w:tcPr>
          <w:p>
            <w:pPr>
              <w:spacing w:after="0"/>
              <w:rPr>
                <w:sz w:val="9"/>
                <w:szCs w:val="9"/>
                <w:color w:val="auto"/>
              </w:rPr>
            </w:pPr>
          </w:p>
        </w:tc>
        <w:tc>
          <w:tcPr>
            <w:tcW w:w="1120" w:type="dxa"/>
            <w:vAlign w:val="bottom"/>
            <w:vMerge w:val="restart"/>
          </w:tcPr>
          <w:p>
            <w:pPr>
              <w:ind w:left="300"/>
              <w:spacing w:after="0"/>
              <w:rPr>
                <w:sz w:val="20"/>
                <w:szCs w:val="20"/>
                <w:color w:val="auto"/>
              </w:rPr>
            </w:pPr>
            <w:r>
              <w:rPr>
                <w:rFonts w:ascii="Arial" w:cs="Arial" w:eastAsia="Arial" w:hAnsi="Arial"/>
                <w:sz w:val="18"/>
                <w:szCs w:val="18"/>
                <w:color w:val="auto"/>
              </w:rPr>
              <w:t>Phase III</w:t>
            </w:r>
          </w:p>
        </w:tc>
        <w:tc>
          <w:tcPr>
            <w:tcW w:w="22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42"/>
        </w:trPr>
        <w:tc>
          <w:tcPr>
            <w:tcW w:w="1620" w:type="dxa"/>
            <w:vAlign w:val="bottom"/>
            <w:tcBorders>
              <w:left w:val="single" w:sz="8" w:color="auto"/>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vMerge w:val="continue"/>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436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Lyumjev</w:t>
            </w: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Type 1 and 2</w:t>
            </w:r>
          </w:p>
        </w:tc>
        <w:tc>
          <w:tcPr>
            <w:tcW w:w="12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Submitted</w:t>
            </w:r>
          </w:p>
        </w:tc>
        <w:tc>
          <w:tcPr>
            <w:tcW w:w="2580" w:type="dxa"/>
            <w:vAlign w:val="bottom"/>
            <w:tcBorders>
              <w:right w:val="single" w:sz="8" w:color="auto"/>
            </w:tcBorders>
            <w:gridSpan w:val="3"/>
            <w:vMerge w:val="restart"/>
          </w:tcPr>
          <w:p>
            <w:pPr>
              <w:ind w:left="900"/>
              <w:spacing w:after="0"/>
              <w:rPr>
                <w:sz w:val="20"/>
                <w:szCs w:val="20"/>
                <w:color w:val="auto"/>
              </w:rPr>
            </w:pPr>
            <w:r>
              <w:rPr>
                <w:rFonts w:ascii="Arial" w:cs="Arial" w:eastAsia="Arial" w:hAnsi="Arial"/>
                <w:sz w:val="18"/>
                <w:szCs w:val="18"/>
                <w:color w:val="auto"/>
              </w:rPr>
              <w:t>Approved</w:t>
            </w:r>
          </w:p>
        </w:tc>
        <w:tc>
          <w:tcPr>
            <w:tcW w:w="4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in Europe and Japan in the first quarter of</w:t>
            </w: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diabetes</w:t>
            </w:r>
          </w:p>
        </w:tc>
        <w:tc>
          <w:tcPr>
            <w:tcW w:w="12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gridSpan w:val="3"/>
            <w:vMerge w:val="continue"/>
          </w:tcPr>
          <w:p>
            <w:pPr>
              <w:spacing w:after="0"/>
              <w:rPr>
                <w:sz w:val="9"/>
                <w:szCs w:val="9"/>
                <w:color w:val="auto"/>
              </w:rPr>
            </w:pPr>
          </w:p>
        </w:tc>
        <w:tc>
          <w:tcPr>
            <w:tcW w:w="4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vMerge w:val="continue"/>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620" w:type="dxa"/>
            <w:vAlign w:val="bottom"/>
            <w:tcBorders>
              <w:left w:val="single" w:sz="8" w:color="auto"/>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Acquired in the Dermira acquisition in February 2020.</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Lebrikizumab</w:t>
            </w:r>
          </w:p>
        </w:tc>
        <w:tc>
          <w:tcPr>
            <w:tcW w:w="14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Atopic dermatitis</w:t>
            </w:r>
          </w:p>
        </w:tc>
        <w:tc>
          <w:tcPr>
            <w:tcW w:w="1220" w:type="dxa"/>
            <w:vAlign w:val="bottom"/>
          </w:tcPr>
          <w:p>
            <w:pPr>
              <w:spacing w:after="0"/>
              <w:rPr>
                <w:sz w:val="17"/>
                <w:szCs w:val="17"/>
                <w:color w:val="auto"/>
              </w:rPr>
            </w:pPr>
          </w:p>
        </w:tc>
        <w:tc>
          <w:tcPr>
            <w:tcW w:w="1120" w:type="dxa"/>
            <w:vAlign w:val="bottom"/>
            <w:vMerge w:val="restart"/>
          </w:tcPr>
          <w:p>
            <w:pPr>
              <w:ind w:left="300"/>
              <w:spacing w:after="0"/>
              <w:rPr>
                <w:sz w:val="20"/>
                <w:szCs w:val="20"/>
                <w:color w:val="auto"/>
              </w:rPr>
            </w:pPr>
            <w:r>
              <w:rPr>
                <w:rFonts w:ascii="Arial" w:cs="Arial" w:eastAsia="Arial" w:hAnsi="Arial"/>
                <w:sz w:val="18"/>
                <w:szCs w:val="18"/>
                <w:color w:val="auto"/>
              </w:rPr>
              <w:t>Phase III</w:t>
            </w:r>
          </w:p>
        </w:tc>
        <w:tc>
          <w:tcPr>
            <w:tcW w:w="2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Granted Fast Track Designation</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by the U.S. Food</w:t>
            </w: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6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and Drug Administration (FDA). Phase III trials are</w:t>
            </w:r>
          </w:p>
        </w:tc>
        <w:tc>
          <w:tcPr>
            <w:tcW w:w="0" w:type="dxa"/>
            <w:vAlign w:val="bottom"/>
          </w:tcPr>
          <w:p>
            <w:pPr>
              <w:spacing w:after="0"/>
              <w:rPr>
                <w:sz w:val="1"/>
                <w:szCs w:val="1"/>
                <w:color w:val="auto"/>
              </w:rPr>
            </w:pPr>
          </w:p>
        </w:tc>
      </w:tr>
      <w:tr>
        <w:trPr>
          <w:trHeight w:val="94"/>
        </w:trPr>
        <w:tc>
          <w:tcPr>
            <w:tcW w:w="1620" w:type="dxa"/>
            <w:vAlign w:val="bottom"/>
            <w:tcBorders>
              <w:left w:val="single" w:sz="8" w:color="auto"/>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50"/>
        </w:trPr>
        <w:tc>
          <w:tcPr>
            <w:tcW w:w="1620" w:type="dxa"/>
            <w:vAlign w:val="bottom"/>
            <w:tcBorders>
              <w:left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Crohn's Disease</w:t>
            </w:r>
          </w:p>
        </w:tc>
        <w:tc>
          <w:tcPr>
            <w:tcW w:w="1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Phase III</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4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April 2020, announced a Phase III trial met the co-</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Mirikizumab</w:t>
            </w:r>
          </w:p>
        </w:tc>
        <w:tc>
          <w:tcPr>
            <w:tcW w:w="14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Psoriasis</w:t>
            </w:r>
          </w:p>
        </w:tc>
        <w:tc>
          <w:tcPr>
            <w:tcW w:w="122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Phase III</w:t>
            </w:r>
          </w:p>
        </w:tc>
        <w:tc>
          <w:tcPr>
            <w:tcW w:w="2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primary and key secondary endpoints. Another Phase</w:t>
            </w:r>
          </w:p>
        </w:tc>
        <w:tc>
          <w:tcPr>
            <w:tcW w:w="0" w:type="dxa"/>
            <w:vAlign w:val="bottom"/>
          </w:tcPr>
          <w:p>
            <w:pPr>
              <w:spacing w:after="0"/>
              <w:rPr>
                <w:sz w:val="1"/>
                <w:szCs w:val="1"/>
                <w:color w:val="auto"/>
              </w:rPr>
            </w:pPr>
          </w:p>
        </w:tc>
      </w:tr>
      <w:tr>
        <w:trPr>
          <w:trHeight w:val="224"/>
        </w:trPr>
        <w:tc>
          <w:tcPr>
            <w:tcW w:w="1620" w:type="dxa"/>
            <w:vAlign w:val="bottom"/>
            <w:tcBorders>
              <w:left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III trial is ongoing.</w:t>
            </w:r>
          </w:p>
        </w:tc>
        <w:tc>
          <w:tcPr>
            <w:tcW w:w="0" w:type="dxa"/>
            <w:vAlign w:val="bottom"/>
          </w:tcPr>
          <w:p>
            <w:pPr>
              <w:spacing w:after="0"/>
              <w:rPr>
                <w:sz w:val="1"/>
                <w:szCs w:val="1"/>
                <w:color w:val="auto"/>
              </w:rPr>
            </w:pPr>
          </w:p>
        </w:tc>
      </w:tr>
      <w:tr>
        <w:trPr>
          <w:trHeight w:val="256"/>
        </w:trPr>
        <w:tc>
          <w:tcPr>
            <w:tcW w:w="1620" w:type="dxa"/>
            <w:vAlign w:val="bottom"/>
            <w:tcBorders>
              <w:left w:val="single" w:sz="8" w:color="auto"/>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Ulcerative colitis</w:t>
            </w:r>
          </w:p>
        </w:tc>
        <w:tc>
          <w:tcPr>
            <w:tcW w:w="1220" w:type="dxa"/>
            <w:vAlign w:val="bottom"/>
          </w:tcPr>
          <w:p>
            <w:pPr>
              <w:spacing w:after="0"/>
              <w:rPr>
                <w:sz w:val="22"/>
                <w:szCs w:val="22"/>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Phase III</w:t>
            </w:r>
          </w:p>
        </w:tc>
        <w:tc>
          <w:tcPr>
            <w:tcW w:w="220" w:type="dxa"/>
            <w:vAlign w:val="bottom"/>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4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gridSpan w:val="2"/>
          </w:tcPr>
          <w:p>
            <w:pPr>
              <w:jc w:val="right"/>
              <w:ind w:right="1070"/>
              <w:spacing w:after="0"/>
              <w:rPr>
                <w:sz w:val="20"/>
                <w:szCs w:val="20"/>
                <w:color w:val="auto"/>
              </w:rPr>
            </w:pPr>
            <w:r>
              <w:rPr>
                <w:rFonts w:ascii="Arial" w:cs="Arial" w:eastAsia="Arial" w:hAnsi="Arial"/>
                <w:sz w:val="18"/>
                <w:szCs w:val="18"/>
                <w:color w:val="auto"/>
              </w:rPr>
              <w:t>35</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33" w:right="339" w:bottom="1440" w:gutter="0" w:footer="0" w:header="0"/>
        </w:sectPr>
      </w:pPr>
    </w:p>
    <w:bookmarkStart w:id="35" w:name="page36"/>
    <w:bookmarkEnd w:id="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6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46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Indication</w:t>
            </w:r>
          </w:p>
        </w:tc>
        <w:tc>
          <w:tcPr>
            <w:tcW w:w="12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3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3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620" w:type="dxa"/>
            <w:vAlign w:val="bottom"/>
            <w:tcBorders>
              <w:left w:val="single" w:sz="8" w:color="auto"/>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Cluster</w:t>
            </w:r>
          </w:p>
        </w:tc>
        <w:tc>
          <w:tcPr>
            <w:tcW w:w="122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Not pursuing</w:t>
            </w:r>
          </w:p>
        </w:tc>
        <w:tc>
          <w:tcPr>
            <w:tcW w:w="4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Received negative opinion from the Committee for</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Emgality</w:t>
            </w:r>
          </w:p>
        </w:tc>
        <w:tc>
          <w:tcPr>
            <w:tcW w:w="14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headache</w:t>
            </w:r>
          </w:p>
        </w:tc>
        <w:tc>
          <w:tcPr>
            <w:tcW w:w="12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Launched</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Submitted</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Phase III trial</w:t>
            </w:r>
          </w:p>
        </w:tc>
        <w:tc>
          <w:tcPr>
            <w:tcW w:w="4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Medicinal Products for Human Use in Europe during</w:t>
            </w:r>
          </w:p>
        </w:tc>
        <w:tc>
          <w:tcPr>
            <w:tcW w:w="0" w:type="dxa"/>
            <w:vAlign w:val="bottom"/>
          </w:tcPr>
          <w:p>
            <w:pPr>
              <w:spacing w:after="0"/>
              <w:rPr>
                <w:sz w:val="1"/>
                <w:szCs w:val="1"/>
                <w:color w:val="auto"/>
              </w:rPr>
            </w:pPr>
          </w:p>
        </w:tc>
      </w:tr>
      <w:tr>
        <w:trPr>
          <w:trHeight w:val="176"/>
        </w:trPr>
        <w:tc>
          <w:tcPr>
            <w:tcW w:w="1620" w:type="dxa"/>
            <w:vAlign w:val="bottom"/>
            <w:tcBorders>
              <w:left w:val="single" w:sz="8" w:color="auto"/>
              <w:right w:val="single" w:sz="8" w:color="auto"/>
            </w:tcBorders>
            <w:vMerge w:val="continue"/>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436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the first quarter of 2020.</w:t>
            </w:r>
          </w:p>
        </w:tc>
        <w:tc>
          <w:tcPr>
            <w:tcW w:w="0" w:type="dxa"/>
            <w:vAlign w:val="bottom"/>
          </w:tcPr>
          <w:p>
            <w:pPr>
              <w:spacing w:after="0"/>
              <w:rPr>
                <w:sz w:val="1"/>
                <w:szCs w:val="1"/>
                <w:color w:val="auto"/>
              </w:rPr>
            </w:pPr>
          </w:p>
        </w:tc>
      </w:tr>
      <w:tr>
        <w:trPr>
          <w:trHeight w:val="222"/>
        </w:trPr>
        <w:tc>
          <w:tcPr>
            <w:tcW w:w="1620" w:type="dxa"/>
            <w:vAlign w:val="bottom"/>
            <w:tcBorders>
              <w:left w:val="single" w:sz="8" w:color="auto"/>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Migraine</w:t>
            </w:r>
          </w:p>
        </w:tc>
        <w:tc>
          <w:tcPr>
            <w:tcW w:w="2560" w:type="dxa"/>
            <w:vAlign w:val="bottom"/>
            <w:tcBorders>
              <w:right w:val="single" w:sz="8" w:color="auto"/>
            </w:tcBorders>
            <w:gridSpan w:val="2"/>
            <w:vMerge w:val="restart"/>
          </w:tcPr>
          <w:p>
            <w:pPr>
              <w:ind w:left="880"/>
              <w:spacing w:after="0"/>
              <w:rPr>
                <w:sz w:val="20"/>
                <w:szCs w:val="20"/>
                <w:color w:val="auto"/>
              </w:rPr>
            </w:pPr>
            <w:r>
              <w:rPr>
                <w:rFonts w:ascii="Arial" w:cs="Arial" w:eastAsia="Arial" w:hAnsi="Arial"/>
                <w:sz w:val="18"/>
                <w:szCs w:val="18"/>
                <w:color w:val="auto"/>
              </w:rPr>
              <w:t>Launched</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Submitted</w:t>
            </w:r>
          </w:p>
        </w:tc>
        <w:tc>
          <w:tcPr>
            <w:tcW w:w="4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to Japanese regulatory authorities in the</w:t>
            </w: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tcPr>
          <w:p>
            <w:pPr>
              <w:spacing w:after="0"/>
              <w:rPr>
                <w:sz w:val="9"/>
                <w:szCs w:val="9"/>
                <w:color w:val="auto"/>
              </w:rPr>
            </w:pPr>
          </w:p>
        </w:tc>
        <w:tc>
          <w:tcPr>
            <w:tcW w:w="14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prevention</w:t>
            </w:r>
          </w:p>
        </w:tc>
        <w:tc>
          <w:tcPr>
            <w:tcW w:w="2560" w:type="dxa"/>
            <w:vAlign w:val="bottom"/>
            <w:tcBorders>
              <w:right w:val="single" w:sz="8" w:color="auto"/>
            </w:tcBorders>
            <w:gridSpan w:val="2"/>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first quarter of 2020.</w:t>
            </w: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vMerge w:val="continue"/>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Alzheimer's</w:t>
            </w:r>
          </w:p>
        </w:tc>
        <w:tc>
          <w:tcPr>
            <w:tcW w:w="122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Flortaucipir</w:t>
            </w:r>
          </w:p>
        </w:tc>
        <w:tc>
          <w:tcPr>
            <w:tcW w:w="14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disease</w:t>
            </w:r>
          </w:p>
        </w:tc>
        <w:tc>
          <w:tcPr>
            <w:tcW w:w="12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Submitted</w:t>
            </w:r>
          </w:p>
        </w:tc>
        <w:tc>
          <w:tcPr>
            <w:tcW w:w="258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Not pursuing Phase III trials</w:t>
            </w:r>
          </w:p>
        </w:tc>
        <w:tc>
          <w:tcPr>
            <w:tcW w:w="4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Currently under regulatory review in the U.S.</w:t>
            </w:r>
          </w:p>
        </w:tc>
        <w:tc>
          <w:tcPr>
            <w:tcW w:w="0" w:type="dxa"/>
            <w:vAlign w:val="bottom"/>
          </w:tcPr>
          <w:p>
            <w:pPr>
              <w:spacing w:after="0"/>
              <w:rPr>
                <w:sz w:val="1"/>
                <w:szCs w:val="1"/>
                <w:color w:val="auto"/>
              </w:rPr>
            </w:pPr>
          </w:p>
        </w:tc>
      </w:tr>
      <w:tr>
        <w:trPr>
          <w:trHeight w:val="224"/>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diagnostic</w:t>
            </w:r>
          </w:p>
        </w:tc>
        <w:tc>
          <w:tcPr>
            <w:tcW w:w="12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4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Acute treatment</w:t>
            </w:r>
          </w:p>
        </w:tc>
        <w:tc>
          <w:tcPr>
            <w:tcW w:w="122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Received Schedule V classification from the Drug</w:t>
            </w:r>
          </w:p>
        </w:tc>
        <w:tc>
          <w:tcPr>
            <w:tcW w:w="0" w:type="dxa"/>
            <w:vAlign w:val="bottom"/>
          </w:tcPr>
          <w:p>
            <w:pPr>
              <w:spacing w:after="0"/>
              <w:rPr>
                <w:sz w:val="1"/>
                <w:szCs w:val="1"/>
                <w:color w:val="auto"/>
              </w:rPr>
            </w:pPr>
          </w:p>
        </w:tc>
      </w:tr>
      <w:tr>
        <w:trPr>
          <w:trHeight w:val="94"/>
        </w:trPr>
        <w:tc>
          <w:tcPr>
            <w:tcW w:w="162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Reyvow</w:t>
            </w:r>
          </w:p>
        </w:tc>
        <w:tc>
          <w:tcPr>
            <w:tcW w:w="146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Launched</w:t>
            </w:r>
          </w:p>
        </w:tc>
        <w:tc>
          <w:tcPr>
            <w:tcW w:w="2580" w:type="dxa"/>
            <w:vAlign w:val="bottom"/>
            <w:tcBorders>
              <w:right w:val="single" w:sz="8" w:color="auto"/>
            </w:tcBorders>
            <w:gridSpan w:val="2"/>
            <w:vMerge w:val="restart"/>
          </w:tcPr>
          <w:p>
            <w:pPr>
              <w:jc w:val="center"/>
              <w:spacing w:after="0" w:line="202" w:lineRule="exact"/>
              <w:rPr>
                <w:sz w:val="20"/>
                <w:szCs w:val="20"/>
                <w:color w:val="auto"/>
              </w:rPr>
            </w:pPr>
            <w:r>
              <w:rPr>
                <w:rFonts w:ascii="Arial" w:cs="Arial" w:eastAsia="Arial" w:hAnsi="Arial"/>
                <w:sz w:val="18"/>
                <w:szCs w:val="18"/>
                <w:color w:val="auto"/>
              </w:rPr>
              <w:t>Phase III</w:t>
            </w:r>
          </w:p>
        </w:tc>
        <w:tc>
          <w:tcPr>
            <w:tcW w:w="436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Enforcement Agency and launched in the U.S. in</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of migraine</w:t>
            </w:r>
          </w:p>
        </w:tc>
        <w:tc>
          <w:tcPr>
            <w:tcW w:w="12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gridSpan w:val="2"/>
            <w:vMerge w:val="continue"/>
          </w:tcPr>
          <w:p>
            <w:pPr>
              <w:spacing w:after="0"/>
              <w:rPr>
                <w:sz w:val="9"/>
                <w:szCs w:val="9"/>
                <w:color w:val="auto"/>
              </w:rPr>
            </w:pPr>
          </w:p>
        </w:tc>
        <w:tc>
          <w:tcPr>
            <w:tcW w:w="4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January 2020.</w:t>
            </w: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in February 2020 that a Phase III trial for</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14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Preclinical</w:t>
            </w:r>
          </w:p>
        </w:tc>
        <w:tc>
          <w:tcPr>
            <w:tcW w:w="1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people with dominantly inherited Alzheimer's disease</w:t>
            </w:r>
          </w:p>
        </w:tc>
        <w:tc>
          <w:tcPr>
            <w:tcW w:w="0" w:type="dxa"/>
            <w:vAlign w:val="bottom"/>
          </w:tcPr>
          <w:p>
            <w:pPr>
              <w:spacing w:after="0"/>
              <w:rPr>
                <w:sz w:val="1"/>
                <w:szCs w:val="1"/>
                <w:color w:val="auto"/>
              </w:rPr>
            </w:pPr>
          </w:p>
        </w:tc>
      </w:tr>
      <w:tr>
        <w:trPr>
          <w:trHeight w:val="94"/>
        </w:trPr>
        <w:tc>
          <w:tcPr>
            <w:tcW w:w="1620" w:type="dxa"/>
            <w:vAlign w:val="bottom"/>
            <w:tcBorders>
              <w:left w:val="single" w:sz="8" w:color="auto"/>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36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(DIAD) did not meet the primary endpoint. We do not</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Solanezumab</w:t>
            </w:r>
          </w:p>
        </w:tc>
        <w:tc>
          <w:tcPr>
            <w:tcW w:w="146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Alzheimer's</w:t>
            </w:r>
          </w:p>
        </w:tc>
        <w:tc>
          <w:tcPr>
            <w:tcW w:w="1220" w:type="dxa"/>
            <w:vAlign w:val="bottom"/>
          </w:tcPr>
          <w:p>
            <w:pPr>
              <w:spacing w:after="0"/>
              <w:rPr>
                <w:sz w:val="9"/>
                <w:szCs w:val="9"/>
                <w:color w:val="auto"/>
              </w:rPr>
            </w:pPr>
          </w:p>
        </w:tc>
        <w:tc>
          <w:tcPr>
            <w:tcW w:w="134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9"/>
                <w:szCs w:val="9"/>
                <w:color w:val="auto"/>
              </w:rPr>
            </w:pPr>
          </w:p>
        </w:tc>
        <w:tc>
          <w:tcPr>
            <w:tcW w:w="4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620" w:type="dxa"/>
            <w:vAlign w:val="bottom"/>
            <w:tcBorders>
              <w:left w:val="single" w:sz="8" w:color="auto"/>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2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36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plan to pursue submission for DIAD. Phase III trial is</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14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disease</w:t>
            </w:r>
          </w:p>
        </w:tc>
        <w:tc>
          <w:tcPr>
            <w:tcW w:w="1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6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ongoing for Anti-Amyloid Treatment in Asymptomatic</w:t>
            </w:r>
          </w:p>
        </w:tc>
        <w:tc>
          <w:tcPr>
            <w:tcW w:w="0" w:type="dxa"/>
            <w:vAlign w:val="bottom"/>
          </w:tcPr>
          <w:p>
            <w:pPr>
              <w:spacing w:after="0"/>
              <w:rPr>
                <w:sz w:val="1"/>
                <w:szCs w:val="1"/>
                <w:color w:val="auto"/>
              </w:rPr>
            </w:pPr>
          </w:p>
        </w:tc>
      </w:tr>
      <w:tr>
        <w:trPr>
          <w:trHeight w:val="94"/>
        </w:trPr>
        <w:tc>
          <w:tcPr>
            <w:tcW w:w="1620" w:type="dxa"/>
            <w:vAlign w:val="bottom"/>
            <w:tcBorders>
              <w:left w:val="single" w:sz="8" w:color="auto"/>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Alzheimer's.</w:t>
            </w: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partnership with Pfizer, we submitted to the FDA in</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14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Osteoarthritis</w:t>
            </w:r>
          </w:p>
        </w:tc>
        <w:tc>
          <w:tcPr>
            <w:tcW w:w="2560" w:type="dxa"/>
            <w:vAlign w:val="bottom"/>
            <w:tcBorders>
              <w:right w:val="single" w:sz="8" w:color="auto"/>
            </w:tcBorders>
            <w:gridSpan w:val="2"/>
            <w:vMerge w:val="restart"/>
          </w:tcPr>
          <w:p>
            <w:pPr>
              <w:ind w:left="860"/>
              <w:spacing w:after="0"/>
              <w:rPr>
                <w:sz w:val="20"/>
                <w:szCs w:val="20"/>
                <w:color w:val="auto"/>
              </w:rPr>
            </w:pPr>
            <w:r>
              <w:rPr>
                <w:rFonts w:ascii="Arial" w:cs="Arial" w:eastAsia="Arial" w:hAnsi="Arial"/>
                <w:sz w:val="18"/>
                <w:szCs w:val="18"/>
                <w:color w:val="auto"/>
              </w:rPr>
              <w:t>Submitted</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4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fourth quarter of 2019 and submitted in Europe in</w:t>
            </w: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Tanezumab</w:t>
            </w:r>
          </w:p>
        </w:tc>
        <w:tc>
          <w:tcPr>
            <w:tcW w:w="146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pain</w:t>
            </w:r>
          </w:p>
        </w:tc>
        <w:tc>
          <w:tcPr>
            <w:tcW w:w="2560" w:type="dxa"/>
            <w:vAlign w:val="bottom"/>
            <w:tcBorders>
              <w:right w:val="single" w:sz="8" w:color="auto"/>
            </w:tcBorders>
            <w:gridSpan w:val="2"/>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36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March 2020. We intend to pursue submission in</w:t>
            </w:r>
          </w:p>
        </w:tc>
        <w:tc>
          <w:tcPr>
            <w:tcW w:w="0" w:type="dxa"/>
            <w:vAlign w:val="bottom"/>
          </w:tcPr>
          <w:p>
            <w:pPr>
              <w:spacing w:after="0"/>
              <w:rPr>
                <w:sz w:val="1"/>
                <w:szCs w:val="1"/>
                <w:color w:val="auto"/>
              </w:rPr>
            </w:pPr>
          </w:p>
        </w:tc>
      </w:tr>
      <w:tr>
        <w:trPr>
          <w:trHeight w:val="94"/>
        </w:trPr>
        <w:tc>
          <w:tcPr>
            <w:tcW w:w="1620" w:type="dxa"/>
            <w:vAlign w:val="bottom"/>
            <w:tcBorders>
              <w:left w:val="single" w:sz="8" w:color="auto"/>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220" w:type="dxa"/>
            <w:vAlign w:val="bottom"/>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20" w:type="dxa"/>
            <w:vAlign w:val="bottom"/>
            <w:tcBorders>
              <w:left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 in 2020.</w:t>
            </w:r>
          </w:p>
        </w:tc>
        <w:tc>
          <w:tcPr>
            <w:tcW w:w="0" w:type="dxa"/>
            <w:vAlign w:val="bottom"/>
          </w:tcPr>
          <w:p>
            <w:pPr>
              <w:spacing w:after="0"/>
              <w:rPr>
                <w:sz w:val="1"/>
                <w:szCs w:val="1"/>
                <w:color w:val="auto"/>
              </w:rPr>
            </w:pPr>
          </w:p>
        </w:tc>
      </w:tr>
      <w:tr>
        <w:trPr>
          <w:trHeight w:val="250"/>
        </w:trPr>
        <w:tc>
          <w:tcPr>
            <w:tcW w:w="1620" w:type="dxa"/>
            <w:vAlign w:val="bottom"/>
            <w:tcBorders>
              <w:left w:val="single" w:sz="8" w:color="auto"/>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Cancer pain</w:t>
            </w:r>
          </w:p>
        </w:tc>
        <w:tc>
          <w:tcPr>
            <w:tcW w:w="1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50"/>
        </w:trPr>
        <w:tc>
          <w:tcPr>
            <w:tcW w:w="1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Selpercatinib</w:t>
            </w: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Thyroid Cancer</w:t>
            </w:r>
          </w:p>
        </w:tc>
        <w:tc>
          <w:tcPr>
            <w:tcW w:w="25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Submitted</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4360" w:type="dxa"/>
            <w:vAlign w:val="bottom"/>
            <w:tcBorders>
              <w:right w:val="single" w:sz="8" w:color="auto"/>
            </w:tcBorders>
          </w:tcPr>
          <w:p>
            <w:pPr>
              <w:ind w:left="20"/>
              <w:spacing w:after="0" w:line="226" w:lineRule="exact"/>
              <w:rPr>
                <w:sz w:val="20"/>
                <w:szCs w:val="20"/>
                <w:color w:val="auto"/>
              </w:rPr>
            </w:pPr>
            <w:r>
              <w:rPr>
                <w:rFonts w:ascii="Arial" w:cs="Arial" w:eastAsia="Arial" w:hAnsi="Arial"/>
                <w:sz w:val="18"/>
                <w:szCs w:val="18"/>
                <w:color w:val="auto"/>
              </w:rPr>
              <w:t>Granted Breakthrough Therapy Designation</w:t>
            </w:r>
            <w:r>
              <w:rPr>
                <w:rFonts w:ascii="Arial" w:cs="Arial" w:eastAsia="Arial" w:hAnsi="Arial"/>
                <w:sz w:val="21"/>
                <w:szCs w:val="21"/>
                <w:color w:val="auto"/>
                <w:vertAlign w:val="superscript"/>
              </w:rPr>
              <w:t>(2)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8"/>
        </w:trPr>
        <w:tc>
          <w:tcPr>
            <w:tcW w:w="1620" w:type="dxa"/>
            <w:vAlign w:val="bottom"/>
            <w:tcBorders>
              <w:left w:val="single" w:sz="8" w:color="auto"/>
              <w:right w:val="single" w:sz="8" w:color="auto"/>
            </w:tcBorders>
            <w:vMerge w:val="continue"/>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4360" w:type="dxa"/>
            <w:vAlign w:val="bottom"/>
            <w:tcBorders>
              <w:right w:val="single" w:sz="8" w:color="auto"/>
            </w:tcBorders>
            <w:vMerge w:val="restart"/>
          </w:tcPr>
          <w:p>
            <w:pPr>
              <w:ind w:left="20"/>
              <w:spacing w:after="0" w:line="205" w:lineRule="exact"/>
              <w:rPr>
                <w:sz w:val="20"/>
                <w:szCs w:val="20"/>
                <w:color w:val="auto"/>
              </w:rPr>
            </w:pPr>
            <w:r>
              <w:rPr>
                <w:rFonts w:ascii="Arial" w:cs="Arial" w:eastAsia="Arial" w:hAnsi="Arial"/>
                <w:sz w:val="18"/>
                <w:szCs w:val="18"/>
                <w:color w:val="auto"/>
              </w:rPr>
              <w:t>Granted Priority Review</w:t>
            </w:r>
            <w:r>
              <w:rPr>
                <w:rFonts w:ascii="Arial" w:cs="Arial" w:eastAsia="Arial" w:hAnsi="Arial"/>
                <w:sz w:val="21"/>
                <w:szCs w:val="21"/>
                <w:color w:val="auto"/>
                <w:vertAlign w:val="superscript"/>
              </w:rPr>
              <w:t>(3)</w:t>
            </w:r>
            <w:r>
              <w:rPr>
                <w:rFonts w:ascii="Arial" w:cs="Arial" w:eastAsia="Arial" w:hAnsi="Arial"/>
                <w:sz w:val="18"/>
                <w:szCs w:val="18"/>
                <w:color w:val="auto"/>
              </w:rPr>
              <w:t xml:space="preserve"> from the FDA in the first</w:t>
            </w:r>
          </w:p>
        </w:tc>
        <w:tc>
          <w:tcPr>
            <w:tcW w:w="0" w:type="dxa"/>
            <w:vAlign w:val="bottom"/>
          </w:tcPr>
          <w:p>
            <w:pPr>
              <w:spacing w:after="0"/>
              <w:rPr>
                <w:sz w:val="1"/>
                <w:szCs w:val="1"/>
                <w:color w:val="auto"/>
              </w:rPr>
            </w:pPr>
          </w:p>
        </w:tc>
      </w:tr>
      <w:tr>
        <w:trPr>
          <w:trHeight w:val="87"/>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(LOXO-292)</w:t>
            </w:r>
          </w:p>
        </w:tc>
        <w:tc>
          <w:tcPr>
            <w:tcW w:w="14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Lung Cancer</w:t>
            </w:r>
          </w:p>
        </w:tc>
        <w:tc>
          <w:tcPr>
            <w:tcW w:w="2560" w:type="dxa"/>
            <w:vAlign w:val="bottom"/>
            <w:tcBorders>
              <w:right w:val="single" w:sz="8" w:color="auto"/>
            </w:tcBorders>
            <w:gridSpan w:val="2"/>
            <w:vMerge w:val="restart"/>
          </w:tcPr>
          <w:p>
            <w:pPr>
              <w:ind w:left="860"/>
              <w:spacing w:after="0"/>
              <w:rPr>
                <w:sz w:val="20"/>
                <w:szCs w:val="20"/>
                <w:color w:val="auto"/>
              </w:rPr>
            </w:pPr>
            <w:r>
              <w:rPr>
                <w:rFonts w:ascii="Arial" w:cs="Arial" w:eastAsia="Arial" w:hAnsi="Arial"/>
                <w:sz w:val="18"/>
                <w:szCs w:val="18"/>
                <w:color w:val="auto"/>
              </w:rPr>
              <w:t>Submitted</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4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620" w:type="dxa"/>
            <w:vAlign w:val="bottom"/>
            <w:tcBorders>
              <w:left w:val="single" w:sz="8" w:color="auto"/>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2560" w:type="dxa"/>
            <w:vAlign w:val="bottom"/>
            <w:tcBorders>
              <w:right w:val="single" w:sz="8" w:color="auto"/>
            </w:tcBorders>
            <w:gridSpan w:val="2"/>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4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quarter of 2020. Phase III trials are ongoing.</w:t>
            </w:r>
          </w:p>
        </w:tc>
        <w:tc>
          <w:tcPr>
            <w:tcW w:w="0" w:type="dxa"/>
            <w:vAlign w:val="bottom"/>
          </w:tcPr>
          <w:p>
            <w:pPr>
              <w:spacing w:after="0"/>
              <w:rPr>
                <w:sz w:val="1"/>
                <w:szCs w:val="1"/>
                <w:color w:val="auto"/>
              </w:rPr>
            </w:pPr>
          </w:p>
        </w:tc>
      </w:tr>
      <w:tr>
        <w:trPr>
          <w:trHeight w:val="101"/>
        </w:trPr>
        <w:tc>
          <w:tcPr>
            <w:tcW w:w="16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2560" w:type="dxa"/>
            <w:vAlign w:val="bottom"/>
            <w:tcBorders>
              <w:bottom w:val="single" w:sz="8" w:color="auto"/>
              <w:right w:val="single" w:sz="8" w:color="auto"/>
            </w:tcBorders>
            <w:gridSpan w:val="2"/>
            <w:vMerge w:val="continue"/>
          </w:tcPr>
          <w:p>
            <w:pPr>
              <w:spacing w:after="0"/>
              <w:rPr>
                <w:sz w:val="8"/>
                <w:szCs w:val="8"/>
                <w:color w:val="auto"/>
              </w:rPr>
            </w:pPr>
          </w:p>
        </w:tc>
        <w:tc>
          <w:tcPr>
            <w:tcW w:w="1240" w:type="dxa"/>
            <w:vAlign w:val="bottom"/>
            <w:tcBorders>
              <w:bottom w:val="single" w:sz="8" w:color="auto"/>
              <w:right w:val="single" w:sz="8" w:color="auto"/>
            </w:tcBorders>
            <w:vMerge w:val="continue"/>
          </w:tcPr>
          <w:p>
            <w:pPr>
              <w:spacing w:after="0"/>
              <w:rPr>
                <w:sz w:val="8"/>
                <w:szCs w:val="8"/>
                <w:color w:val="auto"/>
              </w:rPr>
            </w:pPr>
          </w:p>
        </w:tc>
        <w:tc>
          <w:tcPr>
            <w:tcW w:w="43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The Fast Track Designation is designed to expedite the development and review of new therapies to treat serious conditions and address unmet medical needs.</w:t>
      </w:r>
    </w:p>
    <w:p>
      <w:pPr>
        <w:spacing w:after="0" w:line="97" w:lineRule="exact"/>
        <w:rPr>
          <w:rFonts w:ascii="Arial" w:cs="Arial" w:eastAsia="Arial" w:hAnsi="Arial"/>
          <w:sz w:val="18"/>
          <w:szCs w:val="18"/>
          <w:color w:val="auto"/>
          <w:vertAlign w:val="superscript"/>
        </w:rPr>
      </w:pPr>
    </w:p>
    <w:p>
      <w:pPr>
        <w:ind w:left="180" w:right="520" w:hanging="172"/>
        <w:spacing w:after="0" w:line="232" w:lineRule="auto"/>
        <w:tabs>
          <w:tab w:leader="none" w:pos="153" w:val="left"/>
        </w:tabs>
        <w:numPr>
          <w:ilvl w:val="0"/>
          <w:numId w:val="22"/>
        </w:numPr>
        <w:rPr>
          <w:rFonts w:ascii="Arial" w:cs="Arial" w:eastAsia="Arial" w:hAnsi="Arial"/>
          <w:sz w:val="17"/>
          <w:szCs w:val="17"/>
          <w:color w:val="auto"/>
          <w:vertAlign w:val="superscript"/>
        </w:rPr>
      </w:pPr>
      <w:r>
        <w:rPr>
          <w:rFonts w:ascii="Arial" w:cs="Arial" w:eastAsia="Arial" w:hAnsi="Arial"/>
          <w:sz w:val="13"/>
          <w:szCs w:val="13"/>
          <w:color w:val="auto"/>
        </w:rPr>
        <w:t>The 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98" w:lineRule="exact"/>
        <w:rPr>
          <w:rFonts w:ascii="Arial" w:cs="Arial" w:eastAsia="Arial" w:hAnsi="Arial"/>
          <w:sz w:val="17"/>
          <w:szCs w:val="17"/>
          <w:color w:val="auto"/>
          <w:vertAlign w:val="superscript"/>
        </w:rPr>
      </w:pPr>
    </w:p>
    <w:p>
      <w:pPr>
        <w:ind w:left="180" w:right="180" w:hanging="172"/>
        <w:spacing w:after="0" w:line="217" w:lineRule="auto"/>
        <w:tabs>
          <w:tab w:leader="none" w:pos="168"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Priority Review is designed to expedite the review of potential medicines that, if approved, would be significant improvements in the safety or effectiveness of the treatment, diagnosis, or prevention of serious conditions when compared to standard applications.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intellectual-property protection for most of our revenue, cash flows, and earnings.</w:t>
      </w:r>
    </w:p>
    <w:p>
      <w:pPr>
        <w:spacing w:after="0" w:line="11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Our compound patent protection for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and Adcirca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expired in major European markets and the U.S. in November 2017; however, in the U.S., we were granted pediatric exclusivity through May 2018. Another later expiring patent (October 2020) was the subject of U.S. patent litigation and pursuant to a settlement agreement related thereto, generic tadalafil entered the U.S. market in September 2018. We have faced and remain exposed to generic competition following the loss of exclusivity, which has rapidly and severely eroded revenue and is likely to continue to erode revenue.</w:t>
      </w:r>
    </w:p>
    <w:p>
      <w:pPr>
        <w:spacing w:after="0" w:line="10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Our formulation patents for Forteo</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expired in December 2018, and our use patents expired in August 2019 in major European markets and the U.S. Both the formulation patent and the use patent expired in August 2019 in Japan. We expect further volume decline as a result of the entry of generic and biosimilar competition following the loss of patent exclusivity in these markets. In the aggregate, we expect that the decline in revenue will have a material adverse effect on our consolidated results of operations and cash flows.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794" w:right="339" w:bottom="1440" w:gutter="0" w:footer="0" w:header="0"/>
        </w:sectPr>
      </w:pPr>
    </w:p>
    <w:bookmarkStart w:id="36" w:name="page37"/>
    <w:bookmarkEnd w:id="36"/>
    <w:p>
      <w:pPr>
        <w:spacing w:after="0" w:line="248" w:lineRule="auto"/>
        <w:rPr>
          <w:sz w:val="20"/>
          <w:szCs w:val="20"/>
          <w:color w:val="auto"/>
        </w:rPr>
      </w:pPr>
      <w:r>
        <w:rPr>
          <w:rFonts w:ascii="Arial" w:cs="Arial" w:eastAsia="Arial" w:hAnsi="Arial"/>
          <w:sz w:val="18"/>
          <w:szCs w:val="18"/>
          <w:color w:val="auto"/>
        </w:rPr>
        <w:t>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we expect to provide us with patent protection for Alimta through June 2021 in Japan and major European countries, and through May 2022 in the U.S., have been challenged in each of these jurisdictions. In the U.S., we and Eagle Pharmaceuticals, Inc. (Eagle) reached an agreement in December 2019 to settle all pending litigation, allowing Eagle a limited initial entry into the market with its product starting February 2022 (up to an approximate three-week supply) and subsequent unlimited entry starting April 2022. An unfavorable outcome to patent challenges in the U.S. could have a material adverse impact on our future consolidated results of operations, liquidity, and financial position. Our vitamin regimen patents have also been challenged in other smaller European jurisdictions. Our compound patent for Alimta expired in the U.S. in January 2017, and expired in major European countries and Japan in December 2015. We are aware that several companies have received approval to market generic versions of pemetrexed in major European markets (including Germany, France, and the Netherlands) and that additional generic competitors may choose to launch at risk. Although we will continue to seek to remove any such products, generic product entry is resulting in some loss in revenue in these jurisdictions. We expect that further entry of generic competition for Alimta following the loss of effective patent protection will cause a rapid and severe decline in future revenue for the product. See Note 10 to the consolidated condensed financial statements for a more detailed account of the legal proceedings currently pending in the U.S., Europe, and Japan regarding our Alimta patents.</w:t>
      </w:r>
    </w:p>
    <w:p>
      <w:pPr>
        <w:spacing w:after="0" w:line="100"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lispro) has expired in major markets. Global regulators have different legal pathways to approve similar versions of insulin lispro. A competitor launched a similar version of insulin lispro in certain European markets in 2017 and in the U.S. in the second quarter of 2018. While it is difficult to estimate the severity of the impact of insulin lispro products entering the market, we do not expect and have not experienced a rapid and severe decline in revenue; however, we expect additional pricing pressure and some loss of market share that would continue over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and Japanese yen. While we manage a portion of these exposures through hedging and other risk management techniques, significant fluctuations in currency rates can have a substantial impact, either positive or negative, on our revenue, cost of sales, and operating expenses. While there is uncertainty in the future movements in foreign exchange rates, fluctuations in these rates could negatively impact our future consolidated results of operations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cost control measures may be enacted to manage federal and state budgets. Key health policy initiatives affecting biopharmaceuticals include:</w:t>
      </w:r>
    </w:p>
    <w:p>
      <w:pPr>
        <w:spacing w:after="0" w:line="94" w:lineRule="exact"/>
        <w:rPr>
          <w:sz w:val="20"/>
          <w:szCs w:val="20"/>
          <w:color w:val="auto"/>
        </w:rPr>
      </w:pPr>
    </w:p>
    <w:p>
      <w:pPr>
        <w:ind w:left="660" w:right="48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Coronavirus Aid, Relief and Economic Security (CARES) Act and potential subsequent stimulus bills that focus on ensuring availability and access to lifesaving drugs during a public health crisis,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reference pricing in Medicare and private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modifications to Medicare Parts B and 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that would allow the Department of Health and Human Services to negotiate prices for biologics and drugs in Medicare,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reduction in biologic data exclusivity,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proposals related to Medicaid prescription drug coverage and manufacturer drug rebates,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proposals that would require biopharmaceutical manufacturers to disclose proprietary drug pricing information; and</w:t>
      </w:r>
    </w:p>
    <w:p>
      <w:pPr>
        <w:spacing w:after="0" w:line="117"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state-level proposals related to prescription drug prices and reducing the cost of pharmaceuticals purchased by government health care programs.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676" w:right="359" w:bottom="1440" w:gutter="0" w:footer="0" w:header="0"/>
        </w:sectPr>
      </w:pPr>
    </w:p>
    <w:bookmarkStart w:id="37" w:name="page38"/>
    <w:bookmarkEnd w:id="37"/>
    <w:p>
      <w:pPr>
        <w:ind w:right="80"/>
        <w:spacing w:after="0" w:line="252" w:lineRule="auto"/>
        <w:rPr>
          <w:sz w:val="20"/>
          <w:szCs w:val="20"/>
          <w:color w:val="auto"/>
        </w:rPr>
      </w:pPr>
      <w:r>
        <w:rPr>
          <w:rFonts w:ascii="Arial" w:cs="Arial" w:eastAsia="Arial" w:hAnsi="Arial"/>
          <w:sz w:val="18"/>
          <w:szCs w:val="18"/>
          <w:color w:val="auto"/>
        </w:rPr>
        <w:t>California and several other states have enacted legislation related to prescription drug pricing transparency and it is unclear the effect this legislation will have on our business. Several states passed importation legislation, including Colorado, Florida, Maine, and Vermont. Specifically, the state of Florida is working with the Administration to implement an importation program from Canada as early as 2020. We are currently reviewing this state legislation, as well as corresponding proposed federal rulemaking and guidance recently published by the Department of Health and Human Services and the FDA, the impact of which is uncertain at this time. Minnesota recently passed legislation requiring the establishment of two insulin patient assistance programs. We are currently reviewing the Minnesota legislation, the impact of which is uncertain at this time.</w:t>
      </w:r>
    </w:p>
    <w:p>
      <w:pPr>
        <w:spacing w:after="0" w:line="9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private sector, consolidation and integration among healthcare providers is also a major factor in the competitive marketplace for pharmaceuticals. Health plans, pharmacy benefit managers, wholesalers, and other supply chain stakeholders have been consolidating into fewer, larger entities, increasingly through vertical integration,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Value-based agreements are another tool which may be utilized between payers and pharmaceutical companies as formulary placement and pricing are negotiated. Price is an increasingly important factor in formulary decisions, particularly in treatment areas in which the payer has taken the position that multiple branded products are therapeutically comparable. These downward pricing pressures could continue to negatively affect future consolidated results of operations. In addition to formulary placement, changes in insurance designs continue to drive greater consumer cost sharing through high deductible plans and higher co-insurance or co-pays (including co-pay accumulator and maximizer programs). We continue to invest in patient affordability solutions (resulting in lower revenue) in an effort to assist patients in affording their medicines.</w:t>
      </w:r>
    </w:p>
    <w:p>
      <w:pPr>
        <w:spacing w:after="0" w:line="1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continue to evaluate strategies such as private exchanges and wider use of consumer-driven health plans to reduce their healthcare liabilities over time. Federal legislation, litigation, or administrative actions to repeal or modify some or all of the provisions of the ACA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As additional reforms are finalized, we will assess their impact on future revenues.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human pharmaceutical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could adversely affect our effective tax rate, results of operations, and cash flows. Countries around the world, including the U.S., actively consider and enact tax law changes. Further, actions taken with respect to tax-related matters by associations such as the Organisation for Economic Co-operation and Development and the European Commission could influence tax policy in countries in which we operate. Modifications to U.S. and foreign tax laws or regulations are frequently enacted and could result in material impacts to our results of operations and financial position.</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679"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strategically invest in external research and technologies that we believe to complement and strengthen our own efforts. These investments can take many forms, including licensing arrangements, collaborations, and acquisitions. We view our business development activity as an important way to achieve our strategies, as we seek to bolster our pipeline and enhance shareholder value. We continue to evaluate business development transactions that have the potential to strengthen our business.</w:t>
      </w:r>
    </w:p>
    <w:p>
      <w:pPr>
        <w:spacing w:after="0" w:line="20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2019, we acquired all shares of Loxo for a purchase price of $6.92 billion, net of cash acquired. Under the terms of the agreement, we acquired a pipeline of investigational medicines, including selpercatinib (LOXO-292), an oral RET inhibitor that has been granted Breakthrough Therapy designation by the FDA, and LOXO-305, an oral BTK inhibitor. Selpercatinib (LOXO-292) was also granted Priority Review from the FDA in the first quarter of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2020, we acquired all shares of Dermira for a purchase price of $849.3 million, net of cash acquired. Under terms of the agreement, we acquired lebrikizumab, a novel, investigational, monoclonal antibody being evaluated for the treatment of moderate-to-severe atopic dermatitis. Lebrikizumab was granted Fast Track designation from the FDA. We also acquired Qbrexza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cloth, a medicated cloth for the topical treatment of primary axillary hyperhidrosis (uncontrolled excessive underarm sweating).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condensed financial statements for further discussion regarding our recent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3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Information regarding contingencies relating to certain legal proceedings can be found in Item 1, "Legal Proceedings," of Part II of this Quarterly Report on Form 10-Q and is incorporated here by reference.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320" w:top="661" w:right="3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6"/>
        </w:trPr>
        <w:tc>
          <w:tcPr>
            <w:tcW w:w="6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162"/>
        </w:trPr>
        <w:tc>
          <w:tcPr>
            <w:tcW w:w="6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center"/>
              <w:ind w:left="37"/>
              <w:spacing w:after="0"/>
              <w:rPr>
                <w:sz w:val="20"/>
                <w:szCs w:val="20"/>
                <w:color w:val="auto"/>
              </w:rPr>
            </w:pPr>
            <w:r>
              <w:rPr>
                <w:rFonts w:ascii="Arial" w:cs="Arial" w:eastAsia="Arial" w:hAnsi="Arial"/>
                <w:sz w:val="14"/>
                <w:szCs w:val="14"/>
                <w:b w:val="1"/>
                <w:bCs w:val="1"/>
                <w:color w:val="auto"/>
              </w:rPr>
              <w:t>Percent</w:t>
            </w:r>
          </w:p>
        </w:tc>
      </w:tr>
      <w:tr>
        <w:trPr>
          <w:trHeight w:val="196"/>
        </w:trPr>
        <w:tc>
          <w:tcPr>
            <w:tcW w:w="69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r>
      <w:tr>
        <w:trPr>
          <w:trHeight w:val="270"/>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8"/>
                <w:szCs w:val="18"/>
                <w:b w:val="1"/>
                <w:bCs w:val="1"/>
                <w:color w:val="auto"/>
              </w:rPr>
              <w:t>3,328.8</w:t>
            </w:r>
          </w:p>
        </w:tc>
        <w:tc>
          <w:tcPr>
            <w:tcW w:w="5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2,890.8</w:t>
            </w:r>
          </w:p>
        </w:tc>
        <w:tc>
          <w:tcPr>
            <w:tcW w:w="100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15</w:t>
            </w:r>
          </w:p>
        </w:tc>
      </w:tr>
      <w:tr>
        <w:trPr>
          <w:trHeight w:val="263"/>
        </w:trPr>
        <w:tc>
          <w:tcPr>
            <w:tcW w:w="6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7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8"/>
                <w:szCs w:val="18"/>
                <w:b w:val="1"/>
                <w:bCs w:val="1"/>
                <w:color w:val="auto"/>
              </w:rPr>
              <w:t>2,531.0</w:t>
            </w: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2,201.4</w:t>
            </w:r>
          </w:p>
        </w:tc>
        <w:tc>
          <w:tcPr>
            <w:tcW w:w="100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15</w:t>
            </w:r>
          </w:p>
        </w:tc>
      </w:tr>
      <w:tr>
        <w:trPr>
          <w:trHeight w:val="290"/>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8"/>
                <w:szCs w:val="18"/>
                <w:b w:val="1"/>
                <w:bCs w:val="1"/>
                <w:color w:val="auto"/>
              </w:rPr>
              <w:t>5,859.8</w:t>
            </w:r>
          </w:p>
        </w:tc>
        <w:tc>
          <w:tcPr>
            <w:tcW w:w="5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5,092.2</w:t>
            </w:r>
          </w:p>
        </w:tc>
        <w:tc>
          <w:tcPr>
            <w:tcW w:w="100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15</w:t>
            </w:r>
          </w:p>
        </w:tc>
      </w:tr>
      <w:tr>
        <w:trPr>
          <w:trHeight w:val="272"/>
        </w:trPr>
        <w:tc>
          <w:tcPr>
            <w:tcW w:w="690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Numbers may not add due to rounding.</w:t>
            </w: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r>
      <w:tr>
        <w:trPr>
          <w:trHeight w:val="322"/>
        </w:trPr>
        <w:tc>
          <w:tcPr>
            <w:tcW w:w="6900" w:type="dxa"/>
            <w:vAlign w:val="bottom"/>
          </w:tcPr>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 U.S. revenue includes revenue in Puerto Rico.</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1"/>
        </w:trPr>
        <w:tc>
          <w:tcPr>
            <w:tcW w:w="6900" w:type="dxa"/>
            <w:vAlign w:val="bottom"/>
          </w:tcPr>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1"/>
        </w:trPr>
        <w:tc>
          <w:tcPr>
            <w:tcW w:w="6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3"/>
          </w:tcPr>
          <w:p>
            <w:pPr>
              <w:jc w:val="center"/>
              <w:ind w:left="20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0"/>
        </w:trPr>
        <w:tc>
          <w:tcPr>
            <w:tcW w:w="6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center"/>
              <w:ind w:left="723"/>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76"/>
        </w:trPr>
        <w:tc>
          <w:tcPr>
            <w:tcW w:w="69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center"/>
              <w:ind w:left="223"/>
              <w:spacing w:after="0"/>
              <w:rPr>
                <w:sz w:val="20"/>
                <w:szCs w:val="20"/>
                <w:color w:val="auto"/>
              </w:rPr>
            </w:pPr>
            <w:r>
              <w:rPr>
                <w:rFonts w:ascii="Arial" w:cs="Arial" w:eastAsia="Arial" w:hAnsi="Arial"/>
                <w:sz w:val="14"/>
                <w:szCs w:val="14"/>
                <w:b w:val="1"/>
                <w:bCs w:val="1"/>
                <w:color w:val="auto"/>
              </w:rPr>
              <w:t>2020 vs. 2019</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44"/>
        </w:trPr>
        <w:tc>
          <w:tcPr>
            <w:tcW w:w="69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U.S.</w:t>
            </w:r>
          </w:p>
        </w:tc>
        <w:tc>
          <w:tcPr>
            <w:tcW w:w="1980" w:type="dxa"/>
            <w:vAlign w:val="bottom"/>
            <w:gridSpan w:val="3"/>
          </w:tcPr>
          <w:p>
            <w:pPr>
              <w:jc w:val="center"/>
              <w:ind w:left="183"/>
              <w:spacing w:after="0"/>
              <w:rPr>
                <w:sz w:val="20"/>
                <w:szCs w:val="20"/>
                <w:color w:val="auto"/>
              </w:rPr>
            </w:pPr>
            <w:r>
              <w:rPr>
                <w:rFonts w:ascii="Arial" w:cs="Arial" w:eastAsia="Arial" w:hAnsi="Arial"/>
                <w:sz w:val="14"/>
                <w:szCs w:val="14"/>
                <w:b w:val="1"/>
                <w:bCs w:val="1"/>
                <w:color w:val="auto"/>
              </w:rPr>
              <w:t>Outside U.S.</w:t>
            </w: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Consolidated</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19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19 %</w:t>
            </w:r>
          </w:p>
        </w:tc>
        <w:tc>
          <w:tcPr>
            <w:tcW w:w="14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25 %</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50"/>
        </w:trPr>
        <w:tc>
          <w:tcPr>
            <w:tcW w:w="6900" w:type="dxa"/>
            <w:vAlign w:val="bottom"/>
          </w:tcPr>
          <w:p>
            <w:pPr>
              <w:ind w:left="40"/>
              <w:spacing w:after="0"/>
              <w:rPr>
                <w:sz w:val="20"/>
                <w:szCs w:val="20"/>
                <w:color w:val="auto"/>
              </w:rPr>
            </w:pPr>
            <w:r>
              <w:rPr>
                <w:rFonts w:ascii="Arial" w:cs="Arial" w:eastAsia="Arial" w:hAnsi="Arial"/>
                <w:sz w:val="18"/>
                <w:szCs w:val="18"/>
                <w:color w:val="auto"/>
              </w:rPr>
              <w:t>Price</w:t>
            </w: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(4)</w:t>
            </w: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(8)</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57"/>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19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(2)</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r>
      <w:tr>
        <w:trPr>
          <w:trHeight w:val="263"/>
        </w:trPr>
        <w:tc>
          <w:tcPr>
            <w:tcW w:w="6900" w:type="dxa"/>
            <w:vAlign w:val="bottom"/>
          </w:tcPr>
          <w:p>
            <w:pPr>
              <w:ind w:left="40"/>
              <w:spacing w:after="0"/>
              <w:rPr>
                <w:sz w:val="20"/>
                <w:szCs w:val="20"/>
                <w:color w:val="auto"/>
              </w:rPr>
            </w:pPr>
            <w:r>
              <w:rPr>
                <w:rFonts w:ascii="Arial" w:cs="Arial" w:eastAsia="Arial" w:hAnsi="Arial"/>
                <w:sz w:val="18"/>
                <w:szCs w:val="18"/>
                <w:color w:val="auto"/>
              </w:rPr>
              <w:t>Percent change</w:t>
            </w:r>
          </w:p>
        </w:tc>
        <w:tc>
          <w:tcPr>
            <w:tcW w:w="1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15 %</w:t>
            </w: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15 %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color w:val="auto"/>
        </w:rPr>
        <w:t>We estimate that revenue for the three months ended March 31, 2020 for many of our products was favorably impacted by increased customer buying patterns and patient prescription trends resulting from the COVID-19 pandemic that increased revenue by approximately $250 million worldwide, including approximately $200 million in the U.S. and approximately $50 million outside the U.S. We believe that the increase in U.S. revenue from the COVID-19 pandemic primarily impacted our portfolio of diabetes medicines, with estimated increases of approximately $70 million to $80 million for insulin products and approximately $30 million to $40 million for Trulicity</w:t>
      </w:r>
      <w:r>
        <w:rPr>
          <w:rFonts w:ascii="Arial" w:cs="Arial" w:eastAsia="Arial" w:hAnsi="Arial"/>
          <w:sz w:val="21"/>
          <w:szCs w:val="21"/>
          <w:color w:val="auto"/>
          <w:vertAlign w:val="superscript"/>
        </w:rPr>
        <w:t>®</w:t>
      </w:r>
      <w:r>
        <w:rPr>
          <w:rFonts w:ascii="Arial" w:cs="Arial" w:eastAsia="Arial" w:hAnsi="Arial"/>
          <w:sz w:val="18"/>
          <w:szCs w:val="18"/>
          <w:color w:val="auto"/>
        </w:rPr>
        <w:t>. We also estimate that U.S. revenue for Taltz</w:t>
      </w:r>
      <w:r>
        <w:rPr>
          <w:rFonts w:ascii="Arial" w:cs="Arial" w:eastAsia="Arial" w:hAnsi="Arial"/>
          <w:sz w:val="21"/>
          <w:szCs w:val="21"/>
          <w:color w:val="auto"/>
          <w:vertAlign w:val="superscript"/>
        </w:rPr>
        <w:t>®</w:t>
      </w:r>
      <w:r>
        <w:rPr>
          <w:rFonts w:ascii="Arial" w:cs="Arial" w:eastAsia="Arial" w:hAnsi="Arial"/>
          <w:sz w:val="18"/>
          <w:szCs w:val="18"/>
          <w:color w:val="auto"/>
        </w:rPr>
        <w:t xml:space="preserve"> was favorably impacted by approximately $20 million to $25 million.</w:t>
      </w:r>
    </w:p>
    <w:p>
      <w:pPr>
        <w:spacing w:after="0" w:line="152"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In the U.S. for the three months ended March 31, 2020, the volume increase was primarily driven by Trulicity, Humalog, Taltz, Alimta, Verzenio</w:t>
      </w:r>
      <w:r>
        <w:rPr>
          <w:rFonts w:ascii="Arial" w:cs="Arial" w:eastAsia="Arial" w:hAnsi="Arial"/>
          <w:sz w:val="21"/>
          <w:szCs w:val="21"/>
          <w:color w:val="auto"/>
          <w:vertAlign w:val="superscript"/>
        </w:rPr>
        <w:t>®</w:t>
      </w:r>
      <w:r>
        <w:rPr>
          <w:rFonts w:ascii="Arial" w:cs="Arial" w:eastAsia="Arial" w:hAnsi="Arial"/>
          <w:sz w:val="18"/>
          <w:szCs w:val="18"/>
          <w:color w:val="auto"/>
        </w:rPr>
        <w:t>, Humulin</w:t>
      </w:r>
      <w:r>
        <w:rPr>
          <w:rFonts w:ascii="Arial" w:cs="Arial" w:eastAsia="Arial" w:hAnsi="Arial"/>
          <w:sz w:val="21"/>
          <w:szCs w:val="21"/>
          <w:color w:val="auto"/>
          <w:vertAlign w:val="superscript"/>
        </w:rPr>
        <w:t>®</w:t>
      </w:r>
      <w:r>
        <w:rPr>
          <w:rFonts w:ascii="Arial" w:cs="Arial" w:eastAsia="Arial" w:hAnsi="Arial"/>
          <w:sz w:val="18"/>
          <w:szCs w:val="18"/>
          <w:color w:val="auto"/>
        </w:rPr>
        <w:t>, Emgality, Basaglar</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and Baqsimi, partially offset by decreased volume for Cialis due to loss of patent exclusivity. The increase in revenue due to volume was partially offset by lower realized prices.</w:t>
      </w:r>
    </w:p>
    <w:p>
      <w:pPr>
        <w:spacing w:after="0" w:line="214"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Outside the U.S. for the three months ended March 31, 2020, the volume increase was primarily driven by Tyvyt</w:t>
      </w:r>
      <w:r>
        <w:rPr>
          <w:rFonts w:ascii="Arial" w:cs="Arial" w:eastAsia="Arial" w:hAnsi="Arial"/>
          <w:sz w:val="21"/>
          <w:szCs w:val="21"/>
          <w:color w:val="auto"/>
          <w:vertAlign w:val="superscript"/>
        </w:rPr>
        <w:t>®</w:t>
      </w:r>
      <w:r>
        <w:rPr>
          <w:rFonts w:ascii="Arial" w:cs="Arial" w:eastAsia="Arial" w:hAnsi="Arial"/>
          <w:sz w:val="18"/>
          <w:szCs w:val="18"/>
          <w:color w:val="auto"/>
        </w:rPr>
        <w:t>, Trulicity, Alimta, Olumiant</w:t>
      </w:r>
      <w:r>
        <w:rPr>
          <w:rFonts w:ascii="Arial" w:cs="Arial" w:eastAsia="Arial" w:hAnsi="Arial"/>
          <w:sz w:val="21"/>
          <w:szCs w:val="21"/>
          <w:color w:val="auto"/>
          <w:vertAlign w:val="superscript"/>
        </w:rPr>
        <w:t>®</w:t>
      </w:r>
      <w:r>
        <w:rPr>
          <w:rFonts w:ascii="Arial" w:cs="Arial" w:eastAsia="Arial" w:hAnsi="Arial"/>
          <w:sz w:val="18"/>
          <w:szCs w:val="18"/>
          <w:color w:val="auto"/>
        </w:rPr>
        <w:t>, Taltz, Cymbalta</w:t>
      </w:r>
      <w:r>
        <w:rPr>
          <w:rFonts w:ascii="Arial" w:cs="Arial" w:eastAsia="Arial" w:hAnsi="Arial"/>
          <w:sz w:val="21"/>
          <w:szCs w:val="21"/>
          <w:color w:val="auto"/>
          <w:vertAlign w:val="superscript"/>
        </w:rPr>
        <w:t>®</w:t>
      </w:r>
      <w:r>
        <w:rPr>
          <w:rFonts w:ascii="Arial" w:cs="Arial" w:eastAsia="Arial" w:hAnsi="Arial"/>
          <w:sz w:val="18"/>
          <w:szCs w:val="18"/>
          <w:color w:val="auto"/>
        </w:rPr>
        <w:t>, Jardiance, Verzenio, Cyramza</w:t>
      </w:r>
      <w:r>
        <w:rPr>
          <w:rFonts w:ascii="Arial" w:cs="Arial" w:eastAsia="Arial" w:hAnsi="Arial"/>
          <w:sz w:val="21"/>
          <w:szCs w:val="21"/>
          <w:color w:val="auto"/>
          <w:vertAlign w:val="superscript"/>
        </w:rPr>
        <w:t>®</w:t>
      </w:r>
      <w:r>
        <w:rPr>
          <w:rFonts w:ascii="Arial" w:cs="Arial" w:eastAsia="Arial" w:hAnsi="Arial"/>
          <w:sz w:val="18"/>
          <w:szCs w:val="18"/>
          <w:color w:val="auto"/>
        </w:rPr>
        <w:t>, and Basaglar, partially offset by decreased volume for Strattera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due to loss of patent exclusivity. The increase in revenue due to volume was partially offset by lower realized prices and the unfavorable impact of foreign exchange rates.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54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following table summarizes our revenue activity by product: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6"/>
        </w:trPr>
        <w:tc>
          <w:tcPr>
            <w:tcW w:w="4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40" w:type="dxa"/>
            <w:vAlign w:val="bottom"/>
          </w:tcPr>
          <w:p>
            <w:pPr>
              <w:spacing w:after="0"/>
              <w:rPr>
                <w:sz w:val="17"/>
                <w:szCs w:val="17"/>
                <w:color w:val="auto"/>
              </w:rPr>
            </w:pPr>
          </w:p>
        </w:tc>
      </w:tr>
      <w:tr>
        <w:trPr>
          <w:trHeight w:val="263"/>
        </w:trPr>
        <w:tc>
          <w:tcPr>
            <w:tcW w:w="4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440" w:type="dxa"/>
            <w:vAlign w:val="bottom"/>
          </w:tcPr>
          <w:p>
            <w:pPr>
              <w:spacing w:after="0"/>
              <w:rPr>
                <w:sz w:val="22"/>
                <w:szCs w:val="22"/>
                <w:color w:val="auto"/>
              </w:rPr>
            </w:pPr>
          </w:p>
        </w:tc>
      </w:tr>
      <w:tr>
        <w:trPr>
          <w:trHeight w:val="270"/>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Outside U.S.</w:t>
            </w:r>
          </w:p>
        </w:tc>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44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63"/>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929.5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299.9</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1,229.4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879.7</w:t>
            </w:r>
          </w:p>
        </w:tc>
        <w:tc>
          <w:tcPr>
            <w:tcW w:w="144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40</w:t>
            </w:r>
          </w:p>
        </w:tc>
      </w:tr>
      <w:tr>
        <w:trPr>
          <w:trHeight w:val="270"/>
        </w:trPr>
        <w:tc>
          <w:tcPr>
            <w:tcW w:w="4020" w:type="dxa"/>
            <w:vAlign w:val="bottom"/>
          </w:tcPr>
          <w:p>
            <w:pPr>
              <w:ind w:left="40"/>
              <w:spacing w:after="0"/>
              <w:rPr>
                <w:sz w:val="20"/>
                <w:szCs w:val="20"/>
                <w:color w:val="auto"/>
              </w:rPr>
            </w:pPr>
            <w:r>
              <w:rPr>
                <w:rFonts w:ascii="Arial" w:cs="Arial" w:eastAsia="Arial" w:hAnsi="Arial"/>
                <w:sz w:val="18"/>
                <w:szCs w:val="18"/>
                <w:color w:val="auto"/>
              </w:rPr>
              <w:t xml:space="preserve">Humalog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398.6</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297.2</w:t>
            </w:r>
          </w:p>
        </w:tc>
        <w:tc>
          <w:tcPr>
            <w:tcW w:w="5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695.8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730.8</w:t>
            </w:r>
          </w:p>
        </w:tc>
        <w:tc>
          <w:tcPr>
            <w:tcW w:w="1440" w:type="dxa"/>
            <w:vAlign w:val="bottom"/>
          </w:tcPr>
          <w:p>
            <w:pPr>
              <w:jc w:val="center"/>
              <w:ind w:left="11"/>
              <w:spacing w:after="0"/>
              <w:rPr>
                <w:sz w:val="20"/>
                <w:szCs w:val="20"/>
                <w:color w:val="auto"/>
              </w:rPr>
            </w:pPr>
            <w:r>
              <w:rPr>
                <w:rFonts w:ascii="Arial" w:cs="Arial" w:eastAsia="Arial" w:hAnsi="Arial"/>
                <w:sz w:val="18"/>
                <w:szCs w:val="18"/>
                <w:color w:val="auto"/>
                <w:w w:val="99"/>
              </w:rPr>
              <w:t>(5)</w:t>
            </w:r>
          </w:p>
        </w:tc>
      </w:tr>
      <w:tr>
        <w:trPr>
          <w:trHeight w:val="270"/>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324.2</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235.8</w:t>
            </w: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560.1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499.2</w:t>
            </w:r>
          </w:p>
        </w:tc>
        <w:tc>
          <w:tcPr>
            <w:tcW w:w="144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63"/>
        </w:trPr>
        <w:tc>
          <w:tcPr>
            <w:tcW w:w="4020" w:type="dxa"/>
            <w:vAlign w:val="bottom"/>
          </w:tcPr>
          <w:p>
            <w:pPr>
              <w:ind w:left="40"/>
              <w:spacing w:after="0"/>
              <w:rPr>
                <w:sz w:val="20"/>
                <w:szCs w:val="20"/>
                <w:color w:val="auto"/>
              </w:rPr>
            </w:pPr>
            <w:r>
              <w:rPr>
                <w:rFonts w:ascii="Arial" w:cs="Arial" w:eastAsia="Arial" w:hAnsi="Arial"/>
                <w:sz w:val="18"/>
                <w:szCs w:val="18"/>
                <w:color w:val="auto"/>
              </w:rPr>
              <w:t>Taltz</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327.5</w:t>
            </w:r>
          </w:p>
        </w:tc>
        <w:tc>
          <w:tcPr>
            <w:tcW w:w="28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116.0</w:t>
            </w:r>
          </w:p>
        </w:tc>
        <w:tc>
          <w:tcPr>
            <w:tcW w:w="5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443.5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252.5</w:t>
            </w:r>
          </w:p>
        </w:tc>
        <w:tc>
          <w:tcPr>
            <w:tcW w:w="1440" w:type="dxa"/>
            <w:vAlign w:val="bottom"/>
          </w:tcPr>
          <w:p>
            <w:pPr>
              <w:jc w:val="center"/>
              <w:ind w:left="31"/>
              <w:spacing w:after="0"/>
              <w:rPr>
                <w:sz w:val="20"/>
                <w:szCs w:val="20"/>
                <w:color w:val="auto"/>
              </w:rPr>
            </w:pPr>
            <w:r>
              <w:rPr>
                <w:rFonts w:ascii="Arial" w:cs="Arial" w:eastAsia="Arial" w:hAnsi="Arial"/>
                <w:sz w:val="18"/>
                <w:szCs w:val="18"/>
                <w:color w:val="auto"/>
                <w:w w:val="99"/>
              </w:rPr>
              <w:t>76</w:t>
            </w:r>
          </w:p>
        </w:tc>
      </w:tr>
      <w:tr>
        <w:trPr>
          <w:trHeight w:val="27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Humulin</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214.1</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101.5</w:t>
            </w: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315.7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297.7</w:t>
            </w:r>
          </w:p>
        </w:tc>
        <w:tc>
          <w:tcPr>
            <w:tcW w:w="14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6</w:t>
            </w:r>
          </w:p>
        </w:tc>
      </w:tr>
      <w:tr>
        <w:trPr>
          <w:trHeight w:val="263"/>
        </w:trPr>
        <w:tc>
          <w:tcPr>
            <w:tcW w:w="4020" w:type="dxa"/>
            <w:vAlign w:val="bottom"/>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230.4</w:t>
            </w:r>
          </w:p>
        </w:tc>
        <w:tc>
          <w:tcPr>
            <w:tcW w:w="28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73.3</w:t>
            </w:r>
          </w:p>
        </w:tc>
        <w:tc>
          <w:tcPr>
            <w:tcW w:w="5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303.7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251.4</w:t>
            </w:r>
          </w:p>
        </w:tc>
        <w:tc>
          <w:tcPr>
            <w:tcW w:w="1440" w:type="dxa"/>
            <w:vAlign w:val="bottom"/>
          </w:tcPr>
          <w:p>
            <w:pPr>
              <w:jc w:val="center"/>
              <w:ind w:left="31"/>
              <w:spacing w:after="0"/>
              <w:rPr>
                <w:sz w:val="20"/>
                <w:szCs w:val="20"/>
                <w:color w:val="auto"/>
              </w:rPr>
            </w:pPr>
            <w:r>
              <w:rPr>
                <w:rFonts w:ascii="Arial" w:cs="Arial" w:eastAsia="Arial" w:hAnsi="Arial"/>
                <w:sz w:val="18"/>
                <w:szCs w:val="18"/>
                <w:color w:val="auto"/>
                <w:w w:val="99"/>
              </w:rPr>
              <w:t>21</w:t>
            </w:r>
          </w:p>
        </w:tc>
      </w:tr>
      <w:tr>
        <w:trPr>
          <w:trHeight w:val="27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122.5</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149.8</w:t>
            </w: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312.9</w:t>
            </w:r>
          </w:p>
        </w:tc>
        <w:tc>
          <w:tcPr>
            <w:tcW w:w="144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(13)</w:t>
            </w:r>
          </w:p>
        </w:tc>
      </w:tr>
      <w:tr>
        <w:trPr>
          <w:trHeight w:val="270"/>
        </w:trPr>
        <w:tc>
          <w:tcPr>
            <w:tcW w:w="4020" w:type="dxa"/>
            <w:vAlign w:val="bottom"/>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144.6</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122.9</w:t>
            </w:r>
          </w:p>
        </w:tc>
        <w:tc>
          <w:tcPr>
            <w:tcW w:w="5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267.5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203.6</w:t>
            </w:r>
          </w:p>
        </w:tc>
        <w:tc>
          <w:tcPr>
            <w:tcW w:w="1440" w:type="dxa"/>
            <w:vAlign w:val="bottom"/>
          </w:tcPr>
          <w:p>
            <w:pPr>
              <w:jc w:val="center"/>
              <w:ind w:left="31"/>
              <w:spacing w:after="0"/>
              <w:rPr>
                <w:sz w:val="20"/>
                <w:szCs w:val="20"/>
                <w:color w:val="auto"/>
              </w:rPr>
            </w:pPr>
            <w:r>
              <w:rPr>
                <w:rFonts w:ascii="Arial" w:cs="Arial" w:eastAsia="Arial" w:hAnsi="Arial"/>
                <w:sz w:val="18"/>
                <w:szCs w:val="18"/>
                <w:color w:val="auto"/>
                <w:w w:val="99"/>
              </w:rPr>
              <w:t>31</w:t>
            </w:r>
          </w:p>
        </w:tc>
      </w:tr>
      <w:tr>
        <w:trPr>
          <w:trHeight w:val="270"/>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89.1</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149.9</w:t>
            </w: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239.0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198.3</w:t>
            </w:r>
          </w:p>
        </w:tc>
        <w:tc>
          <w:tcPr>
            <w:tcW w:w="144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21</w:t>
            </w:r>
          </w:p>
        </w:tc>
      </w:tr>
      <w:tr>
        <w:trPr>
          <w:trHeight w:val="263"/>
        </w:trPr>
        <w:tc>
          <w:tcPr>
            <w:tcW w:w="402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11.6</w:t>
            </w:r>
          </w:p>
        </w:tc>
        <w:tc>
          <w:tcPr>
            <w:tcW w:w="28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198.8</w:t>
            </w:r>
          </w:p>
        </w:tc>
        <w:tc>
          <w:tcPr>
            <w:tcW w:w="5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210.4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164.1</w:t>
            </w:r>
          </w:p>
        </w:tc>
        <w:tc>
          <w:tcPr>
            <w:tcW w:w="1440" w:type="dxa"/>
            <w:vAlign w:val="bottom"/>
          </w:tcPr>
          <w:p>
            <w:pPr>
              <w:jc w:val="center"/>
              <w:ind w:left="31"/>
              <w:spacing w:after="0"/>
              <w:rPr>
                <w:sz w:val="20"/>
                <w:szCs w:val="20"/>
                <w:color w:val="auto"/>
              </w:rPr>
            </w:pPr>
            <w:r>
              <w:rPr>
                <w:rFonts w:ascii="Arial" w:cs="Arial" w:eastAsia="Arial" w:hAnsi="Arial"/>
                <w:sz w:val="18"/>
                <w:szCs w:val="18"/>
                <w:color w:val="auto"/>
                <w:w w:val="99"/>
              </w:rPr>
              <w:t>28</w:t>
            </w:r>
          </w:p>
        </w:tc>
      </w:tr>
      <w:tr>
        <w:trPr>
          <w:trHeight w:val="27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26.1</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167.0</w:t>
            </w: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308.2</w:t>
            </w:r>
          </w:p>
        </w:tc>
        <w:tc>
          <w:tcPr>
            <w:tcW w:w="144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(37)</w:t>
            </w:r>
          </w:p>
        </w:tc>
      </w:tr>
      <w:tr>
        <w:trPr>
          <w:trHeight w:val="263"/>
        </w:trPr>
        <w:tc>
          <w:tcPr>
            <w:tcW w:w="4020" w:type="dxa"/>
            <w:vAlign w:val="bottom"/>
          </w:tcPr>
          <w:p>
            <w:pPr>
              <w:ind w:left="40"/>
              <w:spacing w:after="0"/>
              <w:rPr>
                <w:sz w:val="20"/>
                <w:szCs w:val="20"/>
                <w:color w:val="auto"/>
              </w:rPr>
            </w:pPr>
            <w:r>
              <w:rPr>
                <w:rFonts w:ascii="Arial" w:cs="Arial" w:eastAsia="Arial" w:hAnsi="Arial"/>
                <w:sz w:val="18"/>
                <w:szCs w:val="18"/>
                <w:color w:val="auto"/>
              </w:rPr>
              <w:t>Verzenio</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129.4</w:t>
            </w:r>
          </w:p>
        </w:tc>
        <w:tc>
          <w:tcPr>
            <w:tcW w:w="28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58.6</w:t>
            </w:r>
          </w:p>
        </w:tc>
        <w:tc>
          <w:tcPr>
            <w:tcW w:w="5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188.0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109.4</w:t>
            </w:r>
          </w:p>
        </w:tc>
        <w:tc>
          <w:tcPr>
            <w:tcW w:w="1440" w:type="dxa"/>
            <w:vAlign w:val="bottom"/>
          </w:tcPr>
          <w:p>
            <w:pPr>
              <w:jc w:val="center"/>
              <w:ind w:left="31"/>
              <w:spacing w:after="0"/>
              <w:rPr>
                <w:sz w:val="20"/>
                <w:szCs w:val="20"/>
                <w:color w:val="auto"/>
              </w:rPr>
            </w:pPr>
            <w:r>
              <w:rPr>
                <w:rFonts w:ascii="Arial" w:cs="Arial" w:eastAsia="Arial" w:hAnsi="Arial"/>
                <w:sz w:val="18"/>
                <w:szCs w:val="18"/>
                <w:color w:val="auto"/>
                <w:w w:val="99"/>
              </w:rPr>
              <w:t>72</w:t>
            </w:r>
          </w:p>
        </w:tc>
      </w:tr>
      <w:tr>
        <w:trPr>
          <w:trHeight w:val="27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Olumiant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11.3</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128.4</w:t>
            </w: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82.1</w:t>
            </w:r>
          </w:p>
        </w:tc>
        <w:tc>
          <w:tcPr>
            <w:tcW w:w="144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70</w:t>
            </w:r>
          </w:p>
        </w:tc>
      </w:tr>
      <w:tr>
        <w:trPr>
          <w:trHeight w:val="270"/>
        </w:trPr>
        <w:tc>
          <w:tcPr>
            <w:tcW w:w="4020" w:type="dxa"/>
            <w:vAlign w:val="bottom"/>
          </w:tcPr>
          <w:p>
            <w:pPr>
              <w:ind w:left="40"/>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117.8</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13.0</w:t>
            </w:r>
          </w:p>
        </w:tc>
        <w:tc>
          <w:tcPr>
            <w:tcW w:w="5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130.8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118.4</w:t>
            </w:r>
          </w:p>
        </w:tc>
        <w:tc>
          <w:tcPr>
            <w:tcW w:w="1440" w:type="dxa"/>
            <w:vAlign w:val="bottom"/>
          </w:tcPr>
          <w:p>
            <w:pPr>
              <w:jc w:val="center"/>
              <w:ind w:left="31"/>
              <w:spacing w:after="0"/>
              <w:rPr>
                <w:sz w:val="20"/>
                <w:szCs w:val="20"/>
                <w:color w:val="auto"/>
              </w:rPr>
            </w:pPr>
            <w:r>
              <w:rPr>
                <w:rFonts w:ascii="Arial" w:cs="Arial" w:eastAsia="Arial" w:hAnsi="Arial"/>
                <w:sz w:val="18"/>
                <w:szCs w:val="18"/>
                <w:color w:val="auto"/>
                <w:w w:val="99"/>
              </w:rPr>
              <w:t>10</w:t>
            </w:r>
          </w:p>
        </w:tc>
      </w:tr>
      <w:tr>
        <w:trPr>
          <w:trHeight w:val="270"/>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Zyprexa</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11.2</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87.2</w:t>
            </w: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98.4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107.2</w:t>
            </w:r>
          </w:p>
        </w:tc>
        <w:tc>
          <w:tcPr>
            <w:tcW w:w="14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(8)</w:t>
            </w:r>
          </w:p>
        </w:tc>
      </w:tr>
      <w:tr>
        <w:trPr>
          <w:trHeight w:val="270"/>
        </w:trPr>
        <w:tc>
          <w:tcPr>
            <w:tcW w:w="4020" w:type="dxa"/>
            <w:vAlign w:val="bottom"/>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 (4)</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28.7</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64.5</w:t>
            </w:r>
          </w:p>
        </w:tc>
        <w:tc>
          <w:tcPr>
            <w:tcW w:w="5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93.2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131.9</w:t>
            </w:r>
          </w:p>
        </w:tc>
        <w:tc>
          <w:tcPr>
            <w:tcW w:w="1440" w:type="dxa"/>
            <w:vAlign w:val="bottom"/>
          </w:tcPr>
          <w:p>
            <w:pPr>
              <w:jc w:val="center"/>
              <w:ind w:left="31"/>
              <w:spacing w:after="0"/>
              <w:rPr>
                <w:sz w:val="20"/>
                <w:szCs w:val="20"/>
                <w:color w:val="auto"/>
              </w:rPr>
            </w:pPr>
            <w:r>
              <w:rPr>
                <w:rFonts w:ascii="Arial" w:cs="Arial" w:eastAsia="Arial" w:hAnsi="Arial"/>
                <w:sz w:val="18"/>
                <w:szCs w:val="18"/>
                <w:color w:val="auto"/>
                <w:w w:val="99"/>
              </w:rPr>
              <w:t>(29)</w:t>
            </w:r>
          </w:p>
        </w:tc>
      </w:tr>
      <w:tr>
        <w:trPr>
          <w:trHeight w:val="270"/>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Emgality</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67.3</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6.7</w:t>
            </w: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74.0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44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63"/>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products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144.9</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260.5</w:t>
            </w: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405.3</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430.5</w:t>
            </w:r>
          </w:p>
        </w:tc>
        <w:tc>
          <w:tcPr>
            <w:tcW w:w="1440" w:type="dxa"/>
            <w:vAlign w:val="bottom"/>
            <w:tcBorders>
              <w:bottom w:val="single" w:sz="8" w:color="CCEEFF"/>
            </w:tcBorders>
          </w:tcPr>
          <w:p>
            <w:pPr>
              <w:jc w:val="center"/>
              <w:ind w:left="11"/>
              <w:spacing w:after="0"/>
              <w:rPr>
                <w:sz w:val="20"/>
                <w:szCs w:val="20"/>
                <w:color w:val="auto"/>
              </w:rPr>
            </w:pPr>
            <w:r>
              <w:rPr>
                <w:rFonts w:ascii="Arial" w:cs="Arial" w:eastAsia="Arial" w:hAnsi="Arial"/>
                <w:sz w:val="18"/>
                <w:szCs w:val="18"/>
                <w:color w:val="auto"/>
                <w:w w:val="99"/>
              </w:rPr>
              <w:t>(6)</w:t>
            </w:r>
          </w:p>
        </w:tc>
      </w:tr>
      <w:tr>
        <w:trPr>
          <w:trHeight w:val="277"/>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3,328.8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2,531.0</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5,859.8</w:t>
            </w:r>
          </w:p>
        </w:tc>
        <w:tc>
          <w:tcPr>
            <w:tcW w:w="1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5,092.2</w:t>
            </w:r>
          </w:p>
        </w:tc>
        <w:tc>
          <w:tcPr>
            <w:tcW w:w="144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99"/>
              </w:rPr>
              <w:t>15</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43"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Humalog revenue includes insulin lispro.</w:t>
      </w:r>
    </w:p>
    <w:p>
      <w:pPr>
        <w:spacing w:after="0" w:line="44"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3"/>
          <w:szCs w:val="13"/>
          <w:color w:val="auto"/>
        </w:rPr>
        <w:t>, Synjardy</w:t>
      </w:r>
      <w:r>
        <w:rPr>
          <w:rFonts w:ascii="Arial" w:cs="Arial" w:eastAsia="Arial" w:hAnsi="Arial"/>
          <w:sz w:val="15"/>
          <w:szCs w:val="15"/>
          <w:color w:val="auto"/>
          <w:vertAlign w:val="superscript"/>
        </w:rPr>
        <w:t>®</w:t>
      </w:r>
      <w:r>
        <w:rPr>
          <w:rFonts w:ascii="Arial" w:cs="Arial" w:eastAsia="Arial" w:hAnsi="Arial"/>
          <w:sz w:val="13"/>
          <w:szCs w:val="13"/>
          <w:color w:val="auto"/>
        </w:rPr>
        <w:t>, and Trijardy</w:t>
      </w:r>
      <w:r>
        <w:rPr>
          <w:rFonts w:ascii="Arial" w:cs="Arial" w:eastAsia="Arial" w:hAnsi="Arial"/>
          <w:sz w:val="15"/>
          <w:szCs w:val="15"/>
          <w:color w:val="auto"/>
          <w:vertAlign w:val="superscript"/>
        </w:rPr>
        <w:t>®</w:t>
      </w:r>
      <w:r>
        <w:rPr>
          <w:rFonts w:ascii="Arial" w:cs="Arial" w:eastAsia="Arial" w:hAnsi="Arial"/>
          <w:sz w:val="13"/>
          <w:szCs w:val="13"/>
          <w:color w:val="auto"/>
        </w:rPr>
        <w:t xml:space="preserve"> XR.</w:t>
      </w:r>
    </w:p>
    <w:p>
      <w:pPr>
        <w:spacing w:after="0" w:line="3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Revenue of Trulicity, a treatment for type 2 diabetes and to reduce the risk of major adverse cardiovascular events in adult patients with type 2 diabetes and established cardiovascular disease, increased 40 percent in the U.S. during the three months ended March 31, 2020, driven by increased volume, partially offset by lower realized prices. Trulicity's lower realized prices in the U.S. were primarily due to higher contracted rebates and changes in segment mix, partially offset by higher list prices. Revenue outside the U.S. increased 40 percent during the three months ended March 31, 2020, driven by increased volume, partially offset by the unfavorable impact of foreign exchange rates and lower realized prices.</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 of Humalog, an injectable human insulin analog for the treatment of diabetes, decreased 11 percent in the U.S. during the three months ended March 31, 2020, driven primarily by lower realized prices due to changes in estimates for rebates and discounts and changes in segment mix, partially offset by increased volume. Revenue outside the U.S. increased 5 percent during the three months ended March 31, 2020, primarily driven by increased volume, partially offset by the unfavorable impact of foreign exchange rates. Included in the revenue of Humalog in the U.S. are our own insulin lispro authorized generics, which began launching in the second quarter of 2019 in order to lower out-of-pocket costs for patients. While it is difficult to estimate the severity of the impact of similar insulin lispro products entering the market, we do not expect and have not experienced a rapid severe decline in revenue. Due to the impact of competition and due to pricing pressure in the U.S. and some international markets, we expect some price decline and loss of market share to continue over time.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320" w:top="679" w:right="399" w:bottom="1440" w:gutter="0" w:footer="0" w:header="0"/>
        </w:sectPr>
      </w:pPr>
    </w:p>
    <w:bookmarkStart w:id="41" w:name="page42"/>
    <w:bookmarkEnd w:id="41"/>
    <w:p>
      <w:pPr>
        <w:spacing w:after="0" w:line="253" w:lineRule="auto"/>
        <w:rPr>
          <w:sz w:val="20"/>
          <w:szCs w:val="20"/>
          <w:color w:val="auto"/>
        </w:rPr>
      </w:pPr>
      <w:r>
        <w:rPr>
          <w:rFonts w:ascii="Arial" w:cs="Arial" w:eastAsia="Arial" w:hAnsi="Arial"/>
          <w:sz w:val="18"/>
          <w:szCs w:val="18"/>
          <w:color w:val="auto"/>
        </w:rPr>
        <w:t>Revenue of Alimta, a treatment for various cancers, increased 15 percent in the U.S. during the three months ended March 31, 2020, primarily driven by increased volume and, to a lesser extent, higher realized prices. Revenue outside the U.S. increased 8 percent in the three months ended March 31, 2020, primarily driven by increased volume, partially offset by lower realized prices and, to a lesser extent, the unfavorable impact of foreign exchange rates. We have faced and remain exposed to generic entry in multiple countries, which has eroded revenue and is likely to continue to erode revenue in those countries from current levels.</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 of Taltz, a treatment for moderate-to-severe plaque psoriasis, active psoriatic arthritis, and ankylosing spondylitis, increased 81 percent in the U.S. during the three months ended March 31, 2020, driven by increased volume and, to a lesser extent, higher realized prices primarily due to changes in estimates for rebates and discounts. Revenue outside the U.S. increased 62 percent during the three months ended March 31, 2020, primarily driven by increased volume, partially offset by lower realized prices and the unfavorable impact of foreign exchange rates.</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 of Humulin, an injectable human insulin for the treatment of diabetes, increased 6 percent in the U.S. during the three months ended March 31, 2020, driven by increased volume, partially offset by lower realized prices due to changes in segment mix. Revenue outside the U.S. increased 5 percent during the three months ended March 31, 2020, due to increased volume and, to a lesser extent, higher realized prices, partially offset by the unfavorable impact of foreign exchange rates.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 of Basaglar, a long-acting human insulin analog for the treatment of diabetes, increased 16 percent in the U.S. during three months ended March 31, 2020, primarily driven by increased volume. Revenue outside the U.S. increased 38 percent during the three months ended March 31, 2020, driven by increased volume, partially offset by the unfavorable impact of foreign exchange rates. See Note 4 to the consolidated condensed financial statements for information regarding our collaboration with Boehringer Ingelheim involving Basaglar.</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decreased 3 percent in the U.S. during the three months ended March 31, 2020, driven by lower realized prices primarily due to the unfavorable impact of higher contracted rates. Revenue outside the U.S. decreased 20 percent during the three months ended March 31, 2020 primarily driven by decreased volume and, to a lesser extent, lower realized prices. We expect further volume decline as a result of competitive dynamics in the U.S. and the entry of generic and biosimilar competition following the loss of patent exclusivity in the third quarter of 2019 in the U.S., Japan, and major European markets. See "Executive Overview - Other Matters - Patent Matters" for more information.</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of Jardiance, a treatment for type 2 diabetes and to reduce the risk of cardiovascular death in adult patients with type 2 diabetes and established cardiovascular disease, increased 15 percent in the U.S. during the three months ended March 31, 2020, driven by increased volume. Revenue outside the U.S. increased 57 percent during the three months ended March 31, 2020, driven by increased volume. See Note 4 to the consolidated condensed financial statements for information regarding our collaboration with Boehringer Ingelheim involving Jardiance.</w:t>
      </w:r>
    </w:p>
    <w:p>
      <w:pPr>
        <w:spacing w:after="0" w:line="20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Revenue of Cyramza, a treatment for various cancers, increased 19 percent in the U.S. during the three months ended March 31, 2020, primarily driven by increased volume. Revenue outside the U.S. increased 22 percent during the three months ended March 31, 2020, primarily driven by increased volume.</w:t>
      </w:r>
    </w:p>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 of Cymbalta, a product for the treatment of major depressive disorder, diabetic peripheral neuropathic pain, generalized anxiety disorder, fibromyalgia and chronic musculoskeletal pain due to chronic low back pain or chronic pain due to osteoarthritis, was $11.6 million and $10.3 million in the U.S. during the three months ended March 31, 2020 and 2019, respectively. Revenue outside the U.S. increased 29 percent during the three months ended March 31, 2020, driven by increased volume, partially offset by lower realized prices. The increase in volume outside the U.S. was primarily driven by the sale of our rights for Xeristar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Spain.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67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9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Gross margin as a percent of revenue increased 1.7 percentage points to 79.3 percent for the three months ended March 31, 2020, primarily due to the charges recognized in first quarter of 2019 resulting from the withdrawal of Lartruvo</w:t>
      </w:r>
      <w:r>
        <w:rPr>
          <w:rFonts w:ascii="Arial" w:cs="Arial" w:eastAsia="Arial" w:hAnsi="Arial"/>
          <w:sz w:val="21"/>
          <w:szCs w:val="21"/>
          <w:color w:val="auto"/>
          <w:vertAlign w:val="superscript"/>
        </w:rPr>
        <w:t>®</w:t>
      </w:r>
      <w:r>
        <w:rPr>
          <w:rFonts w:ascii="Arial" w:cs="Arial" w:eastAsia="Arial" w:hAnsi="Arial"/>
          <w:sz w:val="18"/>
          <w:szCs w:val="18"/>
          <w:color w:val="auto"/>
        </w:rPr>
        <w:t>, favorable product mix, and greater manufacturing efficiencies, partially offset by lower realized prices on revenue.</w:t>
      </w:r>
    </w:p>
    <w:p>
      <w:pPr>
        <w:spacing w:after="0" w:line="10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Research and development expenses increased 13 percent to $1.39 billion for the three months ended March 31, 2020, driven by higher development expenses for late-stage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Marketing, selling, and administrative expenses increased 2 percent to $1.55 billion for the three months ended March 31, 2020.</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recognized $52.3 million of acquired IPR&amp;D charges for the three months ended March 31, 2020, related to the collaboration with Sitryx. We recognized $136.9 million of acquired IPR&amp;D charges for the three months ended March 31, 2019 related to the collaborations with AC Immune and ImmuNext. See Note 3 to the consolidated condensed financial statements for additional information.</w:t>
      </w:r>
    </w:p>
    <w:p>
      <w:pPr>
        <w:spacing w:after="0" w:line="94"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We recognized asset impairment, restructuring, and other special charges of $59.9 million for the three months ended March 31, 2020, primarily related to acquisition and integration costs as part of the closing of the acquisition of Dermira. We recognized asset impairment, restructuring, and other special charges of $423.9 million during the three months ended March 31, 2019, which included $400.7 million related to the acquisition of Loxo, substantially all of which was associated with the accelerated vesting of Loxo employee equity awards.</w:t>
      </w:r>
    </w:p>
    <w:p>
      <w:pPr>
        <w:spacing w:after="0" w:line="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Other–net, (income) expense was income of $89.1 million for the three months ended March 31, 2020, compared with income of $86.0 million for the three months ended March 31, 2019. The increase in other income was primarily driven by higher net gains on investment securities, partially offset by lower interest income. The higher net gains on investments were due primarily to increased market valuations of two companies in our investment portfolio that are currently developing potential vaccines against COVID-19.</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effective tax rate for the three months ended March 31, 2020 was 13.3 percent, compared with 23.3 percent for the three months ended March 31, 2019. The higher effective tax rate for the three months ended March 31, 2019 was primarily due to the non-deductibility of the accelerated vesting of Loxo employee equity awards as part of the closing of the acquisition of Loxo, as well as tax expenses associated with the withdrawal of Lartruvo.</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549"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Cash and cash equivalents decreased to $1.70 billion as of March 31, 2020, compared with $2.34 billion as of December 31, 2019. Net cash provided by operating activities for the three months ended March 31, 2020 was negatively impacted compared to the three months ended March 31, 2019 primarily due to the timing of cash collections from customer purchasing patterns. Net cash provided by operating activities for the three months ended March 31, 2019 included approximately $360 million of cash paid to settle the accelerated vesting of Loxo employee equity awards (see Note 6 to the consolidated financial statements). Refer to the consolidated condensed statements of cash flows for additional information on the significant sources and uses of cash for the three months ended March 31, 2020 and 2019.</w:t>
      </w:r>
    </w:p>
    <w:p>
      <w:pPr>
        <w:spacing w:after="0" w:line="100"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In addition to our cash and cash equivalents, we held total investments of $2.23 billion and $2.06 billion as of March 31, 2020 and December 31, 2019, respectively. See Note 7 to the consolidated condensed financial statements for additional information.</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February 2019, we completed our acquisition of Dermira for a purchase price of approximately $849.3 million, net of cash acquired, which was funded through cash and the issuance of commercial paper. See Note 3 to the consolidated condensed financial statements for additional information.</w:t>
      </w:r>
    </w:p>
    <w:p>
      <w:pPr>
        <w:spacing w:after="0" w:line="9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Total debt increased to $17.23 billion as of March 31, 2020, compared with $15.32 billion as of December 31, 2019. The increase primarily related to the Dermira acquisition. See Note 7 to the consolidated condensed financial statements for additional information.</w:t>
      </w:r>
    </w:p>
    <w:p>
      <w:pPr>
        <w:spacing w:after="0" w:line="1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April 2020, we agreed to issue $1.00 billion of 2.25 percent fixed-rate notes due in May 2050, with interest to be paid semi-annually. We intend to use the net proceeds from the sale of these notes for general corporate purposes, which may include the repayment of outstanding commercial paper. The offering of notes is expected to close in May 2020.</w:t>
      </w:r>
    </w:p>
    <w:p>
      <w:pPr>
        <w:spacing w:after="0" w:line="202"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As of March 31, 2020, we had a total of $5.21 billion of committed bank credit facilities, $5.00 billion of which is available to support our commercial paper program. We believe that amounts accessible through existing commercial paper markets should be adequate to fund short-term borrowing needs.</w:t>
      </w:r>
    </w:p>
    <w:p>
      <w:pPr>
        <w:spacing w:after="0" w:line="20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During the three months ended March 31, 2020, we repurchased $500.0 million of shares under our $8.00 billion share repurchase program authorized in June 2018. As of March 31, 2020, we had $1.00 billion remaining under this program.</w:t>
      </w:r>
    </w:p>
    <w:p>
      <w:pPr>
        <w:spacing w:after="0" w:line="90"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installment payments of the one-time repatriation transition tax under the U.S. Tax Cuts and Jobs Act of 2017 (also known as the Toll Tax), dividends paid to shareholders, share repurchases under our share repurchase program, and capital expenditures.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 - Other Matters - Patent Matters" for information regarding recent and upcoming losses of patent protection.</w:t>
      </w:r>
    </w:p>
    <w:p>
      <w:pPr>
        <w:spacing w:after="0" w:line="117"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changes in foreign currency exchange rates (see "Executive Overview - Other Matters - Foreign Currency Exchange Rates").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54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updated certain elements of our 2020 financial guidance to reflect both management's expectations for operational performance and the uncertainty surrounding the extent and duration of the impact of the COVID-19 pandemic. Key management assumptions supporting the updated guidance include:</w:t>
      </w:r>
    </w:p>
    <w:p>
      <w:pPr>
        <w:spacing w:after="0" w:line="94" w:lineRule="exact"/>
        <w:rPr>
          <w:sz w:val="20"/>
          <w:szCs w:val="20"/>
          <w:color w:val="auto"/>
        </w:rPr>
      </w:pPr>
    </w:p>
    <w:p>
      <w:pPr>
        <w:ind w:left="660" w:right="10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increased customer buying patterns and patient prescription trends associated with COVID-19 that were experienced in the first quarter of 2020 will be largely reversed over the course of 2020;</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reduction in new-to-brand prescription trends will peak in the second quarter of 2020 in the U.S. and much of Europe;</w:t>
      </w:r>
    </w:p>
    <w:p>
      <w:pPr>
        <w:spacing w:after="0" w:line="117"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Healthcare activity, including non-COVID-19 related patient visits with their physicians, will align more closely with historical levels in the second half of 2020;</w:t>
      </w:r>
    </w:p>
    <w:p>
      <w:pPr>
        <w:spacing w:after="0" w:line="89" w:lineRule="exact"/>
        <w:rPr>
          <w:rFonts w:ascii="Arial" w:cs="Arial" w:eastAsia="Arial" w:hAnsi="Arial"/>
          <w:sz w:val="18"/>
          <w:szCs w:val="18"/>
          <w:color w:val="auto"/>
        </w:rPr>
      </w:pPr>
    </w:p>
    <w:p>
      <w:pPr>
        <w:ind w:left="660" w:right="78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utilization of patient affordability programs and changes in segment mix due to increased U.S. unemployment will negatively impact U.S. pricing;</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 enrollment in existing studies, as well as initiation of new clinical trials, will resume in the second half of 2020;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 in COVID-19 related research, testing and support will continue throughout 2020.</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Based on the key assumptions outlined above, full-year 2020 EPS is now anticipated to be in the range of $6.20 to $6.40. We still expect 2020 revenue of between $23.7 billion and $24.2 billion. Revenue growth is still expected to be driven by volume from Trulicity, Taltz, Basaglar, Jardiance, Verzenio, Cyramza, Olumiant, Emgality, Baqsimi, and Tyvyt, as well as the addition of Qbrexza revenue and the potential launch of other new medicines. Revenue growth is expected to be partially offset by lower revenue for products that have lost patent exclusivity. Revenue growth is also expected to be partially offset by a low-single digit net price decline in the U.S. driven primarily by rebates and legislated increases to Medicare Part D cost sharing, patient affordability programs, and net price declines in China, Japan and Europe.</w:t>
      </w:r>
    </w:p>
    <w:p>
      <w:pPr>
        <w:spacing w:after="0" w:line="20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Gross margin as a percent of revenue is still expected to be approximately 79.0 percent. Research and development expenses are still expected to be in the range of $5.6 billion to $5.9 billion. Marketing, selling, and administrative expenses are still expected to be in the range of $6.2 billion to $6.4 billion. Other—net, (income) expense is now expected to be between $0 and expense of $150 million.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2020 effective tax rate is still expected to be approximately 15 percent.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93"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7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 The information contained in, or that can be accessed through, our website is not a part of, or incorporated by reference in, this quarterly report.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54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5" w:lineRule="exact"/>
        <w:rPr>
          <w:sz w:val="20"/>
          <w:szCs w:val="20"/>
          <w:color w:val="auto"/>
        </w:rPr>
      </w:pPr>
    </w:p>
    <w:p>
      <w:pPr>
        <w:ind w:left="660" w:hanging="652"/>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93" w:lineRule="exact"/>
        <w:rPr>
          <w:rFonts w:ascii="Arial" w:cs="Arial" w:eastAsia="Arial" w:hAnsi="Arial"/>
          <w:sz w:val="18"/>
          <w:szCs w:val="18"/>
          <w:color w:val="auto"/>
        </w:rPr>
      </w:pPr>
    </w:p>
    <w:p>
      <w:pPr>
        <w:ind w:left="660" w:right="260"/>
        <w:spacing w:after="0" w:line="256" w:lineRule="auto"/>
        <w:rPr>
          <w:rFonts w:ascii="Arial" w:cs="Arial" w:eastAsia="Arial" w:hAnsi="Arial"/>
          <w:sz w:val="18"/>
          <w:szCs w:val="18"/>
          <w:color w:val="auto"/>
        </w:rPr>
      </w:pPr>
      <w:r>
        <w:rPr>
          <w:rFonts w:ascii="Arial" w:cs="Arial" w:eastAsia="Arial" w:hAnsi="Arial"/>
          <w:sz w:val="18"/>
          <w:szCs w:val="18"/>
          <w:color w:val="auto"/>
        </w:rPr>
        <w:t>Our management, with the participation of David A. Ricks, chairman, president, and chief executive officer, and Joshua L. Smiley, senior vice president and chief financial officer, evaluated our disclosure controls and procedures as of March 31, 2020, and concluded that they were effective.</w:t>
      </w:r>
    </w:p>
    <w:p>
      <w:pPr>
        <w:spacing w:after="0" w:line="75" w:lineRule="exact"/>
        <w:rPr>
          <w:rFonts w:ascii="Arial" w:cs="Arial" w:eastAsia="Arial" w:hAnsi="Arial"/>
          <w:sz w:val="18"/>
          <w:szCs w:val="18"/>
          <w:color w:val="auto"/>
        </w:rPr>
      </w:pPr>
    </w:p>
    <w:p>
      <w:pPr>
        <w:ind w:left="660" w:right="180" w:hanging="652"/>
        <w:spacing w:after="0" w:line="28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first quarter of 2020,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320" w:top="549" w:right="399" w:bottom="1440" w:gutter="0" w:footer="0" w:header="0"/>
        </w:sectPr>
      </w:pPr>
    </w:p>
    <w:bookmarkStart w:id="46" w:name="page47"/>
    <w:bookmarkEnd w:id="46"/>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Note 10 to the consolidated condensed financial statements for information on various legal proceedings, including but not limited to:</w:t>
      </w:r>
    </w:p>
    <w:p>
      <w:pPr>
        <w:spacing w:after="0" w:line="63" w:lineRule="exact"/>
        <w:rPr>
          <w:sz w:val="20"/>
          <w:szCs w:val="20"/>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Jardiance, Taltz, and Emgality;</w:t>
      </w:r>
    </w:p>
    <w:p>
      <w:pPr>
        <w:spacing w:after="0" w:line="63"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liability litigation involving Cymbalta;</w:t>
      </w:r>
    </w:p>
    <w:p>
      <w:pPr>
        <w:spacing w:after="0" w:line="63"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litigation related to the Cosmopolis facility in Brazil; and</w:t>
      </w:r>
    </w:p>
    <w:p>
      <w:pPr>
        <w:spacing w:after="0" w:line="63"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litigation, investigations, and inquiries.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5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the Legal Proceedings disclosures in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(Part I, Item 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 Liability Litigation</w:t>
      </w:r>
    </w:p>
    <w:p>
      <w:pPr>
        <w:spacing w:after="0" w:line="13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We are named as a defendant in approximately 350 Cialis product liability lawsuits in the U.S. These cases, many of which were originally filed in various federal courts, contain allegations that Cialis caused or contributed to the plaintiffs' cancer (melanoma). In December 2016, the Judicial Panel on Multidistrict Litigation (JPML) granted the plaintiffs' petition to have filed cases and an unspecified number of future cases coordinated into a federal multidistrict litigation (MDL) in the U.S. District Court for the Northern District of California, alongside an existing coordinated proceeding involving Viagra</w:t>
      </w:r>
      <w:r>
        <w:rPr>
          <w:rFonts w:ascii="Arial" w:cs="Arial" w:eastAsia="Arial" w:hAnsi="Arial"/>
          <w:sz w:val="14"/>
          <w:szCs w:val="14"/>
          <w:color w:val="auto"/>
          <w:vertAlign w:val="superscript"/>
        </w:rPr>
        <w:t>®</w:t>
      </w:r>
      <w:r>
        <w:rPr>
          <w:rFonts w:ascii="Arial" w:cs="Arial" w:eastAsia="Arial" w:hAnsi="Arial"/>
          <w:sz w:val="18"/>
          <w:szCs w:val="18"/>
          <w:color w:val="auto"/>
        </w:rPr>
        <w:t xml:space="preserve">. The JPML ordered the transfer of the existing cases to the now-renamed MDL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Viagra (Sildenafil Citrate) and Cialis (Tadalafil) Products Liability Litigation</w:t>
      </w:r>
      <w:r>
        <w:rPr>
          <w:rFonts w:ascii="Arial" w:cs="Arial" w:eastAsia="Arial" w:hAnsi="Arial"/>
          <w:sz w:val="18"/>
          <w:szCs w:val="18"/>
          <w:color w:val="auto"/>
        </w:rPr>
        <w:t>. In April 2020, the MDL court granted summary judgment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defendants on all of the claims brought against them by the plaintiffs.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sz w:val="20"/>
          <w:szCs w:val="20"/>
          <w:color w:val="auto"/>
        </w:rPr>
      </w:pPr>
    </w:p>
    <w:p>
      <w:pPr>
        <w:ind w:right="18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Item 1A of our Annual Report on </w:t>
      </w:r>
      <w:hyperlink r:id="rId7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The following represents a change in our risk factors from those listed in Part I, Item 1A of our Annual Report on Form 10-K for the year ended December 31, 2019.</w:t>
      </w:r>
    </w:p>
    <w:p>
      <w:pPr>
        <w:spacing w:after="0" w:line="18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The novel coronavirus (COVID-19) pandemic and efforts to reduce its spread has impacted, and may in future periods negatively impact, our business and operations.</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COVID-19 pandemic has substantially burdened healthcare systems worldwide, delaying enrollment in and progression of many of our clinical trials. Required inspections and reviews by regulatory agencies may also be delayed due to the focus of resources on COVID-19 as well as travel and other restrictions. Significant delays in the timing of our clinical trials and in regulatory reviews could adversely affect our ability to commercialize some assets in our product pipeline. Lack of normal access by patients to the healthcare system, along with concern about the continued supply of medications, has also resulted in changes in buying patterns throughout the supply chain, including by patients, which could increase or decrease demand for our products. Similarly, we have temporarily halted in-person interactions by our employees with healthcare providers, which may decrease demand for our products. COVID-19 could also have an adverse impact on our manufacturing operations, supply chain and distribution systems, which could impact our ability to produce and distribute our products and the ability of third parties on which we rely to fulfill their obligations to us, and could increase our expenses. Therapeutics that we may develop to address COVID-19 will be subject to risks in addition to those normally associated with pharmaceutical research, development, and commercialization, such as higher risk of technical failure, lower and transient opportunities for revenue, higher manufacturing costs, product safety or efficacy risks related to an expedited research and development timeline, and novel liability theories. These risks may affect our ability to commercialize these therapeutics for COVID-19 or any other current or future indication. In addition, the conditions created by the pandemic may intensify other risks inherent in our business, including, among other things, risks related to drug pricing and access, intellectual property protection, product safety and efficacy concerns, product liability and other litigation, and the impact of adverse global and local economic conditions.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567" w:right="359" w:bottom="1440" w:gutter="0" w:footer="0" w:header="0"/>
        </w:sectPr>
      </w:pPr>
    </w:p>
    <w:bookmarkStart w:id="47" w:name="page48"/>
    <w:bookmarkEnd w:id="47"/>
    <w:p>
      <w:pPr>
        <w:ind w:right="20"/>
        <w:spacing w:after="0" w:line="252" w:lineRule="auto"/>
        <w:rPr>
          <w:sz w:val="20"/>
          <w:szCs w:val="20"/>
          <w:color w:val="auto"/>
        </w:rPr>
      </w:pPr>
      <w:r>
        <w:rPr>
          <w:rFonts w:ascii="Arial" w:cs="Arial" w:eastAsia="Arial" w:hAnsi="Arial"/>
          <w:sz w:val="18"/>
          <w:szCs w:val="18"/>
          <w:color w:val="auto"/>
        </w:rPr>
        <w:t>As a result, while the financial impact on us has not been material to date, given the rapid and evolving nature of the virus, COVID-19 could negatively affect our results of operations, financial condition, liquidity and cash flows in future periods, perhaps materially. The degree to which COVID-19 affects us will depend on developments that are highly uncertain and beyond our knowledge or control, including, but not limited to, the duration and severity of the pandemic, the actions taken to reduce its transmission, and the speed with which, and extent to which, more stable economic and operating conditions resume. Should the COVID-19 pandemic and any associated recession or depression continue for a prolonged period, our results of operations, financial condition, liquidity, and cash flows could be materially impacted by lower revenues and profitability and a lower likelihood of effectively and efficiently developing and launching new medicines.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March 31,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320" w:type="dxa"/>
            <w:vAlign w:val="bottom"/>
          </w:tcPr>
          <w:p>
            <w:pPr>
              <w:spacing w:after="0"/>
              <w:rPr>
                <w:sz w:val="14"/>
                <w:szCs w:val="14"/>
                <w:color w:val="auto"/>
              </w:rPr>
            </w:pPr>
          </w:p>
        </w:tc>
        <w:tc>
          <w:tcPr>
            <w:tcW w:w="2160" w:type="dxa"/>
            <w:vAlign w:val="bottom"/>
          </w:tcPr>
          <w:p>
            <w:pPr>
              <w:jc w:val="center"/>
              <w:ind w:right="181"/>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2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320" w:type="dxa"/>
            <w:vAlign w:val="bottom"/>
          </w:tcPr>
          <w:p>
            <w:pPr>
              <w:spacing w:after="0"/>
              <w:rPr>
                <w:sz w:val="14"/>
                <w:szCs w:val="14"/>
                <w:color w:val="auto"/>
              </w:rPr>
            </w:pPr>
          </w:p>
        </w:tc>
        <w:tc>
          <w:tcPr>
            <w:tcW w:w="2160" w:type="dxa"/>
            <w:vAlign w:val="bottom"/>
          </w:tcPr>
          <w:p>
            <w:pPr>
              <w:jc w:val="center"/>
              <w:ind w:right="121"/>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6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320" w:type="dxa"/>
            <w:vAlign w:val="bottom"/>
          </w:tcPr>
          <w:p>
            <w:pPr>
              <w:spacing w:after="0"/>
              <w:rPr>
                <w:sz w:val="14"/>
                <w:szCs w:val="14"/>
                <w:color w:val="auto"/>
              </w:rPr>
            </w:pPr>
          </w:p>
        </w:tc>
        <w:tc>
          <w:tcPr>
            <w:tcW w:w="2160" w:type="dxa"/>
            <w:vAlign w:val="bottom"/>
          </w:tcPr>
          <w:p>
            <w:pPr>
              <w:jc w:val="center"/>
              <w:ind w:right="181"/>
              <w:spacing w:after="0"/>
              <w:rPr>
                <w:sz w:val="20"/>
                <w:szCs w:val="20"/>
                <w:color w:val="auto"/>
              </w:rPr>
            </w:pPr>
            <w:r>
              <w:rPr>
                <w:rFonts w:ascii="Arial" w:cs="Arial" w:eastAsia="Arial" w:hAnsi="Arial"/>
                <w:sz w:val="14"/>
                <w:szCs w:val="14"/>
                <w:b w:val="1"/>
                <w:bCs w:val="1"/>
                <w:color w:val="auto"/>
              </w:rPr>
              <w:t>Purchased Under the</w:t>
            </w:r>
          </w:p>
        </w:tc>
      </w:tr>
      <w:tr>
        <w:trPr>
          <w:trHeight w:val="162"/>
        </w:trPr>
        <w:tc>
          <w:tcPr>
            <w:tcW w:w="26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Pr>
          <w:p>
            <w:pPr>
              <w:spacing w:after="0"/>
              <w:rPr>
                <w:sz w:val="14"/>
                <w:szCs w:val="14"/>
                <w:color w:val="auto"/>
              </w:rPr>
            </w:pPr>
          </w:p>
        </w:tc>
        <w:tc>
          <w:tcPr>
            <w:tcW w:w="1720" w:type="dxa"/>
            <w:vAlign w:val="bottom"/>
          </w:tcPr>
          <w:p>
            <w:pPr>
              <w:jc w:val="right"/>
              <w:ind w:right="296"/>
              <w:spacing w:after="0"/>
              <w:rPr>
                <w:sz w:val="20"/>
                <w:szCs w:val="20"/>
                <w:color w:val="auto"/>
              </w:rPr>
            </w:pPr>
            <w:r>
              <w:rPr>
                <w:rFonts w:ascii="Arial" w:cs="Arial" w:eastAsia="Arial" w:hAnsi="Arial"/>
                <w:sz w:val="14"/>
                <w:szCs w:val="14"/>
                <w:b w:val="1"/>
                <w:bCs w:val="1"/>
                <w:color w:val="auto"/>
              </w:rPr>
              <w:t>Average Price Paid</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320" w:type="dxa"/>
            <w:vAlign w:val="bottom"/>
          </w:tcPr>
          <w:p>
            <w:pPr>
              <w:spacing w:after="0"/>
              <w:rPr>
                <w:sz w:val="14"/>
                <w:szCs w:val="14"/>
                <w:color w:val="auto"/>
              </w:rPr>
            </w:pPr>
          </w:p>
        </w:tc>
        <w:tc>
          <w:tcPr>
            <w:tcW w:w="2160" w:type="dxa"/>
            <w:vAlign w:val="bottom"/>
          </w:tcPr>
          <w:p>
            <w:pPr>
              <w:jc w:val="center"/>
              <w:ind w:right="121"/>
              <w:spacing w:after="0"/>
              <w:rPr>
                <w:sz w:val="20"/>
                <w:szCs w:val="20"/>
                <w:color w:val="auto"/>
              </w:rPr>
            </w:pPr>
            <w:r>
              <w:rPr>
                <w:rFonts w:ascii="Arial" w:cs="Arial" w:eastAsia="Arial" w:hAnsi="Arial"/>
                <w:sz w:val="14"/>
                <w:szCs w:val="14"/>
                <w:b w:val="1"/>
                <w:bCs w:val="1"/>
                <w:color w:val="auto"/>
              </w:rPr>
              <w:t>Plans or Programs</w:t>
            </w:r>
          </w:p>
        </w:tc>
      </w:tr>
      <w:tr>
        <w:trPr>
          <w:trHeight w:val="196"/>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per Share</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(in millions)</w:t>
            </w:r>
          </w:p>
        </w:tc>
      </w:tr>
      <w:tr>
        <w:trPr>
          <w:trHeight w:val="270"/>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January 2020</w:t>
            </w:r>
          </w:p>
        </w:tc>
        <w:tc>
          <w:tcPr>
            <w:tcW w:w="17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3,026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137.87</w:t>
            </w:r>
          </w:p>
        </w:tc>
        <w:tc>
          <w:tcPr>
            <w:tcW w:w="23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3,026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1,082.9</w:t>
            </w:r>
          </w:p>
        </w:tc>
      </w:tr>
      <w:tr>
        <w:trPr>
          <w:trHeight w:val="263"/>
        </w:trPr>
        <w:tc>
          <w:tcPr>
            <w:tcW w:w="2600" w:type="dxa"/>
            <w:vAlign w:val="bottom"/>
          </w:tcPr>
          <w:p>
            <w:pPr>
              <w:ind w:left="40"/>
              <w:spacing w:after="0"/>
              <w:rPr>
                <w:sz w:val="20"/>
                <w:szCs w:val="20"/>
                <w:color w:val="auto"/>
              </w:rPr>
            </w:pPr>
            <w:r>
              <w:rPr>
                <w:rFonts w:ascii="Arial" w:cs="Arial" w:eastAsia="Arial" w:hAnsi="Arial"/>
                <w:sz w:val="18"/>
                <w:szCs w:val="18"/>
                <w:color w:val="auto"/>
              </w:rPr>
              <w:t>February 2020</w:t>
            </w:r>
          </w:p>
        </w:tc>
        <w:tc>
          <w:tcPr>
            <w:tcW w:w="17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7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2160" w:type="dxa"/>
            <w:vAlign w:val="bottom"/>
          </w:tcPr>
          <w:p>
            <w:pPr>
              <w:jc w:val="right"/>
              <w:ind w:right="21"/>
              <w:spacing w:after="0"/>
              <w:rPr>
                <w:sz w:val="20"/>
                <w:szCs w:val="20"/>
                <w:color w:val="auto"/>
              </w:rPr>
            </w:pPr>
            <w:r>
              <w:rPr>
                <w:rFonts w:ascii="Arial" w:cs="Arial" w:eastAsia="Arial" w:hAnsi="Arial"/>
                <w:sz w:val="18"/>
                <w:szCs w:val="18"/>
                <w:color w:val="auto"/>
              </w:rPr>
              <w:t>1,082.9</w:t>
            </w:r>
          </w:p>
        </w:tc>
      </w:tr>
      <w:tr>
        <w:trPr>
          <w:trHeight w:val="270"/>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2020</w:t>
            </w:r>
          </w:p>
        </w:tc>
        <w:tc>
          <w:tcPr>
            <w:tcW w:w="1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601</w:t>
            </w:r>
          </w:p>
        </w:tc>
        <w:tc>
          <w:tcPr>
            <w:tcW w:w="3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137.87</w:t>
            </w:r>
          </w:p>
        </w:tc>
        <w:tc>
          <w:tcPr>
            <w:tcW w:w="2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601</w:t>
            </w:r>
          </w:p>
        </w:tc>
        <w:tc>
          <w:tcPr>
            <w:tcW w:w="320" w:type="dxa"/>
            <w:vAlign w:val="bottom"/>
            <w:shd w:val="clear" w:color="auto" w:fill="CCEEFF"/>
          </w:tcPr>
          <w:p>
            <w:pPr>
              <w:spacing w:after="0"/>
              <w:rPr>
                <w:sz w:val="23"/>
                <w:szCs w:val="23"/>
                <w:color w:val="auto"/>
              </w:rPr>
            </w:pPr>
          </w:p>
        </w:tc>
        <w:tc>
          <w:tcPr>
            <w:tcW w:w="21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1,000.0</w:t>
            </w:r>
          </w:p>
        </w:tc>
      </w:tr>
      <w:tr>
        <w:trPr>
          <w:trHeight w:val="263"/>
        </w:trPr>
        <w:tc>
          <w:tcPr>
            <w:tcW w:w="2600" w:type="dxa"/>
            <w:vAlign w:val="bottom"/>
          </w:tcPr>
          <w:p>
            <w:pPr>
              <w:ind w:left="4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3,627</w:t>
            </w:r>
          </w:p>
        </w:tc>
        <w:tc>
          <w:tcPr>
            <w:tcW w:w="300" w:type="dxa"/>
            <w:vAlign w:val="bottom"/>
          </w:tcPr>
          <w:p>
            <w:pPr>
              <w:spacing w:after="0"/>
              <w:rPr>
                <w:sz w:val="22"/>
                <w:szCs w:val="22"/>
                <w:color w:val="auto"/>
              </w:rPr>
            </w:pPr>
          </w:p>
        </w:tc>
        <w:tc>
          <w:tcPr>
            <w:tcW w:w="1720" w:type="dxa"/>
            <w:vAlign w:val="bottom"/>
          </w:tcPr>
          <w:p>
            <w:pPr>
              <w:jc w:val="right"/>
              <w:ind w:right="116"/>
              <w:spacing w:after="0"/>
              <w:rPr>
                <w:sz w:val="20"/>
                <w:szCs w:val="20"/>
                <w:color w:val="auto"/>
              </w:rPr>
            </w:pPr>
            <w:r>
              <w:rPr>
                <w:rFonts w:ascii="Arial" w:cs="Arial" w:eastAsia="Arial" w:hAnsi="Arial"/>
                <w:sz w:val="18"/>
                <w:szCs w:val="18"/>
                <w:color w:val="auto"/>
              </w:rPr>
              <w:t>137.87</w:t>
            </w:r>
          </w:p>
        </w:tc>
        <w:tc>
          <w:tcPr>
            <w:tcW w:w="23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3,627</w:t>
            </w:r>
          </w:p>
        </w:tc>
        <w:tc>
          <w:tcPr>
            <w:tcW w:w="320" w:type="dxa"/>
            <w:vAlign w:val="bottom"/>
          </w:tcPr>
          <w:p>
            <w:pPr>
              <w:spacing w:after="0"/>
              <w:rPr>
                <w:sz w:val="22"/>
                <w:szCs w:val="22"/>
                <w:color w:val="auto"/>
              </w:rPr>
            </w:pPr>
          </w:p>
        </w:tc>
        <w:tc>
          <w:tcPr>
            <w:tcW w:w="2160" w:type="dxa"/>
            <w:vAlign w:val="bottom"/>
          </w:tcPr>
          <w:p>
            <w:pPr>
              <w:spacing w:after="0"/>
              <w:rPr>
                <w:sz w:val="22"/>
                <w:szCs w:val="22"/>
                <w:color w:val="auto"/>
              </w:rPr>
            </w:pPr>
          </w:p>
        </w:tc>
      </w:tr>
    </w:tbl>
    <w:p>
      <w:pPr>
        <w:spacing w:after="0" w:line="10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During the three months ended March 31, 2020, we repurchased $500.0 million of shares under the $8.00 billion share repurchase program authorized in June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ectPr>
          <w:pgSz w:w="11900" w:h="16838" w:orient="portrait"/>
          <w:cols w:equalWidth="0" w:num="1">
            <w:col w:w="11240"/>
          </w:cols>
          <w:pgMar w:left="320" w:top="679" w:right="3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Amended Articles of Incorporation</w:t>
      </w:r>
    </w:p>
    <w:p>
      <w:pPr>
        <w:spacing w:after="0" w:line="200" w:lineRule="exact"/>
        <w:rPr>
          <w:sz w:val="20"/>
          <w:szCs w:val="20"/>
          <w:color w:val="auto"/>
        </w:rPr>
      </w:pPr>
    </w:p>
    <w:p>
      <w:pPr>
        <w:sectPr>
          <w:pgSz w:w="11900" w:h="16838" w:orient="portrait"/>
          <w:cols w:equalWidth="0" w:num="2">
            <w:col w:w="1900" w:space="720"/>
            <w:col w:w="8620"/>
          </w:cols>
          <w:pgMar w:left="320" w:top="679" w:right="339" w:bottom="1440" w:gutter="0" w:footer="0" w:header="0"/>
          <w:type w:val="continuous"/>
        </w:sectPr>
      </w:pP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Bylaws, as amended</w:t>
      </w:r>
    </w:p>
    <w:p>
      <w:pPr>
        <w:spacing w:after="0" w:line="200" w:lineRule="exact"/>
        <w:rPr>
          <w:sz w:val="20"/>
          <w:szCs w:val="20"/>
          <w:color w:val="auto"/>
        </w:rPr>
      </w:pPr>
    </w:p>
    <w:p>
      <w:pPr>
        <w:sectPr>
          <w:pgSz w:w="11900" w:h="16838" w:orient="portrait"/>
          <w:cols w:equalWidth="0" w:num="2">
            <w:col w:w="1900" w:space="720"/>
            <w:col w:w="8620"/>
          </w:cols>
          <w:pgMar w:left="320" w:top="679" w:right="33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David A. Ricks, Chairman, President, and Chief Executive Officer</w:t>
      </w:r>
    </w:p>
    <w:p>
      <w:pPr>
        <w:spacing w:after="0" w:line="200" w:lineRule="exact"/>
        <w:rPr>
          <w:sz w:val="20"/>
          <w:szCs w:val="20"/>
          <w:color w:val="auto"/>
        </w:rPr>
      </w:pPr>
    </w:p>
    <w:p>
      <w:pPr>
        <w:sectPr>
          <w:pgSz w:w="11900" w:h="16838" w:orient="portrait"/>
          <w:cols w:equalWidth="0" w:num="2">
            <w:col w:w="1900" w:space="720"/>
            <w:col w:w="8620"/>
          </w:cols>
          <w:pgMar w:left="320" w:top="679" w:right="33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Joshua L. Smiley, Senior Vice President and Chief Financial Officer</w:t>
      </w:r>
    </w:p>
    <w:p>
      <w:pPr>
        <w:spacing w:after="0" w:line="200" w:lineRule="exact"/>
        <w:rPr>
          <w:sz w:val="20"/>
          <w:szCs w:val="20"/>
          <w:color w:val="auto"/>
        </w:rPr>
      </w:pPr>
    </w:p>
    <w:p>
      <w:pPr>
        <w:sectPr>
          <w:pgSz w:w="11900" w:h="16838" w:orient="portrait"/>
          <w:cols w:equalWidth="0" w:num="2">
            <w:col w:w="1900" w:space="720"/>
            <w:col w:w="8620"/>
          </w:cols>
          <w:pgMar w:left="320" w:top="679" w:right="33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00" w:lineRule="exact"/>
        <w:rPr>
          <w:sz w:val="20"/>
          <w:szCs w:val="20"/>
          <w:color w:val="auto"/>
        </w:rPr>
      </w:pPr>
    </w:p>
    <w:p>
      <w:pPr>
        <w:sectPr>
          <w:pgSz w:w="11900" w:h="16838" w:orient="portrait"/>
          <w:cols w:equalWidth="0" w:num="2">
            <w:col w:w="1900" w:space="720"/>
            <w:col w:w="8620"/>
          </w:cols>
          <w:pgMar w:left="320" w:top="679" w:right="33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Interactive Data Files</w:t>
      </w:r>
    </w:p>
    <w:p>
      <w:pPr>
        <w:spacing w:after="0" w:line="200" w:lineRule="exact"/>
        <w:rPr>
          <w:sz w:val="20"/>
          <w:szCs w:val="20"/>
          <w:color w:val="auto"/>
        </w:rPr>
      </w:pPr>
    </w:p>
    <w:p>
      <w:pPr>
        <w:sectPr>
          <w:pgSz w:w="11900" w:h="16838" w:orient="portrait"/>
          <w:cols w:equalWidth="0" w:num="2">
            <w:col w:w="1900" w:space="720"/>
            <w:col w:w="8620"/>
          </w:cols>
          <w:pgMar w:left="320" w:top="679" w:right="339" w:bottom="1440" w:gutter="0" w:footer="0" w:header="0"/>
          <w:type w:val="continuous"/>
        </w:sectPr>
      </w:pP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104.</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Cover Page Interactive Data File</w:t>
      </w:r>
    </w:p>
    <w:p>
      <w:pPr>
        <w:spacing w:after="0" w:line="200" w:lineRule="exact"/>
        <w:rPr>
          <w:sz w:val="20"/>
          <w:szCs w:val="20"/>
          <w:color w:val="auto"/>
        </w:rPr>
      </w:pPr>
    </w:p>
    <w:p>
      <w:pPr>
        <w:sectPr>
          <w:pgSz w:w="11900" w:h="16838" w:orient="portrait"/>
          <w:cols w:equalWidth="0" w:num="2">
            <w:col w:w="1900" w:space="720"/>
            <w:col w:w="8620"/>
          </w:cols>
          <w:pgMar w:left="320" w:top="679" w:right="339" w:bottom="1440" w:gutter="0" w:footer="0" w:header="0"/>
          <w:type w:val="continuous"/>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679"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Index to Exhibits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Exhibit</w:t>
      </w:r>
    </w:p>
    <w:p>
      <w:pPr>
        <w:spacing w:after="0" w:line="63" w:lineRule="exact"/>
        <w:rPr>
          <w:sz w:val="20"/>
          <w:szCs w:val="20"/>
          <w:color w:val="auto"/>
        </w:rPr>
      </w:pPr>
    </w:p>
    <w:p>
      <w:pPr>
        <w:ind w:left="2520" w:right="220" w:hanging="2483"/>
        <w:spacing w:after="0" w:line="246" w:lineRule="auto"/>
        <w:tabs>
          <w:tab w:leader="none" w:pos="2500" w:val="left"/>
        </w:tabs>
        <w:rPr>
          <w:rFonts w:ascii="Arial" w:cs="Arial" w:eastAsia="Arial" w:hAnsi="Arial"/>
          <w:sz w:val="18"/>
          <w:szCs w:val="18"/>
          <w:u w:val="single" w:color="auto"/>
          <w:color w:val="0000FF"/>
        </w:rPr>
      </w:pPr>
      <w:r>
        <w:rPr>
          <w:rFonts w:ascii="Arial" w:cs="Arial" w:eastAsia="Arial" w:hAnsi="Arial"/>
          <w:sz w:val="18"/>
          <w:szCs w:val="18"/>
          <w:color w:val="auto"/>
        </w:rPr>
        <w:t>EXHIBIT 3.1</w:t>
      </w:r>
      <w:r>
        <w:rPr>
          <w:sz w:val="20"/>
          <w:szCs w:val="20"/>
          <w:color w:val="auto"/>
        </w:rPr>
        <w:tab/>
      </w:r>
      <w:hyperlink r:id="rId76">
        <w:r>
          <w:rPr>
            <w:rFonts w:ascii="Arial" w:cs="Arial" w:eastAsia="Arial" w:hAnsi="Arial"/>
            <w:sz w:val="18"/>
            <w:szCs w:val="18"/>
            <w:u w:val="single" w:color="auto"/>
            <w:color w:val="0000FF"/>
          </w:rPr>
          <w:t>Amended Articles of Incorporation are incorporated by reference to Exhibit 3.1 to the Company's Report on</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Form 10-K for the year ended December 31, 2013</w:t>
        </w:r>
      </w:hyperlink>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480" w:type="dxa"/>
            <w:vAlign w:val="bottom"/>
          </w:tcPr>
          <w:p>
            <w:pPr>
              <w:spacing w:after="0"/>
              <w:rPr>
                <w:sz w:val="20"/>
                <w:szCs w:val="20"/>
                <w:color w:val="auto"/>
              </w:rPr>
            </w:pPr>
            <w:r>
              <w:rPr>
                <w:rFonts w:ascii="Arial" w:cs="Arial" w:eastAsia="Arial" w:hAnsi="Arial"/>
                <w:sz w:val="18"/>
                <w:szCs w:val="18"/>
                <w:color w:val="auto"/>
              </w:rPr>
              <w:t>EXHIBIT 3.2</w:t>
            </w:r>
          </w:p>
        </w:tc>
        <w:tc>
          <w:tcPr>
            <w:tcW w:w="8400" w:type="dxa"/>
            <w:vAlign w:val="bottom"/>
            <w:tcBorders>
              <w:bottom w:val="single" w:sz="8" w:color="0000FF"/>
            </w:tcBorders>
            <w:gridSpan w:val="2"/>
          </w:tcPr>
          <w:p>
            <w:pPr>
              <w:spacing w:after="0"/>
              <w:rPr>
                <w:rFonts w:ascii="Arial" w:cs="Arial" w:eastAsia="Arial" w:hAnsi="Arial"/>
                <w:sz w:val="18"/>
                <w:szCs w:val="18"/>
                <w:color w:val="0000FF"/>
                <w:w w:val="99"/>
              </w:rPr>
            </w:pPr>
            <w:hyperlink r:id="rId77">
              <w:r>
                <w:rPr>
                  <w:rFonts w:ascii="Arial" w:cs="Arial" w:eastAsia="Arial" w:hAnsi="Arial"/>
                  <w:sz w:val="18"/>
                  <w:szCs w:val="18"/>
                  <w:color w:val="0000FF"/>
                  <w:w w:val="99"/>
                </w:rPr>
                <w:t>Bylaws, as amended, are incorporated by reference to Exhibit 99.1 to the Company's Report on Form 8-K</w:t>
              </w:r>
            </w:hyperlink>
          </w:p>
        </w:tc>
      </w:tr>
      <w:tr>
        <w:trPr>
          <w:trHeight w:val="183"/>
        </w:trPr>
        <w:tc>
          <w:tcPr>
            <w:tcW w:w="2480" w:type="dxa"/>
            <w:vAlign w:val="bottom"/>
          </w:tcPr>
          <w:p>
            <w:pPr>
              <w:spacing w:after="0"/>
              <w:rPr>
                <w:sz w:val="15"/>
                <w:szCs w:val="15"/>
                <w:color w:val="auto"/>
              </w:rPr>
            </w:pPr>
          </w:p>
        </w:tc>
        <w:tc>
          <w:tcPr>
            <w:tcW w:w="8400" w:type="dxa"/>
            <w:vAlign w:val="bottom"/>
            <w:gridSpan w:val="2"/>
          </w:tcPr>
          <w:p>
            <w:pPr>
              <w:spacing w:after="0" w:line="182" w:lineRule="exact"/>
              <w:rPr>
                <w:rFonts w:ascii="Arial" w:cs="Arial" w:eastAsia="Arial" w:hAnsi="Arial"/>
                <w:sz w:val="18"/>
                <w:szCs w:val="18"/>
                <w:color w:val="0000FF"/>
              </w:rPr>
            </w:pPr>
            <w:hyperlink r:id="rId77">
              <w:r>
                <w:rPr>
                  <w:rFonts w:ascii="Arial" w:cs="Arial" w:eastAsia="Arial" w:hAnsi="Arial"/>
                  <w:sz w:val="18"/>
                  <w:szCs w:val="18"/>
                  <w:color w:val="0000FF"/>
                </w:rPr>
                <w:t>dated on December 20, 2019</w:t>
              </w:r>
            </w:hyperlink>
          </w:p>
        </w:tc>
      </w:tr>
      <w:tr>
        <w:trPr>
          <w:trHeight w:val="20"/>
        </w:trPr>
        <w:tc>
          <w:tcPr>
            <w:tcW w:w="248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601"/>
        </w:trPr>
        <w:tc>
          <w:tcPr>
            <w:tcW w:w="2480" w:type="dxa"/>
            <w:vAlign w:val="bottom"/>
          </w:tcPr>
          <w:p>
            <w:pPr>
              <w:spacing w:after="0"/>
              <w:rPr>
                <w:sz w:val="20"/>
                <w:szCs w:val="20"/>
                <w:color w:val="auto"/>
              </w:rPr>
            </w:pPr>
            <w:r>
              <w:rPr>
                <w:rFonts w:ascii="Arial" w:cs="Arial" w:eastAsia="Arial" w:hAnsi="Arial"/>
                <w:sz w:val="18"/>
                <w:szCs w:val="18"/>
                <w:color w:val="auto"/>
              </w:rPr>
              <w:t>EXHIBIT 31.1</w:t>
            </w:r>
          </w:p>
        </w:tc>
        <w:tc>
          <w:tcPr>
            <w:tcW w:w="8400" w:type="dxa"/>
            <w:vAlign w:val="bottom"/>
            <w:gridSpan w:val="2"/>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Rule 13a-14(a) Certification of David A. Ricks, Chairman, President, and Chief Executive Officer</w:t>
              </w:r>
            </w:hyperlink>
          </w:p>
        </w:tc>
      </w:tr>
      <w:tr>
        <w:trPr>
          <w:trHeight w:val="580"/>
        </w:trPr>
        <w:tc>
          <w:tcPr>
            <w:tcW w:w="2480" w:type="dxa"/>
            <w:vAlign w:val="bottom"/>
          </w:tcPr>
          <w:p>
            <w:pPr>
              <w:spacing w:after="0"/>
              <w:rPr>
                <w:sz w:val="20"/>
                <w:szCs w:val="20"/>
                <w:color w:val="auto"/>
              </w:rPr>
            </w:pPr>
            <w:r>
              <w:rPr>
                <w:rFonts w:ascii="Arial" w:cs="Arial" w:eastAsia="Arial" w:hAnsi="Arial"/>
                <w:sz w:val="18"/>
                <w:szCs w:val="18"/>
                <w:color w:val="auto"/>
              </w:rPr>
              <w:t>EXHIBIT 31.2</w:t>
            </w:r>
          </w:p>
        </w:tc>
        <w:tc>
          <w:tcPr>
            <w:tcW w:w="8400" w:type="dxa"/>
            <w:vAlign w:val="bottom"/>
            <w:gridSpan w:val="2"/>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Rule 13a-14(a) Certification of Joshua L. Smiley, Senior Vice President and Chief Financial Officer</w:t>
              </w:r>
            </w:hyperlink>
          </w:p>
        </w:tc>
      </w:tr>
      <w:tr>
        <w:trPr>
          <w:trHeight w:val="581"/>
        </w:trPr>
        <w:tc>
          <w:tcPr>
            <w:tcW w:w="2480" w:type="dxa"/>
            <w:vAlign w:val="bottom"/>
          </w:tcPr>
          <w:p>
            <w:pPr>
              <w:spacing w:after="0"/>
              <w:rPr>
                <w:sz w:val="20"/>
                <w:szCs w:val="20"/>
                <w:color w:val="auto"/>
              </w:rPr>
            </w:pPr>
            <w:r>
              <w:rPr>
                <w:rFonts w:ascii="Arial" w:cs="Arial" w:eastAsia="Arial" w:hAnsi="Arial"/>
                <w:sz w:val="18"/>
                <w:szCs w:val="18"/>
                <w:color w:val="auto"/>
              </w:rPr>
              <w:t>EXHIBIT 32.</w:t>
            </w:r>
          </w:p>
        </w:tc>
        <w:tc>
          <w:tcPr>
            <w:tcW w:w="8400" w:type="dxa"/>
            <w:vAlign w:val="bottom"/>
            <w:gridSpan w:val="2"/>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Section 1350 Certification</w:t>
              </w:r>
            </w:hyperlink>
          </w:p>
        </w:tc>
      </w:tr>
      <w:tr>
        <w:trPr>
          <w:trHeight w:val="580"/>
        </w:trPr>
        <w:tc>
          <w:tcPr>
            <w:tcW w:w="2480" w:type="dxa"/>
            <w:vAlign w:val="bottom"/>
          </w:tcPr>
          <w:p>
            <w:pPr>
              <w:spacing w:after="0"/>
              <w:rPr>
                <w:sz w:val="20"/>
                <w:szCs w:val="20"/>
                <w:color w:val="auto"/>
              </w:rPr>
            </w:pPr>
            <w:r>
              <w:rPr>
                <w:rFonts w:ascii="Arial" w:cs="Arial" w:eastAsia="Arial" w:hAnsi="Arial"/>
                <w:sz w:val="18"/>
                <w:szCs w:val="18"/>
                <w:color w:val="auto"/>
              </w:rPr>
              <w:t>EXHIBIT 101.</w:t>
            </w:r>
          </w:p>
        </w:tc>
        <w:tc>
          <w:tcPr>
            <w:tcW w:w="8400" w:type="dxa"/>
            <w:vAlign w:val="bottom"/>
            <w:gridSpan w:val="2"/>
          </w:tcPr>
          <w:p>
            <w:pPr>
              <w:spacing w:after="0"/>
              <w:rPr>
                <w:sz w:val="20"/>
                <w:szCs w:val="20"/>
                <w:color w:val="auto"/>
              </w:rPr>
            </w:pPr>
            <w:r>
              <w:rPr>
                <w:rFonts w:ascii="Arial" w:cs="Arial" w:eastAsia="Arial" w:hAnsi="Arial"/>
                <w:sz w:val="18"/>
                <w:szCs w:val="18"/>
                <w:color w:val="auto"/>
              </w:rPr>
              <w:t>Interactive Data Files (embedded within the Inline XBRL document)</w:t>
            </w:r>
          </w:p>
        </w:tc>
      </w:tr>
      <w:tr>
        <w:trPr>
          <w:trHeight w:val="581"/>
        </w:trPr>
        <w:tc>
          <w:tcPr>
            <w:tcW w:w="2480" w:type="dxa"/>
            <w:vAlign w:val="bottom"/>
          </w:tcPr>
          <w:p>
            <w:pPr>
              <w:spacing w:after="0"/>
              <w:rPr>
                <w:sz w:val="20"/>
                <w:szCs w:val="20"/>
                <w:color w:val="auto"/>
              </w:rPr>
            </w:pPr>
            <w:r>
              <w:rPr>
                <w:rFonts w:ascii="Arial" w:cs="Arial" w:eastAsia="Arial" w:hAnsi="Arial"/>
                <w:sz w:val="18"/>
                <w:szCs w:val="18"/>
                <w:color w:val="auto"/>
              </w:rPr>
              <w:t>EXHIBIT 104.</w:t>
            </w:r>
          </w:p>
        </w:tc>
        <w:tc>
          <w:tcPr>
            <w:tcW w:w="840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459"/>
        </w:trPr>
        <w:tc>
          <w:tcPr>
            <w:tcW w:w="24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80" w:type="dxa"/>
            <w:vAlign w:val="bottom"/>
          </w:tcPr>
          <w:p>
            <w:pPr>
              <w:ind w:left="320"/>
              <w:spacing w:after="0"/>
              <w:rPr>
                <w:sz w:val="20"/>
                <w:szCs w:val="20"/>
                <w:color w:val="auto"/>
              </w:rPr>
            </w:pPr>
            <w:r>
              <w:rPr>
                <w:rFonts w:ascii="Arial" w:cs="Arial" w:eastAsia="Arial" w:hAnsi="Arial"/>
                <w:sz w:val="18"/>
                <w:szCs w:val="18"/>
                <w:b w:val="1"/>
                <w:bCs w:val="1"/>
                <w:color w:val="auto"/>
              </w:rPr>
              <w:t>Signatures</w:t>
            </w:r>
          </w:p>
        </w:tc>
      </w:tr>
    </w:tbl>
    <w:p>
      <w:pPr>
        <w:spacing w:after="0" w:line="242" w:lineRule="exact"/>
        <w:rPr>
          <w:sz w:val="20"/>
          <w:szCs w:val="20"/>
          <w:color w:val="auto"/>
        </w:rPr>
      </w:pPr>
    </w:p>
    <w:p>
      <w:pPr>
        <w:ind w:right="220"/>
        <w:spacing w:after="0" w:line="44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ELI LILLY AND COMPANY</w:t>
            </w:r>
          </w:p>
        </w:tc>
        <w:tc>
          <w:tcPr>
            <w:tcW w:w="6560" w:type="dxa"/>
            <w:vAlign w:val="bottom"/>
          </w:tcPr>
          <w:p>
            <w:pPr>
              <w:spacing w:after="0"/>
              <w:rPr>
                <w:sz w:val="18"/>
                <w:szCs w:val="18"/>
                <w:color w:val="auto"/>
              </w:rPr>
            </w:pPr>
          </w:p>
        </w:tc>
      </w:tr>
      <w:tr>
        <w:trPr>
          <w:trHeight w:val="291"/>
        </w:trPr>
        <w:tc>
          <w:tcPr>
            <w:tcW w:w="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58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40"/>
              <w:spacing w:after="0"/>
              <w:rPr>
                <w:sz w:val="20"/>
                <w:szCs w:val="20"/>
                <w:color w:val="auto"/>
              </w:rPr>
            </w:pPr>
            <w:r>
              <w:rPr>
                <w:rFonts w:ascii="Arial" w:cs="Arial" w:eastAsia="Arial" w:hAnsi="Arial"/>
                <w:sz w:val="18"/>
                <w:szCs w:val="18"/>
                <w:color w:val="auto"/>
              </w:rPr>
              <w:t>May 1, 2020</w:t>
            </w:r>
          </w:p>
        </w:tc>
        <w:tc>
          <w:tcPr>
            <w:tcW w:w="2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/s/Bronwen L. Mantlo</w:t>
            </w:r>
          </w:p>
        </w:tc>
      </w:tr>
      <w:tr>
        <w:trPr>
          <w:trHeight w:val="243"/>
        </w:trPr>
        <w:tc>
          <w:tcPr>
            <w:tcW w:w="5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Bronwen L. Mantlo</w:t>
            </w:r>
          </w:p>
        </w:tc>
      </w:tr>
      <w:tr>
        <w:trPr>
          <w:trHeight w:val="256"/>
        </w:trPr>
        <w:tc>
          <w:tcPr>
            <w:tcW w:w="5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40"/>
              <w:spacing w:after="0"/>
              <w:rPr>
                <w:sz w:val="20"/>
                <w:szCs w:val="20"/>
                <w:color w:val="auto"/>
              </w:rPr>
            </w:pPr>
            <w:r>
              <w:rPr>
                <w:rFonts w:ascii="Arial" w:cs="Arial" w:eastAsia="Arial" w:hAnsi="Arial"/>
                <w:sz w:val="18"/>
                <w:szCs w:val="18"/>
                <w:color w:val="auto"/>
              </w:rPr>
              <w:t>May 1, 2020</w:t>
            </w:r>
          </w:p>
        </w:tc>
        <w:tc>
          <w:tcPr>
            <w:tcW w:w="2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3"/>
        </w:trPr>
        <w:tc>
          <w:tcPr>
            <w:tcW w:w="5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70"/>
        </w:trPr>
        <w:tc>
          <w:tcPr>
            <w:tcW w:w="5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445"/>
        </w:trPr>
        <w:tc>
          <w:tcPr>
            <w:tcW w:w="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740" w:type="dxa"/>
            <w:vAlign w:val="bottom"/>
            <w:gridSpan w:val="3"/>
          </w:tcPr>
          <w:p>
            <w:pPr>
              <w:jc w:val="right"/>
              <w:ind w:right="552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240"/>
          </w:cols>
          <w:pgMar w:left="320" w:top="54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EXHIBIT 31.1 Rule 13a-14(a) Certification of David A. Ricks, Chairman, President, and Chief Executive Officer</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certify that:</w:t>
      </w:r>
    </w:p>
    <w:p>
      <w:pPr>
        <w:spacing w:after="0" w:line="17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40" w:hanging="332"/>
        <w:spacing w:after="0" w:line="25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332"/>
        <w:spacing w:after="0" w:line="291"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20" w:hanging="332"/>
        <w:spacing w:after="0" w:line="265"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98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0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80" w:hanging="332"/>
        <w:spacing w:after="0" w:line="25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980" w:right="22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160" w:hanging="324"/>
        <w:spacing w:after="0" w:line="261"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Date:</w:t>
        <w:tab/>
        <w:t>May 1, 2020</w:t>
      </w:r>
    </w:p>
    <w:p>
      <w:pPr>
        <w:spacing w:after="0" w:line="374"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36944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4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20"/>
          </w:cols>
          <w:pgMar w:left="320" w:top="814"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EXHIBIT 31.2 Rule 13a-14(a) Certification of Joshua L. Smiley, Senior Vice President and Chief Financial Officer</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Joshua L. Smiley, certify that:</w:t>
      </w:r>
    </w:p>
    <w:p>
      <w:pPr>
        <w:spacing w:after="0" w:line="17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40" w:hanging="332"/>
        <w:spacing w:after="0" w:line="25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332"/>
        <w:spacing w:after="0" w:line="291"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20" w:hanging="332"/>
        <w:spacing w:after="0" w:line="265"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98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0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80" w:hanging="332"/>
        <w:spacing w:after="0" w:line="25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980" w:right="22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160" w:hanging="324"/>
        <w:spacing w:after="0" w:line="261"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Date:</w:t>
        <w:tab/>
        <w:t>May 1, 2020</w:t>
      </w:r>
    </w:p>
    <w:p>
      <w:pPr>
        <w:spacing w:after="0" w:line="374"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36944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4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20"/>
          </w:cols>
          <w:pgMar w:left="320" w:top="814"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Quarterly Report on Form 10-Q for the quarter ended March 31, 2020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337" w:lineRule="exact"/>
        <w:rPr>
          <w:sz w:val="20"/>
          <w:szCs w:val="20"/>
          <w:color w:val="auto"/>
        </w:rPr>
      </w:pPr>
    </w:p>
    <w:p>
      <w:pPr>
        <w:ind w:left="40"/>
        <w:spacing w:after="0"/>
        <w:tabs>
          <w:tab w:leader="none" w:pos="700" w:val="left"/>
          <w:tab w:leader="none" w:pos="5860" w:val="left"/>
        </w:tabs>
        <w:rPr>
          <w:sz w:val="20"/>
          <w:szCs w:val="20"/>
          <w:color w:val="auto"/>
        </w:rPr>
      </w:pPr>
      <w:r>
        <w:rPr>
          <w:rFonts w:ascii="Arial" w:cs="Arial" w:eastAsia="Arial" w:hAnsi="Arial"/>
          <w:sz w:val="18"/>
          <w:szCs w:val="18"/>
          <w:color w:val="auto"/>
        </w:rPr>
        <w:t>Date:</w:t>
        <w:tab/>
        <w:t>May 1, 2020</w:t>
      </w:r>
      <w:r>
        <w:rPr>
          <w:sz w:val="20"/>
          <w:szCs w:val="20"/>
          <w:color w:val="auto"/>
        </w:rPr>
        <w:tab/>
      </w:r>
      <w:r>
        <w:rPr>
          <w:rFonts w:ascii="Arial" w:cs="Arial" w:eastAsia="Arial" w:hAnsi="Arial"/>
          <w:sz w:val="17"/>
          <w:szCs w:val="17"/>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700" w:val="left"/>
          <w:tab w:leader="none" w:pos="5860" w:val="left"/>
        </w:tabs>
        <w:rPr>
          <w:sz w:val="20"/>
          <w:szCs w:val="20"/>
          <w:color w:val="auto"/>
        </w:rPr>
      </w:pPr>
      <w:r>
        <w:rPr>
          <w:rFonts w:ascii="Arial" w:cs="Arial" w:eastAsia="Arial" w:hAnsi="Arial"/>
          <w:sz w:val="18"/>
          <w:szCs w:val="18"/>
          <w:color w:val="auto"/>
        </w:rPr>
        <w:t>Date:</w:t>
        <w:tab/>
        <w:t>May 1, 2020</w:t>
      </w:r>
      <w:r>
        <w:rPr>
          <w:sz w:val="20"/>
          <w:szCs w:val="20"/>
          <w:color w:val="auto"/>
        </w:rPr>
        <w:tab/>
      </w:r>
      <w:r>
        <w:rPr>
          <w:rFonts w:ascii="Arial" w:cs="Arial" w:eastAsia="Arial" w:hAnsi="Arial"/>
          <w:sz w:val="17"/>
          <w:szCs w:val="17"/>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120"/>
      </w:cols>
      <w:pgMar w:left="320" w:top="73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emdash "/>
      <w:numFmt w:val="bullet"/>
      <w:start w:val="1"/>
    </w:lvl>
  </w:abstractNum>
  <w:abstractNum w:abstractNumId="4">
    <w:nsid w:val="25E45D32"/>
    <w:multiLevelType w:val="hybridMultilevel"/>
    <w:lvl w:ilvl="0">
      <w:lvlJc w:val="left"/>
      <w:lvlText w:val="\emdash "/>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10" Type="http://schemas.openxmlformats.org/officeDocument/2006/relationships/hyperlink" Target="http://www.sec.gov/Archives/edgar/data/59478/000005947820000057/lly-20191231x10xk.htm" TargetMode="External"/><Relationship Id="rId75" Type="http://schemas.openxmlformats.org/officeDocument/2006/relationships/hyperlink" Target="http://www.sec.gov/Archives/edgar/data/59478/000005947819000082/lly-20181231x10xk.htm" TargetMode="External"/><Relationship Id="rId76" Type="http://schemas.openxmlformats.org/officeDocument/2006/relationships/hyperlink" Target="http://www.sec.gov/Archives/edgar/data/59478/000005947814000078/lly-20131231x10kexhibit31.htm" TargetMode="External"/><Relationship Id="rId77" Type="http://schemas.openxmlformats.org/officeDocument/2006/relationships/hyperlink" Target="http://www.sec.gov/Archives/edgar/data/59478/000005947819000335/elilillyandcompany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2020-05-01T08:49:32Z</dcterms:created>
  <dcterms:modified xsi:type="dcterms:W3CDTF">2020-05-01T08:49:32Z</dcterms:modified>
</cp:coreProperties>
</file>