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Avidity Biosciences, Inc.</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 Stock, $0.0001 par value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05370A108</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December 31, 2020</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71" w:lineRule="exact"/>
        <w:rPr>
          <w:rFonts w:ascii="MS PGothic" w:cs="MS PGothic" w:eastAsia="MS PGothic" w:hAnsi="MS PGothic"/>
          <w:sz w:val="22"/>
          <w:szCs w:val="22"/>
          <w:color w:val="auto"/>
        </w:rPr>
      </w:pPr>
    </w:p>
    <w:p>
      <w:pPr>
        <w:jc w:val="right"/>
        <w:ind w:left="20" w:right="9200" w:firstLine="6"/>
        <w:spacing w:after="0" w:line="311" w:lineRule="exact"/>
        <w:tabs>
          <w:tab w:leader="none" w:pos="803"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 xml:space="preserve">Rule 13d-1(c)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13d-1(d)</w:t>
      </w:r>
    </w:p>
    <w:p>
      <w:pPr>
        <w:spacing w:after="0" w:line="21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1440" w:right="339" w:bottom="1440" w:gutter="0" w:footer="0" w:header="0"/>
        </w:sectPr>
      </w:pPr>
    </w:p>
    <w:bookmarkStart w:id="1" w:name="page2"/>
    <w:bookmarkEnd w:id="1"/>
    <w:p>
      <w:pPr>
        <w:ind w:left="892" w:right="7560" w:hanging="370"/>
        <w:spacing w:after="0" w:line="303" w:lineRule="auto"/>
        <w:tabs>
          <w:tab w:leader="none" w:pos="892" w:val="left"/>
        </w:tabs>
        <w:numPr>
          <w:ilvl w:val="0"/>
          <w:numId w:val="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749300</wp:posOffset>
            </wp:positionV>
            <wp:extent cx="6926580" cy="1868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868805"/>
                    </a:xfrm>
                    <a:prstGeom prst="rect">
                      <a:avLst/>
                    </a:prstGeom>
                    <a:noFill/>
                  </pic:spPr>
                </pic:pic>
              </a:graphicData>
            </a:graphic>
          </wp:anchor>
        </w:drawing>
        <w:t>Names of Reporting Persons Eli Lilly and Company</w:t>
      </w:r>
    </w:p>
    <w:p>
      <w:pPr>
        <w:spacing w:after="0" w:line="1" w:lineRule="exact"/>
        <w:rPr>
          <w:rFonts w:ascii="Arial" w:cs="Arial" w:eastAsia="Arial" w:hAnsi="Arial"/>
          <w:sz w:val="19"/>
          <w:szCs w:val="19"/>
          <w:color w:val="auto"/>
        </w:rPr>
      </w:pPr>
    </w:p>
    <w:p>
      <w:pPr>
        <w:ind w:left="892" w:hanging="370"/>
        <w:spacing w:after="0"/>
        <w:tabs>
          <w:tab w:leader="none" w:pos="892"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8" w:lineRule="exact"/>
        <w:rPr>
          <w:rFonts w:ascii="Arial" w:cs="Arial" w:eastAsia="Arial" w:hAnsi="Arial"/>
          <w:sz w:val="22"/>
          <w:szCs w:val="22"/>
          <w:color w:val="auto"/>
        </w:rPr>
      </w:pPr>
    </w:p>
    <w:p>
      <w:pPr>
        <w:ind w:left="1192" w:hanging="297"/>
        <w:spacing w:after="0" w:line="243" w:lineRule="exact"/>
        <w:tabs>
          <w:tab w:leader="none" w:pos="1192" w:val="left"/>
        </w:tabs>
        <w:numPr>
          <w:ilvl w:val="1"/>
          <w:numId w:val="2"/>
        </w:numPr>
        <w:rPr>
          <w:rFonts w:ascii="Arial" w:cs="Arial" w:eastAsia="Arial" w:hAnsi="Arial"/>
          <w:sz w:val="22"/>
          <w:szCs w:val="22"/>
          <w:color w:val="auto"/>
        </w:rPr>
      </w:pPr>
      <w:r>
        <w:rPr>
          <w:rFonts w:ascii="MS PGothic" w:cs="MS PGothic" w:eastAsia="MS PGothic" w:hAnsi="MS PGothic"/>
          <w:sz w:val="22"/>
          <w:szCs w:val="22"/>
          <w:color w:val="auto"/>
        </w:rPr>
        <w:t>☐</w:t>
      </w:r>
    </w:p>
    <w:p>
      <w:pPr>
        <w:ind w:left="1192" w:hanging="297"/>
        <w:spacing w:after="0" w:line="253" w:lineRule="exact"/>
        <w:tabs>
          <w:tab w:leader="none" w:pos="1192" w:val="left"/>
        </w:tabs>
        <w:numPr>
          <w:ilvl w:val="1"/>
          <w:numId w:val="2"/>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82" w:lineRule="exact"/>
        <w:rPr>
          <w:rFonts w:ascii="Arial" w:cs="Arial" w:eastAsia="Arial" w:hAnsi="Arial"/>
          <w:sz w:val="22"/>
          <w:szCs w:val="22"/>
          <w:color w:val="auto"/>
        </w:rPr>
      </w:pPr>
    </w:p>
    <w:p>
      <w:pPr>
        <w:ind w:left="892" w:hanging="370"/>
        <w:spacing w:after="0"/>
        <w:tabs>
          <w:tab w:leader="none" w:pos="892"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00" w:lineRule="exact"/>
        <w:rPr>
          <w:rFonts w:ascii="Arial" w:cs="Arial" w:eastAsia="Arial" w:hAnsi="Arial"/>
          <w:sz w:val="22"/>
          <w:szCs w:val="22"/>
          <w:color w:val="auto"/>
        </w:rPr>
      </w:pPr>
    </w:p>
    <w:p>
      <w:pPr>
        <w:ind w:left="892" w:hanging="370"/>
        <w:spacing w:after="0"/>
        <w:tabs>
          <w:tab w:leader="none" w:pos="892"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33" w:lineRule="exact"/>
        <w:rPr>
          <w:sz w:val="20"/>
          <w:szCs w:val="20"/>
          <w:color w:val="auto"/>
        </w:rPr>
      </w:pPr>
    </w:p>
    <w:p>
      <w:pPr>
        <w:ind w:left="892"/>
        <w:spacing w:after="0"/>
        <w:rPr>
          <w:sz w:val="20"/>
          <w:szCs w:val="20"/>
          <w:color w:val="auto"/>
        </w:rPr>
      </w:pPr>
      <w:r>
        <w:rPr>
          <w:rFonts w:ascii="Arial" w:cs="Arial" w:eastAsia="Arial" w:hAnsi="Arial"/>
          <w:sz w:val="22"/>
          <w:szCs w:val="22"/>
          <w:color w:val="auto"/>
        </w:rPr>
        <w:t>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6934835" cy="2160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2160270"/>
                    </a:xfrm>
                    <a:prstGeom prst="rect">
                      <a:avLst/>
                    </a:prstGeom>
                    <a:noFill/>
                  </pic:spPr>
                </pic:pic>
              </a:graphicData>
            </a:graphic>
          </wp:anchor>
        </w:drawing>
      </w:r>
    </w:p>
    <w:p>
      <w:pPr>
        <w:spacing w:after="0" w:line="55" w:lineRule="exact"/>
        <w:rPr>
          <w:sz w:val="20"/>
          <w:szCs w:val="20"/>
          <w:color w:val="auto"/>
        </w:rPr>
      </w:pPr>
    </w:p>
    <w:tbl>
      <w:tblPr>
        <w:tblLayout w:type="fixed"/>
        <w:tblInd w:w="112" w:type="dxa"/>
        <w:tblCellMar>
          <w:top w:w="0" w:type="dxa"/>
          <w:left w:w="0" w:type="dxa"/>
          <w:bottom w:w="0" w:type="dxa"/>
          <w:right w:w="0" w:type="dxa"/>
        </w:tblCellMar>
      </w:tblPr>
      <w:tr>
        <w:trPr>
          <w:trHeight w:val="253"/>
        </w:trPr>
        <w:tc>
          <w:tcPr>
            <w:tcW w:w="1900" w:type="dxa"/>
            <w:vAlign w:val="bottom"/>
          </w:tcPr>
          <w:p>
            <w:pPr>
              <w:jc w:val="center"/>
              <w:spacing w:after="0"/>
              <w:rPr>
                <w:sz w:val="20"/>
                <w:szCs w:val="20"/>
                <w:color w:val="auto"/>
              </w:rPr>
            </w:pPr>
            <w:r>
              <w:rPr>
                <w:rFonts w:ascii="Arial" w:cs="Arial" w:eastAsia="Arial" w:hAnsi="Arial"/>
                <w:sz w:val="22"/>
                <w:szCs w:val="22"/>
                <w:color w:val="auto"/>
                <w:w w:val="93"/>
              </w:rPr>
              <w:t>NUMBER OF</w:t>
            </w:r>
          </w:p>
        </w:tc>
        <w:tc>
          <w:tcPr>
            <w:tcW w:w="740" w:type="dxa"/>
            <w:vAlign w:val="bottom"/>
          </w:tcPr>
          <w:p>
            <w:pPr>
              <w:jc w:val="right"/>
              <w:ind w:right="12"/>
              <w:spacing w:after="0"/>
              <w:rPr>
                <w:sz w:val="20"/>
                <w:szCs w:val="20"/>
                <w:color w:val="auto"/>
              </w:rPr>
            </w:pPr>
            <w:r>
              <w:rPr>
                <w:rFonts w:ascii="Arial" w:cs="Arial" w:eastAsia="Arial" w:hAnsi="Arial"/>
                <w:sz w:val="22"/>
                <w:szCs w:val="22"/>
                <w:color w:val="auto"/>
              </w:rPr>
              <w:t>5.</w:t>
            </w:r>
          </w:p>
        </w:tc>
        <w:tc>
          <w:tcPr>
            <w:tcW w:w="8160" w:type="dxa"/>
            <w:vAlign w:val="bottom"/>
          </w:tcPr>
          <w:p>
            <w:pPr>
              <w:ind w:left="10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243"/>
        </w:trPr>
        <w:tc>
          <w:tcPr>
            <w:tcW w:w="1900" w:type="dxa"/>
            <w:vAlign w:val="bottom"/>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74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740" w:type="dxa"/>
            <w:vAlign w:val="bottom"/>
          </w:tcPr>
          <w:p>
            <w:pPr>
              <w:spacing w:after="0"/>
              <w:rPr>
                <w:sz w:val="21"/>
                <w:szCs w:val="21"/>
                <w:color w:val="auto"/>
              </w:rPr>
            </w:pPr>
          </w:p>
        </w:tc>
        <w:tc>
          <w:tcPr>
            <w:tcW w:w="8160" w:type="dxa"/>
            <w:vAlign w:val="bottom"/>
          </w:tcPr>
          <w:p>
            <w:pPr>
              <w:ind w:left="100"/>
              <w:spacing w:after="0" w:line="243" w:lineRule="exact"/>
              <w:rPr>
                <w:sz w:val="20"/>
                <w:szCs w:val="20"/>
                <w:color w:val="auto"/>
              </w:rPr>
            </w:pPr>
            <w:r>
              <w:rPr>
                <w:rFonts w:ascii="Arial" w:cs="Arial" w:eastAsia="Arial" w:hAnsi="Arial"/>
                <w:sz w:val="22"/>
                <w:szCs w:val="22"/>
                <w:color w:val="auto"/>
              </w:rPr>
              <w:t>2,319,396</w:t>
            </w:r>
          </w:p>
        </w:tc>
        <w:tc>
          <w:tcPr>
            <w:tcW w:w="0" w:type="dxa"/>
            <w:vAlign w:val="bottom"/>
          </w:tcPr>
          <w:p>
            <w:pPr>
              <w:spacing w:after="0"/>
              <w:rPr>
                <w:sz w:val="1"/>
                <w:szCs w:val="1"/>
                <w:color w:val="auto"/>
              </w:rPr>
            </w:pPr>
          </w:p>
        </w:tc>
      </w:tr>
      <w:tr>
        <w:trPr>
          <w:trHeight w:val="102"/>
        </w:trPr>
        <w:tc>
          <w:tcPr>
            <w:tcW w:w="190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 EACH</w:t>
            </w:r>
          </w:p>
        </w:tc>
        <w:tc>
          <w:tcPr>
            <w:tcW w:w="740" w:type="dxa"/>
            <w:vAlign w:val="bottom"/>
            <w:tcBorders>
              <w:bottom w:val="single" w:sz="8" w:color="auto"/>
            </w:tcBorders>
          </w:tcPr>
          <w:p>
            <w:pPr>
              <w:spacing w:after="0"/>
              <w:rPr>
                <w:sz w:val="8"/>
                <w:szCs w:val="8"/>
                <w:color w:val="auto"/>
              </w:rPr>
            </w:pPr>
          </w:p>
        </w:tc>
        <w:tc>
          <w:tcPr>
            <w:tcW w:w="8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00" w:type="dxa"/>
            <w:vAlign w:val="bottom"/>
            <w:vMerge w:val="continue"/>
          </w:tcPr>
          <w:p>
            <w:pPr>
              <w:spacing w:after="0"/>
              <w:rPr>
                <w:sz w:val="10"/>
                <w:szCs w:val="10"/>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22"/>
                <w:szCs w:val="22"/>
                <w:color w:val="auto"/>
              </w:rPr>
              <w:t>6.</w:t>
            </w:r>
          </w:p>
        </w:tc>
        <w:tc>
          <w:tcPr>
            <w:tcW w:w="8160" w:type="dxa"/>
            <w:vAlign w:val="bottom"/>
            <w:vMerge w:val="restart"/>
          </w:tcPr>
          <w:p>
            <w:pPr>
              <w:ind w:left="10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53"/>
        </w:trPr>
        <w:tc>
          <w:tcPr>
            <w:tcW w:w="190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1"/>
              </w:rPr>
              <w:t>REPORTING</w:t>
            </w:r>
          </w:p>
        </w:tc>
        <w:tc>
          <w:tcPr>
            <w:tcW w:w="740" w:type="dxa"/>
            <w:vAlign w:val="bottom"/>
            <w:vMerge w:val="continue"/>
          </w:tcPr>
          <w:p>
            <w:pPr>
              <w:spacing w:after="0"/>
              <w:rPr>
                <w:sz w:val="13"/>
                <w:szCs w:val="13"/>
                <w:color w:val="auto"/>
              </w:rPr>
            </w:pPr>
          </w:p>
        </w:tc>
        <w:tc>
          <w:tcPr>
            <w:tcW w:w="8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9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8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900" w:type="dxa"/>
            <w:vAlign w:val="bottom"/>
          </w:tcPr>
          <w:p>
            <w:pPr>
              <w:jc w:val="center"/>
              <w:spacing w:after="0" w:line="243" w:lineRule="exact"/>
              <w:rPr>
                <w:sz w:val="20"/>
                <w:szCs w:val="20"/>
                <w:color w:val="auto"/>
              </w:rPr>
            </w:pPr>
            <w:r>
              <w:rPr>
                <w:rFonts w:ascii="Arial" w:cs="Arial" w:eastAsia="Arial" w:hAnsi="Arial"/>
                <w:sz w:val="22"/>
                <w:szCs w:val="22"/>
                <w:color w:val="auto"/>
                <w:w w:val="90"/>
              </w:rPr>
              <w:t>PERSON</w:t>
            </w:r>
          </w:p>
        </w:tc>
        <w:tc>
          <w:tcPr>
            <w:tcW w:w="740" w:type="dxa"/>
            <w:vAlign w:val="bottom"/>
          </w:tcPr>
          <w:p>
            <w:pPr>
              <w:spacing w:after="0"/>
              <w:rPr>
                <w:sz w:val="21"/>
                <w:szCs w:val="21"/>
                <w:color w:val="auto"/>
              </w:rPr>
            </w:pPr>
          </w:p>
        </w:tc>
        <w:tc>
          <w:tcPr>
            <w:tcW w:w="816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3"/>
        </w:trPr>
        <w:tc>
          <w:tcPr>
            <w:tcW w:w="1900" w:type="dxa"/>
            <w:vAlign w:val="bottom"/>
            <w:vMerge w:val="restart"/>
          </w:tcPr>
          <w:p>
            <w:pPr>
              <w:jc w:val="center"/>
              <w:spacing w:after="0"/>
              <w:rPr>
                <w:sz w:val="20"/>
                <w:szCs w:val="20"/>
                <w:color w:val="auto"/>
              </w:rPr>
            </w:pPr>
            <w:r>
              <w:rPr>
                <w:rFonts w:ascii="Arial" w:cs="Arial" w:eastAsia="Arial" w:hAnsi="Arial"/>
                <w:sz w:val="22"/>
                <w:szCs w:val="22"/>
                <w:color w:val="auto"/>
                <w:w w:val="99"/>
              </w:rPr>
              <w:t>WITH</w:t>
            </w:r>
          </w:p>
        </w:tc>
        <w:tc>
          <w:tcPr>
            <w:tcW w:w="740" w:type="dxa"/>
            <w:vAlign w:val="bottom"/>
          </w:tcPr>
          <w:p>
            <w:pPr>
              <w:spacing w:after="0"/>
              <w:rPr>
                <w:sz w:val="13"/>
                <w:szCs w:val="13"/>
                <w:color w:val="auto"/>
              </w:rPr>
            </w:pPr>
          </w:p>
        </w:tc>
        <w:tc>
          <w:tcPr>
            <w:tcW w:w="8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1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852" w:right="6060" w:hanging="372"/>
        <w:spacing w:after="0" w:line="394" w:lineRule="auto"/>
        <w:tabs>
          <w:tab w:leader="none" w:pos="2852" w:val="left"/>
        </w:tabs>
        <w:numPr>
          <w:ilvl w:val="2"/>
          <w:numId w:val="3"/>
        </w:numPr>
        <w:rPr>
          <w:rFonts w:ascii="Arial" w:cs="Arial" w:eastAsia="Arial" w:hAnsi="Arial"/>
          <w:sz w:val="22"/>
          <w:szCs w:val="22"/>
          <w:color w:val="auto"/>
        </w:rPr>
      </w:pPr>
      <w:r>
        <w:rPr>
          <w:rFonts w:ascii="Arial" w:cs="Arial" w:eastAsia="Arial" w:hAnsi="Arial"/>
          <w:sz w:val="22"/>
          <w:szCs w:val="22"/>
          <w:color w:val="auto"/>
        </w:rPr>
        <w:t>Sole Dispositive Power 2,319,396</w:t>
      </w:r>
    </w:p>
    <w:p>
      <w:pPr>
        <w:spacing w:after="0" w:line="1" w:lineRule="exact"/>
        <w:rPr>
          <w:rFonts w:ascii="Arial" w:cs="Arial" w:eastAsia="Arial" w:hAnsi="Arial"/>
          <w:sz w:val="22"/>
          <w:szCs w:val="22"/>
          <w:color w:val="auto"/>
        </w:rPr>
      </w:pPr>
    </w:p>
    <w:p>
      <w:pPr>
        <w:ind w:left="2852" w:right="5840" w:hanging="372"/>
        <w:spacing w:after="0" w:line="416" w:lineRule="auto"/>
        <w:tabs>
          <w:tab w:leader="none" w:pos="2852" w:val="left"/>
        </w:tabs>
        <w:numPr>
          <w:ilvl w:val="2"/>
          <w:numId w:val="3"/>
        </w:numPr>
        <w:rPr>
          <w:rFonts w:ascii="Arial" w:cs="Arial" w:eastAsia="Arial" w:hAnsi="Arial"/>
          <w:sz w:val="22"/>
          <w:szCs w:val="22"/>
          <w:color w:val="auto"/>
        </w:rPr>
      </w:pPr>
      <w:r>
        <w:rPr>
          <w:rFonts w:ascii="Arial" w:cs="Arial" w:eastAsia="Arial" w:hAnsi="Arial"/>
          <w:sz w:val="22"/>
          <w:szCs w:val="22"/>
          <w:color w:val="auto"/>
        </w:rPr>
        <w:t>Shared Dispositive Power 0</w:t>
      </w:r>
    </w:p>
    <w:p>
      <w:pPr>
        <w:ind w:left="892" w:right="4280" w:hanging="370"/>
        <w:spacing w:after="0" w:line="377" w:lineRule="auto"/>
        <w:tabs>
          <w:tab w:leader="none" w:pos="892"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2,319,396</w:t>
      </w:r>
    </w:p>
    <w:p>
      <w:pPr>
        <w:spacing w:after="0" w:line="1" w:lineRule="exact"/>
        <w:rPr>
          <w:rFonts w:ascii="Arial" w:cs="Arial" w:eastAsia="Arial" w:hAnsi="Arial"/>
          <w:sz w:val="22"/>
          <w:szCs w:val="22"/>
          <w:color w:val="auto"/>
        </w:rPr>
      </w:pPr>
    </w:p>
    <w:p>
      <w:pPr>
        <w:ind w:left="892" w:right="3400" w:hanging="478"/>
        <w:spacing w:after="0" w:line="235" w:lineRule="auto"/>
        <w:tabs>
          <w:tab w:leader="none" w:pos="892" w:val="left"/>
        </w:tabs>
        <w:numPr>
          <w:ilvl w:val="1"/>
          <w:numId w:val="4"/>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(See Instructions)</w:t>
      </w:r>
    </w:p>
    <w:p>
      <w:pPr>
        <w:ind w:left="892"/>
        <w:spacing w:after="0" w:line="221" w:lineRule="exact"/>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323" w:lineRule="exact"/>
        <w:rPr>
          <w:rFonts w:ascii="Arial" w:cs="Arial" w:eastAsia="Arial" w:hAnsi="Arial"/>
          <w:sz w:val="22"/>
          <w:szCs w:val="22"/>
          <w:color w:val="auto"/>
        </w:rPr>
      </w:pPr>
    </w:p>
    <w:p>
      <w:pPr>
        <w:ind w:left="892" w:hanging="470"/>
        <w:spacing w:after="0"/>
        <w:tabs>
          <w:tab w:leader="none" w:pos="892" w:val="left"/>
        </w:tabs>
        <w:numPr>
          <w:ilvl w:val="1"/>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25" w:lineRule="exact"/>
        <w:rPr>
          <w:rFonts w:ascii="Arial" w:cs="Arial" w:eastAsia="Arial" w:hAnsi="Arial"/>
          <w:sz w:val="22"/>
          <w:szCs w:val="22"/>
          <w:color w:val="auto"/>
        </w:rPr>
      </w:pPr>
    </w:p>
    <w:p>
      <w:pPr>
        <w:ind w:left="892"/>
        <w:spacing w:after="0"/>
        <w:rPr>
          <w:rFonts w:ascii="Arial" w:cs="Arial" w:eastAsia="Arial" w:hAnsi="Arial"/>
          <w:sz w:val="22"/>
          <w:szCs w:val="22"/>
          <w:color w:val="auto"/>
        </w:rPr>
      </w:pPr>
      <w:r>
        <w:rPr>
          <w:rFonts w:ascii="Arial" w:cs="Arial" w:eastAsia="Arial" w:hAnsi="Arial"/>
          <w:sz w:val="22"/>
          <w:szCs w:val="22"/>
          <w:color w:val="auto"/>
        </w:rPr>
        <w:t>6.2%</w:t>
      </w:r>
      <w:r>
        <w:rPr>
          <w:rFonts w:ascii="Arial" w:cs="Arial" w:eastAsia="Arial" w:hAnsi="Arial"/>
          <w:sz w:val="28"/>
          <w:szCs w:val="28"/>
          <w:color w:val="auto"/>
          <w:vertAlign w:val="superscript"/>
        </w:rPr>
        <w:t>(1)</w:t>
      </w:r>
    </w:p>
    <w:p>
      <w:pPr>
        <w:spacing w:after="0" w:line="14" w:lineRule="exact"/>
        <w:rPr>
          <w:rFonts w:ascii="Arial" w:cs="Arial" w:eastAsia="Arial" w:hAnsi="Arial"/>
          <w:sz w:val="22"/>
          <w:szCs w:val="22"/>
          <w:color w:val="auto"/>
        </w:rPr>
      </w:pPr>
    </w:p>
    <w:p>
      <w:pPr>
        <w:ind w:left="892" w:hanging="478"/>
        <w:spacing w:after="0"/>
        <w:tabs>
          <w:tab w:leader="none" w:pos="892" w:val="left"/>
        </w:tabs>
        <w:numPr>
          <w:ilvl w:val="1"/>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15" w:lineRule="exact"/>
        <w:rPr>
          <w:rFonts w:ascii="Arial" w:cs="Arial" w:eastAsia="Arial" w:hAnsi="Arial"/>
          <w:sz w:val="22"/>
          <w:szCs w:val="22"/>
          <w:color w:val="auto"/>
        </w:rPr>
      </w:pPr>
    </w:p>
    <w:p>
      <w:pPr>
        <w:ind w:left="892"/>
        <w:spacing w:after="0"/>
        <w:rPr>
          <w:rFonts w:ascii="Arial" w:cs="Arial" w:eastAsia="Arial" w:hAnsi="Arial"/>
          <w:sz w:val="22"/>
          <w:szCs w:val="22"/>
          <w:color w:val="auto"/>
        </w:rPr>
      </w:pPr>
      <w:r>
        <w:rPr>
          <w:rFonts w:ascii="Arial" w:cs="Arial" w:eastAsia="Arial" w:hAnsi="Arial"/>
          <w:sz w:val="22"/>
          <w:szCs w:val="22"/>
          <w:color w:val="auto"/>
        </w:rPr>
        <w:t>CO</w:t>
      </w:r>
    </w:p>
    <w:p>
      <w:pPr>
        <w:spacing w:after="0" w:line="280" w:lineRule="exact"/>
        <w:rPr>
          <w:rFonts w:ascii="Arial" w:cs="Arial" w:eastAsia="Arial" w:hAnsi="Arial"/>
          <w:sz w:val="22"/>
          <w:szCs w:val="22"/>
          <w:color w:val="auto"/>
        </w:rPr>
      </w:pPr>
    </w:p>
    <w:p>
      <w:pPr>
        <w:ind w:left="332" w:hanging="332"/>
        <w:spacing w:after="0" w:line="220" w:lineRule="auto"/>
        <w:tabs>
          <w:tab w:leader="none" w:pos="206"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The percentage is calculated based upon 37,526,631 common voting shares outstanding, which is the number of outstanding shares as of October 20, 2020, as set forth in the Issuer's Quarterly Report on Form 10-Q, filed on November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-2604770</wp:posOffset>
            </wp:positionV>
            <wp:extent cx="6951980" cy="2185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1980" cy="2185670"/>
                    </a:xfrm>
                    <a:prstGeom prst="rect">
                      <a:avLst/>
                    </a:prstGeom>
                    <a:noFill/>
                  </pic:spPr>
                </pic:pic>
              </a:graphicData>
            </a:graphic>
          </wp:anchor>
        </w:drawing>
      </w:r>
    </w:p>
    <w:p>
      <w:pPr>
        <w:sectPr>
          <w:pgSz w:w="11900" w:h="16838" w:orient="portrait"/>
          <w:cols w:equalWidth="0" w:num="1">
            <w:col w:w="10932"/>
          </w:cols>
          <w:pgMar w:left="328" w:top="1198" w:right="639"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Name of Issuer</w:t>
      </w:r>
    </w:p>
    <w:p>
      <w:pPr>
        <w:spacing w:after="0" w:line="112" w:lineRule="exact"/>
        <w:rPr>
          <w:sz w:val="20"/>
          <w:szCs w:val="20"/>
          <w:color w:val="auto"/>
        </w:rPr>
      </w:pPr>
    </w:p>
    <w:p>
      <w:pPr>
        <w:sectPr>
          <w:pgSz w:w="11900" w:h="16838" w:orient="portrait"/>
          <w:cols w:equalWidth="0" w:num="2">
            <w:col w:w="860" w:space="720"/>
            <w:col w:w="8640"/>
          </w:cols>
          <w:pgMar w:left="340" w:top="1179" w:right="1339" w:bottom="1440" w:gutter="0" w:footer="0" w:header="0"/>
        </w:sectPr>
      </w:pPr>
    </w:p>
    <w:p>
      <w:pPr>
        <w:ind w:left="1680"/>
        <w:spacing w:after="0"/>
        <w:tabs>
          <w:tab w:leader="none" w:pos="22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Name of Issuer:</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Avidity Biosciences, Inc.</w:t>
      </w:r>
    </w:p>
    <w:p>
      <w:pPr>
        <w:spacing w:after="0" w:line="314" w:lineRule="exact"/>
        <w:rPr>
          <w:sz w:val="20"/>
          <w:szCs w:val="20"/>
          <w:color w:val="auto"/>
        </w:rPr>
      </w:pPr>
    </w:p>
    <w:p>
      <w:pPr>
        <w:ind w:left="1680"/>
        <w:spacing w:after="0"/>
        <w:tabs>
          <w:tab w:leader="none" w:pos="226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Address of Issuer’s Principal Executive Offices:</w:t>
      </w:r>
    </w:p>
    <w:p>
      <w:pPr>
        <w:spacing w:after="0" w:line="79"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10975 N. Torrey Pines Rd., Suite #150</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La Jolla, CA 92037</w:t>
      </w:r>
    </w:p>
    <w:p>
      <w:pPr>
        <w:sectPr>
          <w:pgSz w:w="11900" w:h="16838" w:orient="portrait"/>
          <w:cols w:equalWidth="0" w:num="1">
            <w:col w:w="10220"/>
          </w:cols>
          <w:pgMar w:left="340" w:top="1179" w:right="1339"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Name of Person Filing</w:t>
      </w:r>
    </w:p>
    <w:p>
      <w:pPr>
        <w:spacing w:after="0" w:line="112" w:lineRule="exact"/>
        <w:rPr>
          <w:sz w:val="20"/>
          <w:szCs w:val="20"/>
          <w:color w:val="auto"/>
        </w:rPr>
      </w:pPr>
    </w:p>
    <w:p>
      <w:pPr>
        <w:sectPr>
          <w:pgSz w:w="11900" w:h="16838" w:orient="portrait"/>
          <w:cols w:equalWidth="0" w:num="2">
            <w:col w:w="860" w:space="720"/>
            <w:col w:w="8640"/>
          </w:cols>
          <w:pgMar w:left="340" w:top="1179" w:right="1339" w:bottom="1440" w:gutter="0" w:footer="0" w:header="0"/>
          <w:type w:val="continuous"/>
        </w:sectPr>
      </w:pPr>
    </w:p>
    <w:p>
      <w:pPr>
        <w:ind w:left="1680"/>
        <w:spacing w:after="0"/>
        <w:tabs>
          <w:tab w:leader="none" w:pos="22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Name:</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Eli Lilly and Company</w:t>
      </w:r>
    </w:p>
    <w:p>
      <w:pPr>
        <w:spacing w:after="0" w:line="314" w:lineRule="exact"/>
        <w:rPr>
          <w:sz w:val="20"/>
          <w:szCs w:val="20"/>
          <w:color w:val="auto"/>
        </w:rPr>
      </w:pPr>
    </w:p>
    <w:p>
      <w:pPr>
        <w:ind w:left="1660"/>
        <w:spacing w:after="0"/>
        <w:tabs>
          <w:tab w:leader="none" w:pos="226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Address of Principal Business Office:</w:t>
      </w:r>
    </w:p>
    <w:p>
      <w:pPr>
        <w:spacing w:after="0" w:line="79"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c/o Lilly Corporate Center</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Indianapolis, Indiana 46285</w:t>
      </w:r>
    </w:p>
    <w:p>
      <w:pPr>
        <w:spacing w:after="0" w:line="314" w:lineRule="exact"/>
        <w:rPr>
          <w:sz w:val="20"/>
          <w:szCs w:val="20"/>
          <w:color w:val="auto"/>
        </w:rPr>
      </w:pPr>
    </w:p>
    <w:p>
      <w:pPr>
        <w:ind w:left="1680"/>
        <w:spacing w:after="0"/>
        <w:tabs>
          <w:tab w:leader="none" w:pos="22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Citizenship:</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Indiana corporation</w:t>
      </w:r>
    </w:p>
    <w:p>
      <w:pPr>
        <w:spacing w:after="0" w:line="314" w:lineRule="exact"/>
        <w:rPr>
          <w:sz w:val="20"/>
          <w:szCs w:val="20"/>
          <w:color w:val="auto"/>
        </w:rPr>
      </w:pPr>
    </w:p>
    <w:p>
      <w:pPr>
        <w:ind w:left="1660"/>
        <w:spacing w:after="0"/>
        <w:tabs>
          <w:tab w:leader="none" w:pos="22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Title of Class of Securities:</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Common Stock, $0.0001 par value</w:t>
      </w:r>
    </w:p>
    <w:p>
      <w:pPr>
        <w:spacing w:after="0" w:line="326" w:lineRule="exact"/>
        <w:rPr>
          <w:sz w:val="20"/>
          <w:szCs w:val="20"/>
          <w:color w:val="auto"/>
        </w:rPr>
      </w:pPr>
    </w:p>
    <w:p>
      <w:pPr>
        <w:ind w:left="1680"/>
        <w:spacing w:after="0"/>
        <w:tabs>
          <w:tab w:leader="none" w:pos="22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CUSIP Number:</w:t>
      </w:r>
    </w:p>
    <w:p>
      <w:pPr>
        <w:spacing w:after="0" w:line="44"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05370A108</w:t>
      </w:r>
    </w:p>
    <w:p>
      <w:pPr>
        <w:sectPr>
          <w:pgSz w:w="11900" w:h="16838" w:orient="portrait"/>
          <w:cols w:equalWidth="0" w:num="1">
            <w:col w:w="10220"/>
          </w:cols>
          <w:pgMar w:left="340" w:top="1179" w:right="1339"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If this statement is filed pursuant to § 240.13d-1(b) or § 240.13d-2(b) or (c), check whether the</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filing is a:</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65" w:lineRule="exact"/>
        <w:rPr>
          <w:sz w:val="20"/>
          <w:szCs w:val="20"/>
          <w:color w:val="auto"/>
        </w:rPr>
      </w:pPr>
    </w:p>
    <w:p>
      <w:pPr>
        <w:sectPr>
          <w:pgSz w:w="11900" w:h="16838" w:orient="portrait"/>
          <w:cols w:equalWidth="0" w:num="2">
            <w:col w:w="860" w:space="720"/>
            <w:col w:w="8640"/>
          </w:cols>
          <w:pgMar w:left="340" w:top="1179" w:right="13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Ownership.</w:t>
      </w:r>
    </w:p>
    <w:p>
      <w:pPr>
        <w:spacing w:after="0" w:line="200" w:lineRule="exact"/>
        <w:rPr>
          <w:sz w:val="20"/>
          <w:szCs w:val="20"/>
          <w:color w:val="auto"/>
        </w:rPr>
      </w:pPr>
    </w:p>
    <w:p>
      <w:pPr>
        <w:sectPr>
          <w:pgSz w:w="11900" w:h="16838" w:orient="portrait"/>
          <w:cols w:equalWidth="0" w:num="2">
            <w:col w:w="840" w:space="720"/>
            <w:col w:w="8660"/>
          </w:cols>
          <w:pgMar w:left="340" w:top="1179" w:right="1339" w:bottom="1440" w:gutter="0" w:footer="0" w:header="0"/>
          <w:type w:val="continuous"/>
        </w:sectPr>
      </w:pPr>
    </w:p>
    <w:p>
      <w:pPr>
        <w:spacing w:after="0" w:line="1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All ownership information is as of December 31,</w:t>
      </w:r>
    </w:p>
    <w:p>
      <w:pPr>
        <w:ind w:left="1300"/>
        <w:spacing w:after="0"/>
        <w:rPr>
          <w:sz w:val="20"/>
          <w:szCs w:val="20"/>
          <w:color w:val="auto"/>
        </w:rPr>
      </w:pPr>
      <w:r>
        <w:rPr>
          <w:rFonts w:ascii="Arial" w:cs="Arial" w:eastAsia="Arial" w:hAnsi="Arial"/>
          <w:sz w:val="22"/>
          <w:szCs w:val="22"/>
          <w:color w:val="auto"/>
        </w:rPr>
        <w:t>2020.</w:t>
      </w:r>
    </w:p>
    <w:p>
      <w:pPr>
        <w:spacing w:after="0" w:line="134" w:lineRule="exact"/>
        <w:rPr>
          <w:sz w:val="20"/>
          <w:szCs w:val="20"/>
          <w:color w:val="auto"/>
        </w:rPr>
      </w:pPr>
    </w:p>
    <w:p>
      <w:pPr>
        <w:ind w:left="2280" w:hanging="606"/>
        <w:spacing w:after="0"/>
        <w:tabs>
          <w:tab w:leader="none" w:pos="228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 See Item 9 of Cover Sheet.</w:t>
      </w:r>
    </w:p>
    <w:p>
      <w:pPr>
        <w:spacing w:after="0" w:line="71" w:lineRule="exact"/>
        <w:rPr>
          <w:rFonts w:ascii="Arial" w:cs="Arial" w:eastAsia="Arial" w:hAnsi="Arial"/>
          <w:sz w:val="22"/>
          <w:szCs w:val="22"/>
          <w:color w:val="auto"/>
        </w:rPr>
      </w:pPr>
    </w:p>
    <w:p>
      <w:pPr>
        <w:ind w:left="2280" w:hanging="618"/>
        <w:spacing w:after="0"/>
        <w:tabs>
          <w:tab w:leader="none" w:pos="22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See Item 11 of Cover Sheet.</w:t>
      </w:r>
    </w:p>
    <w:p>
      <w:pPr>
        <w:spacing w:after="0" w:line="71" w:lineRule="exact"/>
        <w:rPr>
          <w:rFonts w:ascii="Arial" w:cs="Arial" w:eastAsia="Arial" w:hAnsi="Arial"/>
          <w:sz w:val="22"/>
          <w:szCs w:val="22"/>
          <w:color w:val="auto"/>
        </w:rPr>
      </w:pPr>
    </w:p>
    <w:p>
      <w:pPr>
        <w:ind w:left="2280" w:hanging="606"/>
        <w:spacing w:after="0"/>
        <w:tabs>
          <w:tab w:leader="none" w:pos="228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71" w:lineRule="exact"/>
        <w:rPr>
          <w:rFonts w:ascii="Arial" w:cs="Arial" w:eastAsia="Arial" w:hAnsi="Arial"/>
          <w:sz w:val="22"/>
          <w:szCs w:val="22"/>
          <w:color w:val="auto"/>
        </w:rPr>
      </w:pPr>
    </w:p>
    <w:p>
      <w:pPr>
        <w:ind w:left="3080" w:hanging="641"/>
        <w:spacing w:after="0"/>
        <w:tabs>
          <w:tab w:leader="none" w:pos="308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of to direct the vote: See Item 5 of Cover Sheet.</w:t>
      </w:r>
    </w:p>
    <w:p>
      <w:pPr>
        <w:spacing w:after="0" w:line="71" w:lineRule="exact"/>
        <w:rPr>
          <w:rFonts w:ascii="Arial" w:cs="Arial" w:eastAsia="Arial" w:hAnsi="Arial"/>
          <w:sz w:val="22"/>
          <w:szCs w:val="22"/>
          <w:color w:val="auto"/>
        </w:rPr>
      </w:pPr>
    </w:p>
    <w:p>
      <w:pPr>
        <w:ind w:left="3080" w:hanging="633"/>
        <w:spacing w:after="0"/>
        <w:tabs>
          <w:tab w:leader="none" w:pos="308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 See Item 6 of Cover Sheet.</w:t>
      </w:r>
    </w:p>
    <w:p>
      <w:pPr>
        <w:spacing w:after="0" w:line="71" w:lineRule="exact"/>
        <w:rPr>
          <w:rFonts w:ascii="Arial" w:cs="Arial" w:eastAsia="Arial" w:hAnsi="Arial"/>
          <w:sz w:val="22"/>
          <w:szCs w:val="22"/>
          <w:color w:val="auto"/>
        </w:rPr>
      </w:pPr>
    </w:p>
    <w:p>
      <w:pPr>
        <w:ind w:left="3080" w:hanging="612"/>
        <w:spacing w:after="0"/>
        <w:tabs>
          <w:tab w:leader="none" w:pos="3080" w:val="left"/>
        </w:tabs>
        <w:numPr>
          <w:ilvl w:val="3"/>
          <w:numId w:val="6"/>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See Item 7 of Cover Sheet.</w:t>
      </w:r>
    </w:p>
    <w:p>
      <w:pPr>
        <w:spacing w:after="0" w:line="105" w:lineRule="exact"/>
        <w:rPr>
          <w:rFonts w:ascii="Arial" w:cs="Arial" w:eastAsia="Arial" w:hAnsi="Arial"/>
          <w:sz w:val="19"/>
          <w:szCs w:val="19"/>
          <w:color w:val="auto"/>
        </w:rPr>
      </w:pPr>
    </w:p>
    <w:p>
      <w:pPr>
        <w:ind w:left="3040" w:hanging="587"/>
        <w:spacing w:after="0"/>
        <w:tabs>
          <w:tab w:leader="none" w:pos="3040" w:val="left"/>
        </w:tabs>
        <w:numPr>
          <w:ilvl w:val="2"/>
          <w:numId w:val="6"/>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See Item 8 of Cover Sheet.</w:t>
      </w:r>
    </w:p>
    <w:p>
      <w:pPr>
        <w:spacing w:after="0" w:line="343"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50"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0220"/>
          </w:cols>
          <w:pgMar w:left="340" w:top="1179" w:right="1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85" w:lineRule="exact"/>
        <w:rPr>
          <w:sz w:val="20"/>
          <w:szCs w:val="20"/>
          <w:color w:val="auto"/>
        </w:rPr>
      </w:pPr>
    </w:p>
    <w:p>
      <w:pPr>
        <w:sectPr>
          <w:pgSz w:w="11900" w:h="16838" w:orient="portrait"/>
          <w:cols w:equalWidth="0" w:num="2">
            <w:col w:w="860" w:space="720"/>
            <w:col w:w="9100"/>
          </w:cols>
          <w:pgMar w:left="340" w:top="1179" w:right="879" w:bottom="1440" w:gutter="0" w:footer="0" w:header="0"/>
        </w:sectPr>
      </w:pPr>
    </w:p>
    <w:p>
      <w:pPr>
        <w:ind w:left="15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0680"/>
          </w:cols>
          <w:pgMar w:left="340" w:top="1179" w:right="879" w:bottom="1440" w:gutter="0" w:footer="0" w:header="0"/>
          <w:type w:val="continuous"/>
        </w:sectPr>
      </w:pP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6" w:lineRule="exact"/>
        <w:rPr>
          <w:sz w:val="20"/>
          <w:szCs w:val="20"/>
          <w:color w:val="auto"/>
        </w:rPr>
      </w:pPr>
    </w:p>
    <w:p>
      <w:pPr>
        <w:sectPr>
          <w:pgSz w:w="11900" w:h="16838" w:orient="portrait"/>
          <w:cols w:equalWidth="0" w:num="2">
            <w:col w:w="860" w:space="720"/>
            <w:col w:w="9100"/>
          </w:cols>
          <w:pgMar w:left="340" w:top="1179" w:right="879" w:bottom="1440" w:gutter="0" w:footer="0" w:header="0"/>
          <w:type w:val="continuous"/>
        </w:sectPr>
      </w:pPr>
    </w:p>
    <w:p>
      <w:pPr>
        <w:ind w:left="15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0680"/>
          </w:cols>
          <w:pgMar w:left="340" w:top="1179" w:right="879" w:bottom="1440" w:gutter="0" w:footer="0" w:header="0"/>
          <w:type w:val="continuous"/>
        </w:sectPr>
      </w:pP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 of the Group</w:t>
      </w:r>
    </w:p>
    <w:p>
      <w:pPr>
        <w:spacing w:after="0" w:line="85" w:lineRule="exact"/>
        <w:rPr>
          <w:sz w:val="20"/>
          <w:szCs w:val="20"/>
          <w:color w:val="auto"/>
        </w:rPr>
      </w:pPr>
    </w:p>
    <w:p>
      <w:pPr>
        <w:sectPr>
          <w:pgSz w:w="11900" w:h="16838" w:orient="portrait"/>
          <w:cols w:equalWidth="0" w:num="2">
            <w:col w:w="860" w:space="720"/>
            <w:col w:w="9100"/>
          </w:cols>
          <w:pgMar w:left="340" w:top="1179" w:right="879" w:bottom="1440" w:gutter="0" w:footer="0" w:header="0"/>
          <w:type w:val="continuous"/>
        </w:sectPr>
      </w:pPr>
    </w:p>
    <w:p>
      <w:pPr>
        <w:ind w:left="15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0680"/>
          </w:cols>
          <w:pgMar w:left="340" w:top="1179" w:right="879" w:bottom="1440" w:gutter="0" w:footer="0" w:header="0"/>
          <w:type w:val="continuous"/>
        </w:sectPr>
      </w:pP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85" w:lineRule="exact"/>
        <w:rPr>
          <w:sz w:val="20"/>
          <w:szCs w:val="20"/>
          <w:color w:val="auto"/>
        </w:rPr>
      </w:pPr>
    </w:p>
    <w:p>
      <w:pPr>
        <w:sectPr>
          <w:pgSz w:w="11900" w:h="16838" w:orient="portrait"/>
          <w:cols w:equalWidth="0" w:num="2">
            <w:col w:w="860" w:space="720"/>
            <w:col w:w="9100"/>
          </w:cols>
          <w:pgMar w:left="340" w:top="1179" w:right="879" w:bottom="1440" w:gutter="0" w:footer="0" w:header="0"/>
          <w:type w:val="continuous"/>
        </w:sectPr>
      </w:pPr>
    </w:p>
    <w:p>
      <w:pPr>
        <w:ind w:left="15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0680"/>
          </w:cols>
          <w:pgMar w:left="340" w:top="1179" w:right="879" w:bottom="1440" w:gutter="0" w:footer="0" w:header="0"/>
          <w:type w:val="continuous"/>
        </w:sectPr>
      </w:pP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2">
            <w:col w:w="860" w:space="720"/>
            <w:col w:w="9100"/>
          </w:cols>
          <w:pgMar w:left="340" w:top="1179" w:right="87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600" w:firstLine="81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20"/>
        <w:spacing w:after="0"/>
        <w:tabs>
          <w:tab w:leader="none" w:pos="6860" w:val="left"/>
          <w:tab w:leader="none" w:pos="7520" w:val="left"/>
        </w:tabs>
        <w:rPr>
          <w:sz w:val="20"/>
          <w:szCs w:val="20"/>
          <w:color w:val="auto"/>
        </w:rPr>
      </w:pPr>
      <w:r>
        <w:rPr>
          <w:rFonts w:ascii="Arial" w:cs="Arial" w:eastAsia="Arial" w:hAnsi="Arial"/>
          <w:sz w:val="22"/>
          <w:szCs w:val="22"/>
          <w:color w:val="auto"/>
        </w:rPr>
        <w:t>Dated: February 12, 2021</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24130</wp:posOffset>
            </wp:positionV>
            <wp:extent cx="2366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8"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20059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Erin Conway</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Attorney-in-Fact</w:t>
      </w:r>
    </w:p>
    <w:p>
      <w:pPr>
        <w:spacing w:after="0" w:line="3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Schedule 13G was executed pursuant to a power of attorney previously filed with the Securities and Exchange Commission, and hereby incorporated by reference herein. The power of attorney was filed as an attachment to a filing by Eli Lilly and Company on Schedule 13G for Sigilon Therapeutics, Inc. on February 12, 2021.</w:t>
      </w:r>
    </w:p>
    <w:sectPr>
      <w:pgSz w:w="11900" w:h="16838" w:orient="portrait"/>
      <w:cols w:equalWidth="0" w:num="1">
        <w:col w:w="11240"/>
      </w:cols>
      <w:pgMar w:left="320" w:top="1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3."/>
      <w:numFmt w:val="decimal"/>
      <w:start w:val="7"/>
    </w:lvl>
  </w:abstractNum>
  <w:abstractNum w:abstractNumId="3">
    <w:nsid w:val="46E87CC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2021-02-12T15:54:24Z</dcterms:created>
  <dcterms:modified xsi:type="dcterms:W3CDTF">2021-02-12T15:54:24Z</dcterms:modified>
</cp:coreProperties>
</file>