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598805</wp:posOffset>
            </wp:positionH>
            <wp:positionV relativeFrom="page">
              <wp:posOffset>638175</wp:posOffset>
            </wp:positionV>
            <wp:extent cx="681037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0375" cy="16510"/>
                    </a:xfrm>
                    <a:prstGeom prst="rect">
                      <a:avLst/>
                    </a:prstGeom>
                    <a:noFill/>
                  </pic:spPr>
                </pic:pic>
              </a:graphicData>
            </a:graphic>
          </wp:anchor>
        </w:drawing>
        <w:drawing>
          <wp:anchor simplePos="0" relativeHeight="251657728" behindDoc="1" locked="0" layoutInCell="0" allowOverlap="1">
            <wp:simplePos x="0" y="0"/>
            <wp:positionH relativeFrom="page">
              <wp:posOffset>598805</wp:posOffset>
            </wp:positionH>
            <wp:positionV relativeFrom="page">
              <wp:posOffset>678815</wp:posOffset>
            </wp:positionV>
            <wp:extent cx="68103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0375" cy="8255"/>
                    </a:xfrm>
                    <a:prstGeom prst="rect">
                      <a:avLst/>
                    </a:prstGeom>
                    <a:noFill/>
                  </pic:spPr>
                </pic:pic>
              </a:graphicData>
            </a:graphic>
          </wp:anchor>
        </w:drawing>
        <w:t>UNITED STATES</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Quarterly Report Pursuant to Section 13 or 15(d) of the</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Exchange Act of 1934</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June 30, 2023</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001-6351</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ELI LILLY AND COMPANY</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40"/>
          </w:cols>
          <w:pgMar w:left="320" w:top="1131" w:right="339" w:bottom="1440" w:gutter="0" w:footer="0" w:header="0"/>
        </w:sectPr>
      </w:pPr>
    </w:p>
    <w:p>
      <w:pPr>
        <w:spacing w:after="0" w:line="135" w:lineRule="exact"/>
        <w:rPr>
          <w:sz w:val="24"/>
          <w:szCs w:val="24"/>
          <w:color w:val="auto"/>
        </w:rPr>
      </w:pPr>
    </w:p>
    <w:p>
      <w:pPr>
        <w:ind w:left="2520"/>
        <w:spacing w:after="0"/>
        <w:rPr>
          <w:sz w:val="20"/>
          <w:szCs w:val="20"/>
          <w:color w:val="auto"/>
        </w:rPr>
      </w:pPr>
      <w:r>
        <w:rPr>
          <w:rFonts w:ascii="Arial" w:cs="Arial" w:eastAsia="Arial" w:hAnsi="Arial"/>
          <w:sz w:val="14"/>
          <w:szCs w:val="14"/>
          <w:color w:val="auto"/>
        </w:rPr>
        <w:t>Indiana</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3"/>
          <w:szCs w:val="13"/>
          <w:color w:val="auto"/>
        </w:rPr>
        <w:t>35-0470950</w:t>
      </w:r>
    </w:p>
    <w:p>
      <w:pPr>
        <w:spacing w:after="0" w:line="44" w:lineRule="exact"/>
        <w:rPr>
          <w:sz w:val="24"/>
          <w:szCs w:val="24"/>
          <w:color w:val="auto"/>
        </w:rPr>
      </w:pPr>
    </w:p>
    <w:p>
      <w:pPr>
        <w:sectPr>
          <w:pgSz w:w="11900" w:h="16838" w:orient="portrait"/>
          <w:cols w:equalWidth="0" w:num="2">
            <w:col w:w="7480" w:space="720"/>
            <w:col w:w="3040"/>
          </w:cols>
          <w:pgMar w:left="320" w:top="1131" w:right="339" w:bottom="1440" w:gutter="0" w:footer="0" w:header="0"/>
          <w:type w:val="continuous"/>
        </w:sectPr>
      </w:pPr>
    </w:p>
    <w:p>
      <w:pPr>
        <w:ind w:left="1900"/>
        <w:spacing w:after="0"/>
        <w:rPr>
          <w:sz w:val="20"/>
          <w:szCs w:val="20"/>
          <w:color w:val="auto"/>
        </w:rPr>
      </w:pPr>
      <w:r>
        <w:rPr>
          <w:rFonts w:ascii="Arial" w:cs="Arial" w:eastAsia="Arial" w:hAnsi="Arial"/>
          <w:sz w:val="13"/>
          <w:szCs w:val="13"/>
          <w:color w:val="auto"/>
        </w:rPr>
        <w:t>(State or other jurisdiction of</w:t>
      </w:r>
    </w:p>
    <w:p>
      <w:pPr>
        <w:spacing w:after="0" w:line="31" w:lineRule="exact"/>
        <w:rPr>
          <w:sz w:val="24"/>
          <w:szCs w:val="24"/>
          <w:color w:val="auto"/>
        </w:rPr>
      </w:pPr>
    </w:p>
    <w:p>
      <w:pPr>
        <w:ind w:left="186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color w:val="auto"/>
        </w:rPr>
        <w:t>(I.R.S. Employer</w:t>
      </w:r>
    </w:p>
    <w:p>
      <w:pPr>
        <w:spacing w:after="0" w:line="20" w:lineRule="exact"/>
        <w:rPr>
          <w:sz w:val="24"/>
          <w:szCs w:val="24"/>
          <w:color w:val="auto"/>
        </w:rPr>
      </w:pPr>
    </w:p>
    <w:p>
      <w:pPr>
        <w:spacing w:after="0"/>
        <w:rPr>
          <w:sz w:val="20"/>
          <w:szCs w:val="20"/>
          <w:color w:val="auto"/>
        </w:rPr>
      </w:pPr>
      <w:r>
        <w:rPr>
          <w:rFonts w:ascii="Arial" w:cs="Arial" w:eastAsia="Arial" w:hAnsi="Arial"/>
          <w:sz w:val="13"/>
          <w:szCs w:val="13"/>
          <w:color w:val="auto"/>
        </w:rPr>
        <w:t>Identification No.)</w:t>
      </w:r>
    </w:p>
    <w:p>
      <w:pPr>
        <w:spacing w:after="0" w:line="186" w:lineRule="exact"/>
        <w:rPr>
          <w:sz w:val="24"/>
          <w:szCs w:val="24"/>
          <w:color w:val="auto"/>
        </w:rPr>
      </w:pPr>
    </w:p>
    <w:p>
      <w:pPr>
        <w:sectPr>
          <w:pgSz w:w="11900" w:h="16838" w:orient="portrait"/>
          <w:cols w:equalWidth="0" w:num="2">
            <w:col w:w="7320" w:space="720"/>
            <w:col w:w="3200"/>
          </w:cols>
          <w:pgMar w:left="320" w:top="1131" w:right="339" w:bottom="1440" w:gutter="0" w:footer="0" w:header="0"/>
          <w:type w:val="continuous"/>
        </w:sectPr>
      </w:pPr>
    </w:p>
    <w:p>
      <w:pPr>
        <w:ind w:left="4080"/>
        <w:spacing w:after="0"/>
        <w:rPr>
          <w:sz w:val="20"/>
          <w:szCs w:val="20"/>
          <w:color w:val="auto"/>
        </w:rPr>
      </w:pPr>
      <w:r>
        <w:rPr>
          <w:rFonts w:ascii="Arial" w:cs="Arial" w:eastAsia="Arial" w:hAnsi="Arial"/>
          <w:sz w:val="13"/>
          <w:szCs w:val="13"/>
          <w:color w:val="auto"/>
        </w:rPr>
        <w:t>Lilly Corporate Center, Indianapolis, Indiana 46285</w:t>
      </w:r>
    </w:p>
    <w:p>
      <w:pPr>
        <w:spacing w:after="0" w:line="25" w:lineRule="exact"/>
        <w:rPr>
          <w:sz w:val="24"/>
          <w:szCs w:val="24"/>
          <w:color w:val="auto"/>
        </w:rPr>
      </w:pPr>
    </w:p>
    <w:p>
      <w:pPr>
        <w:ind w:left="4040"/>
        <w:spacing w:after="0"/>
        <w:rPr>
          <w:sz w:val="20"/>
          <w:szCs w:val="20"/>
          <w:color w:val="auto"/>
        </w:rPr>
      </w:pPr>
      <w:r>
        <w:rPr>
          <w:rFonts w:ascii="Arial" w:cs="Arial" w:eastAsia="Arial" w:hAnsi="Arial"/>
          <w:sz w:val="13"/>
          <w:szCs w:val="13"/>
          <w:color w:val="auto"/>
        </w:rPr>
        <w:t>(Address and zip code of principal executive offices)</w:t>
      </w:r>
    </w:p>
    <w:p>
      <w:pPr>
        <w:sectPr>
          <w:pgSz w:w="11900" w:h="16838" w:orient="portrait"/>
          <w:cols w:equalWidth="0" w:num="1">
            <w:col w:w="11240"/>
          </w:cols>
          <w:pgMar w:left="320" w:top="1131" w:right="339" w:bottom="1440" w:gutter="0" w:footer="0" w:header="0"/>
          <w:type w:val="continuous"/>
        </w:sectPr>
      </w:pPr>
    </w:p>
    <w:p>
      <w:pPr>
        <w:spacing w:after="0" w:line="63" w:lineRule="exact"/>
        <w:rPr>
          <w:sz w:val="24"/>
          <w:szCs w:val="24"/>
          <w:color w:val="auto"/>
        </w:rPr>
      </w:pPr>
    </w:p>
    <w:p>
      <w:pPr>
        <w:ind w:left="3560"/>
        <w:spacing w:after="0"/>
        <w:rPr>
          <w:sz w:val="20"/>
          <w:szCs w:val="20"/>
          <w:color w:val="auto"/>
        </w:rPr>
      </w:pPr>
      <w:r>
        <w:rPr>
          <w:rFonts w:ascii="Arial" w:cs="Arial" w:eastAsia="Arial" w:hAnsi="Arial"/>
          <w:sz w:val="14"/>
          <w:szCs w:val="14"/>
          <w:color w:val="auto"/>
        </w:rPr>
        <w:t>Registrant's telephone number, including area code (317) 276-2000</w:t>
      </w:r>
    </w:p>
    <w:p>
      <w:pPr>
        <w:spacing w:after="0" w:line="4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Exchange Act:</w:t>
      </w:r>
    </w:p>
    <w:p>
      <w:pPr>
        <w:spacing w:after="0" w:line="17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3740" w:type="dxa"/>
            <w:vAlign w:val="bottom"/>
            <w:gridSpan w:val="2"/>
          </w:tcPr>
          <w:p>
            <w:pPr>
              <w:spacing w:after="0"/>
              <w:rPr>
                <w:sz w:val="20"/>
                <w:szCs w:val="20"/>
                <w:color w:val="auto"/>
              </w:rPr>
            </w:pPr>
            <w:r>
              <w:rPr>
                <w:rFonts w:ascii="Arial" w:cs="Arial" w:eastAsia="Arial" w:hAnsi="Arial"/>
                <w:sz w:val="12"/>
                <w:szCs w:val="12"/>
                <w:b w:val="1"/>
                <w:bCs w:val="1"/>
                <w:color w:val="auto"/>
              </w:rPr>
              <w:t>Title of Each Class</w:t>
            </w:r>
          </w:p>
        </w:tc>
        <w:tc>
          <w:tcPr>
            <w:tcW w:w="960" w:type="dxa"/>
            <w:vAlign w:val="bottom"/>
          </w:tcPr>
          <w:p>
            <w:pPr>
              <w:spacing w:after="0"/>
              <w:rPr>
                <w:sz w:val="20"/>
                <w:szCs w:val="20"/>
                <w:color w:val="auto"/>
              </w:rPr>
            </w:pPr>
            <w:r>
              <w:rPr>
                <w:rFonts w:ascii="Arial" w:cs="Arial" w:eastAsia="Arial" w:hAnsi="Arial"/>
                <w:sz w:val="12"/>
                <w:szCs w:val="12"/>
                <w:b w:val="1"/>
                <w:bCs w:val="1"/>
                <w:color w:val="auto"/>
                <w:w w:val="96"/>
              </w:rPr>
              <w:t>Trading Symbols</w:t>
            </w:r>
          </w:p>
        </w:tc>
        <w:tc>
          <w:tcPr>
            <w:tcW w:w="4720" w:type="dxa"/>
            <w:vAlign w:val="bottom"/>
            <w:gridSpan w:val="2"/>
          </w:tcPr>
          <w:p>
            <w:pPr>
              <w:ind w:left="2080"/>
              <w:spacing w:after="0"/>
              <w:rPr>
                <w:sz w:val="20"/>
                <w:szCs w:val="20"/>
                <w:color w:val="auto"/>
              </w:rPr>
            </w:pPr>
            <w:r>
              <w:rPr>
                <w:rFonts w:ascii="Arial" w:cs="Arial" w:eastAsia="Arial" w:hAnsi="Arial"/>
                <w:sz w:val="12"/>
                <w:szCs w:val="12"/>
                <w:b w:val="1"/>
                <w:bCs w:val="1"/>
                <w:color w:val="auto"/>
                <w:w w:val="99"/>
              </w:rPr>
              <w:t>Name of Each Exchange On Which Registered</w:t>
            </w:r>
          </w:p>
        </w:tc>
      </w:tr>
      <w:tr>
        <w:trPr>
          <w:trHeight w:val="20"/>
        </w:trPr>
        <w:tc>
          <w:tcPr>
            <w:tcW w:w="10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r>
      <w:tr>
        <w:trPr>
          <w:trHeight w:val="171"/>
        </w:trPr>
        <w:tc>
          <w:tcPr>
            <w:tcW w:w="3740" w:type="dxa"/>
            <w:vAlign w:val="bottom"/>
            <w:gridSpan w:val="2"/>
          </w:tcPr>
          <w:p>
            <w:pPr>
              <w:spacing w:after="0"/>
              <w:rPr>
                <w:sz w:val="20"/>
                <w:szCs w:val="20"/>
                <w:color w:val="auto"/>
              </w:rPr>
            </w:pPr>
            <w:r>
              <w:rPr>
                <w:rFonts w:ascii="Arial" w:cs="Arial" w:eastAsia="Arial" w:hAnsi="Arial"/>
                <w:sz w:val="12"/>
                <w:szCs w:val="12"/>
                <w:color w:val="auto"/>
              </w:rPr>
              <w:t>Common Stock (no par value)</w:t>
            </w:r>
          </w:p>
        </w:tc>
        <w:tc>
          <w:tcPr>
            <w:tcW w:w="960" w:type="dxa"/>
            <w:vAlign w:val="bottom"/>
          </w:tcPr>
          <w:p>
            <w:pPr>
              <w:spacing w:after="0"/>
              <w:rPr>
                <w:sz w:val="20"/>
                <w:szCs w:val="20"/>
                <w:color w:val="auto"/>
              </w:rPr>
            </w:pPr>
            <w:r>
              <w:rPr>
                <w:rFonts w:ascii="Arial" w:cs="Arial" w:eastAsia="Arial" w:hAnsi="Arial"/>
                <w:sz w:val="12"/>
                <w:szCs w:val="12"/>
                <w:color w:val="auto"/>
              </w:rPr>
              <w:t>LLY</w:t>
            </w:r>
          </w:p>
        </w:tc>
        <w:tc>
          <w:tcPr>
            <w:tcW w:w="4720" w:type="dxa"/>
            <w:vAlign w:val="bottom"/>
            <w:gridSpan w:val="2"/>
          </w:tcPr>
          <w:p>
            <w:pPr>
              <w:ind w:left="2080"/>
              <w:spacing w:after="0"/>
              <w:rPr>
                <w:sz w:val="20"/>
                <w:szCs w:val="20"/>
                <w:color w:val="auto"/>
              </w:rPr>
            </w:pPr>
            <w:r>
              <w:rPr>
                <w:rFonts w:ascii="Arial" w:cs="Arial" w:eastAsia="Arial" w:hAnsi="Arial"/>
                <w:sz w:val="12"/>
                <w:szCs w:val="12"/>
                <w:color w:val="auto"/>
              </w:rPr>
              <w:t>New York Stock Exchange</w:t>
            </w:r>
          </w:p>
        </w:tc>
      </w:tr>
      <w:tr>
        <w:trPr>
          <w:trHeight w:val="181"/>
        </w:trPr>
        <w:tc>
          <w:tcPr>
            <w:tcW w:w="3740" w:type="dxa"/>
            <w:vAlign w:val="bottom"/>
            <w:gridSpan w:val="2"/>
          </w:tcPr>
          <w:p>
            <w:pPr>
              <w:spacing w:after="0"/>
              <w:rPr>
                <w:sz w:val="20"/>
                <w:szCs w:val="20"/>
                <w:color w:val="auto"/>
              </w:rPr>
            </w:pPr>
            <w:r>
              <w:rPr>
                <w:rFonts w:ascii="Arial" w:cs="Arial" w:eastAsia="Arial" w:hAnsi="Arial"/>
                <w:sz w:val="12"/>
                <w:szCs w:val="12"/>
                <w:color w:val="auto"/>
              </w:rPr>
              <w:t>7 1/8% Notes due 2025</w:t>
            </w:r>
          </w:p>
        </w:tc>
        <w:tc>
          <w:tcPr>
            <w:tcW w:w="960" w:type="dxa"/>
            <w:vAlign w:val="bottom"/>
          </w:tcPr>
          <w:p>
            <w:pPr>
              <w:spacing w:after="0"/>
              <w:rPr>
                <w:sz w:val="20"/>
                <w:szCs w:val="20"/>
                <w:color w:val="auto"/>
              </w:rPr>
            </w:pPr>
            <w:r>
              <w:rPr>
                <w:rFonts w:ascii="Arial" w:cs="Arial" w:eastAsia="Arial" w:hAnsi="Arial"/>
                <w:sz w:val="12"/>
                <w:szCs w:val="12"/>
                <w:color w:val="auto"/>
              </w:rPr>
              <w:t>LLY25</w:t>
            </w:r>
          </w:p>
        </w:tc>
        <w:tc>
          <w:tcPr>
            <w:tcW w:w="4720" w:type="dxa"/>
            <w:vAlign w:val="bottom"/>
            <w:gridSpan w:val="2"/>
          </w:tcPr>
          <w:p>
            <w:pPr>
              <w:ind w:left="2080"/>
              <w:spacing w:after="0"/>
              <w:rPr>
                <w:sz w:val="20"/>
                <w:szCs w:val="20"/>
                <w:color w:val="auto"/>
              </w:rPr>
            </w:pPr>
            <w:r>
              <w:rPr>
                <w:rFonts w:ascii="Arial" w:cs="Arial" w:eastAsia="Arial" w:hAnsi="Arial"/>
                <w:sz w:val="12"/>
                <w:szCs w:val="12"/>
                <w:color w:val="auto"/>
              </w:rPr>
              <w:t>New York Stock Exchange</w:t>
            </w:r>
          </w:p>
        </w:tc>
      </w:tr>
      <w:tr>
        <w:trPr>
          <w:trHeight w:val="168"/>
        </w:trPr>
        <w:tc>
          <w:tcPr>
            <w:tcW w:w="3740" w:type="dxa"/>
            <w:vAlign w:val="bottom"/>
            <w:gridSpan w:val="2"/>
          </w:tcPr>
          <w:p>
            <w:pPr>
              <w:spacing w:after="0"/>
              <w:rPr>
                <w:sz w:val="20"/>
                <w:szCs w:val="20"/>
                <w:color w:val="auto"/>
              </w:rPr>
            </w:pPr>
            <w:r>
              <w:rPr>
                <w:rFonts w:ascii="Arial" w:cs="Arial" w:eastAsia="Arial" w:hAnsi="Arial"/>
                <w:sz w:val="12"/>
                <w:szCs w:val="12"/>
                <w:color w:val="auto"/>
              </w:rPr>
              <w:t>1.625% Notes due 2026</w:t>
            </w:r>
          </w:p>
        </w:tc>
        <w:tc>
          <w:tcPr>
            <w:tcW w:w="960" w:type="dxa"/>
            <w:vAlign w:val="bottom"/>
          </w:tcPr>
          <w:p>
            <w:pPr>
              <w:spacing w:after="0"/>
              <w:rPr>
                <w:sz w:val="20"/>
                <w:szCs w:val="20"/>
                <w:color w:val="auto"/>
              </w:rPr>
            </w:pPr>
            <w:r>
              <w:rPr>
                <w:rFonts w:ascii="Arial" w:cs="Arial" w:eastAsia="Arial" w:hAnsi="Arial"/>
                <w:sz w:val="12"/>
                <w:szCs w:val="12"/>
                <w:color w:val="auto"/>
              </w:rPr>
              <w:t>LLY26</w:t>
            </w:r>
          </w:p>
        </w:tc>
        <w:tc>
          <w:tcPr>
            <w:tcW w:w="4720" w:type="dxa"/>
            <w:vAlign w:val="bottom"/>
            <w:gridSpan w:val="2"/>
          </w:tcPr>
          <w:p>
            <w:pPr>
              <w:ind w:left="2080"/>
              <w:spacing w:after="0"/>
              <w:rPr>
                <w:sz w:val="20"/>
                <w:szCs w:val="20"/>
                <w:color w:val="auto"/>
              </w:rPr>
            </w:pPr>
            <w:r>
              <w:rPr>
                <w:rFonts w:ascii="Arial" w:cs="Arial" w:eastAsia="Arial" w:hAnsi="Arial"/>
                <w:sz w:val="12"/>
                <w:szCs w:val="12"/>
                <w:color w:val="auto"/>
              </w:rPr>
              <w:t>New York Stock Exchange</w:t>
            </w:r>
          </w:p>
        </w:tc>
      </w:tr>
      <w:tr>
        <w:trPr>
          <w:trHeight w:val="168"/>
        </w:trPr>
        <w:tc>
          <w:tcPr>
            <w:tcW w:w="3740" w:type="dxa"/>
            <w:vAlign w:val="bottom"/>
            <w:gridSpan w:val="2"/>
          </w:tcPr>
          <w:p>
            <w:pPr>
              <w:spacing w:after="0"/>
              <w:rPr>
                <w:sz w:val="20"/>
                <w:szCs w:val="20"/>
                <w:color w:val="auto"/>
              </w:rPr>
            </w:pPr>
            <w:r>
              <w:rPr>
                <w:rFonts w:ascii="Arial" w:cs="Arial" w:eastAsia="Arial" w:hAnsi="Arial"/>
                <w:sz w:val="12"/>
                <w:szCs w:val="12"/>
                <w:color w:val="auto"/>
              </w:rPr>
              <w:t>2.125% Notes due 2030</w:t>
            </w:r>
          </w:p>
        </w:tc>
        <w:tc>
          <w:tcPr>
            <w:tcW w:w="960" w:type="dxa"/>
            <w:vAlign w:val="bottom"/>
          </w:tcPr>
          <w:p>
            <w:pPr>
              <w:spacing w:after="0"/>
              <w:rPr>
                <w:sz w:val="20"/>
                <w:szCs w:val="20"/>
                <w:color w:val="auto"/>
              </w:rPr>
            </w:pPr>
            <w:r>
              <w:rPr>
                <w:rFonts w:ascii="Arial" w:cs="Arial" w:eastAsia="Arial" w:hAnsi="Arial"/>
                <w:sz w:val="12"/>
                <w:szCs w:val="12"/>
                <w:color w:val="auto"/>
              </w:rPr>
              <w:t>LLY30</w:t>
            </w:r>
          </w:p>
        </w:tc>
        <w:tc>
          <w:tcPr>
            <w:tcW w:w="4720" w:type="dxa"/>
            <w:vAlign w:val="bottom"/>
            <w:gridSpan w:val="2"/>
          </w:tcPr>
          <w:p>
            <w:pPr>
              <w:ind w:left="2080"/>
              <w:spacing w:after="0"/>
              <w:rPr>
                <w:sz w:val="20"/>
                <w:szCs w:val="20"/>
                <w:color w:val="auto"/>
              </w:rPr>
            </w:pPr>
            <w:r>
              <w:rPr>
                <w:rFonts w:ascii="Arial" w:cs="Arial" w:eastAsia="Arial" w:hAnsi="Arial"/>
                <w:sz w:val="12"/>
                <w:szCs w:val="12"/>
                <w:color w:val="auto"/>
              </w:rPr>
              <w:t>New York Stock Exchange</w:t>
            </w:r>
          </w:p>
        </w:tc>
      </w:tr>
      <w:tr>
        <w:trPr>
          <w:trHeight w:val="181"/>
        </w:trPr>
        <w:tc>
          <w:tcPr>
            <w:tcW w:w="3740" w:type="dxa"/>
            <w:vAlign w:val="bottom"/>
            <w:gridSpan w:val="2"/>
          </w:tcPr>
          <w:p>
            <w:pPr>
              <w:spacing w:after="0"/>
              <w:rPr>
                <w:sz w:val="20"/>
                <w:szCs w:val="20"/>
                <w:color w:val="auto"/>
              </w:rPr>
            </w:pPr>
            <w:r>
              <w:rPr>
                <w:rFonts w:ascii="Arial" w:cs="Arial" w:eastAsia="Arial" w:hAnsi="Arial"/>
                <w:sz w:val="12"/>
                <w:szCs w:val="12"/>
                <w:color w:val="auto"/>
              </w:rPr>
              <w:t>0.625% Notes due 2031</w:t>
            </w:r>
          </w:p>
        </w:tc>
        <w:tc>
          <w:tcPr>
            <w:tcW w:w="960" w:type="dxa"/>
            <w:vAlign w:val="bottom"/>
          </w:tcPr>
          <w:p>
            <w:pPr>
              <w:spacing w:after="0"/>
              <w:rPr>
                <w:sz w:val="20"/>
                <w:szCs w:val="20"/>
                <w:color w:val="auto"/>
              </w:rPr>
            </w:pPr>
            <w:r>
              <w:rPr>
                <w:rFonts w:ascii="Arial" w:cs="Arial" w:eastAsia="Arial" w:hAnsi="Arial"/>
                <w:sz w:val="12"/>
                <w:szCs w:val="12"/>
                <w:color w:val="auto"/>
              </w:rPr>
              <w:t>LLY31</w:t>
            </w:r>
          </w:p>
        </w:tc>
        <w:tc>
          <w:tcPr>
            <w:tcW w:w="4720" w:type="dxa"/>
            <w:vAlign w:val="bottom"/>
            <w:gridSpan w:val="2"/>
          </w:tcPr>
          <w:p>
            <w:pPr>
              <w:ind w:left="2080"/>
              <w:spacing w:after="0"/>
              <w:rPr>
                <w:sz w:val="20"/>
                <w:szCs w:val="20"/>
                <w:color w:val="auto"/>
              </w:rPr>
            </w:pPr>
            <w:r>
              <w:rPr>
                <w:rFonts w:ascii="Arial" w:cs="Arial" w:eastAsia="Arial" w:hAnsi="Arial"/>
                <w:sz w:val="12"/>
                <w:szCs w:val="12"/>
                <w:color w:val="auto"/>
              </w:rPr>
              <w:t>New York Stock Exchange</w:t>
            </w:r>
          </w:p>
        </w:tc>
      </w:tr>
      <w:tr>
        <w:trPr>
          <w:trHeight w:val="168"/>
        </w:trPr>
        <w:tc>
          <w:tcPr>
            <w:tcW w:w="3740" w:type="dxa"/>
            <w:vAlign w:val="bottom"/>
            <w:gridSpan w:val="2"/>
          </w:tcPr>
          <w:p>
            <w:pPr>
              <w:spacing w:after="0"/>
              <w:rPr>
                <w:sz w:val="20"/>
                <w:szCs w:val="20"/>
                <w:color w:val="auto"/>
              </w:rPr>
            </w:pPr>
            <w:r>
              <w:rPr>
                <w:rFonts w:ascii="Arial" w:cs="Arial" w:eastAsia="Arial" w:hAnsi="Arial"/>
                <w:sz w:val="12"/>
                <w:szCs w:val="12"/>
                <w:color w:val="auto"/>
              </w:rPr>
              <w:t>0.500% Notes due 2033</w:t>
            </w:r>
          </w:p>
        </w:tc>
        <w:tc>
          <w:tcPr>
            <w:tcW w:w="960" w:type="dxa"/>
            <w:vAlign w:val="bottom"/>
          </w:tcPr>
          <w:p>
            <w:pPr>
              <w:spacing w:after="0"/>
              <w:rPr>
                <w:sz w:val="20"/>
                <w:szCs w:val="20"/>
                <w:color w:val="auto"/>
              </w:rPr>
            </w:pPr>
            <w:r>
              <w:rPr>
                <w:rFonts w:ascii="Arial" w:cs="Arial" w:eastAsia="Arial" w:hAnsi="Arial"/>
                <w:sz w:val="12"/>
                <w:szCs w:val="12"/>
                <w:color w:val="auto"/>
              </w:rPr>
              <w:t>LLY33</w:t>
            </w:r>
          </w:p>
        </w:tc>
        <w:tc>
          <w:tcPr>
            <w:tcW w:w="4720" w:type="dxa"/>
            <w:vAlign w:val="bottom"/>
            <w:gridSpan w:val="2"/>
          </w:tcPr>
          <w:p>
            <w:pPr>
              <w:ind w:left="2080"/>
              <w:spacing w:after="0"/>
              <w:rPr>
                <w:sz w:val="20"/>
                <w:szCs w:val="20"/>
                <w:color w:val="auto"/>
              </w:rPr>
            </w:pPr>
            <w:r>
              <w:rPr>
                <w:rFonts w:ascii="Arial" w:cs="Arial" w:eastAsia="Arial" w:hAnsi="Arial"/>
                <w:sz w:val="12"/>
                <w:szCs w:val="12"/>
                <w:color w:val="auto"/>
              </w:rPr>
              <w:t>New York Stock Exchange</w:t>
            </w:r>
          </w:p>
        </w:tc>
      </w:tr>
      <w:tr>
        <w:trPr>
          <w:trHeight w:val="168"/>
        </w:trPr>
        <w:tc>
          <w:tcPr>
            <w:tcW w:w="3740" w:type="dxa"/>
            <w:vAlign w:val="bottom"/>
            <w:gridSpan w:val="2"/>
          </w:tcPr>
          <w:p>
            <w:pPr>
              <w:spacing w:after="0"/>
              <w:rPr>
                <w:sz w:val="20"/>
                <w:szCs w:val="20"/>
                <w:color w:val="auto"/>
              </w:rPr>
            </w:pPr>
            <w:r>
              <w:rPr>
                <w:rFonts w:ascii="Arial" w:cs="Arial" w:eastAsia="Arial" w:hAnsi="Arial"/>
                <w:sz w:val="12"/>
                <w:szCs w:val="12"/>
                <w:color w:val="auto"/>
              </w:rPr>
              <w:t>6.77% Notes due 2036</w:t>
            </w:r>
          </w:p>
        </w:tc>
        <w:tc>
          <w:tcPr>
            <w:tcW w:w="960" w:type="dxa"/>
            <w:vAlign w:val="bottom"/>
          </w:tcPr>
          <w:p>
            <w:pPr>
              <w:spacing w:after="0"/>
              <w:rPr>
                <w:sz w:val="20"/>
                <w:szCs w:val="20"/>
                <w:color w:val="auto"/>
              </w:rPr>
            </w:pPr>
            <w:r>
              <w:rPr>
                <w:rFonts w:ascii="Arial" w:cs="Arial" w:eastAsia="Arial" w:hAnsi="Arial"/>
                <w:sz w:val="12"/>
                <w:szCs w:val="12"/>
                <w:color w:val="auto"/>
              </w:rPr>
              <w:t>LLY36</w:t>
            </w:r>
          </w:p>
        </w:tc>
        <w:tc>
          <w:tcPr>
            <w:tcW w:w="4720" w:type="dxa"/>
            <w:vAlign w:val="bottom"/>
            <w:gridSpan w:val="2"/>
          </w:tcPr>
          <w:p>
            <w:pPr>
              <w:ind w:left="2080"/>
              <w:spacing w:after="0"/>
              <w:rPr>
                <w:sz w:val="20"/>
                <w:szCs w:val="20"/>
                <w:color w:val="auto"/>
              </w:rPr>
            </w:pPr>
            <w:r>
              <w:rPr>
                <w:rFonts w:ascii="Arial" w:cs="Arial" w:eastAsia="Arial" w:hAnsi="Arial"/>
                <w:sz w:val="12"/>
                <w:szCs w:val="12"/>
                <w:color w:val="auto"/>
              </w:rPr>
              <w:t>New York Stock Exchange</w:t>
            </w:r>
          </w:p>
        </w:tc>
      </w:tr>
      <w:tr>
        <w:trPr>
          <w:trHeight w:val="181"/>
        </w:trPr>
        <w:tc>
          <w:tcPr>
            <w:tcW w:w="3740" w:type="dxa"/>
            <w:vAlign w:val="bottom"/>
            <w:gridSpan w:val="2"/>
          </w:tcPr>
          <w:p>
            <w:pPr>
              <w:spacing w:after="0"/>
              <w:rPr>
                <w:sz w:val="20"/>
                <w:szCs w:val="20"/>
                <w:color w:val="auto"/>
              </w:rPr>
            </w:pPr>
            <w:r>
              <w:rPr>
                <w:rFonts w:ascii="Arial" w:cs="Arial" w:eastAsia="Arial" w:hAnsi="Arial"/>
                <w:sz w:val="12"/>
                <w:szCs w:val="12"/>
                <w:color w:val="auto"/>
              </w:rPr>
              <w:t>1.625% Notes due 2043</w:t>
            </w:r>
          </w:p>
        </w:tc>
        <w:tc>
          <w:tcPr>
            <w:tcW w:w="960" w:type="dxa"/>
            <w:vAlign w:val="bottom"/>
          </w:tcPr>
          <w:p>
            <w:pPr>
              <w:spacing w:after="0"/>
              <w:rPr>
                <w:sz w:val="20"/>
                <w:szCs w:val="20"/>
                <w:color w:val="auto"/>
              </w:rPr>
            </w:pPr>
            <w:r>
              <w:rPr>
                <w:rFonts w:ascii="Arial" w:cs="Arial" w:eastAsia="Arial" w:hAnsi="Arial"/>
                <w:sz w:val="12"/>
                <w:szCs w:val="12"/>
                <w:color w:val="auto"/>
              </w:rPr>
              <w:t>LLY43</w:t>
            </w:r>
          </w:p>
        </w:tc>
        <w:tc>
          <w:tcPr>
            <w:tcW w:w="4720" w:type="dxa"/>
            <w:vAlign w:val="bottom"/>
            <w:gridSpan w:val="2"/>
          </w:tcPr>
          <w:p>
            <w:pPr>
              <w:ind w:left="2080"/>
              <w:spacing w:after="0"/>
              <w:rPr>
                <w:sz w:val="20"/>
                <w:szCs w:val="20"/>
                <w:color w:val="auto"/>
              </w:rPr>
            </w:pPr>
            <w:r>
              <w:rPr>
                <w:rFonts w:ascii="Arial" w:cs="Arial" w:eastAsia="Arial" w:hAnsi="Arial"/>
                <w:sz w:val="12"/>
                <w:szCs w:val="12"/>
                <w:color w:val="auto"/>
              </w:rPr>
              <w:t>New York Stock Exchange</w:t>
            </w:r>
          </w:p>
        </w:tc>
      </w:tr>
      <w:tr>
        <w:trPr>
          <w:trHeight w:val="168"/>
        </w:trPr>
        <w:tc>
          <w:tcPr>
            <w:tcW w:w="3740" w:type="dxa"/>
            <w:vAlign w:val="bottom"/>
            <w:gridSpan w:val="2"/>
          </w:tcPr>
          <w:p>
            <w:pPr>
              <w:spacing w:after="0"/>
              <w:rPr>
                <w:sz w:val="20"/>
                <w:szCs w:val="20"/>
                <w:color w:val="auto"/>
              </w:rPr>
            </w:pPr>
            <w:r>
              <w:rPr>
                <w:rFonts w:ascii="Arial" w:cs="Arial" w:eastAsia="Arial" w:hAnsi="Arial"/>
                <w:sz w:val="12"/>
                <w:szCs w:val="12"/>
                <w:color w:val="auto"/>
              </w:rPr>
              <w:t>1.700% Notes due 2049</w:t>
            </w:r>
          </w:p>
        </w:tc>
        <w:tc>
          <w:tcPr>
            <w:tcW w:w="960" w:type="dxa"/>
            <w:vAlign w:val="bottom"/>
          </w:tcPr>
          <w:p>
            <w:pPr>
              <w:spacing w:after="0"/>
              <w:rPr>
                <w:sz w:val="20"/>
                <w:szCs w:val="20"/>
                <w:color w:val="auto"/>
              </w:rPr>
            </w:pPr>
            <w:r>
              <w:rPr>
                <w:rFonts w:ascii="Arial" w:cs="Arial" w:eastAsia="Arial" w:hAnsi="Arial"/>
                <w:sz w:val="12"/>
                <w:szCs w:val="12"/>
                <w:color w:val="auto"/>
              </w:rPr>
              <w:t>LLY49A</w:t>
            </w:r>
          </w:p>
        </w:tc>
        <w:tc>
          <w:tcPr>
            <w:tcW w:w="4720" w:type="dxa"/>
            <w:vAlign w:val="bottom"/>
            <w:gridSpan w:val="2"/>
          </w:tcPr>
          <w:p>
            <w:pPr>
              <w:ind w:left="2080"/>
              <w:spacing w:after="0"/>
              <w:rPr>
                <w:sz w:val="20"/>
                <w:szCs w:val="20"/>
                <w:color w:val="auto"/>
              </w:rPr>
            </w:pPr>
            <w:r>
              <w:rPr>
                <w:rFonts w:ascii="Arial" w:cs="Arial" w:eastAsia="Arial" w:hAnsi="Arial"/>
                <w:sz w:val="12"/>
                <w:szCs w:val="12"/>
                <w:color w:val="auto"/>
              </w:rPr>
              <w:t>New York Stock Exchange</w:t>
            </w:r>
          </w:p>
        </w:tc>
      </w:tr>
      <w:tr>
        <w:trPr>
          <w:trHeight w:val="168"/>
        </w:trPr>
        <w:tc>
          <w:tcPr>
            <w:tcW w:w="3740" w:type="dxa"/>
            <w:vAlign w:val="bottom"/>
            <w:gridSpan w:val="2"/>
          </w:tcPr>
          <w:p>
            <w:pPr>
              <w:spacing w:after="0"/>
              <w:rPr>
                <w:sz w:val="20"/>
                <w:szCs w:val="20"/>
                <w:color w:val="auto"/>
              </w:rPr>
            </w:pPr>
            <w:r>
              <w:rPr>
                <w:rFonts w:ascii="Arial" w:cs="Arial" w:eastAsia="Arial" w:hAnsi="Arial"/>
                <w:sz w:val="12"/>
                <w:szCs w:val="12"/>
                <w:color w:val="auto"/>
              </w:rPr>
              <w:t>1.125% Notes due 2051</w:t>
            </w:r>
          </w:p>
        </w:tc>
        <w:tc>
          <w:tcPr>
            <w:tcW w:w="960" w:type="dxa"/>
            <w:vAlign w:val="bottom"/>
          </w:tcPr>
          <w:p>
            <w:pPr>
              <w:spacing w:after="0"/>
              <w:rPr>
                <w:sz w:val="20"/>
                <w:szCs w:val="20"/>
                <w:color w:val="auto"/>
              </w:rPr>
            </w:pPr>
            <w:r>
              <w:rPr>
                <w:rFonts w:ascii="Arial" w:cs="Arial" w:eastAsia="Arial" w:hAnsi="Arial"/>
                <w:sz w:val="12"/>
                <w:szCs w:val="12"/>
                <w:color w:val="auto"/>
              </w:rPr>
              <w:t>LLY51</w:t>
            </w:r>
          </w:p>
        </w:tc>
        <w:tc>
          <w:tcPr>
            <w:tcW w:w="4720" w:type="dxa"/>
            <w:vAlign w:val="bottom"/>
            <w:gridSpan w:val="2"/>
          </w:tcPr>
          <w:p>
            <w:pPr>
              <w:ind w:left="2080"/>
              <w:spacing w:after="0"/>
              <w:rPr>
                <w:sz w:val="20"/>
                <w:szCs w:val="20"/>
                <w:color w:val="auto"/>
              </w:rPr>
            </w:pPr>
            <w:r>
              <w:rPr>
                <w:rFonts w:ascii="Arial" w:cs="Arial" w:eastAsia="Arial" w:hAnsi="Arial"/>
                <w:sz w:val="12"/>
                <w:szCs w:val="12"/>
                <w:color w:val="auto"/>
              </w:rPr>
              <w:t>New York Stock Exchange</w:t>
            </w:r>
          </w:p>
        </w:tc>
      </w:tr>
      <w:tr>
        <w:trPr>
          <w:trHeight w:val="181"/>
        </w:trPr>
        <w:tc>
          <w:tcPr>
            <w:tcW w:w="3740" w:type="dxa"/>
            <w:vAlign w:val="bottom"/>
            <w:gridSpan w:val="2"/>
          </w:tcPr>
          <w:p>
            <w:pPr>
              <w:spacing w:after="0"/>
              <w:rPr>
                <w:sz w:val="20"/>
                <w:szCs w:val="20"/>
                <w:color w:val="auto"/>
              </w:rPr>
            </w:pPr>
            <w:r>
              <w:rPr>
                <w:rFonts w:ascii="Arial" w:cs="Arial" w:eastAsia="Arial" w:hAnsi="Arial"/>
                <w:sz w:val="12"/>
                <w:szCs w:val="12"/>
                <w:color w:val="auto"/>
              </w:rPr>
              <w:t>1.375% Notes due 2061</w:t>
            </w:r>
          </w:p>
        </w:tc>
        <w:tc>
          <w:tcPr>
            <w:tcW w:w="960" w:type="dxa"/>
            <w:vAlign w:val="bottom"/>
          </w:tcPr>
          <w:p>
            <w:pPr>
              <w:spacing w:after="0"/>
              <w:rPr>
                <w:sz w:val="20"/>
                <w:szCs w:val="20"/>
                <w:color w:val="auto"/>
              </w:rPr>
            </w:pPr>
            <w:r>
              <w:rPr>
                <w:rFonts w:ascii="Arial" w:cs="Arial" w:eastAsia="Arial" w:hAnsi="Arial"/>
                <w:sz w:val="12"/>
                <w:szCs w:val="12"/>
                <w:color w:val="auto"/>
              </w:rPr>
              <w:t>LLY61</w:t>
            </w:r>
          </w:p>
        </w:tc>
        <w:tc>
          <w:tcPr>
            <w:tcW w:w="4720" w:type="dxa"/>
            <w:vAlign w:val="bottom"/>
            <w:gridSpan w:val="2"/>
          </w:tcPr>
          <w:p>
            <w:pPr>
              <w:ind w:left="2080"/>
              <w:spacing w:after="0"/>
              <w:rPr>
                <w:sz w:val="20"/>
                <w:szCs w:val="20"/>
                <w:color w:val="auto"/>
              </w:rPr>
            </w:pPr>
            <w:r>
              <w:rPr>
                <w:rFonts w:ascii="Arial" w:cs="Arial" w:eastAsia="Arial" w:hAnsi="Arial"/>
                <w:sz w:val="12"/>
                <w:szCs w:val="12"/>
                <w:color w:val="auto"/>
              </w:rPr>
              <w:t>New York Stock Exchange</w:t>
            </w:r>
          </w:p>
        </w:tc>
      </w:tr>
    </w:tbl>
    <w:p>
      <w:pPr>
        <w:spacing w:after="0" w:line="101" w:lineRule="exact"/>
        <w:rPr>
          <w:sz w:val="24"/>
          <w:szCs w:val="24"/>
          <w:color w:val="auto"/>
        </w:rPr>
      </w:pPr>
    </w:p>
    <w:p>
      <w:pPr>
        <w:ind w:right="60"/>
        <w:spacing w:after="0" w:line="24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9" w:lineRule="exact"/>
        <w:rPr>
          <w:sz w:val="24"/>
          <w:szCs w:val="24"/>
          <w:color w:val="auto"/>
        </w:rPr>
      </w:pPr>
    </w:p>
    <w:p>
      <w:pPr>
        <w:ind w:right="40"/>
        <w:spacing w:after="0" w:line="245"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4"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44" w:lineRule="exact"/>
        <w:rPr>
          <w:sz w:val="24"/>
          <w:szCs w:val="24"/>
          <w:color w:val="auto"/>
        </w:rPr>
      </w:pPr>
    </w:p>
    <w:tbl>
      <w:tblPr>
        <w:tblLayout w:type="fixed"/>
        <w:tblInd w:w="920" w:type="dxa"/>
        <w:tblCellMar>
          <w:top w:w="0" w:type="dxa"/>
          <w:left w:w="0" w:type="dxa"/>
          <w:bottom w:w="0" w:type="dxa"/>
          <w:right w:w="0" w:type="dxa"/>
        </w:tblCellMar>
      </w:tblPr>
      <w:tr>
        <w:trPr>
          <w:trHeight w:val="194"/>
        </w:trPr>
        <w:tc>
          <w:tcPr>
            <w:tcW w:w="4920" w:type="dxa"/>
            <w:vAlign w:val="bottom"/>
          </w:tcPr>
          <w:p>
            <w:pPr>
              <w:jc w:val="right"/>
              <w:ind w:right="3331"/>
              <w:spacing w:after="0" w:line="161" w:lineRule="exact"/>
              <w:rPr>
                <w:sz w:val="20"/>
                <w:szCs w:val="20"/>
                <w:color w:val="auto"/>
              </w:rPr>
            </w:pPr>
            <w:r>
              <w:rPr>
                <w:rFonts w:ascii="Arial" w:cs="Arial" w:eastAsia="Arial" w:hAnsi="Arial"/>
                <w:sz w:val="14"/>
                <w:szCs w:val="14"/>
                <w:color w:val="auto"/>
                <w:w w:val="95"/>
              </w:rPr>
              <w:t xml:space="preserve">Large accelerated filer </w:t>
            </w:r>
            <w:r>
              <w:rPr>
                <w:rFonts w:ascii="MS PGothic" w:cs="MS PGothic" w:eastAsia="MS PGothic" w:hAnsi="MS PGothic"/>
                <w:sz w:val="14"/>
                <w:szCs w:val="14"/>
                <w:color w:val="auto"/>
                <w:w w:val="95"/>
              </w:rPr>
              <w:t>☒</w:t>
            </w:r>
          </w:p>
        </w:tc>
        <w:tc>
          <w:tcPr>
            <w:tcW w:w="5160" w:type="dxa"/>
            <w:vAlign w:val="bottom"/>
          </w:tcPr>
          <w:p>
            <w:pPr>
              <w:jc w:val="right"/>
              <w:ind w:right="51"/>
              <w:spacing w:after="0"/>
              <w:rPr>
                <w:sz w:val="20"/>
                <w:szCs w:val="20"/>
                <w:color w:val="auto"/>
              </w:rPr>
            </w:pPr>
            <w:r>
              <w:rPr>
                <w:rFonts w:ascii="Arial" w:cs="Arial" w:eastAsia="Arial" w:hAnsi="Arial"/>
                <w:sz w:val="14"/>
                <w:szCs w:val="14"/>
                <w:color w:val="auto"/>
              </w:rPr>
              <w:t>Accelerated filer</w:t>
            </w:r>
          </w:p>
        </w:tc>
        <w:tc>
          <w:tcPr>
            <w:tcW w:w="2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1"/>
        </w:trPr>
        <w:tc>
          <w:tcPr>
            <w:tcW w:w="4920" w:type="dxa"/>
            <w:vAlign w:val="bottom"/>
          </w:tcPr>
          <w:p>
            <w:pPr>
              <w:jc w:val="right"/>
              <w:ind w:right="3331"/>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5160" w:type="dxa"/>
            <w:vAlign w:val="bottom"/>
          </w:tcPr>
          <w:p>
            <w:pPr>
              <w:jc w:val="right"/>
              <w:ind w:right="51"/>
              <w:spacing w:after="0"/>
              <w:rPr>
                <w:sz w:val="20"/>
                <w:szCs w:val="20"/>
                <w:color w:val="auto"/>
              </w:rPr>
            </w:pPr>
            <w:r>
              <w:rPr>
                <w:rFonts w:ascii="Arial" w:cs="Arial" w:eastAsia="Arial" w:hAnsi="Arial"/>
                <w:sz w:val="14"/>
                <w:szCs w:val="14"/>
                <w:color w:val="auto"/>
              </w:rPr>
              <w:t>Smaller reporting company</w:t>
            </w:r>
          </w:p>
        </w:tc>
        <w:tc>
          <w:tcPr>
            <w:tcW w:w="2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4920" w:type="dxa"/>
            <w:vAlign w:val="bottom"/>
          </w:tcPr>
          <w:p>
            <w:pPr>
              <w:spacing w:after="0"/>
              <w:rPr>
                <w:sz w:val="19"/>
                <w:szCs w:val="19"/>
                <w:color w:val="auto"/>
              </w:rPr>
            </w:pPr>
          </w:p>
        </w:tc>
        <w:tc>
          <w:tcPr>
            <w:tcW w:w="5160" w:type="dxa"/>
            <w:vAlign w:val="bottom"/>
          </w:tcPr>
          <w:p>
            <w:pPr>
              <w:jc w:val="right"/>
              <w:ind w:right="51"/>
              <w:spacing w:after="0"/>
              <w:rPr>
                <w:sz w:val="20"/>
                <w:szCs w:val="20"/>
                <w:color w:val="auto"/>
              </w:rPr>
            </w:pPr>
            <w:r>
              <w:rPr>
                <w:rFonts w:ascii="Arial" w:cs="Arial" w:eastAsia="Arial" w:hAnsi="Arial"/>
                <w:sz w:val="14"/>
                <w:szCs w:val="14"/>
                <w:color w:val="auto"/>
              </w:rPr>
              <w:t>Emerging growth company</w:t>
            </w:r>
          </w:p>
        </w:tc>
        <w:tc>
          <w:tcPr>
            <w:tcW w:w="2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5" w:lineRule="exact"/>
        <w:rPr>
          <w:sz w:val="24"/>
          <w:szCs w:val="24"/>
          <w:color w:val="auto"/>
        </w:rPr>
      </w:pPr>
    </w:p>
    <w:p>
      <w:pPr>
        <w:jc w:val="both"/>
        <w:ind w:right="4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outstanding as of August 3, 2023:</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20" w:type="dxa"/>
            <w:vAlign w:val="bottom"/>
            <w:tcBorders>
              <w:bottom w:val="single" w:sz="8" w:color="auto"/>
            </w:tcBorders>
          </w:tcPr>
          <w:p>
            <w:pPr>
              <w:spacing w:after="0"/>
              <w:rPr>
                <w:sz w:val="15"/>
                <w:szCs w:val="15"/>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Class</w:t>
            </w:r>
          </w:p>
        </w:tc>
        <w:tc>
          <w:tcPr>
            <w:tcW w:w="420" w:type="dxa"/>
            <w:vAlign w:val="bottom"/>
          </w:tcPr>
          <w:p>
            <w:pPr>
              <w:spacing w:after="0"/>
              <w:rPr>
                <w:sz w:val="15"/>
                <w:szCs w:val="15"/>
                <w:color w:val="auto"/>
              </w:rPr>
            </w:pPr>
          </w:p>
        </w:tc>
        <w:tc>
          <w:tcPr>
            <w:tcW w:w="5320" w:type="dxa"/>
            <w:vAlign w:val="bottom"/>
            <w:tcBorders>
              <w:bottom w:val="single" w:sz="8" w:color="auto"/>
            </w:tcBorders>
          </w:tcPr>
          <w:p>
            <w:pPr>
              <w:jc w:val="right"/>
              <w:ind w:right="1651"/>
              <w:spacing w:after="0"/>
              <w:rPr>
                <w:sz w:val="20"/>
                <w:szCs w:val="20"/>
                <w:color w:val="auto"/>
              </w:rPr>
            </w:pPr>
            <w:r>
              <w:rPr>
                <w:rFonts w:ascii="Arial" w:cs="Arial" w:eastAsia="Arial" w:hAnsi="Arial"/>
                <w:sz w:val="14"/>
                <w:szCs w:val="14"/>
                <w:color w:val="auto"/>
              </w:rPr>
              <w:t>Number of Shares Outstanding</w:t>
            </w:r>
          </w:p>
        </w:tc>
      </w:tr>
      <w:tr>
        <w:trPr>
          <w:trHeight w:val="181"/>
        </w:trPr>
        <w:tc>
          <w:tcPr>
            <w:tcW w:w="20" w:type="dxa"/>
            <w:vAlign w:val="bottom"/>
          </w:tcPr>
          <w:p>
            <w:pPr>
              <w:spacing w:after="0"/>
              <w:rPr>
                <w:sz w:val="15"/>
                <w:szCs w:val="15"/>
                <w:color w:val="auto"/>
              </w:rPr>
            </w:pPr>
          </w:p>
        </w:tc>
        <w:tc>
          <w:tcPr>
            <w:tcW w:w="5480" w:type="dxa"/>
            <w:vAlign w:val="bottom"/>
          </w:tcPr>
          <w:p>
            <w:pPr>
              <w:jc w:val="center"/>
              <w:spacing w:after="0"/>
              <w:rPr>
                <w:sz w:val="20"/>
                <w:szCs w:val="20"/>
                <w:color w:val="auto"/>
              </w:rPr>
            </w:pPr>
            <w:r>
              <w:rPr>
                <w:rFonts w:ascii="Arial" w:cs="Arial" w:eastAsia="Arial" w:hAnsi="Arial"/>
                <w:sz w:val="14"/>
                <w:szCs w:val="14"/>
                <w:color w:val="auto"/>
                <w:w w:val="98"/>
              </w:rPr>
              <w:t>Common</w:t>
            </w:r>
          </w:p>
        </w:tc>
        <w:tc>
          <w:tcPr>
            <w:tcW w:w="5740" w:type="dxa"/>
            <w:vAlign w:val="bottom"/>
            <w:gridSpan w:val="2"/>
          </w:tcPr>
          <w:p>
            <w:pPr>
              <w:jc w:val="right"/>
              <w:ind w:right="11"/>
              <w:spacing w:after="0"/>
              <w:rPr>
                <w:sz w:val="20"/>
                <w:szCs w:val="20"/>
                <w:color w:val="auto"/>
              </w:rPr>
            </w:pPr>
            <w:r>
              <w:rPr>
                <w:rFonts w:ascii="Arial" w:cs="Arial" w:eastAsia="Arial" w:hAnsi="Arial"/>
                <w:sz w:val="14"/>
                <w:szCs w:val="14"/>
                <w:color w:val="auto"/>
              </w:rPr>
              <w:t>949,295,173</w:t>
            </w:r>
          </w:p>
        </w:tc>
      </w:tr>
      <w:tr>
        <w:trPr>
          <w:trHeight w:val="115"/>
        </w:trPr>
        <w:tc>
          <w:tcPr>
            <w:tcW w:w="20" w:type="dxa"/>
            <w:vAlign w:val="bottom"/>
          </w:tcPr>
          <w:p>
            <w:pPr>
              <w:spacing w:after="0"/>
              <w:rPr>
                <w:sz w:val="9"/>
                <w:szCs w:val="9"/>
                <w:color w:val="auto"/>
              </w:rPr>
            </w:pPr>
          </w:p>
        </w:tc>
        <w:tc>
          <w:tcPr>
            <w:tcW w:w="54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320" w:type="dxa"/>
            <w:vAlign w:val="bottom"/>
            <w:tcBorders>
              <w:bottom w:val="single" w:sz="8" w:color="auto"/>
            </w:tcBorders>
          </w:tcPr>
          <w:p>
            <w:pPr>
              <w:spacing w:after="0"/>
              <w:rPr>
                <w:sz w:val="9"/>
                <w:szCs w:val="9"/>
                <w:color w:val="auto"/>
              </w:rPr>
            </w:pPr>
          </w:p>
        </w:tc>
      </w:tr>
      <w:tr>
        <w:trPr>
          <w:trHeight w:val="37"/>
        </w:trPr>
        <w:tc>
          <w:tcPr>
            <w:tcW w:w="20" w:type="dxa"/>
            <w:vAlign w:val="bottom"/>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320" w:type="dxa"/>
            <w:vAlign w:val="bottom"/>
            <w:tcBorders>
              <w:bottom w:val="single" w:sz="8" w:color="auto"/>
            </w:tcBorders>
          </w:tcPr>
          <w:p>
            <w:pPr>
              <w:spacing w:after="0"/>
              <w:rPr>
                <w:sz w:val="3"/>
                <w:szCs w:val="3"/>
                <w:color w:val="auto"/>
              </w:rPr>
            </w:pPr>
          </w:p>
        </w:tc>
      </w:tr>
      <w:tr>
        <w:trPr>
          <w:trHeight w:val="922"/>
        </w:trPr>
        <w:tc>
          <w:tcPr>
            <w:tcW w:w="2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type w:val="continuous"/>
        </w:sectPr>
      </w:pPr>
    </w:p>
    <w:bookmarkStart w:id="1" w:name="page2"/>
    <w:bookmarkEnd w:id="1"/>
    <w:p>
      <w:pPr>
        <w:ind w:left="4740"/>
        <w:spacing w:after="0"/>
        <w:rPr>
          <w:sz w:val="20"/>
          <w:szCs w:val="20"/>
          <w:color w:val="auto"/>
        </w:rPr>
      </w:pPr>
      <w:r>
        <w:rPr>
          <w:rFonts w:ascii="Arial" w:cs="Arial" w:eastAsia="Arial" w:hAnsi="Arial"/>
          <w:sz w:val="17"/>
          <w:szCs w:val="17"/>
          <w:b w:val="1"/>
          <w:bCs w:val="1"/>
          <w:color w:val="auto"/>
        </w:rPr>
        <w:t>Eli Lilly and Company</w:t>
      </w:r>
    </w:p>
    <w:p>
      <w:pPr>
        <w:spacing w:after="0" w:line="114"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Form 10-Q</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 Ended June 30, 2023</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gridSpan w:val="5"/>
          </w:tcPr>
          <w:p>
            <w:pPr>
              <w:spacing w:after="0"/>
              <w:rPr>
                <w:sz w:val="20"/>
                <w:szCs w:val="20"/>
                <w:color w:val="auto"/>
              </w:rPr>
            </w:pPr>
            <w:r>
              <w:rPr>
                <w:rFonts w:ascii="Arial" w:cs="Arial" w:eastAsia="Arial" w:hAnsi="Arial"/>
                <w:sz w:val="17"/>
                <w:szCs w:val="17"/>
                <w:b w:val="1"/>
                <w:bCs w:val="1"/>
                <w:color w:val="auto"/>
              </w:rPr>
              <w:t>Page</w:t>
            </w:r>
          </w:p>
        </w:tc>
      </w:tr>
      <w:tr>
        <w:trPr>
          <w:trHeight w:val="199"/>
        </w:trPr>
        <w:tc>
          <w:tcPr>
            <w:tcW w:w="20" w:type="dxa"/>
            <w:vAlign w:val="bottom"/>
          </w:tcPr>
          <w:p>
            <w:pPr>
              <w:spacing w:after="0"/>
              <w:rPr>
                <w:sz w:val="17"/>
                <w:szCs w:val="17"/>
                <w:color w:val="auto"/>
              </w:rPr>
            </w:pPr>
          </w:p>
        </w:tc>
        <w:tc>
          <w:tcPr>
            <w:tcW w:w="222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99"/>
              </w:rPr>
              <w:t>PART I. Financial Information</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0000FF"/>
            </w:tcBorders>
          </w:tcPr>
          <w:p>
            <w:pPr>
              <w:jc w:val="center"/>
              <w:spacing w:after="0"/>
              <w:rPr>
                <w:sz w:val="20"/>
                <w:szCs w:val="20"/>
                <w:color w:val="auto"/>
              </w:rPr>
            </w:pPr>
            <w:r>
              <w:rPr>
                <w:rFonts w:ascii="Arial" w:cs="Arial" w:eastAsia="Arial" w:hAnsi="Arial"/>
                <w:sz w:val="17"/>
                <w:szCs w:val="17"/>
                <w:color w:val="0000FF"/>
              </w:rPr>
              <w:t>5</w:t>
            </w: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470"/>
        </w:trPr>
        <w:tc>
          <w:tcPr>
            <w:tcW w:w="20" w:type="dxa"/>
            <w:vAlign w:val="bottom"/>
          </w:tcPr>
          <w:p>
            <w:pPr>
              <w:spacing w:after="0"/>
              <w:rPr>
                <w:sz w:val="24"/>
                <w:szCs w:val="24"/>
                <w:color w:val="auto"/>
              </w:rPr>
            </w:pPr>
          </w:p>
        </w:tc>
        <w:tc>
          <w:tcPr>
            <w:tcW w:w="2220" w:type="dxa"/>
            <w:vAlign w:val="bottom"/>
            <w:gridSpan w:val="5"/>
          </w:tcPr>
          <w:p>
            <w:pPr>
              <w:spacing w:after="0"/>
              <w:rPr>
                <w:sz w:val="20"/>
                <w:szCs w:val="20"/>
                <w:color w:val="auto"/>
              </w:rPr>
            </w:pPr>
            <w:r>
              <w:rPr>
                <w:rFonts w:ascii="Arial" w:cs="Arial" w:eastAsia="Arial" w:hAnsi="Arial"/>
                <w:sz w:val="17"/>
                <w:szCs w:val="17"/>
                <w:color w:val="0000FF"/>
              </w:rPr>
              <w:t>Item 1.</w:t>
            </w:r>
          </w:p>
        </w:tc>
        <w:tc>
          <w:tcPr>
            <w:tcW w:w="920" w:type="dxa"/>
            <w:vAlign w:val="bottom"/>
          </w:tcPr>
          <w:p>
            <w:pPr>
              <w:spacing w:after="0"/>
              <w:rPr>
                <w:sz w:val="24"/>
                <w:szCs w:val="24"/>
                <w:color w:val="auto"/>
              </w:rPr>
            </w:pPr>
          </w:p>
        </w:tc>
        <w:tc>
          <w:tcPr>
            <w:tcW w:w="7500" w:type="dxa"/>
            <w:vAlign w:val="bottom"/>
            <w:gridSpan w:val="21"/>
          </w:tcPr>
          <w:p>
            <w:pPr>
              <w:spacing w:after="0"/>
              <w:rPr>
                <w:sz w:val="20"/>
                <w:szCs w:val="20"/>
                <w:color w:val="auto"/>
              </w:rPr>
            </w:pPr>
            <w:r>
              <w:rPr>
                <w:rFonts w:ascii="Arial" w:cs="Arial" w:eastAsia="Arial" w:hAnsi="Arial"/>
                <w:sz w:val="17"/>
                <w:szCs w:val="17"/>
                <w:color w:val="0000FF"/>
              </w:rPr>
              <w:t>Financial Statements</w:t>
            </w:r>
          </w:p>
        </w:tc>
        <w:tc>
          <w:tcPr>
            <w:tcW w:w="260" w:type="dxa"/>
            <w:vAlign w:val="bottom"/>
            <w:gridSpan w:val="2"/>
          </w:tcPr>
          <w:p>
            <w:pPr>
              <w:jc w:val="center"/>
              <w:ind w:left="74"/>
              <w:spacing w:after="0"/>
              <w:rPr>
                <w:sz w:val="20"/>
                <w:szCs w:val="20"/>
                <w:color w:val="auto"/>
              </w:rPr>
            </w:pPr>
            <w:r>
              <w:rPr>
                <w:rFonts w:ascii="Arial" w:cs="Arial" w:eastAsia="Arial" w:hAnsi="Arial"/>
                <w:sz w:val="17"/>
                <w:szCs w:val="17"/>
                <w:color w:val="0000FF"/>
              </w:rPr>
              <w:t>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gridSpan w:val="20"/>
          </w:tcPr>
          <w:p>
            <w:pPr>
              <w:spacing w:after="0"/>
              <w:rPr>
                <w:sz w:val="20"/>
                <w:szCs w:val="20"/>
                <w:color w:val="auto"/>
              </w:rPr>
            </w:pPr>
            <w:r>
              <w:rPr>
                <w:rFonts w:ascii="Arial" w:cs="Arial" w:eastAsia="Arial" w:hAnsi="Arial"/>
                <w:sz w:val="17"/>
                <w:szCs w:val="17"/>
                <w:color w:val="0000FF"/>
              </w:rPr>
              <w:t>Consolidated Condensed Statements of Operations</w:t>
            </w:r>
          </w:p>
        </w:tc>
        <w:tc>
          <w:tcPr>
            <w:tcW w:w="260" w:type="dxa"/>
            <w:vAlign w:val="bottom"/>
            <w:gridSpan w:val="2"/>
          </w:tcPr>
          <w:p>
            <w:pPr>
              <w:jc w:val="center"/>
              <w:ind w:left="74"/>
              <w:spacing w:after="0"/>
              <w:rPr>
                <w:sz w:val="20"/>
                <w:szCs w:val="20"/>
                <w:color w:val="auto"/>
              </w:rPr>
            </w:pPr>
            <w:r>
              <w:rPr>
                <w:rFonts w:ascii="Arial" w:cs="Arial" w:eastAsia="Arial" w:hAnsi="Arial"/>
                <w:sz w:val="17"/>
                <w:szCs w:val="17"/>
                <w:color w:val="0000FF"/>
              </w:rPr>
              <w:t>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00" w:type="dxa"/>
            <w:vAlign w:val="bottom"/>
            <w:tcBorders>
              <w:bottom w:val="single" w:sz="8" w:color="0000FF"/>
            </w:tcBorders>
            <w:gridSpan w:val="18"/>
          </w:tcPr>
          <w:p>
            <w:pPr>
              <w:spacing w:after="0"/>
              <w:rPr>
                <w:sz w:val="20"/>
                <w:szCs w:val="20"/>
                <w:color w:val="auto"/>
              </w:rPr>
            </w:pPr>
            <w:r>
              <w:rPr>
                <w:rFonts w:ascii="Arial" w:cs="Arial" w:eastAsia="Arial" w:hAnsi="Arial"/>
                <w:sz w:val="17"/>
                <w:szCs w:val="17"/>
                <w:color w:val="0000FF"/>
              </w:rPr>
              <w:t>Consolidated Condensed Statements of Comprehensive Income</w:t>
            </w:r>
          </w:p>
        </w:tc>
        <w:tc>
          <w:tcPr>
            <w:tcW w:w="24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tcBorders>
              <w:bottom w:val="single" w:sz="8" w:color="0000FF"/>
            </w:tcBorders>
            <w:gridSpan w:val="11"/>
          </w:tcPr>
          <w:p>
            <w:pPr>
              <w:spacing w:after="0"/>
              <w:rPr>
                <w:sz w:val="20"/>
                <w:szCs w:val="20"/>
                <w:color w:val="auto"/>
              </w:rPr>
            </w:pPr>
            <w:r>
              <w:rPr>
                <w:rFonts w:ascii="Arial" w:cs="Arial" w:eastAsia="Arial" w:hAnsi="Arial"/>
                <w:sz w:val="17"/>
                <w:szCs w:val="17"/>
                <w:color w:val="0000FF"/>
              </w:rPr>
              <w:t>Consolidated Condensed Balance Sheets</w:t>
            </w:r>
          </w:p>
        </w:tc>
        <w:tc>
          <w:tcPr>
            <w:tcW w:w="4120" w:type="dxa"/>
            <w:vAlign w:val="bottom"/>
            <w:gridSpan w:val="9"/>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8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color w:val="0000FF"/>
              </w:rPr>
              <w:t>Consolidated Condensed Statements of Equity</w:t>
            </w:r>
          </w:p>
        </w:tc>
        <w:tc>
          <w:tcPr>
            <w:tcW w:w="332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gridSpan w:val="20"/>
          </w:tcPr>
          <w:p>
            <w:pPr>
              <w:spacing w:after="0"/>
              <w:rPr>
                <w:sz w:val="20"/>
                <w:szCs w:val="20"/>
                <w:color w:val="auto"/>
              </w:rPr>
            </w:pPr>
            <w:r>
              <w:rPr>
                <w:rFonts w:ascii="Arial" w:cs="Arial" w:eastAsia="Arial" w:hAnsi="Arial"/>
                <w:sz w:val="17"/>
                <w:szCs w:val="17"/>
                <w:color w:val="0000FF"/>
              </w:rPr>
              <w:t>Consolidated Condensed Statements of Cash Flows</w:t>
            </w:r>
          </w:p>
        </w:tc>
        <w:tc>
          <w:tcPr>
            <w:tcW w:w="300" w:type="dxa"/>
            <w:vAlign w:val="bottom"/>
            <w:gridSpan w:val="3"/>
          </w:tcPr>
          <w:p>
            <w:pPr>
              <w:jc w:val="center"/>
              <w:ind w:left="14"/>
              <w:spacing w:after="0"/>
              <w:rPr>
                <w:sz w:val="20"/>
                <w:szCs w:val="20"/>
                <w:color w:val="auto"/>
              </w:rPr>
            </w:pPr>
            <w:r>
              <w:rPr>
                <w:rFonts w:ascii="Arial" w:cs="Arial" w:eastAsia="Arial" w:hAnsi="Arial"/>
                <w:sz w:val="17"/>
                <w:szCs w:val="17"/>
                <w:color w:val="0000FF"/>
              </w:rPr>
              <w:t>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80" w:type="dxa"/>
            <w:vAlign w:val="bottom"/>
            <w:gridSpan w:val="16"/>
          </w:tcPr>
          <w:p>
            <w:pPr>
              <w:spacing w:after="0"/>
              <w:rPr>
                <w:sz w:val="20"/>
                <w:szCs w:val="20"/>
                <w:color w:val="auto"/>
              </w:rPr>
            </w:pPr>
            <w:r>
              <w:rPr>
                <w:rFonts w:ascii="Arial" w:cs="Arial" w:eastAsia="Arial" w:hAnsi="Arial"/>
                <w:sz w:val="17"/>
                <w:szCs w:val="17"/>
                <w:color w:val="0000FF"/>
              </w:rPr>
              <w:t>Notes to Consolidated Condensed Financial Statements</w:t>
            </w:r>
          </w:p>
        </w:tc>
        <w:tc>
          <w:tcPr>
            <w:tcW w:w="3220" w:type="dxa"/>
            <w:vAlign w:val="bottom"/>
            <w:gridSpan w:val="5"/>
          </w:tcPr>
          <w:p>
            <w:pPr>
              <w:spacing w:after="0"/>
              <w:rPr>
                <w:sz w:val="18"/>
                <w:szCs w:val="18"/>
                <w:color w:val="auto"/>
              </w:rPr>
            </w:pPr>
          </w:p>
        </w:tc>
        <w:tc>
          <w:tcPr>
            <w:tcW w:w="300" w:type="dxa"/>
            <w:vAlign w:val="bottom"/>
            <w:gridSpan w:val="3"/>
          </w:tcPr>
          <w:p>
            <w:pPr>
              <w:jc w:val="center"/>
              <w:ind w:left="34"/>
              <w:spacing w:after="0"/>
              <w:rPr>
                <w:sz w:val="20"/>
                <w:szCs w:val="20"/>
                <w:color w:val="auto"/>
              </w:rPr>
            </w:pPr>
            <w:r>
              <w:rPr>
                <w:rFonts w:ascii="Arial" w:cs="Arial" w:eastAsia="Arial" w:hAnsi="Arial"/>
                <w:sz w:val="17"/>
                <w:szCs w:val="17"/>
                <w:color w:val="0000FF"/>
                <w:w w:val="94"/>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220" w:type="dxa"/>
            <w:vAlign w:val="bottom"/>
            <w:gridSpan w:val="5"/>
          </w:tcPr>
          <w:p>
            <w:pPr>
              <w:spacing w:after="0"/>
              <w:rPr>
                <w:sz w:val="20"/>
                <w:szCs w:val="20"/>
                <w:color w:val="auto"/>
              </w:rPr>
            </w:pPr>
            <w:r>
              <w:rPr>
                <w:rFonts w:ascii="Arial" w:cs="Arial" w:eastAsia="Arial" w:hAnsi="Arial"/>
                <w:sz w:val="17"/>
                <w:szCs w:val="17"/>
                <w:color w:val="0000FF"/>
              </w:rPr>
              <w:t>Item 2.</w:t>
            </w:r>
          </w:p>
        </w:tc>
        <w:tc>
          <w:tcPr>
            <w:tcW w:w="920" w:type="dxa"/>
            <w:vAlign w:val="bottom"/>
          </w:tcPr>
          <w:p>
            <w:pPr>
              <w:spacing w:after="0"/>
              <w:rPr>
                <w:sz w:val="17"/>
                <w:szCs w:val="17"/>
                <w:color w:val="auto"/>
              </w:rPr>
            </w:pPr>
          </w:p>
        </w:tc>
        <w:tc>
          <w:tcPr>
            <w:tcW w:w="7500" w:type="dxa"/>
            <w:vAlign w:val="bottom"/>
            <w:gridSpan w:val="21"/>
          </w:tcPr>
          <w:p>
            <w:pPr>
              <w:spacing w:after="0"/>
              <w:rPr>
                <w:sz w:val="20"/>
                <w:szCs w:val="20"/>
                <w:color w:val="auto"/>
              </w:rPr>
            </w:pPr>
            <w:r>
              <w:rPr>
                <w:rFonts w:ascii="Arial" w:cs="Arial" w:eastAsia="Arial" w:hAnsi="Arial"/>
                <w:sz w:val="17"/>
                <w:szCs w:val="17"/>
                <w:color w:val="0000FF"/>
              </w:rPr>
              <w:t>Management's Discussion and Analysis of Results of Operations and Financial Condition</w:t>
            </w:r>
          </w:p>
        </w:tc>
        <w:tc>
          <w:tcPr>
            <w:tcW w:w="300" w:type="dxa"/>
            <w:vAlign w:val="bottom"/>
            <w:gridSpan w:val="3"/>
          </w:tcPr>
          <w:p>
            <w:pPr>
              <w:jc w:val="center"/>
              <w:ind w:left="14"/>
              <w:spacing w:after="0"/>
              <w:rPr>
                <w:sz w:val="20"/>
                <w:szCs w:val="20"/>
                <w:color w:val="auto"/>
              </w:rPr>
            </w:pPr>
            <w:r>
              <w:rPr>
                <w:rFonts w:ascii="Arial" w:cs="Arial" w:eastAsia="Arial" w:hAnsi="Arial"/>
                <w:sz w:val="17"/>
                <w:szCs w:val="17"/>
                <w:color w:val="0000FF"/>
              </w:rPr>
              <w:t>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560" w:type="dxa"/>
            <w:vAlign w:val="bottom"/>
            <w:gridSpan w:val="19"/>
          </w:tcPr>
          <w:p>
            <w:pPr>
              <w:spacing w:after="0"/>
              <w:rPr>
                <w:sz w:val="20"/>
                <w:szCs w:val="20"/>
                <w:color w:val="auto"/>
              </w:rPr>
            </w:pPr>
            <w:r>
              <w:rPr>
                <w:rFonts w:ascii="Arial" w:cs="Arial" w:eastAsia="Arial" w:hAnsi="Arial"/>
                <w:sz w:val="17"/>
                <w:szCs w:val="17"/>
                <w:color w:val="0000FF"/>
              </w:rPr>
              <w:t>Executive Overview</w:t>
            </w:r>
          </w:p>
        </w:tc>
        <w:tc>
          <w:tcPr>
            <w:tcW w:w="740" w:type="dxa"/>
            <w:vAlign w:val="bottom"/>
          </w:tcPr>
          <w:p>
            <w:pPr>
              <w:spacing w:after="0"/>
              <w:rPr>
                <w:sz w:val="17"/>
                <w:szCs w:val="17"/>
                <w:color w:val="auto"/>
              </w:rPr>
            </w:pPr>
          </w:p>
        </w:tc>
        <w:tc>
          <w:tcPr>
            <w:tcW w:w="300" w:type="dxa"/>
            <w:vAlign w:val="bottom"/>
            <w:gridSpan w:val="3"/>
          </w:tcPr>
          <w:p>
            <w:pPr>
              <w:jc w:val="center"/>
              <w:ind w:left="14"/>
              <w:spacing w:after="0"/>
              <w:rPr>
                <w:sz w:val="20"/>
                <w:szCs w:val="20"/>
                <w:color w:val="auto"/>
              </w:rPr>
            </w:pPr>
            <w:r>
              <w:rPr>
                <w:rFonts w:ascii="Arial" w:cs="Arial" w:eastAsia="Arial" w:hAnsi="Arial"/>
                <w:sz w:val="17"/>
                <w:szCs w:val="17"/>
                <w:color w:val="0000FF"/>
              </w:rPr>
              <w:t>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7"/>
          </w:tcPr>
          <w:p>
            <w:pPr>
              <w:spacing w:after="0"/>
              <w:rPr>
                <w:sz w:val="20"/>
                <w:szCs w:val="20"/>
                <w:color w:val="auto"/>
              </w:rPr>
            </w:pPr>
            <w:r>
              <w:rPr>
                <w:rFonts w:ascii="Arial" w:cs="Arial" w:eastAsia="Arial" w:hAnsi="Arial"/>
                <w:sz w:val="17"/>
                <w:szCs w:val="17"/>
                <w:color w:val="0000FF"/>
                <w:w w:val="97"/>
              </w:rPr>
              <w:t>Results of Operations</w:t>
            </w:r>
          </w:p>
        </w:tc>
        <w:tc>
          <w:tcPr>
            <w:tcW w:w="5660" w:type="dxa"/>
            <w:vAlign w:val="bottom"/>
            <w:gridSpan w:val="13"/>
          </w:tcPr>
          <w:p>
            <w:pPr>
              <w:spacing w:after="0"/>
              <w:rPr>
                <w:sz w:val="18"/>
                <w:szCs w:val="18"/>
                <w:color w:val="auto"/>
              </w:rPr>
            </w:pPr>
          </w:p>
        </w:tc>
        <w:tc>
          <w:tcPr>
            <w:tcW w:w="300" w:type="dxa"/>
            <w:vAlign w:val="bottom"/>
            <w:gridSpan w:val="3"/>
          </w:tcPr>
          <w:p>
            <w:pPr>
              <w:jc w:val="center"/>
              <w:ind w:left="14"/>
              <w:spacing w:after="0"/>
              <w:rPr>
                <w:sz w:val="20"/>
                <w:szCs w:val="20"/>
                <w:color w:val="auto"/>
              </w:rPr>
            </w:pPr>
            <w:r>
              <w:rPr>
                <w:rFonts w:ascii="Arial" w:cs="Arial" w:eastAsia="Arial" w:hAnsi="Arial"/>
                <w:sz w:val="17"/>
                <w:szCs w:val="17"/>
                <w:color w:val="0000FF"/>
              </w:rPr>
              <w:t>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gridSpan w:val="10"/>
          </w:tcPr>
          <w:p>
            <w:pPr>
              <w:spacing w:after="0"/>
              <w:rPr>
                <w:sz w:val="20"/>
                <w:szCs w:val="20"/>
                <w:color w:val="auto"/>
              </w:rPr>
            </w:pPr>
            <w:r>
              <w:rPr>
                <w:rFonts w:ascii="Arial" w:cs="Arial" w:eastAsia="Arial" w:hAnsi="Arial"/>
                <w:sz w:val="17"/>
                <w:szCs w:val="17"/>
                <w:color w:val="0000FF"/>
              </w:rPr>
              <w:t>Financial Condition and Liquidity</w:t>
            </w:r>
          </w:p>
        </w:tc>
        <w:tc>
          <w:tcPr>
            <w:tcW w:w="4500" w:type="dxa"/>
            <w:vAlign w:val="bottom"/>
            <w:gridSpan w:val="10"/>
          </w:tcPr>
          <w:p>
            <w:pPr>
              <w:spacing w:after="0"/>
              <w:rPr>
                <w:sz w:val="17"/>
                <w:szCs w:val="17"/>
                <w:color w:val="auto"/>
              </w:rPr>
            </w:pPr>
          </w:p>
        </w:tc>
        <w:tc>
          <w:tcPr>
            <w:tcW w:w="300" w:type="dxa"/>
            <w:vAlign w:val="bottom"/>
            <w:gridSpan w:val="3"/>
          </w:tcPr>
          <w:p>
            <w:pPr>
              <w:jc w:val="center"/>
              <w:ind w:left="14"/>
              <w:spacing w:after="0"/>
              <w:rPr>
                <w:sz w:val="20"/>
                <w:szCs w:val="20"/>
                <w:color w:val="auto"/>
              </w:rPr>
            </w:pPr>
            <w:r>
              <w:rPr>
                <w:rFonts w:ascii="Arial" w:cs="Arial" w:eastAsia="Arial" w:hAnsi="Arial"/>
                <w:sz w:val="17"/>
                <w:szCs w:val="17"/>
                <w:color w:val="0000FF"/>
              </w:rPr>
              <w:t>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gridSpan w:val="10"/>
          </w:tcPr>
          <w:p>
            <w:pPr>
              <w:spacing w:after="0"/>
              <w:rPr>
                <w:sz w:val="20"/>
                <w:szCs w:val="20"/>
                <w:color w:val="auto"/>
              </w:rPr>
            </w:pPr>
            <w:r>
              <w:rPr>
                <w:rFonts w:ascii="Arial" w:cs="Arial" w:eastAsia="Arial" w:hAnsi="Arial"/>
                <w:sz w:val="17"/>
                <w:szCs w:val="17"/>
                <w:color w:val="0000FF"/>
              </w:rPr>
              <w:t>Critical Accounting Estimates</w:t>
            </w:r>
          </w:p>
        </w:tc>
        <w:tc>
          <w:tcPr>
            <w:tcW w:w="4500" w:type="dxa"/>
            <w:vAlign w:val="bottom"/>
            <w:gridSpan w:val="10"/>
          </w:tcPr>
          <w:p>
            <w:pPr>
              <w:spacing w:after="0"/>
              <w:rPr>
                <w:sz w:val="17"/>
                <w:szCs w:val="17"/>
                <w:color w:val="auto"/>
              </w:rPr>
            </w:pPr>
          </w:p>
        </w:tc>
        <w:tc>
          <w:tcPr>
            <w:tcW w:w="300" w:type="dxa"/>
            <w:vAlign w:val="bottom"/>
            <w:gridSpan w:val="3"/>
          </w:tcPr>
          <w:p>
            <w:pPr>
              <w:jc w:val="center"/>
              <w:ind w:left="14"/>
              <w:spacing w:after="0"/>
              <w:rPr>
                <w:sz w:val="20"/>
                <w:szCs w:val="20"/>
                <w:color w:val="auto"/>
              </w:rPr>
            </w:pPr>
            <w:r>
              <w:rPr>
                <w:rFonts w:ascii="Arial" w:cs="Arial" w:eastAsia="Arial" w:hAnsi="Arial"/>
                <w:sz w:val="17"/>
                <w:szCs w:val="17"/>
                <w:color w:val="0000FF"/>
              </w:rPr>
              <w:t>47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160" w:type="dxa"/>
            <w:vAlign w:val="bottom"/>
            <w:tcBorders>
              <w:left w:val="single" w:sz="8" w:color="0000FF"/>
            </w:tcBorders>
            <w:gridSpan w:val="3"/>
            <w:shd w:val="clear" w:color="auto" w:fill="0000FF"/>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10"/>
          </w:tcPr>
          <w:p>
            <w:pPr>
              <w:spacing w:after="0"/>
              <w:rPr>
                <w:sz w:val="20"/>
                <w:szCs w:val="20"/>
                <w:color w:val="auto"/>
              </w:rPr>
            </w:pPr>
            <w:r>
              <w:rPr>
                <w:rFonts w:ascii="Arial" w:cs="Arial" w:eastAsia="Arial" w:hAnsi="Arial"/>
                <w:sz w:val="17"/>
                <w:szCs w:val="17"/>
                <w:color w:val="0000FF"/>
              </w:rPr>
              <w:t>Available Information on our Website</w:t>
            </w:r>
          </w:p>
        </w:tc>
        <w:tc>
          <w:tcPr>
            <w:tcW w:w="4500" w:type="dxa"/>
            <w:vAlign w:val="bottom"/>
            <w:gridSpan w:val="10"/>
          </w:tcPr>
          <w:p>
            <w:pPr>
              <w:spacing w:after="0"/>
              <w:rPr>
                <w:sz w:val="18"/>
                <w:szCs w:val="18"/>
                <w:color w:val="auto"/>
              </w:rPr>
            </w:pPr>
          </w:p>
        </w:tc>
        <w:tc>
          <w:tcPr>
            <w:tcW w:w="300" w:type="dxa"/>
            <w:vAlign w:val="bottom"/>
            <w:gridSpan w:val="3"/>
          </w:tcPr>
          <w:p>
            <w:pPr>
              <w:jc w:val="center"/>
              <w:ind w:left="14"/>
              <w:spacing w:after="0"/>
              <w:rPr>
                <w:sz w:val="20"/>
                <w:szCs w:val="20"/>
                <w:color w:val="auto"/>
              </w:rPr>
            </w:pPr>
            <w:r>
              <w:rPr>
                <w:rFonts w:ascii="Arial" w:cs="Arial" w:eastAsia="Arial" w:hAnsi="Arial"/>
                <w:sz w:val="17"/>
                <w:szCs w:val="17"/>
                <w:color w:val="0000FF"/>
              </w:rPr>
              <w:t>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160" w:type="dxa"/>
            <w:vAlign w:val="bottom"/>
            <w:tcBorders>
              <w:left w:val="single" w:sz="8" w:color="0000FF"/>
            </w:tcBorders>
            <w:gridSpan w:val="3"/>
            <w:shd w:val="clear" w:color="auto" w:fill="0000FF"/>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220" w:type="dxa"/>
            <w:vAlign w:val="bottom"/>
            <w:gridSpan w:val="5"/>
          </w:tcPr>
          <w:p>
            <w:pPr>
              <w:spacing w:after="0"/>
              <w:rPr>
                <w:sz w:val="20"/>
                <w:szCs w:val="20"/>
                <w:color w:val="auto"/>
              </w:rPr>
            </w:pPr>
            <w:r>
              <w:rPr>
                <w:rFonts w:ascii="Arial" w:cs="Arial" w:eastAsia="Arial" w:hAnsi="Arial"/>
                <w:sz w:val="17"/>
                <w:szCs w:val="17"/>
                <w:color w:val="0000FF"/>
              </w:rPr>
              <w:t>Item 3.</w:t>
            </w:r>
          </w:p>
        </w:tc>
        <w:tc>
          <w:tcPr>
            <w:tcW w:w="920" w:type="dxa"/>
            <w:vAlign w:val="bottom"/>
          </w:tcPr>
          <w:p>
            <w:pPr>
              <w:spacing w:after="0"/>
              <w:rPr>
                <w:sz w:val="17"/>
                <w:szCs w:val="17"/>
                <w:color w:val="auto"/>
              </w:rPr>
            </w:pPr>
          </w:p>
        </w:tc>
        <w:tc>
          <w:tcPr>
            <w:tcW w:w="7500" w:type="dxa"/>
            <w:vAlign w:val="bottom"/>
            <w:gridSpan w:val="21"/>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300" w:type="dxa"/>
            <w:vAlign w:val="bottom"/>
            <w:gridSpan w:val="3"/>
          </w:tcPr>
          <w:p>
            <w:pPr>
              <w:jc w:val="center"/>
              <w:ind w:left="14"/>
              <w:spacing w:after="0"/>
              <w:rPr>
                <w:sz w:val="20"/>
                <w:szCs w:val="20"/>
                <w:color w:val="auto"/>
              </w:rPr>
            </w:pPr>
            <w:r>
              <w:rPr>
                <w:rFonts w:ascii="Arial" w:cs="Arial" w:eastAsia="Arial" w:hAnsi="Arial"/>
                <w:sz w:val="17"/>
                <w:szCs w:val="17"/>
                <w:color w:val="0000FF"/>
              </w:rPr>
              <w:t>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220" w:type="dxa"/>
            <w:vAlign w:val="bottom"/>
            <w:gridSpan w:val="5"/>
          </w:tcPr>
          <w:p>
            <w:pPr>
              <w:spacing w:after="0"/>
              <w:rPr>
                <w:sz w:val="20"/>
                <w:szCs w:val="20"/>
                <w:color w:val="auto"/>
              </w:rPr>
            </w:pPr>
            <w:r>
              <w:rPr>
                <w:rFonts w:ascii="Arial" w:cs="Arial" w:eastAsia="Arial" w:hAnsi="Arial"/>
                <w:sz w:val="17"/>
                <w:szCs w:val="17"/>
                <w:color w:val="0000FF"/>
              </w:rPr>
              <w:t>Item 4.</w:t>
            </w:r>
          </w:p>
        </w:tc>
        <w:tc>
          <w:tcPr>
            <w:tcW w:w="920" w:type="dxa"/>
            <w:vAlign w:val="bottom"/>
          </w:tcPr>
          <w:p>
            <w:pPr>
              <w:spacing w:after="0"/>
              <w:rPr>
                <w:sz w:val="17"/>
                <w:szCs w:val="17"/>
                <w:color w:val="auto"/>
              </w:rPr>
            </w:pPr>
          </w:p>
        </w:tc>
        <w:tc>
          <w:tcPr>
            <w:tcW w:w="7500" w:type="dxa"/>
            <w:vAlign w:val="bottom"/>
            <w:gridSpan w:val="21"/>
          </w:tcPr>
          <w:p>
            <w:pPr>
              <w:spacing w:after="0"/>
              <w:rPr>
                <w:sz w:val="20"/>
                <w:szCs w:val="20"/>
                <w:color w:val="auto"/>
              </w:rPr>
            </w:pPr>
            <w:r>
              <w:rPr>
                <w:rFonts w:ascii="Arial" w:cs="Arial" w:eastAsia="Arial" w:hAnsi="Arial"/>
                <w:sz w:val="17"/>
                <w:szCs w:val="17"/>
                <w:color w:val="0000FF"/>
              </w:rPr>
              <w:t>Controls and Procedures</w:t>
            </w:r>
          </w:p>
        </w:tc>
        <w:tc>
          <w:tcPr>
            <w:tcW w:w="300" w:type="dxa"/>
            <w:vAlign w:val="bottom"/>
            <w:gridSpan w:val="3"/>
          </w:tcPr>
          <w:p>
            <w:pPr>
              <w:jc w:val="center"/>
              <w:ind w:left="14"/>
              <w:spacing w:after="0"/>
              <w:rPr>
                <w:sz w:val="20"/>
                <w:szCs w:val="20"/>
                <w:color w:val="auto"/>
              </w:rPr>
            </w:pPr>
            <w:r>
              <w:rPr>
                <w:rFonts w:ascii="Arial" w:cs="Arial" w:eastAsia="Arial" w:hAnsi="Arial"/>
                <w:sz w:val="17"/>
                <w:szCs w:val="17"/>
                <w:color w:val="0000FF"/>
              </w:rPr>
              <w:t>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2020" w:type="dxa"/>
            <w:vAlign w:val="bottom"/>
            <w:gridSpan w:val="4"/>
          </w:tcPr>
          <w:p>
            <w:pPr>
              <w:spacing w:after="0"/>
              <w:rPr>
                <w:sz w:val="20"/>
                <w:szCs w:val="20"/>
                <w:color w:val="auto"/>
              </w:rPr>
            </w:pPr>
            <w:r>
              <w:rPr>
                <w:rFonts w:ascii="Arial" w:cs="Arial" w:eastAsia="Arial" w:hAnsi="Arial"/>
                <w:sz w:val="17"/>
                <w:szCs w:val="17"/>
                <w:color w:val="0000FF"/>
                <w:w w:val="99"/>
              </w:rPr>
              <w:t>PART II. Other Information</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gridSpan w:val="3"/>
          </w:tcPr>
          <w:p>
            <w:pPr>
              <w:jc w:val="center"/>
              <w:ind w:left="14"/>
              <w:spacing w:after="0"/>
              <w:rPr>
                <w:sz w:val="20"/>
                <w:szCs w:val="20"/>
                <w:color w:val="auto"/>
              </w:rPr>
            </w:pPr>
            <w:r>
              <w:rPr>
                <w:rFonts w:ascii="Arial" w:cs="Arial" w:eastAsia="Arial" w:hAnsi="Arial"/>
                <w:sz w:val="17"/>
                <w:szCs w:val="17"/>
                <w:color w:val="0000FF"/>
              </w:rPr>
              <w:t>49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gridSpan w:val="13"/>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8"/>
        </w:trPr>
        <w:tc>
          <w:tcPr>
            <w:tcW w:w="20" w:type="dxa"/>
            <w:vAlign w:val="bottom"/>
          </w:tcPr>
          <w:p>
            <w:pPr>
              <w:spacing w:after="0"/>
              <w:rPr>
                <w:sz w:val="24"/>
                <w:szCs w:val="24"/>
                <w:color w:val="auto"/>
              </w:rPr>
            </w:pPr>
          </w:p>
        </w:tc>
        <w:tc>
          <w:tcPr>
            <w:tcW w:w="2020" w:type="dxa"/>
            <w:vAlign w:val="bottom"/>
            <w:gridSpan w:val="4"/>
          </w:tcPr>
          <w:p>
            <w:pPr>
              <w:spacing w:after="0"/>
              <w:rPr>
                <w:sz w:val="20"/>
                <w:szCs w:val="20"/>
                <w:color w:val="auto"/>
              </w:rPr>
            </w:pPr>
            <w:r>
              <w:rPr>
                <w:rFonts w:ascii="Arial" w:cs="Arial" w:eastAsia="Arial" w:hAnsi="Arial"/>
                <w:sz w:val="17"/>
                <w:szCs w:val="17"/>
                <w:color w:val="0000FF"/>
              </w:rPr>
              <w:t>Item 1.</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500" w:type="dxa"/>
            <w:vAlign w:val="bottom"/>
            <w:gridSpan w:val="21"/>
          </w:tcPr>
          <w:p>
            <w:pPr>
              <w:spacing w:after="0"/>
              <w:rPr>
                <w:sz w:val="20"/>
                <w:szCs w:val="20"/>
                <w:color w:val="auto"/>
              </w:rPr>
            </w:pPr>
            <w:r>
              <w:rPr>
                <w:rFonts w:ascii="Arial" w:cs="Arial" w:eastAsia="Arial" w:hAnsi="Arial"/>
                <w:sz w:val="17"/>
                <w:szCs w:val="17"/>
                <w:color w:val="0000FF"/>
              </w:rPr>
              <w:t>Legal Proceedings</w:t>
            </w:r>
          </w:p>
        </w:tc>
        <w:tc>
          <w:tcPr>
            <w:tcW w:w="300" w:type="dxa"/>
            <w:vAlign w:val="bottom"/>
            <w:gridSpan w:val="3"/>
          </w:tcPr>
          <w:p>
            <w:pPr>
              <w:jc w:val="center"/>
              <w:ind w:left="14"/>
              <w:spacing w:after="0"/>
              <w:rPr>
                <w:sz w:val="20"/>
                <w:szCs w:val="20"/>
                <w:color w:val="auto"/>
              </w:rPr>
            </w:pPr>
            <w:r>
              <w:rPr>
                <w:rFonts w:ascii="Arial" w:cs="Arial" w:eastAsia="Arial" w:hAnsi="Arial"/>
                <w:sz w:val="17"/>
                <w:szCs w:val="17"/>
                <w:color w:val="0000FF"/>
              </w:rPr>
              <w:t>49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20" w:type="dxa"/>
            <w:vAlign w:val="bottom"/>
            <w:gridSpan w:val="13"/>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220" w:type="dxa"/>
            <w:vAlign w:val="bottom"/>
            <w:gridSpan w:val="5"/>
          </w:tcPr>
          <w:p>
            <w:pPr>
              <w:spacing w:after="0"/>
              <w:rPr>
                <w:sz w:val="20"/>
                <w:szCs w:val="20"/>
                <w:color w:val="auto"/>
              </w:rPr>
            </w:pPr>
            <w:r>
              <w:rPr>
                <w:rFonts w:ascii="Arial" w:cs="Arial" w:eastAsia="Arial" w:hAnsi="Arial"/>
                <w:sz w:val="17"/>
                <w:szCs w:val="17"/>
                <w:color w:val="0000FF"/>
              </w:rPr>
              <w:t>Item 1A.</w:t>
            </w:r>
          </w:p>
        </w:tc>
        <w:tc>
          <w:tcPr>
            <w:tcW w:w="920" w:type="dxa"/>
            <w:vAlign w:val="bottom"/>
          </w:tcPr>
          <w:p>
            <w:pPr>
              <w:spacing w:after="0"/>
              <w:rPr>
                <w:sz w:val="17"/>
                <w:szCs w:val="17"/>
                <w:color w:val="auto"/>
              </w:rPr>
            </w:pPr>
          </w:p>
        </w:tc>
        <w:tc>
          <w:tcPr>
            <w:tcW w:w="7500" w:type="dxa"/>
            <w:vAlign w:val="bottom"/>
            <w:gridSpan w:val="21"/>
          </w:tcPr>
          <w:p>
            <w:pPr>
              <w:spacing w:after="0"/>
              <w:rPr>
                <w:sz w:val="20"/>
                <w:szCs w:val="20"/>
                <w:color w:val="auto"/>
              </w:rPr>
            </w:pPr>
            <w:r>
              <w:rPr>
                <w:rFonts w:ascii="Arial" w:cs="Arial" w:eastAsia="Arial" w:hAnsi="Arial"/>
                <w:sz w:val="17"/>
                <w:szCs w:val="17"/>
                <w:color w:val="0000FF"/>
              </w:rPr>
              <w:t>Risk Factors</w:t>
            </w:r>
          </w:p>
        </w:tc>
        <w:tc>
          <w:tcPr>
            <w:tcW w:w="300" w:type="dxa"/>
            <w:vAlign w:val="bottom"/>
            <w:gridSpan w:val="3"/>
          </w:tcPr>
          <w:p>
            <w:pPr>
              <w:jc w:val="center"/>
              <w:ind w:left="14"/>
              <w:spacing w:after="0"/>
              <w:rPr>
                <w:sz w:val="20"/>
                <w:szCs w:val="20"/>
                <w:color w:val="auto"/>
              </w:rPr>
            </w:pPr>
            <w:r>
              <w:rPr>
                <w:rFonts w:ascii="Arial" w:cs="Arial" w:eastAsia="Arial" w:hAnsi="Arial"/>
                <w:sz w:val="17"/>
                <w:szCs w:val="17"/>
                <w:color w:val="0000FF"/>
              </w:rPr>
              <w:t>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00" w:type="dxa"/>
            <w:vAlign w:val="bottom"/>
            <w:gridSpan w:val="14"/>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7"/>
                <w:szCs w:val="17"/>
                <w:color w:val="0000FF"/>
              </w:rPr>
              <w:t>Item 2.</w:t>
            </w:r>
          </w:p>
        </w:tc>
        <w:tc>
          <w:tcPr>
            <w:tcW w:w="1580" w:type="dxa"/>
            <w:vAlign w:val="bottom"/>
            <w:gridSpan w:val="3"/>
          </w:tcPr>
          <w:p>
            <w:pPr>
              <w:spacing w:after="0"/>
              <w:rPr>
                <w:sz w:val="18"/>
                <w:szCs w:val="18"/>
                <w:color w:val="auto"/>
              </w:rPr>
            </w:pPr>
          </w:p>
        </w:tc>
        <w:tc>
          <w:tcPr>
            <w:tcW w:w="920" w:type="dxa"/>
            <w:vAlign w:val="bottom"/>
          </w:tcPr>
          <w:p>
            <w:pPr>
              <w:spacing w:after="0"/>
              <w:rPr>
                <w:sz w:val="18"/>
                <w:szCs w:val="18"/>
                <w:color w:val="auto"/>
              </w:rPr>
            </w:pPr>
          </w:p>
        </w:tc>
        <w:tc>
          <w:tcPr>
            <w:tcW w:w="7500" w:type="dxa"/>
            <w:vAlign w:val="bottom"/>
            <w:gridSpan w:val="21"/>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300" w:type="dxa"/>
            <w:vAlign w:val="bottom"/>
            <w:gridSpan w:val="3"/>
          </w:tcPr>
          <w:p>
            <w:pPr>
              <w:jc w:val="center"/>
              <w:ind w:left="14"/>
              <w:spacing w:after="0"/>
              <w:rPr>
                <w:sz w:val="20"/>
                <w:szCs w:val="20"/>
                <w:color w:val="auto"/>
              </w:rPr>
            </w:pPr>
            <w:r>
              <w:rPr>
                <w:rFonts w:ascii="Arial" w:cs="Arial" w:eastAsia="Arial" w:hAnsi="Arial"/>
                <w:sz w:val="17"/>
                <w:szCs w:val="17"/>
                <w:color w:val="0000FF"/>
              </w:rPr>
              <w:t>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300" w:type="dxa"/>
            <w:vAlign w:val="bottom"/>
            <w:gridSpan w:val="14"/>
            <w:shd w:val="clear" w:color="auto" w:fill="0000FF"/>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220" w:type="dxa"/>
            <w:vAlign w:val="bottom"/>
            <w:gridSpan w:val="5"/>
          </w:tcPr>
          <w:p>
            <w:pPr>
              <w:spacing w:after="0"/>
              <w:rPr>
                <w:sz w:val="20"/>
                <w:szCs w:val="20"/>
                <w:color w:val="auto"/>
              </w:rPr>
            </w:pPr>
            <w:r>
              <w:rPr>
                <w:rFonts w:ascii="Arial" w:cs="Arial" w:eastAsia="Arial" w:hAnsi="Arial"/>
                <w:sz w:val="17"/>
                <w:szCs w:val="17"/>
                <w:color w:val="0000FF"/>
              </w:rPr>
              <w:t>Item 5.</w:t>
            </w:r>
          </w:p>
        </w:tc>
        <w:tc>
          <w:tcPr>
            <w:tcW w:w="920" w:type="dxa"/>
            <w:vAlign w:val="bottom"/>
          </w:tcPr>
          <w:p>
            <w:pPr>
              <w:spacing w:after="0"/>
              <w:rPr>
                <w:sz w:val="17"/>
                <w:szCs w:val="17"/>
                <w:color w:val="auto"/>
              </w:rPr>
            </w:pPr>
          </w:p>
        </w:tc>
        <w:tc>
          <w:tcPr>
            <w:tcW w:w="7500" w:type="dxa"/>
            <w:vAlign w:val="bottom"/>
            <w:gridSpan w:val="21"/>
          </w:tcPr>
          <w:p>
            <w:pPr>
              <w:spacing w:after="0"/>
              <w:rPr>
                <w:sz w:val="20"/>
                <w:szCs w:val="20"/>
                <w:color w:val="auto"/>
              </w:rPr>
            </w:pPr>
            <w:r>
              <w:rPr>
                <w:rFonts w:ascii="Arial" w:cs="Arial" w:eastAsia="Arial" w:hAnsi="Arial"/>
                <w:sz w:val="17"/>
                <w:szCs w:val="17"/>
                <w:color w:val="0000FF"/>
              </w:rPr>
              <w:t>Other Information</w:t>
            </w:r>
          </w:p>
        </w:tc>
        <w:tc>
          <w:tcPr>
            <w:tcW w:w="300" w:type="dxa"/>
            <w:vAlign w:val="bottom"/>
            <w:gridSpan w:val="3"/>
          </w:tcPr>
          <w:p>
            <w:pPr>
              <w:jc w:val="center"/>
              <w:ind w:left="14"/>
              <w:spacing w:after="0"/>
              <w:rPr>
                <w:sz w:val="20"/>
                <w:szCs w:val="20"/>
                <w:color w:val="auto"/>
              </w:rPr>
            </w:pPr>
            <w:r>
              <w:rPr>
                <w:rFonts w:ascii="Arial" w:cs="Arial" w:eastAsia="Arial" w:hAnsi="Arial"/>
                <w:sz w:val="17"/>
                <w:szCs w:val="17"/>
                <w:color w:val="0000FF"/>
              </w:rPr>
              <w:t>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160" w:type="dxa"/>
            <w:vAlign w:val="bottom"/>
            <w:gridSpan w:val="17"/>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220" w:type="dxa"/>
            <w:vAlign w:val="bottom"/>
            <w:gridSpan w:val="5"/>
          </w:tcPr>
          <w:p>
            <w:pPr>
              <w:spacing w:after="0"/>
              <w:rPr>
                <w:sz w:val="20"/>
                <w:szCs w:val="20"/>
                <w:color w:val="auto"/>
              </w:rPr>
            </w:pPr>
            <w:r>
              <w:rPr>
                <w:rFonts w:ascii="Arial" w:cs="Arial" w:eastAsia="Arial" w:hAnsi="Arial"/>
                <w:sz w:val="17"/>
                <w:szCs w:val="17"/>
                <w:color w:val="0000FF"/>
              </w:rPr>
              <w:t>Item 6.</w:t>
            </w:r>
          </w:p>
        </w:tc>
        <w:tc>
          <w:tcPr>
            <w:tcW w:w="920" w:type="dxa"/>
            <w:vAlign w:val="bottom"/>
          </w:tcPr>
          <w:p>
            <w:pPr>
              <w:spacing w:after="0"/>
              <w:rPr>
                <w:sz w:val="17"/>
                <w:szCs w:val="17"/>
                <w:color w:val="auto"/>
              </w:rPr>
            </w:pPr>
          </w:p>
        </w:tc>
        <w:tc>
          <w:tcPr>
            <w:tcW w:w="7500" w:type="dxa"/>
            <w:vAlign w:val="bottom"/>
            <w:gridSpan w:val="21"/>
          </w:tcPr>
          <w:p>
            <w:pPr>
              <w:spacing w:after="0"/>
              <w:rPr>
                <w:sz w:val="20"/>
                <w:szCs w:val="20"/>
                <w:color w:val="auto"/>
              </w:rPr>
            </w:pPr>
            <w:r>
              <w:rPr>
                <w:rFonts w:ascii="Arial" w:cs="Arial" w:eastAsia="Arial" w:hAnsi="Arial"/>
                <w:sz w:val="17"/>
                <w:szCs w:val="17"/>
                <w:color w:val="0000FF"/>
              </w:rPr>
              <w:t>Exhibits</w:t>
            </w:r>
          </w:p>
        </w:tc>
        <w:tc>
          <w:tcPr>
            <w:tcW w:w="300" w:type="dxa"/>
            <w:vAlign w:val="bottom"/>
            <w:gridSpan w:val="3"/>
          </w:tcPr>
          <w:p>
            <w:pPr>
              <w:jc w:val="center"/>
              <w:ind w:left="14"/>
              <w:spacing w:after="0"/>
              <w:rPr>
                <w:sz w:val="20"/>
                <w:szCs w:val="20"/>
                <w:color w:val="auto"/>
              </w:rPr>
            </w:pPr>
            <w:r>
              <w:rPr>
                <w:rFonts w:ascii="Arial" w:cs="Arial" w:eastAsia="Arial" w:hAnsi="Arial"/>
                <w:sz w:val="17"/>
                <w:szCs w:val="17"/>
                <w:color w:val="0000FF"/>
              </w:rPr>
              <w:t>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2220" w:type="dxa"/>
            <w:vAlign w:val="bottom"/>
            <w:gridSpan w:val="5"/>
          </w:tcPr>
          <w:p>
            <w:pPr>
              <w:spacing w:after="0"/>
              <w:rPr>
                <w:sz w:val="20"/>
                <w:szCs w:val="20"/>
                <w:color w:val="auto"/>
              </w:rPr>
            </w:pPr>
            <w:r>
              <w:rPr>
                <w:rFonts w:ascii="Arial" w:cs="Arial" w:eastAsia="Arial" w:hAnsi="Arial"/>
                <w:sz w:val="17"/>
                <w:szCs w:val="17"/>
                <w:color w:val="0000FF"/>
              </w:rPr>
              <w:t>Signatures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gridSpan w:val="3"/>
          </w:tcPr>
          <w:p>
            <w:pPr>
              <w:jc w:val="center"/>
              <w:ind w:left="14"/>
              <w:spacing w:after="0"/>
              <w:rPr>
                <w:sz w:val="20"/>
                <w:szCs w:val="20"/>
                <w:color w:val="auto"/>
              </w:rPr>
            </w:pPr>
            <w:r>
              <w:rPr>
                <w:rFonts w:ascii="Arial" w:cs="Arial" w:eastAsia="Arial" w:hAnsi="Arial"/>
                <w:sz w:val="17"/>
                <w:szCs w:val="17"/>
                <w:color w:val="0000FF"/>
              </w:rPr>
              <w:t>50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843"/>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11"/>
          </w:tcPr>
          <w:p>
            <w:pPr>
              <w:jc w:val="right"/>
              <w:ind w:right="140"/>
              <w:spacing w:after="0"/>
              <w:rPr>
                <w:sz w:val="20"/>
                <w:szCs w:val="20"/>
                <w:color w:val="auto"/>
              </w:rPr>
            </w:pPr>
            <w:r>
              <w:rPr>
                <w:rFonts w:ascii="Arial" w:cs="Arial" w:eastAsia="Arial" w:hAnsi="Arial"/>
                <w:sz w:val="17"/>
                <w:szCs w:val="17"/>
                <w:color w:val="auto"/>
              </w:rPr>
              <w:t>2</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 w:name="page3"/>
    <w:bookmarkEnd w:id="2"/>
    <w:p>
      <w:pPr>
        <w:spacing w:after="0"/>
        <w:rPr>
          <w:sz w:val="20"/>
          <w:szCs w:val="20"/>
          <w:color w:val="auto"/>
        </w:rPr>
      </w:pPr>
      <w:r>
        <w:rPr>
          <w:rFonts w:ascii="Arial" w:cs="Arial" w:eastAsia="Arial" w:hAnsi="Arial"/>
          <w:sz w:val="24"/>
          <w:szCs w:val="24"/>
          <w:i w:val="1"/>
          <w:iCs w:val="1"/>
          <w:color w:val="auto"/>
        </w:rPr>
        <w:t>Forward-Looking Statements</w:t>
      </w:r>
    </w:p>
    <w:p>
      <w:pPr>
        <w:spacing w:after="0" w:line="123"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This Quarterly Report on Form 10-Q and our other publicly available documents include forward-looking statements within the meaning of Section 27A of the Securities Act of 1933 and Section 21E of the Securities Exchange Act of 1934 (Exchange Act), and are subject to the safe harbor created thereby under the Private Securities Litigation Reform Act of 1995. In particular, information appearing under "Management's Discussion and Analysis of Results of Operations and Financial Condition" includes forward-looking statements. Forward-looking statements include all statements that do not relate solely to historical or current facts, and generally can be identified by the use of words such as "may," "believe," "will," "expect," "project," "estimate," "intend," "anticipate," "plan," "continue," or similar expressions or future or conditional verbs.</w:t>
      </w:r>
    </w:p>
    <w:p>
      <w:pPr>
        <w:spacing w:after="0" w:line="8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Forward-looking statements inherently involve many risks and uncertainties that could cause actual results to differ materially from those expressed in forward-looking statements. Where, in any forward-looking statement, we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Investors therefore should not place undue reliance on forward-looking statements. The following include some but not all of the factors that could cause actual results or events to differ materially from those anticipated:</w:t>
      </w:r>
    </w:p>
    <w:p>
      <w:pPr>
        <w:spacing w:after="0" w:line="30" w:lineRule="exact"/>
        <w:rPr>
          <w:sz w:val="20"/>
          <w:szCs w:val="20"/>
          <w:color w:val="auto"/>
        </w:rPr>
      </w:pPr>
    </w:p>
    <w:p>
      <w:pPr>
        <w:ind w:left="320" w:right="580" w:hanging="317"/>
        <w:spacing w:after="0" w:line="277" w:lineRule="auto"/>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significant costs and uncertainties in the pharmaceutical research and development process, including with respect to the timing and process of obtaining regulatory approvals;</w:t>
      </w: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and outcome of acquisitions and business development transactions and related costs;</w:t>
      </w:r>
    </w:p>
    <w:p>
      <w:pPr>
        <w:spacing w:after="0" w:line="49" w:lineRule="exact"/>
        <w:rPr>
          <w:rFonts w:ascii="Arial" w:cs="Arial" w:eastAsia="Arial" w:hAnsi="Arial"/>
          <w:sz w:val="17"/>
          <w:szCs w:val="17"/>
          <w:color w:val="auto"/>
        </w:rPr>
      </w:pP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expiration of intellectual property protection for certain of our products and competition from generic and/or biosimilar products;</w:t>
      </w:r>
    </w:p>
    <w:p>
      <w:pPr>
        <w:spacing w:after="0" w:line="62" w:lineRule="exact"/>
        <w:rPr>
          <w:rFonts w:ascii="Arial" w:cs="Arial" w:eastAsia="Arial" w:hAnsi="Arial"/>
          <w:sz w:val="17"/>
          <w:szCs w:val="17"/>
          <w:color w:val="auto"/>
        </w:rPr>
      </w:pP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protect and enforce patents and other intellectual property;</w:t>
      </w:r>
    </w:p>
    <w:p>
      <w:pPr>
        <w:spacing w:after="0" w:line="49" w:lineRule="exact"/>
        <w:rPr>
          <w:rFonts w:ascii="Arial" w:cs="Arial" w:eastAsia="Arial" w:hAnsi="Arial"/>
          <w:sz w:val="17"/>
          <w:szCs w:val="17"/>
          <w:color w:val="auto"/>
        </w:rPr>
      </w:pP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patent law or regulations related to data package exclusivity;</w:t>
      </w:r>
    </w:p>
    <w:p>
      <w:pPr>
        <w:spacing w:after="0" w:line="49" w:lineRule="exact"/>
        <w:rPr>
          <w:rFonts w:ascii="Arial" w:cs="Arial" w:eastAsia="Arial" w:hAnsi="Arial"/>
          <w:sz w:val="17"/>
          <w:szCs w:val="17"/>
          <w:color w:val="auto"/>
        </w:rPr>
      </w:pP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competitive developments affecting current products and our pipeline;</w:t>
      </w:r>
    </w:p>
    <w:p>
      <w:pPr>
        <w:spacing w:after="0" w:line="62" w:lineRule="exact"/>
        <w:rPr>
          <w:rFonts w:ascii="Arial" w:cs="Arial" w:eastAsia="Arial" w:hAnsi="Arial"/>
          <w:sz w:val="17"/>
          <w:szCs w:val="17"/>
          <w:color w:val="auto"/>
        </w:rPr>
      </w:pP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market uptake of recently launched products;</w:t>
      </w:r>
    </w:p>
    <w:p>
      <w:pPr>
        <w:spacing w:after="0" w:line="49" w:lineRule="exact"/>
        <w:rPr>
          <w:rFonts w:ascii="Arial" w:cs="Arial" w:eastAsia="Arial" w:hAnsi="Arial"/>
          <w:sz w:val="17"/>
          <w:szCs w:val="17"/>
          <w:color w:val="auto"/>
        </w:rPr>
      </w:pP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information technology system inadequacies, breaches, or operating failures;</w:t>
      </w:r>
    </w:p>
    <w:p>
      <w:pPr>
        <w:spacing w:after="0" w:line="49" w:lineRule="exact"/>
        <w:rPr>
          <w:rFonts w:ascii="Arial" w:cs="Arial" w:eastAsia="Arial" w:hAnsi="Arial"/>
          <w:sz w:val="17"/>
          <w:szCs w:val="17"/>
          <w:color w:val="auto"/>
        </w:rPr>
      </w:pPr>
    </w:p>
    <w:p>
      <w:pPr>
        <w:ind w:left="320" w:right="40" w:hanging="317"/>
        <w:spacing w:after="0" w:line="280" w:lineRule="auto"/>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unauthorized access, disclosure, misappropriation, or compromise of confidential information or other data stored in our information technology systems, networks, and facilities, or those of third parties with whom we share our data;</w:t>
      </w:r>
    </w:p>
    <w:p>
      <w:pPr>
        <w:spacing w:after="0" w:line="8" w:lineRule="exact"/>
        <w:rPr>
          <w:rFonts w:ascii="Arial" w:cs="Arial" w:eastAsia="Arial" w:hAnsi="Arial"/>
          <w:sz w:val="17"/>
          <w:szCs w:val="17"/>
          <w:color w:val="auto"/>
        </w:rPr>
      </w:pPr>
    </w:p>
    <w:p>
      <w:pPr>
        <w:ind w:left="320" w:right="260" w:hanging="317"/>
        <w:spacing w:after="0" w:line="277" w:lineRule="auto"/>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global macroeconomic conditions, trade disruptions, disputes, unrest, war, regional dependencies, or other costs, uncertainties and risks related to engaging in business globally;</w:t>
      </w: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unexpected safety or efficacy concerns associated with our products;</w:t>
      </w:r>
    </w:p>
    <w:p>
      <w:pPr>
        <w:spacing w:after="0" w:line="49" w:lineRule="exact"/>
        <w:rPr>
          <w:rFonts w:ascii="Arial" w:cs="Arial" w:eastAsia="Arial" w:hAnsi="Arial"/>
          <w:sz w:val="17"/>
          <w:szCs w:val="17"/>
          <w:color w:val="auto"/>
        </w:rPr>
      </w:pPr>
    </w:p>
    <w:p>
      <w:pPr>
        <w:ind w:left="320" w:right="200" w:hanging="317"/>
        <w:spacing w:after="0" w:line="280" w:lineRule="auto"/>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litigation, investigations, or other similar proceedings involving past, current, or future products or commercial activities as we are largely self-insured;</w:t>
      </w:r>
    </w:p>
    <w:p>
      <w:pPr>
        <w:spacing w:after="0" w:line="8" w:lineRule="exact"/>
        <w:rPr>
          <w:rFonts w:ascii="Arial" w:cs="Arial" w:eastAsia="Arial" w:hAnsi="Arial"/>
          <w:sz w:val="17"/>
          <w:szCs w:val="17"/>
          <w:color w:val="auto"/>
        </w:rPr>
      </w:pPr>
    </w:p>
    <w:p>
      <w:pPr>
        <w:ind w:left="320" w:right="40" w:hanging="317"/>
        <w:spacing w:after="0" w:line="277" w:lineRule="auto"/>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issues with product supply and regulatory approvals stemming from manufacturing difficulties, disruptions, or shortages, including as a result of unpredictability and variability in demand, labor shortages, third-party performance, quality, or regulatory actions related to our facilities;</w:t>
      </w: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dependence on certain products for a significant percentage of our total revenue and an increasingly consolidated supply chain;</w:t>
      </w:r>
    </w:p>
    <w:p>
      <w:pPr>
        <w:spacing w:after="0" w:line="49" w:lineRule="exact"/>
        <w:rPr>
          <w:rFonts w:ascii="Arial" w:cs="Arial" w:eastAsia="Arial" w:hAnsi="Arial"/>
          <w:sz w:val="17"/>
          <w:szCs w:val="17"/>
          <w:color w:val="auto"/>
        </w:rPr>
      </w:pP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reliance on third-party relationships and outsourcing arrangements;</w:t>
      </w:r>
    </w:p>
    <w:p>
      <w:pPr>
        <w:spacing w:after="0" w:line="62" w:lineRule="exact"/>
        <w:rPr>
          <w:rFonts w:ascii="Arial" w:cs="Arial" w:eastAsia="Arial" w:hAnsi="Arial"/>
          <w:sz w:val="17"/>
          <w:szCs w:val="17"/>
          <w:color w:val="auto"/>
        </w:rPr>
      </w:pP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public health outbreaks, epidemics, or pandemics, such as the COVID-19 pandemic;</w:t>
      </w:r>
    </w:p>
    <w:p>
      <w:pPr>
        <w:spacing w:after="0" w:line="49" w:lineRule="exact"/>
        <w:rPr>
          <w:rFonts w:ascii="Arial" w:cs="Arial" w:eastAsia="Arial" w:hAnsi="Arial"/>
          <w:sz w:val="17"/>
          <w:szCs w:val="17"/>
          <w:color w:val="auto"/>
        </w:rPr>
      </w:pP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regulatory changes or other developments;</w:t>
      </w:r>
    </w:p>
    <w:p>
      <w:pPr>
        <w:spacing w:after="0" w:line="49" w:lineRule="exact"/>
        <w:rPr>
          <w:rFonts w:ascii="Arial" w:cs="Arial" w:eastAsia="Arial" w:hAnsi="Arial"/>
          <w:sz w:val="17"/>
          <w:szCs w:val="17"/>
          <w:color w:val="auto"/>
        </w:rPr>
      </w:pP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regulatory actions regarding operations and products;</w:t>
      </w:r>
    </w:p>
    <w:p>
      <w:pPr>
        <w:spacing w:after="0" w:line="62" w:lineRule="exact"/>
        <w:rPr>
          <w:rFonts w:ascii="Arial" w:cs="Arial" w:eastAsia="Arial" w:hAnsi="Arial"/>
          <w:sz w:val="17"/>
          <w:szCs w:val="17"/>
          <w:color w:val="auto"/>
        </w:rPr>
      </w:pPr>
    </w:p>
    <w:p>
      <w:pPr>
        <w:ind w:left="320" w:right="20" w:hanging="317"/>
        <w:spacing w:after="0" w:line="277" w:lineRule="auto"/>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continued pricing pressures and the impact of actions of governmental and private payers affecting pricing of, reimbursement for, and access to pharmaceuticals;</w:t>
      </w: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devaluations in foreign currency exchange rates or changes in interest rates and inflation;</w:t>
      </w:r>
    </w:p>
    <w:p>
      <w:pPr>
        <w:spacing w:after="0" w:line="49" w:lineRule="exact"/>
        <w:rPr>
          <w:rFonts w:ascii="Arial" w:cs="Arial" w:eastAsia="Arial" w:hAnsi="Arial"/>
          <w:sz w:val="17"/>
          <w:szCs w:val="17"/>
          <w:color w:val="auto"/>
        </w:rPr>
      </w:pP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tax law, tax rates, or events that differ from our assumptions related to tax positions;</w:t>
      </w:r>
    </w:p>
    <w:p>
      <w:pPr>
        <w:spacing w:after="0" w:line="62" w:lineRule="exact"/>
        <w:rPr>
          <w:rFonts w:ascii="Arial" w:cs="Arial" w:eastAsia="Arial" w:hAnsi="Arial"/>
          <w:sz w:val="17"/>
          <w:szCs w:val="17"/>
          <w:color w:val="auto"/>
        </w:rPr>
      </w:pP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asset impairments and restructuring charges;</w:t>
      </w:r>
    </w:p>
    <w:p>
      <w:pPr>
        <w:spacing w:after="0" w:line="49" w:lineRule="exact"/>
        <w:rPr>
          <w:rFonts w:ascii="Arial" w:cs="Arial" w:eastAsia="Arial" w:hAnsi="Arial"/>
          <w:sz w:val="17"/>
          <w:szCs w:val="17"/>
          <w:color w:val="auto"/>
        </w:rPr>
      </w:pPr>
    </w:p>
    <w:p>
      <w:pPr>
        <w:ind w:left="320" w:right="280" w:hanging="317"/>
        <w:spacing w:after="0" w:line="277" w:lineRule="auto"/>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accounting and reporting standards promulgated by the Financial Accounting Standards Board and the Securities and Exchange Commission (SEC);</w:t>
      </w: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regulatory compliance problems or government investigations; and</w:t>
      </w:r>
    </w:p>
    <w:p>
      <w:pPr>
        <w:spacing w:after="0" w:line="62" w:lineRule="exact"/>
        <w:rPr>
          <w:rFonts w:ascii="Arial" w:cs="Arial" w:eastAsia="Arial" w:hAnsi="Arial"/>
          <w:sz w:val="17"/>
          <w:szCs w:val="17"/>
          <w:color w:val="auto"/>
        </w:rPr>
      </w:pP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actual or perceived deviation from environmental-, social-, or governance-related requirements or expectations.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51" w:right="359" w:bottom="1440" w:gutter="0" w:footer="0" w:header="0"/>
        </w:sectPr>
      </w:pPr>
    </w:p>
    <w:bookmarkStart w:id="3" w:name="page4"/>
    <w:bookmarkEnd w:id="3"/>
    <w:p>
      <w:pPr>
        <w:ind w:right="180"/>
        <w:spacing w:after="0" w:line="256" w:lineRule="auto"/>
        <w:rPr>
          <w:rFonts w:ascii="Arial" w:cs="Arial" w:eastAsia="Arial" w:hAnsi="Arial"/>
          <w:sz w:val="17"/>
          <w:szCs w:val="17"/>
          <w:color w:val="auto"/>
        </w:rPr>
      </w:pPr>
      <w:r>
        <w:rPr>
          <w:rFonts w:ascii="Arial" w:cs="Arial" w:eastAsia="Arial" w:hAnsi="Arial"/>
          <w:sz w:val="17"/>
          <w:szCs w:val="17"/>
          <w:color w:val="auto"/>
        </w:rPr>
        <w:t xml:space="preserve">More information on factors that could cause actual results or events to differ materially from those anticipated is included from time to time in our reports filed with the SEC, including in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2022, particularly under the caption "Risk Factors." Investors should understand that it is not possible to predict or identify all such factors and should not consider the risks described above and under Part I, Item 1A, "Risk Factors"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be a complete statement of all potential risks and uncertainties.</w:t>
      </w:r>
    </w:p>
    <w:p>
      <w:pPr>
        <w:spacing w:after="0" w:line="8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All forward-looking statements speak only as of the date of this Quarterly Report on Form 10-Q and are expressly qualified in their entirety by the cautionary statements included in or incorporated by reference into this Quarterly Report on Form 10-Q. Except as is required by law, we expressly disclaim any obligation to publicly release any revisions to forward-looking statements to reflect events after the date of this Quarterly Report on Form 10-Q.</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4" w:name="page5"/>
    <w:bookmarkEnd w:id="4"/>
    <w:p>
      <w:pPr>
        <w:spacing w:after="0"/>
        <w:rPr>
          <w:sz w:val="20"/>
          <w:szCs w:val="20"/>
          <w:color w:val="auto"/>
        </w:rPr>
      </w:pPr>
      <w:r>
        <w:rPr>
          <w:rFonts w:ascii="Arial" w:cs="Arial" w:eastAsia="Arial" w:hAnsi="Arial"/>
          <w:sz w:val="28"/>
          <w:szCs w:val="28"/>
          <w:u w:val="single" w:color="auto"/>
          <w:color w:val="auto"/>
        </w:rPr>
        <w:t>PART I. Financial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1.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Condensed Statements of Operations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ELI LILLY AND COMPANY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48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(Note 2)</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8,312.1</w:t>
            </w:r>
          </w:p>
        </w:tc>
        <w:tc>
          <w:tcPr>
            <w:tcW w:w="4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6,488.0</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15,272.1</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14,298.0</w:t>
            </w:r>
          </w:p>
        </w:tc>
      </w:tr>
      <w:tr>
        <w:trPr>
          <w:trHeight w:val="219"/>
        </w:trPr>
        <w:tc>
          <w:tcPr>
            <w:tcW w:w="4840" w:type="dxa"/>
            <w:vAlign w:val="bottom"/>
          </w:tcPr>
          <w:p>
            <w:pPr>
              <w:ind w:left="20"/>
              <w:spacing w:after="0"/>
              <w:rPr>
                <w:sz w:val="20"/>
                <w:szCs w:val="20"/>
                <w:color w:val="auto"/>
              </w:rPr>
            </w:pPr>
            <w:r>
              <w:rPr>
                <w:rFonts w:ascii="Arial" w:cs="Arial" w:eastAsia="Arial" w:hAnsi="Arial"/>
                <w:sz w:val="17"/>
                <w:szCs w:val="17"/>
                <w:color w:val="auto"/>
              </w:rPr>
              <w:t>Costs, expenses, and other:</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3"/>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sales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1,807.4</w:t>
            </w:r>
          </w:p>
        </w:tc>
        <w:tc>
          <w:tcPr>
            <w:tcW w:w="4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1,430.5</w:t>
            </w: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3,434.1</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3,502.6</w:t>
            </w:r>
          </w:p>
        </w:tc>
      </w:tr>
      <w:tr>
        <w:trPr>
          <w:trHeight w:val="219"/>
        </w:trPr>
        <w:tc>
          <w:tcPr>
            <w:tcW w:w="4840" w:type="dxa"/>
            <w:vAlign w:val="bottom"/>
          </w:tcPr>
          <w:p>
            <w:pPr>
              <w:ind w:left="140"/>
              <w:spacing w:after="0"/>
              <w:rPr>
                <w:sz w:val="20"/>
                <w:szCs w:val="20"/>
                <w:color w:val="auto"/>
              </w:rPr>
            </w:pPr>
            <w:r>
              <w:rPr>
                <w:rFonts w:ascii="Arial" w:cs="Arial" w:eastAsia="Arial" w:hAnsi="Arial"/>
                <w:sz w:val="17"/>
                <w:szCs w:val="17"/>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ind w:right="56"/>
              <w:spacing w:after="0"/>
              <w:rPr>
                <w:sz w:val="20"/>
                <w:szCs w:val="20"/>
                <w:color w:val="auto"/>
              </w:rPr>
            </w:pPr>
            <w:r>
              <w:rPr>
                <w:rFonts w:ascii="Arial" w:cs="Arial" w:eastAsia="Arial" w:hAnsi="Arial"/>
                <w:sz w:val="17"/>
                <w:szCs w:val="17"/>
                <w:b w:val="1"/>
                <w:bCs w:val="1"/>
                <w:color w:val="auto"/>
              </w:rPr>
              <w:t>2,356.5</w:t>
            </w:r>
          </w:p>
        </w:tc>
        <w:tc>
          <w:tcPr>
            <w:tcW w:w="44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1,781.9</w:t>
            </w:r>
          </w:p>
        </w:tc>
        <w:tc>
          <w:tcPr>
            <w:tcW w:w="420" w:type="dxa"/>
            <w:vAlign w:val="bottom"/>
          </w:tcPr>
          <w:p>
            <w:pPr>
              <w:spacing w:after="0"/>
              <w:rPr>
                <w:sz w:val="19"/>
                <w:szCs w:val="19"/>
                <w:color w:val="auto"/>
              </w:rPr>
            </w:pPr>
          </w:p>
        </w:tc>
        <w:tc>
          <w:tcPr>
            <w:tcW w:w="1220" w:type="dxa"/>
            <w:vAlign w:val="bottom"/>
          </w:tcPr>
          <w:p>
            <w:pPr>
              <w:jc w:val="right"/>
              <w:ind w:right="56"/>
              <w:spacing w:after="0"/>
              <w:rPr>
                <w:sz w:val="20"/>
                <w:szCs w:val="20"/>
                <w:color w:val="auto"/>
              </w:rPr>
            </w:pPr>
            <w:r>
              <w:rPr>
                <w:rFonts w:ascii="Arial" w:cs="Arial" w:eastAsia="Arial" w:hAnsi="Arial"/>
                <w:sz w:val="17"/>
                <w:szCs w:val="17"/>
                <w:b w:val="1"/>
                <w:bCs w:val="1"/>
                <w:color w:val="auto"/>
              </w:rPr>
              <w:t>4,341.6</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3,392.0</w:t>
            </w:r>
          </w:p>
        </w:tc>
      </w:tr>
      <w:tr>
        <w:trPr>
          <w:trHeight w:val="219"/>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Marketing, selling,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1,925.4</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1,625.1</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3,674.6</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3,183.0</w:t>
            </w:r>
          </w:p>
        </w:tc>
      </w:tr>
      <w:tr>
        <w:trPr>
          <w:trHeight w:val="232"/>
        </w:trPr>
        <w:tc>
          <w:tcPr>
            <w:tcW w:w="4840" w:type="dxa"/>
            <w:vAlign w:val="bottom"/>
          </w:tcPr>
          <w:p>
            <w:pPr>
              <w:ind w:left="140"/>
              <w:spacing w:after="0"/>
              <w:rPr>
                <w:sz w:val="20"/>
                <w:szCs w:val="20"/>
                <w:color w:val="auto"/>
              </w:rPr>
            </w:pPr>
            <w:r>
              <w:rPr>
                <w:rFonts w:ascii="Arial" w:cs="Arial" w:eastAsia="Arial" w:hAnsi="Arial"/>
                <w:sz w:val="17"/>
                <w:szCs w:val="17"/>
                <w:color w:val="auto"/>
              </w:rPr>
              <w:t>Acquired in-process research and development (Note 3)</w:t>
            </w:r>
          </w:p>
        </w:tc>
        <w:tc>
          <w:tcPr>
            <w:tcW w:w="360" w:type="dxa"/>
            <w:vAlign w:val="bottom"/>
          </w:tcPr>
          <w:p>
            <w:pPr>
              <w:spacing w:after="0"/>
              <w:rPr>
                <w:sz w:val="20"/>
                <w:szCs w:val="20"/>
                <w:color w:val="auto"/>
              </w:rPr>
            </w:pPr>
          </w:p>
        </w:tc>
        <w:tc>
          <w:tcPr>
            <w:tcW w:w="1200" w:type="dxa"/>
            <w:vAlign w:val="bottom"/>
          </w:tcPr>
          <w:p>
            <w:pPr>
              <w:jc w:val="right"/>
              <w:ind w:right="56"/>
              <w:spacing w:after="0"/>
              <w:rPr>
                <w:sz w:val="20"/>
                <w:szCs w:val="20"/>
                <w:color w:val="auto"/>
              </w:rPr>
            </w:pPr>
            <w:r>
              <w:rPr>
                <w:rFonts w:ascii="Arial" w:cs="Arial" w:eastAsia="Arial" w:hAnsi="Arial"/>
                <w:sz w:val="17"/>
                <w:szCs w:val="17"/>
                <w:b w:val="1"/>
                <w:bCs w:val="1"/>
                <w:color w:val="auto"/>
              </w:rPr>
              <w:t>97.1</w:t>
            </w:r>
          </w:p>
        </w:tc>
        <w:tc>
          <w:tcPr>
            <w:tcW w:w="440" w:type="dxa"/>
            <w:vAlign w:val="bottom"/>
          </w:tcPr>
          <w:p>
            <w:pPr>
              <w:spacing w:after="0"/>
              <w:rPr>
                <w:sz w:val="20"/>
                <w:szCs w:val="20"/>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440.4</w:t>
            </w:r>
          </w:p>
        </w:tc>
        <w:tc>
          <w:tcPr>
            <w:tcW w:w="420" w:type="dxa"/>
            <w:vAlign w:val="bottom"/>
          </w:tcPr>
          <w:p>
            <w:pPr>
              <w:spacing w:after="0"/>
              <w:rPr>
                <w:sz w:val="20"/>
                <w:szCs w:val="20"/>
                <w:color w:val="auto"/>
              </w:rPr>
            </w:pPr>
          </w:p>
        </w:tc>
        <w:tc>
          <w:tcPr>
            <w:tcW w:w="1220" w:type="dxa"/>
            <w:vAlign w:val="bottom"/>
          </w:tcPr>
          <w:p>
            <w:pPr>
              <w:jc w:val="right"/>
              <w:ind w:right="56"/>
              <w:spacing w:after="0"/>
              <w:rPr>
                <w:sz w:val="20"/>
                <w:szCs w:val="20"/>
                <w:color w:val="auto"/>
              </w:rPr>
            </w:pPr>
            <w:r>
              <w:rPr>
                <w:rFonts w:ascii="Arial" w:cs="Arial" w:eastAsia="Arial" w:hAnsi="Arial"/>
                <w:sz w:val="17"/>
                <w:szCs w:val="17"/>
                <w:b w:val="1"/>
                <w:bCs w:val="1"/>
                <w:color w:val="auto"/>
              </w:rPr>
              <w:t>202.1</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606.0</w:t>
            </w:r>
          </w:p>
        </w:tc>
      </w:tr>
      <w:tr>
        <w:trPr>
          <w:trHeight w:val="219"/>
        </w:trPr>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Other–net, (income) expense (Note 10)</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36.8</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119.2</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1.1</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469.9</w:t>
            </w:r>
          </w:p>
        </w:tc>
      </w:tr>
      <w:tr>
        <w:trPr>
          <w:trHeight w:val="212"/>
        </w:trPr>
        <w:tc>
          <w:tcPr>
            <w:tcW w:w="48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6,223.2</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5,397.1</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11,653.5</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11,153.5</w:t>
            </w:r>
          </w:p>
        </w:tc>
      </w:tr>
      <w:tr>
        <w:trPr>
          <w:trHeight w:val="225"/>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2,088.9</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1,090.9</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3,618.6</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3,144.5</w:t>
            </w:r>
          </w:p>
        </w:tc>
      </w:tr>
      <w:tr>
        <w:trPr>
          <w:trHeight w:val="219"/>
        </w:trPr>
        <w:tc>
          <w:tcPr>
            <w:tcW w:w="4840" w:type="dxa"/>
            <w:vAlign w:val="bottom"/>
          </w:tcPr>
          <w:p>
            <w:pPr>
              <w:ind w:left="20"/>
              <w:spacing w:after="0"/>
              <w:rPr>
                <w:sz w:val="20"/>
                <w:szCs w:val="20"/>
                <w:color w:val="auto"/>
              </w:rPr>
            </w:pPr>
            <w:r>
              <w:rPr>
                <w:rFonts w:ascii="Arial" w:cs="Arial" w:eastAsia="Arial" w:hAnsi="Arial"/>
                <w:sz w:val="17"/>
                <w:szCs w:val="17"/>
                <w:color w:val="auto"/>
              </w:rPr>
              <w:t>Income taxes (Note 6)</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325.7</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138.4</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510.5</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289.1</w:t>
            </w:r>
          </w:p>
        </w:tc>
      </w:tr>
      <w:tr>
        <w:trPr>
          <w:trHeight w:val="205"/>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1,763.2</w:t>
            </w:r>
          </w:p>
        </w:tc>
        <w:tc>
          <w:tcPr>
            <w:tcW w:w="4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952.5</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3,108.1</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2,855.4</w:t>
            </w:r>
          </w:p>
        </w:tc>
      </w:tr>
      <w:tr>
        <w:trPr>
          <w:trHeight w:val="232"/>
        </w:trPr>
        <w:tc>
          <w:tcPr>
            <w:tcW w:w="4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per share: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5"/>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Basic</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1.96</w:t>
            </w:r>
          </w:p>
        </w:tc>
        <w:tc>
          <w:tcPr>
            <w:tcW w:w="4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1.06</w:t>
            </w:r>
          </w:p>
        </w:tc>
        <w:tc>
          <w:tcPr>
            <w:tcW w:w="4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3.45</w:t>
            </w:r>
          </w:p>
        </w:tc>
        <w:tc>
          <w:tcPr>
            <w:tcW w:w="4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w:t>
            </w:r>
          </w:p>
        </w:tc>
      </w:tr>
      <w:tr>
        <w:trPr>
          <w:trHeight w:val="212"/>
        </w:trPr>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1.95</w:t>
            </w:r>
          </w:p>
        </w:tc>
        <w:tc>
          <w:tcPr>
            <w:tcW w:w="4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1.05</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3.44</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w:t>
            </w:r>
          </w:p>
        </w:tc>
      </w:tr>
      <w:tr>
        <w:trPr>
          <w:trHeight w:val="232"/>
        </w:trPr>
        <w:tc>
          <w:tcPr>
            <w:tcW w:w="4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used in calculation of earnings per share: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4840" w:type="dxa"/>
            <w:vAlign w:val="bottom"/>
          </w:tcPr>
          <w:p>
            <w:pPr>
              <w:ind w:left="140"/>
              <w:spacing w:after="0"/>
              <w:rPr>
                <w:sz w:val="20"/>
                <w:szCs w:val="20"/>
                <w:color w:val="auto"/>
              </w:rPr>
            </w:pPr>
            <w:r>
              <w:rPr>
                <w:rFonts w:ascii="Arial" w:cs="Arial" w:eastAsia="Arial" w:hAnsi="Arial"/>
                <w:sz w:val="17"/>
                <w:szCs w:val="17"/>
                <w:color w:val="auto"/>
              </w:rPr>
              <w:t>Basic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899.7</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900.3</w:t>
            </w:r>
          </w:p>
        </w:tc>
        <w:tc>
          <w:tcPr>
            <w:tcW w:w="42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b w:val="1"/>
                <w:bCs w:val="1"/>
                <w:color w:val="auto"/>
              </w:rPr>
              <w:t>900.3</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902.0</w:t>
            </w:r>
          </w:p>
        </w:tc>
      </w:tr>
      <w:tr>
        <w:trPr>
          <w:trHeight w:val="232"/>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902.7</w:t>
            </w:r>
          </w:p>
        </w:tc>
        <w:tc>
          <w:tcPr>
            <w:tcW w:w="4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902.9</w:t>
            </w: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903.0</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904.4</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Consolidated Condensed Statements of Comprehensive Income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ELI LILLY AND COMPANY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578"/>
              <w:spacing w:after="0"/>
              <w:rPr>
                <w:sz w:val="20"/>
                <w:szCs w:val="20"/>
                <w:color w:val="auto"/>
              </w:rPr>
            </w:pPr>
            <w:r>
              <w:rPr>
                <w:rFonts w:ascii="Arial" w:cs="Arial" w:eastAsia="Arial" w:hAnsi="Arial"/>
                <w:sz w:val="14"/>
                <w:szCs w:val="14"/>
                <w:b w:val="1"/>
                <w:bCs w:val="1"/>
                <w:color w:val="auto"/>
              </w:rPr>
              <w:t>Six Months Ended June 30,</w:t>
            </w:r>
          </w:p>
        </w:tc>
      </w:tr>
      <w:tr>
        <w:trPr>
          <w:trHeight w:val="174"/>
        </w:trPr>
        <w:tc>
          <w:tcPr>
            <w:tcW w:w="48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r>
      <w:tr>
        <w:trPr>
          <w:trHeight w:val="212"/>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7"/>
                <w:szCs w:val="17"/>
                <w:b w:val="1"/>
                <w:bCs w:val="1"/>
                <w:color w:val="auto"/>
              </w:rPr>
              <w:t>1,763.2</w:t>
            </w:r>
          </w:p>
        </w:tc>
        <w:tc>
          <w:tcPr>
            <w:tcW w:w="1020" w:type="dxa"/>
            <w:vAlign w:val="bottom"/>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952.5</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3,108.1</w:t>
            </w:r>
          </w:p>
        </w:tc>
        <w:tc>
          <w:tcPr>
            <w:tcW w:w="4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2,855.4</w:t>
            </w:r>
          </w:p>
        </w:tc>
      </w:tr>
      <w:tr>
        <w:trPr>
          <w:trHeight w:val="23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 (loss), net of tax (Note 9)</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b w:val="1"/>
                <w:bCs w:val="1"/>
                <w:color w:val="auto"/>
              </w:rPr>
              <w:t>(11.4)</w:t>
            </w: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(62.4)</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b w:val="1"/>
                <w:bCs w:val="1"/>
                <w:color w:val="auto"/>
              </w:rPr>
              <w:t>55.9</w:t>
            </w: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w:t>
            </w:r>
          </w:p>
        </w:tc>
      </w:tr>
      <w:tr>
        <w:trPr>
          <w:trHeight w:val="21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b w:val="1"/>
                <w:bCs w:val="1"/>
                <w:color w:val="auto"/>
              </w:rPr>
              <w:t>1,751.8</w:t>
            </w:r>
          </w:p>
        </w:tc>
        <w:tc>
          <w:tcPr>
            <w:tcW w:w="102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890.1</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3,164.0</w:t>
            </w:r>
          </w:p>
        </w:tc>
        <w:tc>
          <w:tcPr>
            <w:tcW w:w="4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2,910.8</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7"/>
          <w:szCs w:val="17"/>
          <w:b w:val="1"/>
          <w:bCs w:val="1"/>
          <w:color w:val="auto"/>
        </w:rPr>
        <w:t>Consolidated Condensed Balance Sheets</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ELI LILLY AND COMPANY AND SUBSIDIARIES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95"/>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60" w:type="dxa"/>
            <w:vAlign w:val="bottom"/>
          </w:tcPr>
          <w:p>
            <w:pPr>
              <w:ind w:left="20"/>
              <w:spacing w:after="0"/>
              <w:rPr>
                <w:sz w:val="20"/>
                <w:szCs w:val="20"/>
                <w:color w:val="auto"/>
              </w:rPr>
            </w:pPr>
            <w:r>
              <w:rPr>
                <w:rFonts w:ascii="Arial" w:cs="Arial" w:eastAsia="Arial" w:hAnsi="Arial"/>
                <w:sz w:val="17"/>
                <w:szCs w:val="17"/>
                <w:i w:val="1"/>
                <w:iCs w:val="1"/>
                <w:color w:val="auto"/>
              </w:rPr>
              <w:t>Current Assets</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 (Note 5)</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5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2,694.5</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2,067.0</w:t>
            </w:r>
          </w:p>
        </w:tc>
        <w:tc>
          <w:tcPr>
            <w:tcW w:w="0" w:type="dxa"/>
            <w:vAlign w:val="bottom"/>
          </w:tcPr>
          <w:p>
            <w:pPr>
              <w:spacing w:after="0"/>
              <w:rPr>
                <w:sz w:val="1"/>
                <w:szCs w:val="1"/>
                <w:color w:val="auto"/>
              </w:rPr>
            </w:pPr>
          </w:p>
        </w:tc>
      </w:tr>
      <w:tr>
        <w:trPr>
          <w:trHeight w:val="232"/>
        </w:trPr>
        <w:tc>
          <w:tcPr>
            <w:tcW w:w="7460" w:type="dxa"/>
            <w:vAlign w:val="bottom"/>
          </w:tcPr>
          <w:p>
            <w:pPr>
              <w:ind w:left="140"/>
              <w:spacing w:after="0"/>
              <w:rPr>
                <w:sz w:val="20"/>
                <w:szCs w:val="20"/>
                <w:color w:val="auto"/>
              </w:rPr>
            </w:pPr>
            <w:r>
              <w:rPr>
                <w:rFonts w:ascii="Arial" w:cs="Arial" w:eastAsia="Arial" w:hAnsi="Arial"/>
                <w:sz w:val="17"/>
                <w:szCs w:val="17"/>
                <w:color w:val="auto"/>
              </w:rPr>
              <w:t>Short-term investments (Note 5)</w:t>
            </w:r>
          </w:p>
        </w:tc>
        <w:tc>
          <w:tcPr>
            <w:tcW w:w="300" w:type="dxa"/>
            <w:vAlign w:val="bottom"/>
          </w:tcPr>
          <w:p>
            <w:pPr>
              <w:spacing w:after="0"/>
              <w:rPr>
                <w:sz w:val="20"/>
                <w:szCs w:val="20"/>
                <w:color w:val="auto"/>
              </w:rPr>
            </w:pPr>
          </w:p>
        </w:tc>
        <w:tc>
          <w:tcPr>
            <w:tcW w:w="1580" w:type="dxa"/>
            <w:vAlign w:val="bottom"/>
          </w:tcPr>
          <w:p>
            <w:pPr>
              <w:jc w:val="right"/>
              <w:ind w:right="55"/>
              <w:spacing w:after="0"/>
              <w:rPr>
                <w:sz w:val="20"/>
                <w:szCs w:val="20"/>
                <w:color w:val="auto"/>
              </w:rPr>
            </w:pPr>
            <w:r>
              <w:rPr>
                <w:rFonts w:ascii="Arial" w:cs="Arial" w:eastAsia="Arial" w:hAnsi="Arial"/>
                <w:sz w:val="17"/>
                <w:szCs w:val="17"/>
                <w:b w:val="1"/>
                <w:bCs w:val="1"/>
                <w:color w:val="auto"/>
              </w:rPr>
              <w:t>134.6</w:t>
            </w: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144.8</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 xml:space="preserve">Accounts receivable, net of allowances of </w:t>
            </w:r>
            <w:r>
              <w:rPr>
                <w:rFonts w:ascii="Arial" w:cs="Arial" w:eastAsia="Arial" w:hAnsi="Arial"/>
                <w:sz w:val="17"/>
                <w:szCs w:val="17"/>
                <w:b w:val="1"/>
                <w:bCs w:val="1"/>
                <w:color w:val="auto"/>
              </w:rPr>
              <w:t>$13.8 (2023)</w:t>
            </w:r>
            <w:r>
              <w:rPr>
                <w:rFonts w:ascii="Arial" w:cs="Arial" w:eastAsia="Arial" w:hAnsi="Arial"/>
                <w:sz w:val="17"/>
                <w:szCs w:val="17"/>
                <w:color w:val="auto"/>
              </w:rPr>
              <w:t xml:space="preserve"> and $16.0 (2022)</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7,516.1</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6,896.0</w:t>
            </w:r>
          </w:p>
        </w:tc>
        <w:tc>
          <w:tcPr>
            <w:tcW w:w="0" w:type="dxa"/>
            <w:vAlign w:val="bottom"/>
          </w:tcPr>
          <w:p>
            <w:pPr>
              <w:spacing w:after="0"/>
              <w:rPr>
                <w:sz w:val="1"/>
                <w:szCs w:val="1"/>
                <w:color w:val="auto"/>
              </w:rPr>
            </w:pPr>
          </w:p>
        </w:tc>
      </w:tr>
      <w:tr>
        <w:trPr>
          <w:trHeight w:val="219"/>
        </w:trPr>
        <w:tc>
          <w:tcPr>
            <w:tcW w:w="7460" w:type="dxa"/>
            <w:vAlign w:val="bottom"/>
          </w:tcPr>
          <w:p>
            <w:pPr>
              <w:ind w:left="140"/>
              <w:spacing w:after="0"/>
              <w:rPr>
                <w:sz w:val="20"/>
                <w:szCs w:val="20"/>
                <w:color w:val="auto"/>
              </w:rPr>
            </w:pPr>
            <w:r>
              <w:rPr>
                <w:rFonts w:ascii="Arial" w:cs="Arial" w:eastAsia="Arial" w:hAnsi="Arial"/>
                <w:sz w:val="17"/>
                <w:szCs w:val="17"/>
                <w:color w:val="auto"/>
              </w:rPr>
              <w:t>Other receivables</w:t>
            </w:r>
          </w:p>
        </w:tc>
        <w:tc>
          <w:tcPr>
            <w:tcW w:w="300" w:type="dxa"/>
            <w:vAlign w:val="bottom"/>
          </w:tcPr>
          <w:p>
            <w:pPr>
              <w:spacing w:after="0"/>
              <w:rPr>
                <w:sz w:val="19"/>
                <w:szCs w:val="19"/>
                <w:color w:val="auto"/>
              </w:rPr>
            </w:pPr>
          </w:p>
        </w:tc>
        <w:tc>
          <w:tcPr>
            <w:tcW w:w="1580" w:type="dxa"/>
            <w:vAlign w:val="bottom"/>
          </w:tcPr>
          <w:p>
            <w:pPr>
              <w:jc w:val="right"/>
              <w:ind w:right="35"/>
              <w:spacing w:after="0"/>
              <w:rPr>
                <w:sz w:val="20"/>
                <w:szCs w:val="20"/>
                <w:color w:val="auto"/>
              </w:rPr>
            </w:pPr>
            <w:r>
              <w:rPr>
                <w:rFonts w:ascii="Arial" w:cs="Arial" w:eastAsia="Arial" w:hAnsi="Arial"/>
                <w:sz w:val="17"/>
                <w:szCs w:val="17"/>
                <w:b w:val="1"/>
                <w:bCs w:val="1"/>
                <w:color w:val="auto"/>
              </w:rPr>
              <w:t>1,655.3</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1,662.9</w:t>
            </w:r>
          </w:p>
        </w:tc>
        <w:tc>
          <w:tcPr>
            <w:tcW w:w="0" w:type="dxa"/>
            <w:vAlign w:val="bottom"/>
          </w:tcPr>
          <w:p>
            <w:pPr>
              <w:spacing w:after="0"/>
              <w:rPr>
                <w:sz w:val="1"/>
                <w:szCs w:val="1"/>
                <w:color w:val="auto"/>
              </w:rPr>
            </w:pPr>
          </w:p>
        </w:tc>
      </w:tr>
      <w:tr>
        <w:trPr>
          <w:trHeight w:val="232"/>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Inventories</w:t>
            </w:r>
          </w:p>
        </w:tc>
        <w:tc>
          <w:tcPr>
            <w:tcW w:w="3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4,798.7</w:t>
            </w:r>
          </w:p>
        </w:tc>
        <w:tc>
          <w:tcPr>
            <w:tcW w:w="2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4,309.7</w:t>
            </w:r>
          </w:p>
        </w:tc>
        <w:tc>
          <w:tcPr>
            <w:tcW w:w="0" w:type="dxa"/>
            <w:vAlign w:val="bottom"/>
          </w:tcPr>
          <w:p>
            <w:pPr>
              <w:spacing w:after="0"/>
              <w:rPr>
                <w:sz w:val="1"/>
                <w:szCs w:val="1"/>
                <w:color w:val="auto"/>
              </w:rPr>
            </w:pPr>
          </w:p>
        </w:tc>
      </w:tr>
      <w:tr>
        <w:trPr>
          <w:trHeight w:val="219"/>
        </w:trPr>
        <w:tc>
          <w:tcPr>
            <w:tcW w:w="7460" w:type="dxa"/>
            <w:vAlign w:val="bottom"/>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4,532.4</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2,954.1</w:t>
            </w:r>
          </w:p>
        </w:tc>
        <w:tc>
          <w:tcPr>
            <w:tcW w:w="0" w:type="dxa"/>
            <w:vAlign w:val="bottom"/>
          </w:tcPr>
          <w:p>
            <w:pPr>
              <w:spacing w:after="0"/>
              <w:rPr>
                <w:sz w:val="1"/>
                <w:szCs w:val="1"/>
                <w:color w:val="auto"/>
              </w:rPr>
            </w:pPr>
          </w:p>
        </w:tc>
      </w:tr>
      <w:tr>
        <w:trPr>
          <w:trHeight w:val="212"/>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21,331.6</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18,034.5</w:t>
            </w:r>
          </w:p>
        </w:tc>
        <w:tc>
          <w:tcPr>
            <w:tcW w:w="0" w:type="dxa"/>
            <w:vAlign w:val="bottom"/>
          </w:tcPr>
          <w:p>
            <w:pPr>
              <w:spacing w:after="0"/>
              <w:rPr>
                <w:sz w:val="1"/>
                <w:szCs w:val="1"/>
                <w:color w:val="auto"/>
              </w:rPr>
            </w:pPr>
          </w:p>
        </w:tc>
      </w:tr>
      <w:tr>
        <w:trPr>
          <w:trHeight w:val="232"/>
        </w:trPr>
        <w:tc>
          <w:tcPr>
            <w:tcW w:w="7460" w:type="dxa"/>
            <w:vAlign w:val="bottom"/>
          </w:tcPr>
          <w:p>
            <w:pPr>
              <w:ind w:left="20"/>
              <w:spacing w:after="0"/>
              <w:rPr>
                <w:sz w:val="20"/>
                <w:szCs w:val="20"/>
                <w:color w:val="auto"/>
              </w:rPr>
            </w:pPr>
            <w:r>
              <w:rPr>
                <w:rFonts w:ascii="Arial" w:cs="Arial" w:eastAsia="Arial" w:hAnsi="Arial"/>
                <w:sz w:val="17"/>
                <w:szCs w:val="17"/>
                <w:color w:val="auto"/>
              </w:rPr>
              <w:t>Investments (Note 5)</w:t>
            </w:r>
          </w:p>
        </w:tc>
        <w:tc>
          <w:tcPr>
            <w:tcW w:w="300" w:type="dxa"/>
            <w:vAlign w:val="bottom"/>
          </w:tcPr>
          <w:p>
            <w:pPr>
              <w:spacing w:after="0"/>
              <w:rPr>
                <w:sz w:val="20"/>
                <w:szCs w:val="20"/>
                <w:color w:val="auto"/>
              </w:rPr>
            </w:pPr>
          </w:p>
        </w:tc>
        <w:tc>
          <w:tcPr>
            <w:tcW w:w="1580" w:type="dxa"/>
            <w:vAlign w:val="bottom"/>
          </w:tcPr>
          <w:p>
            <w:pPr>
              <w:jc w:val="right"/>
              <w:ind w:right="35"/>
              <w:spacing w:after="0"/>
              <w:rPr>
                <w:sz w:val="20"/>
                <w:szCs w:val="20"/>
                <w:color w:val="auto"/>
              </w:rPr>
            </w:pPr>
            <w:r>
              <w:rPr>
                <w:rFonts w:ascii="Arial" w:cs="Arial" w:eastAsia="Arial" w:hAnsi="Arial"/>
                <w:sz w:val="17"/>
                <w:szCs w:val="17"/>
                <w:b w:val="1"/>
                <w:bCs w:val="1"/>
                <w:color w:val="auto"/>
              </w:rPr>
              <w:t>2,745.1</w:t>
            </w: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2,901.8</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4,078.9</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4,073.0</w:t>
            </w:r>
          </w:p>
        </w:tc>
        <w:tc>
          <w:tcPr>
            <w:tcW w:w="0" w:type="dxa"/>
            <w:vAlign w:val="bottom"/>
          </w:tcPr>
          <w:p>
            <w:pPr>
              <w:spacing w:after="0"/>
              <w:rPr>
                <w:sz w:val="1"/>
                <w:szCs w:val="1"/>
                <w:color w:val="auto"/>
              </w:rPr>
            </w:pPr>
          </w:p>
        </w:tc>
      </w:tr>
      <w:tr>
        <w:trPr>
          <w:trHeight w:val="219"/>
        </w:trPr>
        <w:tc>
          <w:tcPr>
            <w:tcW w:w="7460" w:type="dxa"/>
            <w:vAlign w:val="bottom"/>
          </w:tcPr>
          <w:p>
            <w:pPr>
              <w:ind w:left="20"/>
              <w:spacing w:after="0"/>
              <w:rPr>
                <w:sz w:val="20"/>
                <w:szCs w:val="20"/>
                <w:color w:val="auto"/>
              </w:rPr>
            </w:pPr>
            <w:r>
              <w:rPr>
                <w:rFonts w:ascii="Arial" w:cs="Arial" w:eastAsia="Arial" w:hAnsi="Arial"/>
                <w:sz w:val="17"/>
                <w:szCs w:val="17"/>
                <w:color w:val="auto"/>
              </w:rPr>
              <w:t>Other intangibles, net</w:t>
            </w:r>
          </w:p>
        </w:tc>
        <w:tc>
          <w:tcPr>
            <w:tcW w:w="300" w:type="dxa"/>
            <w:vAlign w:val="bottom"/>
          </w:tcPr>
          <w:p>
            <w:pPr>
              <w:spacing w:after="0"/>
              <w:rPr>
                <w:sz w:val="19"/>
                <w:szCs w:val="19"/>
                <w:color w:val="auto"/>
              </w:rPr>
            </w:pPr>
          </w:p>
        </w:tc>
        <w:tc>
          <w:tcPr>
            <w:tcW w:w="1580" w:type="dxa"/>
            <w:vAlign w:val="bottom"/>
          </w:tcPr>
          <w:p>
            <w:pPr>
              <w:jc w:val="right"/>
              <w:ind w:right="35"/>
              <w:spacing w:after="0"/>
              <w:rPr>
                <w:sz w:val="20"/>
                <w:szCs w:val="20"/>
                <w:color w:val="auto"/>
              </w:rPr>
            </w:pPr>
            <w:r>
              <w:rPr>
                <w:rFonts w:ascii="Arial" w:cs="Arial" w:eastAsia="Arial" w:hAnsi="Arial"/>
                <w:sz w:val="17"/>
                <w:szCs w:val="17"/>
                <w:b w:val="1"/>
                <w:bCs w:val="1"/>
                <w:color w:val="auto"/>
              </w:rPr>
              <w:t>6,903.5</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7,206.6</w:t>
            </w:r>
          </w:p>
        </w:tc>
        <w:tc>
          <w:tcPr>
            <w:tcW w:w="0" w:type="dxa"/>
            <w:vAlign w:val="bottom"/>
          </w:tcPr>
          <w:p>
            <w:pPr>
              <w:spacing w:after="0"/>
              <w:rPr>
                <w:sz w:val="1"/>
                <w:szCs w:val="1"/>
                <w:color w:val="auto"/>
              </w:rPr>
            </w:pPr>
          </w:p>
        </w:tc>
      </w:tr>
      <w:tr>
        <w:trPr>
          <w:trHeight w:val="232"/>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3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3,805.9</w:t>
            </w:r>
          </w:p>
        </w:tc>
        <w:tc>
          <w:tcPr>
            <w:tcW w:w="2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2,792.9</w:t>
            </w:r>
          </w:p>
        </w:tc>
        <w:tc>
          <w:tcPr>
            <w:tcW w:w="0" w:type="dxa"/>
            <w:vAlign w:val="bottom"/>
          </w:tcPr>
          <w:p>
            <w:pPr>
              <w:spacing w:after="0"/>
              <w:rPr>
                <w:sz w:val="1"/>
                <w:szCs w:val="1"/>
                <w:color w:val="auto"/>
              </w:rPr>
            </w:pPr>
          </w:p>
        </w:tc>
      </w:tr>
      <w:tr>
        <w:trPr>
          <w:trHeight w:val="168"/>
        </w:trPr>
        <w:tc>
          <w:tcPr>
            <w:tcW w:w="7460" w:type="dxa"/>
            <w:vAlign w:val="bottom"/>
          </w:tcPr>
          <w:p>
            <w:pPr>
              <w:ind w:left="20"/>
              <w:spacing w:after="0" w:line="168" w:lineRule="exact"/>
              <w:rPr>
                <w:sz w:val="20"/>
                <w:szCs w:val="20"/>
                <w:color w:val="auto"/>
              </w:rPr>
            </w:pPr>
            <w:r>
              <w:rPr>
                <w:rFonts w:ascii="Arial" w:cs="Arial" w:eastAsia="Arial" w:hAnsi="Arial"/>
                <w:sz w:val="17"/>
                <w:szCs w:val="17"/>
                <w:color w:val="auto"/>
              </w:rPr>
              <w:t xml:space="preserve">Property and equipment, net of accumulated depreciation of </w:t>
            </w:r>
            <w:r>
              <w:rPr>
                <w:rFonts w:ascii="Arial" w:cs="Arial" w:eastAsia="Arial" w:hAnsi="Arial"/>
                <w:sz w:val="17"/>
                <w:szCs w:val="17"/>
                <w:b w:val="1"/>
                <w:bCs w:val="1"/>
                <w:color w:val="auto"/>
              </w:rPr>
              <w:t>$10,631.6 (2023)</w:t>
            </w:r>
            <w:r>
              <w:rPr>
                <w:rFonts w:ascii="Arial" w:cs="Arial" w:eastAsia="Arial" w:hAnsi="Arial"/>
                <w:sz w:val="17"/>
                <w:szCs w:val="17"/>
                <w:color w:val="auto"/>
              </w:rPr>
              <w:t xml:space="preserve"> and $10,233.4</w:t>
            </w:r>
          </w:p>
        </w:tc>
        <w:tc>
          <w:tcPr>
            <w:tcW w:w="300" w:type="dxa"/>
            <w:vAlign w:val="bottom"/>
          </w:tcPr>
          <w:p>
            <w:pPr>
              <w:spacing w:after="0"/>
              <w:rPr>
                <w:sz w:val="14"/>
                <w:szCs w:val="14"/>
                <w:color w:val="auto"/>
              </w:rPr>
            </w:pPr>
          </w:p>
        </w:tc>
        <w:tc>
          <w:tcPr>
            <w:tcW w:w="158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11,277.4</w:t>
            </w:r>
          </w:p>
        </w:tc>
        <w:tc>
          <w:tcPr>
            <w:tcW w:w="26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Arial" w:cs="Arial" w:eastAsia="Arial" w:hAnsi="Arial"/>
                <w:sz w:val="17"/>
                <w:szCs w:val="17"/>
                <w:color w:val="auto"/>
              </w:rPr>
              <w:t>10,144.0</w:t>
            </w:r>
          </w:p>
        </w:tc>
        <w:tc>
          <w:tcPr>
            <w:tcW w:w="0" w:type="dxa"/>
            <w:vAlign w:val="bottom"/>
          </w:tcPr>
          <w:p>
            <w:pPr>
              <w:spacing w:after="0"/>
              <w:rPr>
                <w:sz w:val="1"/>
                <w:szCs w:val="1"/>
                <w:color w:val="auto"/>
              </w:rPr>
            </w:pPr>
          </w:p>
        </w:tc>
      </w:tr>
      <w:tr>
        <w:trPr>
          <w:trHeight w:val="219"/>
        </w:trPr>
        <w:tc>
          <w:tcPr>
            <w:tcW w:w="7460" w:type="dxa"/>
            <w:vAlign w:val="bottom"/>
          </w:tcPr>
          <w:p>
            <w:pPr>
              <w:ind w:left="20"/>
              <w:spacing w:after="0"/>
              <w:rPr>
                <w:sz w:val="20"/>
                <w:szCs w:val="20"/>
                <w:color w:val="auto"/>
              </w:rPr>
            </w:pPr>
            <w:r>
              <w:rPr>
                <w:rFonts w:ascii="Arial" w:cs="Arial" w:eastAsia="Arial" w:hAnsi="Arial"/>
                <w:sz w:val="17"/>
                <w:szCs w:val="17"/>
                <w:color w:val="auto"/>
              </w:rPr>
              <w:t>(2022)</w:t>
            </w:r>
          </w:p>
        </w:tc>
        <w:tc>
          <w:tcPr>
            <w:tcW w:w="30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3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4,671.6</w:t>
            </w:r>
          </w:p>
        </w:tc>
        <w:tc>
          <w:tcPr>
            <w:tcW w:w="26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4,337.0</w:t>
            </w:r>
          </w:p>
        </w:tc>
        <w:tc>
          <w:tcPr>
            <w:tcW w:w="0" w:type="dxa"/>
            <w:vAlign w:val="bottom"/>
          </w:tcPr>
          <w:p>
            <w:pPr>
              <w:spacing w:after="0"/>
              <w:rPr>
                <w:sz w:val="1"/>
                <w:szCs w:val="1"/>
                <w:color w:val="auto"/>
              </w:rPr>
            </w:pPr>
          </w:p>
        </w:tc>
      </w:tr>
      <w:tr>
        <w:trPr>
          <w:trHeight w:val="218"/>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assets</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15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54,814.0</w:t>
            </w:r>
          </w:p>
        </w:tc>
        <w:tc>
          <w:tcPr>
            <w:tcW w:w="2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49,489.8</w:t>
            </w:r>
          </w:p>
        </w:tc>
        <w:tc>
          <w:tcPr>
            <w:tcW w:w="0" w:type="dxa"/>
            <w:vAlign w:val="bottom"/>
          </w:tcPr>
          <w:p>
            <w:pPr>
              <w:spacing w:after="0"/>
              <w:rPr>
                <w:sz w:val="1"/>
                <w:szCs w:val="1"/>
                <w:color w:val="auto"/>
              </w:rPr>
            </w:pPr>
          </w:p>
        </w:tc>
      </w:tr>
      <w:tr>
        <w:trPr>
          <w:trHeight w:val="207"/>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460" w:type="dxa"/>
            <w:vAlign w:val="bottom"/>
          </w:tcPr>
          <w:p>
            <w:pPr>
              <w:ind w:left="20"/>
              <w:spacing w:after="0"/>
              <w:rPr>
                <w:sz w:val="20"/>
                <w:szCs w:val="20"/>
                <w:color w:val="auto"/>
              </w:rPr>
            </w:pPr>
            <w:r>
              <w:rPr>
                <w:rFonts w:ascii="Arial" w:cs="Arial" w:eastAsia="Arial" w:hAnsi="Arial"/>
                <w:sz w:val="17"/>
                <w:szCs w:val="17"/>
                <w:i w:val="1"/>
                <w:iCs w:val="1"/>
                <w:color w:val="auto"/>
              </w:rPr>
              <w:t>Current Liabilities</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Short-term borrowings and current maturities of long-term debt</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5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661.6</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1,501.1</w:t>
            </w:r>
          </w:p>
        </w:tc>
        <w:tc>
          <w:tcPr>
            <w:tcW w:w="0" w:type="dxa"/>
            <w:vAlign w:val="bottom"/>
          </w:tcPr>
          <w:p>
            <w:pPr>
              <w:spacing w:after="0"/>
              <w:rPr>
                <w:sz w:val="1"/>
                <w:szCs w:val="1"/>
                <w:color w:val="auto"/>
              </w:rPr>
            </w:pPr>
          </w:p>
        </w:tc>
      </w:tr>
      <w:tr>
        <w:trPr>
          <w:trHeight w:val="219"/>
        </w:trPr>
        <w:tc>
          <w:tcPr>
            <w:tcW w:w="746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300" w:type="dxa"/>
            <w:vAlign w:val="bottom"/>
          </w:tcPr>
          <w:p>
            <w:pPr>
              <w:spacing w:after="0"/>
              <w:rPr>
                <w:sz w:val="19"/>
                <w:szCs w:val="19"/>
                <w:color w:val="auto"/>
              </w:rPr>
            </w:pPr>
          </w:p>
        </w:tc>
        <w:tc>
          <w:tcPr>
            <w:tcW w:w="1580" w:type="dxa"/>
            <w:vAlign w:val="bottom"/>
          </w:tcPr>
          <w:p>
            <w:pPr>
              <w:jc w:val="right"/>
              <w:ind w:right="35"/>
              <w:spacing w:after="0"/>
              <w:rPr>
                <w:sz w:val="20"/>
                <w:szCs w:val="20"/>
                <w:color w:val="auto"/>
              </w:rPr>
            </w:pPr>
            <w:r>
              <w:rPr>
                <w:rFonts w:ascii="Arial" w:cs="Arial" w:eastAsia="Arial" w:hAnsi="Arial"/>
                <w:sz w:val="17"/>
                <w:szCs w:val="17"/>
                <w:b w:val="1"/>
                <w:bCs w:val="1"/>
                <w:color w:val="auto"/>
              </w:rPr>
              <w:t>2,474.2</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1,930.6</w:t>
            </w:r>
          </w:p>
        </w:tc>
        <w:tc>
          <w:tcPr>
            <w:tcW w:w="0" w:type="dxa"/>
            <w:vAlign w:val="bottom"/>
          </w:tcPr>
          <w:p>
            <w:pPr>
              <w:spacing w:after="0"/>
              <w:rPr>
                <w:sz w:val="1"/>
                <w:szCs w:val="1"/>
                <w:color w:val="auto"/>
              </w:rPr>
            </w:pPr>
          </w:p>
        </w:tc>
      </w:tr>
      <w:tr>
        <w:trPr>
          <w:trHeight w:val="232"/>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Employee compensation</w:t>
            </w:r>
          </w:p>
        </w:tc>
        <w:tc>
          <w:tcPr>
            <w:tcW w:w="3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867.7</w:t>
            </w:r>
          </w:p>
        </w:tc>
        <w:tc>
          <w:tcPr>
            <w:tcW w:w="2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1,059.8</w:t>
            </w:r>
          </w:p>
        </w:tc>
        <w:tc>
          <w:tcPr>
            <w:tcW w:w="0" w:type="dxa"/>
            <w:vAlign w:val="bottom"/>
          </w:tcPr>
          <w:p>
            <w:pPr>
              <w:spacing w:after="0"/>
              <w:rPr>
                <w:sz w:val="1"/>
                <w:szCs w:val="1"/>
                <w:color w:val="auto"/>
              </w:rPr>
            </w:pPr>
          </w:p>
        </w:tc>
      </w:tr>
      <w:tr>
        <w:trPr>
          <w:trHeight w:val="219"/>
        </w:trPr>
        <w:tc>
          <w:tcPr>
            <w:tcW w:w="7460" w:type="dxa"/>
            <w:vAlign w:val="bottom"/>
          </w:tcPr>
          <w:p>
            <w:pPr>
              <w:ind w:left="140"/>
              <w:spacing w:after="0"/>
              <w:rPr>
                <w:sz w:val="20"/>
                <w:szCs w:val="20"/>
                <w:color w:val="auto"/>
              </w:rPr>
            </w:pPr>
            <w:r>
              <w:rPr>
                <w:rFonts w:ascii="Arial" w:cs="Arial" w:eastAsia="Arial" w:hAnsi="Arial"/>
                <w:sz w:val="17"/>
                <w:szCs w:val="17"/>
                <w:color w:val="auto"/>
              </w:rPr>
              <w:t>Sales rebates and discounts</w:t>
            </w:r>
          </w:p>
        </w:tc>
        <w:tc>
          <w:tcPr>
            <w:tcW w:w="300" w:type="dxa"/>
            <w:vAlign w:val="bottom"/>
          </w:tcPr>
          <w:p>
            <w:pPr>
              <w:spacing w:after="0"/>
              <w:rPr>
                <w:sz w:val="19"/>
                <w:szCs w:val="19"/>
                <w:color w:val="auto"/>
              </w:rPr>
            </w:pPr>
          </w:p>
        </w:tc>
        <w:tc>
          <w:tcPr>
            <w:tcW w:w="1580" w:type="dxa"/>
            <w:vAlign w:val="bottom"/>
          </w:tcPr>
          <w:p>
            <w:pPr>
              <w:jc w:val="right"/>
              <w:ind w:right="55"/>
              <w:spacing w:after="0"/>
              <w:rPr>
                <w:sz w:val="20"/>
                <w:szCs w:val="20"/>
                <w:color w:val="auto"/>
              </w:rPr>
            </w:pPr>
            <w:r>
              <w:rPr>
                <w:rFonts w:ascii="Arial" w:cs="Arial" w:eastAsia="Arial" w:hAnsi="Arial"/>
                <w:sz w:val="17"/>
                <w:szCs w:val="17"/>
                <w:b w:val="1"/>
                <w:bCs w:val="1"/>
                <w:color w:val="auto"/>
              </w:rPr>
              <w:t>10,389.9</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8,784.1</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Dividends payable</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1,016.2</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1,017.2</w:t>
            </w:r>
          </w:p>
        </w:tc>
        <w:tc>
          <w:tcPr>
            <w:tcW w:w="0" w:type="dxa"/>
            <w:vAlign w:val="bottom"/>
          </w:tcPr>
          <w:p>
            <w:pPr>
              <w:spacing w:after="0"/>
              <w:rPr>
                <w:sz w:val="1"/>
                <w:szCs w:val="1"/>
                <w:color w:val="auto"/>
              </w:rPr>
            </w:pPr>
          </w:p>
        </w:tc>
      </w:tr>
      <w:tr>
        <w:trPr>
          <w:trHeight w:val="232"/>
        </w:trPr>
        <w:tc>
          <w:tcPr>
            <w:tcW w:w="7460" w:type="dxa"/>
            <w:vAlign w:val="bottom"/>
          </w:tcPr>
          <w:p>
            <w:pPr>
              <w:ind w:left="140"/>
              <w:spacing w:after="0"/>
              <w:rPr>
                <w:sz w:val="20"/>
                <w:szCs w:val="20"/>
                <w:color w:val="auto"/>
              </w:rPr>
            </w:pPr>
            <w:r>
              <w:rPr>
                <w:rFonts w:ascii="Arial" w:cs="Arial" w:eastAsia="Arial" w:hAnsi="Arial"/>
                <w:sz w:val="17"/>
                <w:szCs w:val="17"/>
                <w:color w:val="auto"/>
              </w:rPr>
              <w:t>Income taxes payable</w:t>
            </w:r>
          </w:p>
        </w:tc>
        <w:tc>
          <w:tcPr>
            <w:tcW w:w="300" w:type="dxa"/>
            <w:vAlign w:val="bottom"/>
          </w:tcPr>
          <w:p>
            <w:pPr>
              <w:spacing w:after="0"/>
              <w:rPr>
                <w:sz w:val="20"/>
                <w:szCs w:val="20"/>
                <w:color w:val="auto"/>
              </w:rPr>
            </w:pPr>
          </w:p>
        </w:tc>
        <w:tc>
          <w:tcPr>
            <w:tcW w:w="1580" w:type="dxa"/>
            <w:vAlign w:val="bottom"/>
          </w:tcPr>
          <w:p>
            <w:pPr>
              <w:jc w:val="right"/>
              <w:ind w:right="35"/>
              <w:spacing w:after="0"/>
              <w:rPr>
                <w:sz w:val="20"/>
                <w:szCs w:val="20"/>
                <w:color w:val="auto"/>
              </w:rPr>
            </w:pPr>
            <w:r>
              <w:rPr>
                <w:rFonts w:ascii="Arial" w:cs="Arial" w:eastAsia="Arial" w:hAnsi="Arial"/>
                <w:sz w:val="17"/>
                <w:szCs w:val="17"/>
                <w:b w:val="1"/>
                <w:bCs w:val="1"/>
                <w:color w:val="auto"/>
              </w:rPr>
              <w:t>1,233.8</w:t>
            </w: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475.1</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2,271.6</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2,370.3</w:t>
            </w:r>
          </w:p>
        </w:tc>
        <w:tc>
          <w:tcPr>
            <w:tcW w:w="0" w:type="dxa"/>
            <w:vAlign w:val="bottom"/>
          </w:tcPr>
          <w:p>
            <w:pPr>
              <w:spacing w:after="0"/>
              <w:rPr>
                <w:sz w:val="1"/>
                <w:szCs w:val="1"/>
                <w:color w:val="auto"/>
              </w:rPr>
            </w:pPr>
          </w:p>
        </w:tc>
      </w:tr>
      <w:tr>
        <w:trPr>
          <w:trHeight w:val="212"/>
        </w:trPr>
        <w:tc>
          <w:tcPr>
            <w:tcW w:w="746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300" w:type="dxa"/>
            <w:vAlign w:val="bottom"/>
          </w:tcPr>
          <w:p>
            <w:pPr>
              <w:spacing w:after="0"/>
              <w:rPr>
                <w:sz w:val="18"/>
                <w:szCs w:val="18"/>
                <w:color w:val="auto"/>
              </w:rPr>
            </w:pPr>
          </w:p>
        </w:tc>
        <w:tc>
          <w:tcPr>
            <w:tcW w:w="1580" w:type="dxa"/>
            <w:vAlign w:val="bottom"/>
          </w:tcPr>
          <w:p>
            <w:pPr>
              <w:jc w:val="right"/>
              <w:ind w:right="55"/>
              <w:spacing w:after="0"/>
              <w:rPr>
                <w:sz w:val="20"/>
                <w:szCs w:val="20"/>
                <w:color w:val="auto"/>
              </w:rPr>
            </w:pPr>
            <w:r>
              <w:rPr>
                <w:rFonts w:ascii="Arial" w:cs="Arial" w:eastAsia="Arial" w:hAnsi="Arial"/>
                <w:sz w:val="17"/>
                <w:szCs w:val="17"/>
                <w:b w:val="1"/>
                <w:bCs w:val="1"/>
                <w:color w:val="auto"/>
              </w:rPr>
              <w:t>18,915.0</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17,138.2</w:t>
            </w:r>
          </w:p>
        </w:tc>
        <w:tc>
          <w:tcPr>
            <w:tcW w:w="0" w:type="dxa"/>
            <w:vAlign w:val="bottom"/>
          </w:tcPr>
          <w:p>
            <w:pPr>
              <w:spacing w:after="0"/>
              <w:rPr>
                <w:sz w:val="1"/>
                <w:szCs w:val="1"/>
                <w:color w:val="auto"/>
              </w:rPr>
            </w:pPr>
          </w:p>
        </w:tc>
      </w:tr>
      <w:tr>
        <w:trPr>
          <w:trHeight w:val="232"/>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Other Liabilities</w:t>
            </w:r>
          </w:p>
        </w:tc>
        <w:tc>
          <w:tcPr>
            <w:tcW w:w="3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460" w:type="dxa"/>
            <w:vAlign w:val="bottom"/>
          </w:tcPr>
          <w:p>
            <w:pPr>
              <w:ind w:left="140"/>
              <w:spacing w:after="0"/>
              <w:rPr>
                <w:sz w:val="20"/>
                <w:szCs w:val="20"/>
                <w:color w:val="auto"/>
              </w:rPr>
            </w:pPr>
            <w:r>
              <w:rPr>
                <w:rFonts w:ascii="Arial" w:cs="Arial" w:eastAsia="Arial" w:hAnsi="Arial"/>
                <w:sz w:val="17"/>
                <w:szCs w:val="17"/>
                <w:color w:val="auto"/>
              </w:rPr>
              <w:t>Long-term debt</w:t>
            </w:r>
          </w:p>
        </w:tc>
        <w:tc>
          <w:tcPr>
            <w:tcW w:w="300" w:type="dxa"/>
            <w:vAlign w:val="bottom"/>
          </w:tcPr>
          <w:p>
            <w:pPr>
              <w:spacing w:after="0"/>
              <w:rPr>
                <w:sz w:val="19"/>
                <w:szCs w:val="19"/>
                <w:color w:val="auto"/>
              </w:rPr>
            </w:pPr>
          </w:p>
        </w:tc>
        <w:tc>
          <w:tcPr>
            <w:tcW w:w="1580" w:type="dxa"/>
            <w:vAlign w:val="bottom"/>
          </w:tcPr>
          <w:p>
            <w:pPr>
              <w:jc w:val="right"/>
              <w:ind w:right="55"/>
              <w:spacing w:after="0"/>
              <w:rPr>
                <w:sz w:val="20"/>
                <w:szCs w:val="20"/>
                <w:color w:val="auto"/>
              </w:rPr>
            </w:pPr>
            <w:r>
              <w:rPr>
                <w:rFonts w:ascii="Arial" w:cs="Arial" w:eastAsia="Arial" w:hAnsi="Arial"/>
                <w:sz w:val="17"/>
                <w:szCs w:val="17"/>
                <w:b w:val="1"/>
                <w:bCs w:val="1"/>
                <w:color w:val="auto"/>
              </w:rPr>
              <w:t>18,158.4</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14,737.5</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retirement benefits (Note 7)</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1,308.8</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1,305.1</w:t>
            </w:r>
          </w:p>
        </w:tc>
        <w:tc>
          <w:tcPr>
            <w:tcW w:w="0" w:type="dxa"/>
            <w:vAlign w:val="bottom"/>
          </w:tcPr>
          <w:p>
            <w:pPr>
              <w:spacing w:after="0"/>
              <w:rPr>
                <w:sz w:val="1"/>
                <w:szCs w:val="1"/>
                <w:color w:val="auto"/>
              </w:rPr>
            </w:pPr>
          </w:p>
        </w:tc>
      </w:tr>
      <w:tr>
        <w:trPr>
          <w:trHeight w:val="232"/>
        </w:trPr>
        <w:tc>
          <w:tcPr>
            <w:tcW w:w="7460" w:type="dxa"/>
            <w:vAlign w:val="bottom"/>
          </w:tcPr>
          <w:p>
            <w:pPr>
              <w:ind w:left="140"/>
              <w:spacing w:after="0"/>
              <w:rPr>
                <w:sz w:val="20"/>
                <w:szCs w:val="20"/>
                <w:color w:val="auto"/>
              </w:rPr>
            </w:pPr>
            <w:r>
              <w:rPr>
                <w:rFonts w:ascii="Arial" w:cs="Arial" w:eastAsia="Arial" w:hAnsi="Arial"/>
                <w:sz w:val="17"/>
                <w:szCs w:val="17"/>
                <w:color w:val="auto"/>
              </w:rPr>
              <w:t>Long-term income taxes payable</w:t>
            </w:r>
          </w:p>
        </w:tc>
        <w:tc>
          <w:tcPr>
            <w:tcW w:w="300" w:type="dxa"/>
            <w:vAlign w:val="bottom"/>
          </w:tcPr>
          <w:p>
            <w:pPr>
              <w:spacing w:after="0"/>
              <w:rPr>
                <w:sz w:val="20"/>
                <w:szCs w:val="20"/>
                <w:color w:val="auto"/>
              </w:rPr>
            </w:pPr>
          </w:p>
        </w:tc>
        <w:tc>
          <w:tcPr>
            <w:tcW w:w="1580" w:type="dxa"/>
            <w:vAlign w:val="bottom"/>
          </w:tcPr>
          <w:p>
            <w:pPr>
              <w:jc w:val="right"/>
              <w:ind w:right="35"/>
              <w:spacing w:after="0"/>
              <w:rPr>
                <w:sz w:val="20"/>
                <w:szCs w:val="20"/>
                <w:color w:val="auto"/>
              </w:rPr>
            </w:pPr>
            <w:r>
              <w:rPr>
                <w:rFonts w:ascii="Arial" w:cs="Arial" w:eastAsia="Arial" w:hAnsi="Arial"/>
                <w:sz w:val="17"/>
                <w:szCs w:val="17"/>
                <w:b w:val="1"/>
                <w:bCs w:val="1"/>
                <w:color w:val="auto"/>
              </w:rPr>
              <w:t>3,330.7</w:t>
            </w: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3,709.6</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1,951.8</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1,824.0</w:t>
            </w:r>
          </w:p>
        </w:tc>
        <w:tc>
          <w:tcPr>
            <w:tcW w:w="0" w:type="dxa"/>
            <w:vAlign w:val="bottom"/>
          </w:tcPr>
          <w:p>
            <w:pPr>
              <w:spacing w:after="0"/>
              <w:rPr>
                <w:sz w:val="1"/>
                <w:szCs w:val="1"/>
                <w:color w:val="auto"/>
              </w:rPr>
            </w:pPr>
          </w:p>
        </w:tc>
      </w:tr>
      <w:tr>
        <w:trPr>
          <w:trHeight w:val="212"/>
        </w:trPr>
        <w:tc>
          <w:tcPr>
            <w:tcW w:w="7460" w:type="dxa"/>
            <w:vAlign w:val="bottom"/>
          </w:tcPr>
          <w:p>
            <w:pPr>
              <w:ind w:left="20"/>
              <w:spacing w:after="0"/>
              <w:rPr>
                <w:sz w:val="20"/>
                <w:szCs w:val="20"/>
                <w:color w:val="auto"/>
              </w:rPr>
            </w:pPr>
            <w:r>
              <w:rPr>
                <w:rFonts w:ascii="Arial" w:cs="Arial" w:eastAsia="Arial" w:hAnsi="Arial"/>
                <w:sz w:val="17"/>
                <w:szCs w:val="17"/>
                <w:color w:val="auto"/>
              </w:rPr>
              <w:t>Total other liabilities</w:t>
            </w:r>
          </w:p>
        </w:tc>
        <w:tc>
          <w:tcPr>
            <w:tcW w:w="300" w:type="dxa"/>
            <w:vAlign w:val="bottom"/>
          </w:tcPr>
          <w:p>
            <w:pPr>
              <w:spacing w:after="0"/>
              <w:rPr>
                <w:sz w:val="18"/>
                <w:szCs w:val="18"/>
                <w:color w:val="auto"/>
              </w:rPr>
            </w:pPr>
          </w:p>
        </w:tc>
        <w:tc>
          <w:tcPr>
            <w:tcW w:w="1580" w:type="dxa"/>
            <w:vAlign w:val="bottom"/>
          </w:tcPr>
          <w:p>
            <w:pPr>
              <w:jc w:val="right"/>
              <w:ind w:right="55"/>
              <w:spacing w:after="0"/>
              <w:rPr>
                <w:sz w:val="20"/>
                <w:szCs w:val="20"/>
                <w:color w:val="auto"/>
              </w:rPr>
            </w:pPr>
            <w:r>
              <w:rPr>
                <w:rFonts w:ascii="Arial" w:cs="Arial" w:eastAsia="Arial" w:hAnsi="Arial"/>
                <w:sz w:val="17"/>
                <w:szCs w:val="17"/>
                <w:b w:val="1"/>
                <w:bCs w:val="1"/>
                <w:color w:val="auto"/>
              </w:rPr>
              <w:t>24,749.7</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21,576.2</w:t>
            </w:r>
          </w:p>
        </w:tc>
        <w:tc>
          <w:tcPr>
            <w:tcW w:w="0" w:type="dxa"/>
            <w:vAlign w:val="bottom"/>
          </w:tcPr>
          <w:p>
            <w:pPr>
              <w:spacing w:after="0"/>
              <w:rPr>
                <w:sz w:val="1"/>
                <w:szCs w:val="1"/>
                <w:color w:val="auto"/>
              </w:rPr>
            </w:pPr>
          </w:p>
        </w:tc>
      </w:tr>
      <w:tr>
        <w:trPr>
          <w:trHeight w:val="232"/>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Commitments and Contingencies (Note 8)</w:t>
            </w:r>
          </w:p>
        </w:tc>
        <w:tc>
          <w:tcPr>
            <w:tcW w:w="3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460" w:type="dxa"/>
            <w:vAlign w:val="bottom"/>
          </w:tcPr>
          <w:p>
            <w:pPr>
              <w:ind w:left="20"/>
              <w:spacing w:after="0"/>
              <w:rPr>
                <w:sz w:val="20"/>
                <w:szCs w:val="20"/>
                <w:color w:val="auto"/>
              </w:rPr>
            </w:pPr>
            <w:r>
              <w:rPr>
                <w:rFonts w:ascii="Arial" w:cs="Arial" w:eastAsia="Arial" w:hAnsi="Arial"/>
                <w:sz w:val="17"/>
                <w:szCs w:val="17"/>
                <w:i w:val="1"/>
                <w:iCs w:val="1"/>
                <w:color w:val="auto"/>
              </w:rPr>
              <w:t>Eli Lilly and Company Shareholders' Equity</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Common stock</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593.6</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594.1</w:t>
            </w:r>
          </w:p>
        </w:tc>
        <w:tc>
          <w:tcPr>
            <w:tcW w:w="0" w:type="dxa"/>
            <w:vAlign w:val="bottom"/>
          </w:tcPr>
          <w:p>
            <w:pPr>
              <w:spacing w:after="0"/>
              <w:rPr>
                <w:sz w:val="1"/>
                <w:szCs w:val="1"/>
                <w:color w:val="auto"/>
              </w:rPr>
            </w:pPr>
          </w:p>
        </w:tc>
      </w:tr>
      <w:tr>
        <w:trPr>
          <w:trHeight w:val="232"/>
        </w:trPr>
        <w:tc>
          <w:tcPr>
            <w:tcW w:w="7460" w:type="dxa"/>
            <w:vAlign w:val="bottom"/>
          </w:tcPr>
          <w:p>
            <w:pPr>
              <w:ind w:left="140"/>
              <w:spacing w:after="0"/>
              <w:rPr>
                <w:sz w:val="20"/>
                <w:szCs w:val="20"/>
                <w:color w:val="auto"/>
              </w:rPr>
            </w:pPr>
            <w:r>
              <w:rPr>
                <w:rFonts w:ascii="Arial" w:cs="Arial" w:eastAsia="Arial" w:hAnsi="Arial"/>
                <w:sz w:val="17"/>
                <w:szCs w:val="17"/>
                <w:color w:val="auto"/>
              </w:rPr>
              <w:t>Additional paid-in capital</w:t>
            </w:r>
          </w:p>
        </w:tc>
        <w:tc>
          <w:tcPr>
            <w:tcW w:w="300" w:type="dxa"/>
            <w:vAlign w:val="bottom"/>
          </w:tcPr>
          <w:p>
            <w:pPr>
              <w:spacing w:after="0"/>
              <w:rPr>
                <w:sz w:val="20"/>
                <w:szCs w:val="20"/>
                <w:color w:val="auto"/>
              </w:rPr>
            </w:pPr>
          </w:p>
        </w:tc>
        <w:tc>
          <w:tcPr>
            <w:tcW w:w="1580" w:type="dxa"/>
            <w:vAlign w:val="bottom"/>
          </w:tcPr>
          <w:p>
            <w:pPr>
              <w:jc w:val="right"/>
              <w:ind w:right="35"/>
              <w:spacing w:after="0"/>
              <w:rPr>
                <w:sz w:val="20"/>
                <w:szCs w:val="20"/>
                <w:color w:val="auto"/>
              </w:rPr>
            </w:pPr>
            <w:r>
              <w:rPr>
                <w:rFonts w:ascii="Arial" w:cs="Arial" w:eastAsia="Arial" w:hAnsi="Arial"/>
                <w:sz w:val="17"/>
                <w:szCs w:val="17"/>
                <w:b w:val="1"/>
                <w:bCs w:val="1"/>
                <w:color w:val="auto"/>
              </w:rPr>
              <w:t>6,948.6</w:t>
            </w: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6,921.4</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Retained earnings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10,368.5</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10,042.6</w:t>
            </w:r>
          </w:p>
        </w:tc>
        <w:tc>
          <w:tcPr>
            <w:tcW w:w="0" w:type="dxa"/>
            <w:vAlign w:val="bottom"/>
          </w:tcPr>
          <w:p>
            <w:pPr>
              <w:spacing w:after="0"/>
              <w:rPr>
                <w:sz w:val="1"/>
                <w:szCs w:val="1"/>
                <w:color w:val="auto"/>
              </w:rPr>
            </w:pPr>
          </w:p>
        </w:tc>
      </w:tr>
      <w:tr>
        <w:trPr>
          <w:trHeight w:val="219"/>
        </w:trPr>
        <w:tc>
          <w:tcPr>
            <w:tcW w:w="7460" w:type="dxa"/>
            <w:vAlign w:val="bottom"/>
          </w:tcPr>
          <w:p>
            <w:pPr>
              <w:ind w:left="140"/>
              <w:spacing w:after="0"/>
              <w:rPr>
                <w:sz w:val="20"/>
                <w:szCs w:val="20"/>
                <w:color w:val="auto"/>
              </w:rPr>
            </w:pPr>
            <w:r>
              <w:rPr>
                <w:rFonts w:ascii="Arial" w:cs="Arial" w:eastAsia="Arial" w:hAnsi="Arial"/>
                <w:sz w:val="17"/>
                <w:szCs w:val="17"/>
                <w:color w:val="auto"/>
              </w:rPr>
              <w:t>Employee benefit trust</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b w:val="1"/>
                <w:bCs w:val="1"/>
                <w:color w:val="auto"/>
              </w:rPr>
              <w:t>(3,013.2)</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(3,013.2)</w:t>
            </w:r>
          </w:p>
        </w:tc>
        <w:tc>
          <w:tcPr>
            <w:tcW w:w="0" w:type="dxa"/>
            <w:vAlign w:val="bottom"/>
          </w:tcPr>
          <w:p>
            <w:pPr>
              <w:spacing w:after="0"/>
              <w:rPr>
                <w:sz w:val="1"/>
                <w:szCs w:val="1"/>
                <w:color w:val="auto"/>
              </w:rPr>
            </w:pPr>
          </w:p>
        </w:tc>
      </w:tr>
      <w:tr>
        <w:trPr>
          <w:trHeight w:val="232"/>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 loss (Note 9)</w:t>
            </w:r>
          </w:p>
        </w:tc>
        <w:tc>
          <w:tcPr>
            <w:tcW w:w="3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(3,788.7)</w:t>
            </w:r>
          </w:p>
        </w:tc>
        <w:tc>
          <w:tcPr>
            <w:tcW w:w="2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(3,844.6)</w:t>
            </w:r>
          </w:p>
        </w:tc>
        <w:tc>
          <w:tcPr>
            <w:tcW w:w="0" w:type="dxa"/>
            <w:vAlign w:val="bottom"/>
          </w:tcPr>
          <w:p>
            <w:pPr>
              <w:spacing w:after="0"/>
              <w:rPr>
                <w:sz w:val="1"/>
                <w:szCs w:val="1"/>
                <w:color w:val="auto"/>
              </w:rPr>
            </w:pPr>
          </w:p>
        </w:tc>
      </w:tr>
      <w:tr>
        <w:trPr>
          <w:trHeight w:val="219"/>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Cost of common stock in treasury</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(45.0)</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12"/>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Eli Lilly and Company shareholders' equity</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11,063.8</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10,649.8</w:t>
            </w:r>
          </w:p>
        </w:tc>
        <w:tc>
          <w:tcPr>
            <w:tcW w:w="0" w:type="dxa"/>
            <w:vAlign w:val="bottom"/>
          </w:tcPr>
          <w:p>
            <w:pPr>
              <w:spacing w:after="0"/>
              <w:rPr>
                <w:sz w:val="1"/>
                <w:szCs w:val="1"/>
                <w:color w:val="auto"/>
              </w:rPr>
            </w:pPr>
          </w:p>
        </w:tc>
      </w:tr>
      <w:tr>
        <w:trPr>
          <w:trHeight w:val="232"/>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Noncontrolling interests</w:t>
            </w: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85.5</w:t>
            </w: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125.6</w:t>
            </w:r>
          </w:p>
        </w:tc>
        <w:tc>
          <w:tcPr>
            <w:tcW w:w="0" w:type="dxa"/>
            <w:vAlign w:val="bottom"/>
          </w:tcPr>
          <w:p>
            <w:pPr>
              <w:spacing w:after="0"/>
              <w:rPr>
                <w:sz w:val="1"/>
                <w:szCs w:val="1"/>
                <w:color w:val="auto"/>
              </w:rPr>
            </w:pPr>
          </w:p>
        </w:tc>
      </w:tr>
      <w:tr>
        <w:trPr>
          <w:trHeight w:val="212"/>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equity</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11,149.3</w:t>
            </w: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10,775.4</w:t>
            </w:r>
          </w:p>
        </w:tc>
        <w:tc>
          <w:tcPr>
            <w:tcW w:w="0" w:type="dxa"/>
            <w:vAlign w:val="bottom"/>
          </w:tcPr>
          <w:p>
            <w:pPr>
              <w:spacing w:after="0"/>
              <w:rPr>
                <w:sz w:val="1"/>
                <w:szCs w:val="1"/>
                <w:color w:val="auto"/>
              </w:rPr>
            </w:pPr>
          </w:p>
        </w:tc>
      </w:tr>
      <w:tr>
        <w:trPr>
          <w:trHeight w:val="218"/>
        </w:trPr>
        <w:tc>
          <w:tcPr>
            <w:tcW w:w="7460" w:type="dxa"/>
            <w:vAlign w:val="bottom"/>
          </w:tcPr>
          <w:p>
            <w:pPr>
              <w:ind w:left="20"/>
              <w:spacing w:after="0"/>
              <w:rPr>
                <w:sz w:val="20"/>
                <w:szCs w:val="20"/>
                <w:color w:val="auto"/>
              </w:rPr>
            </w:pPr>
            <w:r>
              <w:rPr>
                <w:rFonts w:ascii="Arial" w:cs="Arial" w:eastAsia="Arial" w:hAnsi="Arial"/>
                <w:sz w:val="17"/>
                <w:szCs w:val="17"/>
                <w:color w:val="auto"/>
              </w:rPr>
              <w:t>Total liabilities and equity</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15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54,814.0</w:t>
            </w:r>
          </w:p>
        </w:tc>
        <w:tc>
          <w:tcPr>
            <w:tcW w:w="2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49,489.8</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notes to consolidated condensed financial statements.</w:t>
      </w: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58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Consolidated Condensed Statements of Equity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ELI LILLY AND COMPANY AND SUBSIDIARIES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27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rPr>
              <w:t>Equity of Eli Lilly and Company Shareholders</w:t>
            </w:r>
          </w:p>
        </w:tc>
        <w:tc>
          <w:tcPr>
            <w:tcW w:w="7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45"/>
        </w:trPr>
        <w:tc>
          <w:tcPr>
            <w:tcW w:w="2740" w:type="dxa"/>
            <w:vAlign w:val="bottom"/>
          </w:tcPr>
          <w:p>
            <w:pPr>
              <w:spacing w:after="0"/>
              <w:rPr>
                <w:sz w:val="21"/>
                <w:szCs w:val="21"/>
                <w:color w:val="auto"/>
              </w:rPr>
            </w:pPr>
          </w:p>
        </w:tc>
        <w:tc>
          <w:tcPr>
            <w:tcW w:w="1640" w:type="dxa"/>
            <w:vAlign w:val="bottom"/>
            <w:gridSpan w:val="3"/>
          </w:tcPr>
          <w:p>
            <w:pPr>
              <w:jc w:val="right"/>
              <w:ind w:right="381"/>
              <w:spacing w:after="0"/>
              <w:rPr>
                <w:sz w:val="20"/>
                <w:szCs w:val="20"/>
                <w:color w:val="auto"/>
              </w:rPr>
            </w:pPr>
            <w:r>
              <w:rPr>
                <w:rFonts w:ascii="Arial" w:cs="Arial" w:eastAsia="Arial" w:hAnsi="Arial"/>
                <w:sz w:val="10"/>
                <w:szCs w:val="10"/>
                <w:b w:val="1"/>
                <w:bCs w:val="1"/>
                <w:color w:val="auto"/>
              </w:rPr>
              <w:t>Common Stock</w:t>
            </w:r>
          </w:p>
        </w:tc>
        <w:tc>
          <w:tcPr>
            <w:tcW w:w="220" w:type="dxa"/>
            <w:vAlign w:val="bottom"/>
          </w:tcPr>
          <w:p>
            <w:pPr>
              <w:spacing w:after="0"/>
              <w:rPr>
                <w:sz w:val="21"/>
                <w:szCs w:val="21"/>
                <w:color w:val="auto"/>
              </w:rPr>
            </w:pPr>
          </w:p>
        </w:tc>
        <w:tc>
          <w:tcPr>
            <w:tcW w:w="660" w:type="dxa"/>
            <w:vAlign w:val="bottom"/>
          </w:tcPr>
          <w:p>
            <w:pPr>
              <w:jc w:val="right"/>
              <w:ind w:right="64"/>
              <w:spacing w:after="0"/>
              <w:rPr>
                <w:sz w:val="20"/>
                <w:szCs w:val="20"/>
                <w:color w:val="auto"/>
              </w:rPr>
            </w:pPr>
            <w:r>
              <w:rPr>
                <w:rFonts w:ascii="Arial" w:cs="Arial" w:eastAsia="Arial" w:hAnsi="Arial"/>
                <w:sz w:val="10"/>
                <w:szCs w:val="10"/>
                <w:b w:val="1"/>
                <w:bCs w:val="1"/>
                <w:color w:val="auto"/>
              </w:rPr>
              <w:t>Additional</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40" w:type="dxa"/>
            <w:vAlign w:val="bottom"/>
            <w:gridSpan w:val="3"/>
          </w:tcPr>
          <w:p>
            <w:pPr>
              <w:jc w:val="right"/>
              <w:ind w:right="62"/>
              <w:spacing w:after="0"/>
              <w:rPr>
                <w:sz w:val="20"/>
                <w:szCs w:val="20"/>
                <w:color w:val="auto"/>
              </w:rPr>
            </w:pPr>
            <w:r>
              <w:rPr>
                <w:rFonts w:ascii="Arial" w:cs="Arial" w:eastAsia="Arial" w:hAnsi="Arial"/>
                <w:sz w:val="10"/>
                <w:szCs w:val="10"/>
                <w:b w:val="1"/>
                <w:bCs w:val="1"/>
                <w:color w:val="auto"/>
              </w:rPr>
              <w:t>Common Stock in Treasury</w:t>
            </w:r>
            <w:r>
              <w:rPr>
                <w:rFonts w:ascii="Arial" w:cs="Arial" w:eastAsia="Arial" w:hAnsi="Arial"/>
                <w:sz w:val="15"/>
                <w:szCs w:val="15"/>
                <w:b w:val="1"/>
                <w:bCs w:val="1"/>
                <w:color w:val="auto"/>
                <w:vertAlign w:val="superscript"/>
              </w:rPr>
              <w:t>(1)</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52"/>
        </w:trPr>
        <w:tc>
          <w:tcPr>
            <w:tcW w:w="2740" w:type="dxa"/>
            <w:vAlign w:val="bottom"/>
          </w:tcPr>
          <w:p>
            <w:pPr>
              <w:spacing w:after="0" w:line="52" w:lineRule="exact"/>
              <w:rPr>
                <w:sz w:val="20"/>
                <w:szCs w:val="20"/>
                <w:color w:val="auto"/>
              </w:rPr>
            </w:pPr>
            <w:r>
              <w:rPr>
                <w:rFonts w:ascii="Arial" w:cs="Arial" w:eastAsia="Arial" w:hAnsi="Arial"/>
                <w:sz w:val="5"/>
                <w:szCs w:val="5"/>
                <w:b w:val="1"/>
                <w:bCs w:val="1"/>
                <w:color w:val="auto"/>
              </w:rPr>
              <w:t>(Dollars in millions, except per-share data, and shares</w:t>
            </w: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jc w:val="right"/>
              <w:ind w:right="144"/>
              <w:spacing w:after="0" w:line="52" w:lineRule="exact"/>
              <w:rPr>
                <w:sz w:val="20"/>
                <w:szCs w:val="20"/>
                <w:color w:val="auto"/>
              </w:rPr>
            </w:pPr>
            <w:r>
              <w:rPr>
                <w:rFonts w:ascii="Arial" w:cs="Arial" w:eastAsia="Arial" w:hAnsi="Arial"/>
                <w:sz w:val="5"/>
                <w:szCs w:val="5"/>
                <w:b w:val="1"/>
                <w:bCs w:val="1"/>
                <w:color w:val="auto"/>
              </w:rPr>
              <w:t>Paid-in</w:t>
            </w:r>
          </w:p>
        </w:tc>
        <w:tc>
          <w:tcPr>
            <w:tcW w:w="260" w:type="dxa"/>
            <w:vAlign w:val="bottom"/>
          </w:tcPr>
          <w:p>
            <w:pPr>
              <w:spacing w:after="0"/>
              <w:rPr>
                <w:sz w:val="4"/>
                <w:szCs w:val="4"/>
                <w:color w:val="auto"/>
              </w:rPr>
            </w:pPr>
          </w:p>
        </w:tc>
        <w:tc>
          <w:tcPr>
            <w:tcW w:w="720" w:type="dxa"/>
            <w:vAlign w:val="bottom"/>
          </w:tcPr>
          <w:p>
            <w:pPr>
              <w:jc w:val="right"/>
              <w:ind w:right="184"/>
              <w:spacing w:after="0" w:line="52" w:lineRule="exact"/>
              <w:rPr>
                <w:sz w:val="20"/>
                <w:szCs w:val="20"/>
                <w:color w:val="auto"/>
              </w:rPr>
            </w:pPr>
            <w:r>
              <w:rPr>
                <w:rFonts w:ascii="Arial" w:cs="Arial" w:eastAsia="Arial" w:hAnsi="Arial"/>
                <w:sz w:val="5"/>
                <w:szCs w:val="5"/>
                <w:b w:val="1"/>
                <w:bCs w:val="1"/>
                <w:color w:val="auto"/>
              </w:rPr>
              <w:t>Retained</w:t>
            </w:r>
          </w:p>
        </w:tc>
        <w:tc>
          <w:tcPr>
            <w:tcW w:w="180" w:type="dxa"/>
            <w:vAlign w:val="bottom"/>
          </w:tcPr>
          <w:p>
            <w:pPr>
              <w:spacing w:after="0"/>
              <w:rPr>
                <w:sz w:val="4"/>
                <w:szCs w:val="4"/>
                <w:color w:val="auto"/>
              </w:rPr>
            </w:pPr>
          </w:p>
        </w:tc>
        <w:tc>
          <w:tcPr>
            <w:tcW w:w="720" w:type="dxa"/>
            <w:vAlign w:val="bottom"/>
          </w:tcPr>
          <w:p>
            <w:pPr>
              <w:jc w:val="right"/>
              <w:ind w:right="147"/>
              <w:spacing w:after="0" w:line="52" w:lineRule="exact"/>
              <w:rPr>
                <w:sz w:val="20"/>
                <w:szCs w:val="20"/>
                <w:color w:val="auto"/>
              </w:rPr>
            </w:pPr>
            <w:r>
              <w:rPr>
                <w:rFonts w:ascii="Arial" w:cs="Arial" w:eastAsia="Arial" w:hAnsi="Arial"/>
                <w:sz w:val="5"/>
                <w:szCs w:val="5"/>
                <w:b w:val="1"/>
                <w:bCs w:val="1"/>
                <w:color w:val="auto"/>
              </w:rPr>
              <w:t>Employee</w:t>
            </w:r>
          </w:p>
        </w:tc>
        <w:tc>
          <w:tcPr>
            <w:tcW w:w="1280" w:type="dxa"/>
            <w:vAlign w:val="bottom"/>
            <w:gridSpan w:val="2"/>
          </w:tcPr>
          <w:p>
            <w:pPr>
              <w:jc w:val="right"/>
              <w:ind w:right="140"/>
              <w:spacing w:after="0" w:line="52" w:lineRule="exact"/>
              <w:rPr>
                <w:sz w:val="20"/>
                <w:szCs w:val="20"/>
                <w:color w:val="auto"/>
              </w:rPr>
            </w:pPr>
            <w:r>
              <w:rPr>
                <w:rFonts w:ascii="Arial" w:cs="Arial" w:eastAsia="Arial" w:hAnsi="Arial"/>
                <w:sz w:val="5"/>
                <w:szCs w:val="5"/>
                <w:b w:val="1"/>
                <w:bCs w:val="1"/>
                <w:color w:val="auto"/>
              </w:rPr>
              <w:t>Accumulated Other</w:t>
            </w: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jc w:val="right"/>
              <w:ind w:right="104"/>
              <w:spacing w:after="0" w:line="52" w:lineRule="exact"/>
              <w:rPr>
                <w:sz w:val="20"/>
                <w:szCs w:val="20"/>
                <w:color w:val="auto"/>
              </w:rPr>
            </w:pPr>
            <w:r>
              <w:rPr>
                <w:rFonts w:ascii="Arial" w:cs="Arial" w:eastAsia="Arial" w:hAnsi="Arial"/>
                <w:sz w:val="5"/>
                <w:szCs w:val="5"/>
                <w:b w:val="1"/>
                <w:bCs w:val="1"/>
                <w:color w:val="auto"/>
              </w:rPr>
              <w:t>Noncontrolling</w:t>
            </w:r>
          </w:p>
        </w:tc>
      </w:tr>
      <w:tr>
        <w:trPr>
          <w:trHeight w:val="168"/>
        </w:trPr>
        <w:tc>
          <w:tcPr>
            <w:tcW w:w="27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thousands)</w:t>
            </w:r>
          </w:p>
        </w:tc>
        <w:tc>
          <w:tcPr>
            <w:tcW w:w="82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Shares</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Amount</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rPr>
              <w:t>Capital</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4"/>
              <w:spacing w:after="0"/>
              <w:rPr>
                <w:sz w:val="20"/>
                <w:szCs w:val="20"/>
                <w:color w:val="auto"/>
              </w:rPr>
            </w:pPr>
            <w:r>
              <w:rPr>
                <w:rFonts w:ascii="Arial" w:cs="Arial" w:eastAsia="Arial" w:hAnsi="Arial"/>
                <w:sz w:val="10"/>
                <w:szCs w:val="10"/>
                <w:b w:val="1"/>
                <w:bCs w:val="1"/>
                <w:color w:val="auto"/>
              </w:rPr>
              <w:t>Earnings</w:t>
            </w:r>
          </w:p>
        </w:tc>
        <w:tc>
          <w:tcPr>
            <w:tcW w:w="900" w:type="dxa"/>
            <w:vAlign w:val="bottom"/>
            <w:tcBorders>
              <w:bottom w:val="single" w:sz="8" w:color="auto"/>
            </w:tcBorders>
            <w:gridSpan w:val="2"/>
          </w:tcPr>
          <w:p>
            <w:pPr>
              <w:jc w:val="right"/>
              <w:ind w:right="87"/>
              <w:spacing w:after="0"/>
              <w:rPr>
                <w:sz w:val="20"/>
                <w:szCs w:val="20"/>
                <w:color w:val="auto"/>
              </w:rPr>
            </w:pPr>
            <w:r>
              <w:rPr>
                <w:rFonts w:ascii="Arial" w:cs="Arial" w:eastAsia="Arial" w:hAnsi="Arial"/>
                <w:sz w:val="10"/>
                <w:szCs w:val="10"/>
                <w:b w:val="1"/>
                <w:bCs w:val="1"/>
                <w:color w:val="auto"/>
              </w:rPr>
              <w:t>Benefit Trust</w:t>
            </w: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Comprehensive Loss</w:t>
            </w:r>
          </w:p>
        </w:tc>
        <w:tc>
          <w:tcPr>
            <w:tcW w:w="80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Shares</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Amount</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64"/>
              <w:spacing w:after="0"/>
              <w:rPr>
                <w:sz w:val="20"/>
                <w:szCs w:val="20"/>
                <w:color w:val="auto"/>
              </w:rPr>
            </w:pPr>
            <w:r>
              <w:rPr>
                <w:rFonts w:ascii="Arial" w:cs="Arial" w:eastAsia="Arial" w:hAnsi="Arial"/>
                <w:sz w:val="10"/>
                <w:szCs w:val="10"/>
                <w:b w:val="1"/>
                <w:bCs w:val="1"/>
                <w:color w:val="auto"/>
              </w:rPr>
              <w:t>Interests</w:t>
            </w:r>
          </w:p>
        </w:tc>
      </w:tr>
      <w:tr>
        <w:trPr>
          <w:trHeight w:val="166"/>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Balance at April 1, 2022</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950,605</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594.1</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6,656.3</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9,369.4</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7"/>
              <w:spacing w:after="0"/>
              <w:rPr>
                <w:sz w:val="20"/>
                <w:szCs w:val="20"/>
                <w:color w:val="auto"/>
              </w:rPr>
            </w:pPr>
            <w:r>
              <w:rPr>
                <w:rFonts w:ascii="Arial" w:cs="Arial" w:eastAsia="Arial" w:hAnsi="Arial"/>
                <w:sz w:val="12"/>
                <w:szCs w:val="12"/>
                <w:color w:val="auto"/>
              </w:rPr>
              <w:t>(3,013.2)</w:t>
            </w:r>
          </w:p>
        </w:tc>
        <w:tc>
          <w:tcPr>
            <w:tcW w:w="52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(4,225.3)</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450</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(50.5)</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131.2</w:t>
            </w:r>
          </w:p>
        </w:tc>
      </w:tr>
      <w:tr>
        <w:trPr>
          <w:trHeight w:val="160"/>
        </w:trPr>
        <w:tc>
          <w:tcPr>
            <w:tcW w:w="2740" w:type="dxa"/>
            <w:vAlign w:val="bottom"/>
          </w:tcPr>
          <w:p>
            <w:pPr>
              <w:spacing w:after="0"/>
              <w:rPr>
                <w:sz w:val="20"/>
                <w:szCs w:val="20"/>
                <w:color w:val="auto"/>
              </w:rPr>
            </w:pPr>
            <w:r>
              <w:rPr>
                <w:rFonts w:ascii="Arial" w:cs="Arial" w:eastAsia="Arial" w:hAnsi="Arial"/>
                <w:sz w:val="12"/>
                <w:szCs w:val="12"/>
                <w:color w:val="auto"/>
              </w:rPr>
              <w:t>Net income (loss)</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jc w:val="right"/>
              <w:ind w:right="44"/>
              <w:spacing w:after="0"/>
              <w:rPr>
                <w:sz w:val="20"/>
                <w:szCs w:val="20"/>
                <w:color w:val="auto"/>
              </w:rPr>
            </w:pPr>
            <w:r>
              <w:rPr>
                <w:rFonts w:ascii="Arial" w:cs="Arial" w:eastAsia="Arial" w:hAnsi="Arial"/>
                <w:sz w:val="12"/>
                <w:szCs w:val="12"/>
                <w:color w:val="auto"/>
              </w:rPr>
              <w:t>952.5</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(11.4)</w:t>
            </w:r>
          </w:p>
        </w:tc>
      </w:tr>
      <w:tr>
        <w:trPr>
          <w:trHeight w:val="168"/>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Other comprehensive loss, net of tax</w:t>
            </w: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(62.4)</w:t>
            </w:r>
          </w:p>
        </w:tc>
        <w:tc>
          <w:tcPr>
            <w:tcW w:w="8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r>
      <w:tr>
        <w:trPr>
          <w:trHeight w:val="160"/>
        </w:trPr>
        <w:tc>
          <w:tcPr>
            <w:tcW w:w="2740" w:type="dxa"/>
            <w:vAlign w:val="bottom"/>
          </w:tcPr>
          <w:p>
            <w:pPr>
              <w:spacing w:after="0"/>
              <w:rPr>
                <w:sz w:val="20"/>
                <w:szCs w:val="20"/>
                <w:color w:val="auto"/>
              </w:rPr>
            </w:pPr>
            <w:r>
              <w:rPr>
                <w:rFonts w:ascii="Arial" w:cs="Arial" w:eastAsia="Arial" w:hAnsi="Arial"/>
                <w:sz w:val="12"/>
                <w:szCs w:val="12"/>
                <w:color w:val="auto"/>
              </w:rPr>
              <w:t>Cash dividends declared per share: $1.96</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jc w:val="right"/>
              <w:ind w:right="24"/>
              <w:spacing w:after="0"/>
              <w:rPr>
                <w:sz w:val="20"/>
                <w:szCs w:val="20"/>
                <w:color w:val="auto"/>
              </w:rPr>
            </w:pPr>
            <w:r>
              <w:rPr>
                <w:rFonts w:ascii="Arial" w:cs="Arial" w:eastAsia="Arial" w:hAnsi="Arial"/>
                <w:sz w:val="12"/>
                <w:szCs w:val="12"/>
                <w:color w:val="auto"/>
              </w:rPr>
              <w:t>(1,765.9)</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5"/>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Issuance of stock under employee stock plans, net</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14</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53"/>
        </w:trPr>
        <w:tc>
          <w:tcPr>
            <w:tcW w:w="274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92.1</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8"/>
        </w:trPr>
        <w:tc>
          <w:tcPr>
            <w:tcW w:w="2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61"/>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8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w:t>
            </w:r>
          </w:p>
        </w:tc>
      </w:tr>
      <w:tr>
        <w:trPr>
          <w:trHeight w:val="174"/>
        </w:trPr>
        <w:tc>
          <w:tcPr>
            <w:tcW w:w="2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Balance at June 30, 2022</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950,619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594.1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6,746.0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color w:val="auto"/>
              </w:rPr>
              <w:t>8,556.0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27"/>
              <w:spacing w:after="0"/>
              <w:rPr>
                <w:sz w:val="20"/>
                <w:szCs w:val="20"/>
                <w:color w:val="auto"/>
              </w:rPr>
            </w:pPr>
            <w:r>
              <w:rPr>
                <w:rFonts w:ascii="Arial" w:cs="Arial" w:eastAsia="Arial" w:hAnsi="Arial"/>
                <w:sz w:val="12"/>
                <w:szCs w:val="12"/>
                <w:color w:val="auto"/>
              </w:rPr>
              <w:t>(3,013.2)</w:t>
            </w: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(4,287.7)</w:t>
            </w: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450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114.5</w:t>
            </w:r>
          </w:p>
        </w:tc>
      </w:tr>
      <w:tr>
        <w:trPr>
          <w:trHeight w:val="194"/>
        </w:trPr>
        <w:tc>
          <w:tcPr>
            <w:tcW w:w="27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4"/>
        </w:trPr>
        <w:tc>
          <w:tcPr>
            <w:tcW w:w="2740" w:type="dxa"/>
            <w:vAlign w:val="bottom"/>
          </w:tcPr>
          <w:p>
            <w:pPr>
              <w:spacing w:after="0"/>
              <w:rPr>
                <w:sz w:val="20"/>
                <w:szCs w:val="20"/>
                <w:color w:val="auto"/>
              </w:rPr>
            </w:pPr>
            <w:r>
              <w:rPr>
                <w:rFonts w:ascii="Arial" w:cs="Arial" w:eastAsia="Arial" w:hAnsi="Arial"/>
                <w:sz w:val="12"/>
                <w:szCs w:val="12"/>
                <w:color w:val="auto"/>
              </w:rPr>
              <w:t>Balance at April 1, 2023</w:t>
            </w:r>
          </w:p>
        </w:tc>
        <w:tc>
          <w:tcPr>
            <w:tcW w:w="820" w:type="dxa"/>
            <w:vAlign w:val="bottom"/>
          </w:tcPr>
          <w:p>
            <w:pPr>
              <w:jc w:val="right"/>
              <w:ind w:right="42"/>
              <w:spacing w:after="0"/>
              <w:rPr>
                <w:sz w:val="20"/>
                <w:szCs w:val="20"/>
                <w:color w:val="auto"/>
              </w:rPr>
            </w:pPr>
            <w:r>
              <w:rPr>
                <w:rFonts w:ascii="Arial" w:cs="Arial" w:eastAsia="Arial" w:hAnsi="Arial"/>
                <w:sz w:val="12"/>
                <w:szCs w:val="12"/>
                <w:b w:val="1"/>
                <w:bCs w:val="1"/>
                <w:color w:val="auto"/>
              </w:rPr>
              <w:t>949,669</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593.5</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6,793.1</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ind w:right="44"/>
              <w:spacing w:after="0"/>
              <w:rPr>
                <w:sz w:val="20"/>
                <w:szCs w:val="20"/>
                <w:color w:val="auto"/>
              </w:rPr>
            </w:pPr>
            <w:r>
              <w:rPr>
                <w:rFonts w:ascii="Arial" w:cs="Arial" w:eastAsia="Arial" w:hAnsi="Arial"/>
                <w:sz w:val="12"/>
                <w:szCs w:val="12"/>
                <w:b w:val="1"/>
                <w:bCs w:val="1"/>
                <w:color w:val="auto"/>
              </w:rPr>
              <w:t>10,639.3</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ind w:right="27"/>
              <w:spacing w:after="0"/>
              <w:rPr>
                <w:sz w:val="20"/>
                <w:szCs w:val="20"/>
                <w:color w:val="auto"/>
              </w:rPr>
            </w:pPr>
            <w:r>
              <w:rPr>
                <w:rFonts w:ascii="Arial" w:cs="Arial" w:eastAsia="Arial" w:hAnsi="Arial"/>
                <w:sz w:val="12"/>
                <w:szCs w:val="12"/>
                <w:b w:val="1"/>
                <w:bCs w:val="1"/>
                <w:color w:val="auto"/>
              </w:rPr>
              <w:t>(3,013.2)</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760" w:type="dxa"/>
            <w:vAlign w:val="bottom"/>
          </w:tcPr>
          <w:p>
            <w:pPr>
              <w:jc w:val="right"/>
              <w:ind w:right="80"/>
              <w:spacing w:after="0"/>
              <w:rPr>
                <w:sz w:val="20"/>
                <w:szCs w:val="20"/>
                <w:color w:val="auto"/>
              </w:rPr>
            </w:pPr>
            <w:r>
              <w:rPr>
                <w:rFonts w:ascii="Arial" w:cs="Arial" w:eastAsia="Arial" w:hAnsi="Arial"/>
                <w:sz w:val="12"/>
                <w:szCs w:val="12"/>
                <w:b w:val="1"/>
                <w:bCs w:val="1"/>
                <w:color w:val="auto"/>
              </w:rPr>
              <w:t>(3,777.3)</w:t>
            </w:r>
          </w:p>
        </w:tc>
        <w:tc>
          <w:tcPr>
            <w:tcW w:w="800" w:type="dxa"/>
            <w:vAlign w:val="bottom"/>
          </w:tcPr>
          <w:p>
            <w:pPr>
              <w:jc w:val="right"/>
              <w:ind w:right="43"/>
              <w:spacing w:after="0"/>
              <w:rPr>
                <w:sz w:val="20"/>
                <w:szCs w:val="20"/>
                <w:color w:val="auto"/>
              </w:rPr>
            </w:pPr>
            <w:r>
              <w:rPr>
                <w:rFonts w:ascii="Arial" w:cs="Arial" w:eastAsia="Arial" w:hAnsi="Arial"/>
                <w:sz w:val="12"/>
                <w:szCs w:val="12"/>
                <w:b w:val="1"/>
                <w:bCs w:val="1"/>
                <w:color w:val="auto"/>
              </w:rPr>
              <w:t>402</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(45.0)</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tcPr>
          <w:p>
            <w:pPr>
              <w:jc w:val="right"/>
              <w:ind w:right="4"/>
              <w:spacing w:after="0"/>
              <w:rPr>
                <w:sz w:val="20"/>
                <w:szCs w:val="20"/>
                <w:color w:val="auto"/>
              </w:rPr>
            </w:pPr>
            <w:r>
              <w:rPr>
                <w:rFonts w:ascii="Arial" w:cs="Arial" w:eastAsia="Arial" w:hAnsi="Arial"/>
                <w:sz w:val="12"/>
                <w:szCs w:val="12"/>
                <w:b w:val="1"/>
                <w:bCs w:val="1"/>
                <w:color w:val="auto"/>
              </w:rPr>
              <w:t>104.5</w:t>
            </w:r>
          </w:p>
        </w:tc>
      </w:tr>
      <w:tr>
        <w:trPr>
          <w:trHeight w:val="175"/>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2"/>
                <w:szCs w:val="12"/>
                <w:b w:val="1"/>
                <w:bCs w:val="1"/>
                <w:color w:val="auto"/>
              </w:rPr>
              <w:t>1,763.2</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(9.5)</w:t>
            </w:r>
          </w:p>
        </w:tc>
      </w:tr>
      <w:tr>
        <w:trPr>
          <w:trHeight w:val="167"/>
        </w:trPr>
        <w:tc>
          <w:tcPr>
            <w:tcW w:w="2740" w:type="dxa"/>
            <w:vAlign w:val="bottom"/>
          </w:tcPr>
          <w:p>
            <w:pPr>
              <w:spacing w:after="0"/>
              <w:rPr>
                <w:sz w:val="20"/>
                <w:szCs w:val="20"/>
                <w:color w:val="auto"/>
              </w:rPr>
            </w:pPr>
            <w:r>
              <w:rPr>
                <w:rFonts w:ascii="Arial" w:cs="Arial" w:eastAsia="Arial" w:hAnsi="Arial"/>
                <w:sz w:val="12"/>
                <w:szCs w:val="12"/>
                <w:color w:val="auto"/>
              </w:rPr>
              <w:t>Other comprehensive loss, net of tax</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80"/>
              <w:spacing w:after="0"/>
              <w:rPr>
                <w:sz w:val="20"/>
                <w:szCs w:val="20"/>
                <w:color w:val="auto"/>
              </w:rPr>
            </w:pPr>
            <w:r>
              <w:rPr>
                <w:rFonts w:ascii="Arial" w:cs="Arial" w:eastAsia="Arial" w:hAnsi="Arial"/>
                <w:sz w:val="12"/>
                <w:szCs w:val="12"/>
                <w:b w:val="1"/>
                <w:bCs w:val="1"/>
                <w:color w:val="auto"/>
              </w:rPr>
              <w:t>(11.4)</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1"/>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Cash dividends declared per share: $2.26</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2"/>
                <w:szCs w:val="12"/>
                <w:b w:val="1"/>
                <w:bCs w:val="1"/>
                <w:color w:val="auto"/>
              </w:rPr>
              <w:t>(2,034.0)</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67"/>
        </w:trPr>
        <w:tc>
          <w:tcPr>
            <w:tcW w:w="2740" w:type="dxa"/>
            <w:vAlign w:val="bottom"/>
          </w:tcPr>
          <w:p>
            <w:pPr>
              <w:spacing w:after="0"/>
              <w:rPr>
                <w:sz w:val="20"/>
                <w:szCs w:val="20"/>
                <w:color w:val="auto"/>
              </w:rPr>
            </w:pPr>
            <w:r>
              <w:rPr>
                <w:rFonts w:ascii="Arial" w:cs="Arial" w:eastAsia="Arial" w:hAnsi="Arial"/>
                <w:sz w:val="12"/>
                <w:szCs w:val="12"/>
                <w:color w:val="auto"/>
              </w:rPr>
              <w:t>Issuance of stock under employee stock plans, net</w:t>
            </w:r>
          </w:p>
        </w:tc>
        <w:tc>
          <w:tcPr>
            <w:tcW w:w="820" w:type="dxa"/>
            <w:vAlign w:val="bottom"/>
          </w:tcPr>
          <w:p>
            <w:pPr>
              <w:jc w:val="right"/>
              <w:ind w:right="42"/>
              <w:spacing w:after="0"/>
              <w:rPr>
                <w:sz w:val="20"/>
                <w:szCs w:val="20"/>
                <w:color w:val="auto"/>
              </w:rPr>
            </w:pPr>
            <w:r>
              <w:rPr>
                <w:rFonts w:ascii="Arial" w:cs="Arial" w:eastAsia="Arial" w:hAnsi="Arial"/>
                <w:sz w:val="12"/>
                <w:szCs w:val="12"/>
                <w:b w:val="1"/>
                <w:bCs w:val="1"/>
                <w:color w:val="auto"/>
              </w:rPr>
              <w:t>19</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0.1</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(6.0)</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161.5</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74"/>
        </w:trPr>
        <w:tc>
          <w:tcPr>
            <w:tcW w:w="2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(9.5)</w:t>
            </w:r>
          </w:p>
        </w:tc>
      </w:tr>
      <w:tr>
        <w:trPr>
          <w:trHeight w:val="17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June 30, 2023</w:t>
            </w:r>
          </w:p>
        </w:tc>
        <w:tc>
          <w:tcPr>
            <w:tcW w:w="8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b w:val="1"/>
                <w:bCs w:val="1"/>
                <w:color w:val="auto"/>
              </w:rPr>
              <w:t>949,688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593.6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6,948.6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b w:val="1"/>
                <w:bCs w:val="1"/>
                <w:color w:val="auto"/>
              </w:rPr>
              <w:t>10,368.5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2"/>
                <w:szCs w:val="12"/>
                <w:b w:val="1"/>
                <w:bCs w:val="1"/>
                <w:color w:val="auto"/>
              </w:rPr>
              <w:t>(3,013.2)</w:t>
            </w:r>
          </w:p>
        </w:tc>
        <w:tc>
          <w:tcPr>
            <w:tcW w:w="5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7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(3,788.7)</w:t>
            </w: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b w:val="1"/>
                <w:bCs w:val="1"/>
                <w:color w:val="auto"/>
              </w:rPr>
              <w:t>402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b w:val="1"/>
                <w:bCs w:val="1"/>
                <w:color w:val="auto"/>
              </w:rPr>
              <w:t>85.5</w:t>
            </w:r>
          </w:p>
        </w:tc>
      </w:tr>
    </w:tbl>
    <w:p>
      <w:pPr>
        <w:spacing w:after="0" w:line="141" w:lineRule="exact"/>
        <w:rPr>
          <w:sz w:val="20"/>
          <w:szCs w:val="20"/>
          <w:color w:val="auto"/>
        </w:rPr>
      </w:pPr>
    </w:p>
    <w:p>
      <w:pPr>
        <w:ind w:left="120" w:hanging="117"/>
        <w:spacing w:after="0"/>
        <w:tabs>
          <w:tab w:leader="none" w:pos="120" w:val="left"/>
        </w:tabs>
        <w:numPr>
          <w:ilvl w:val="0"/>
          <w:numId w:val="2"/>
        </w:numPr>
        <w:rPr>
          <w:rFonts w:ascii="Arial" w:cs="Arial" w:eastAsia="Arial" w:hAnsi="Arial"/>
          <w:sz w:val="13"/>
          <w:szCs w:val="13"/>
          <w:color w:val="auto"/>
          <w:vertAlign w:val="superscript"/>
        </w:rPr>
      </w:pPr>
      <w:r>
        <w:rPr>
          <w:rFonts w:ascii="Arial" w:cs="Arial" w:eastAsia="Arial" w:hAnsi="Arial"/>
          <w:sz w:val="10"/>
          <w:szCs w:val="10"/>
          <w:color w:val="auto"/>
        </w:rPr>
        <w:t>As of June 30, 2023, there was $2.50 billion remaining under our $5.00 billion share repurchase program authorized in May 2021.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8" w:name="page9"/>
    <w:bookmarkEnd w:id="8"/>
    <w:tbl>
      <w:tblPr>
        <w:tblLayout w:type="fixed"/>
        <w:tblInd w:w="20" w:type="dxa"/>
        <w:tblCellMar>
          <w:top w:w="0" w:type="dxa"/>
          <w:left w:w="0" w:type="dxa"/>
          <w:bottom w:w="0" w:type="dxa"/>
          <w:right w:w="0" w:type="dxa"/>
        </w:tblCellMar>
      </w:tblPr>
      <w:tr>
        <w:trPr>
          <w:trHeight w:val="150"/>
        </w:trPr>
        <w:tc>
          <w:tcPr>
            <w:tcW w:w="27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rPr>
              <w:t>Equity of Eli Lilly and Company Shareholders</w:t>
            </w:r>
          </w:p>
        </w:tc>
        <w:tc>
          <w:tcPr>
            <w:tcW w:w="7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9"/>
        </w:trPr>
        <w:tc>
          <w:tcPr>
            <w:tcW w:w="2740" w:type="dxa"/>
            <w:vAlign w:val="bottom"/>
          </w:tcPr>
          <w:p>
            <w:pPr>
              <w:spacing w:after="0"/>
              <w:rPr>
                <w:sz w:val="19"/>
                <w:szCs w:val="19"/>
                <w:color w:val="auto"/>
              </w:rPr>
            </w:pPr>
          </w:p>
        </w:tc>
        <w:tc>
          <w:tcPr>
            <w:tcW w:w="1640" w:type="dxa"/>
            <w:vAlign w:val="bottom"/>
            <w:gridSpan w:val="3"/>
          </w:tcPr>
          <w:p>
            <w:pPr>
              <w:jc w:val="right"/>
              <w:ind w:right="381"/>
              <w:spacing w:after="0"/>
              <w:rPr>
                <w:sz w:val="20"/>
                <w:szCs w:val="20"/>
                <w:color w:val="auto"/>
              </w:rPr>
            </w:pPr>
            <w:r>
              <w:rPr>
                <w:rFonts w:ascii="Arial" w:cs="Arial" w:eastAsia="Arial" w:hAnsi="Arial"/>
                <w:sz w:val="10"/>
                <w:szCs w:val="10"/>
                <w:b w:val="1"/>
                <w:bCs w:val="1"/>
                <w:color w:val="auto"/>
              </w:rPr>
              <w:t>Common Stock</w:t>
            </w:r>
          </w:p>
        </w:tc>
        <w:tc>
          <w:tcPr>
            <w:tcW w:w="220" w:type="dxa"/>
            <w:vAlign w:val="bottom"/>
          </w:tcPr>
          <w:p>
            <w:pPr>
              <w:spacing w:after="0"/>
              <w:rPr>
                <w:sz w:val="19"/>
                <w:szCs w:val="19"/>
                <w:color w:val="auto"/>
              </w:rPr>
            </w:pPr>
          </w:p>
        </w:tc>
        <w:tc>
          <w:tcPr>
            <w:tcW w:w="660" w:type="dxa"/>
            <w:vAlign w:val="bottom"/>
          </w:tcPr>
          <w:p>
            <w:pPr>
              <w:jc w:val="right"/>
              <w:ind w:right="64"/>
              <w:spacing w:after="0"/>
              <w:rPr>
                <w:sz w:val="20"/>
                <w:szCs w:val="20"/>
                <w:color w:val="auto"/>
              </w:rPr>
            </w:pPr>
            <w:r>
              <w:rPr>
                <w:rFonts w:ascii="Arial" w:cs="Arial" w:eastAsia="Arial" w:hAnsi="Arial"/>
                <w:sz w:val="10"/>
                <w:szCs w:val="10"/>
                <w:b w:val="1"/>
                <w:bCs w:val="1"/>
                <w:color w:val="auto"/>
              </w:rPr>
              <w:t>Additional</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40" w:type="dxa"/>
            <w:vAlign w:val="bottom"/>
            <w:gridSpan w:val="3"/>
          </w:tcPr>
          <w:p>
            <w:pPr>
              <w:jc w:val="right"/>
              <w:ind w:right="61"/>
              <w:spacing w:after="0"/>
              <w:rPr>
                <w:sz w:val="20"/>
                <w:szCs w:val="20"/>
                <w:color w:val="auto"/>
              </w:rPr>
            </w:pPr>
            <w:r>
              <w:rPr>
                <w:rFonts w:ascii="Arial" w:cs="Arial" w:eastAsia="Arial" w:hAnsi="Arial"/>
                <w:sz w:val="10"/>
                <w:szCs w:val="10"/>
                <w:b w:val="1"/>
                <w:bCs w:val="1"/>
                <w:color w:val="auto"/>
              </w:rPr>
              <w:t>Common Stock in Treasury</w:t>
            </w:r>
            <w:r>
              <w:rPr>
                <w:rFonts w:ascii="Arial" w:cs="Arial" w:eastAsia="Arial" w:hAnsi="Arial"/>
                <w:sz w:val="15"/>
                <w:szCs w:val="15"/>
                <w:b w:val="1"/>
                <w:bCs w:val="1"/>
                <w:color w:val="auto"/>
                <w:vertAlign w:val="superscript"/>
              </w:rPr>
              <w:t>(1)</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52"/>
        </w:trPr>
        <w:tc>
          <w:tcPr>
            <w:tcW w:w="2740" w:type="dxa"/>
            <w:vAlign w:val="bottom"/>
          </w:tcPr>
          <w:p>
            <w:pPr>
              <w:spacing w:after="0" w:line="52" w:lineRule="exact"/>
              <w:rPr>
                <w:sz w:val="20"/>
                <w:szCs w:val="20"/>
                <w:color w:val="auto"/>
              </w:rPr>
            </w:pPr>
            <w:r>
              <w:rPr>
                <w:rFonts w:ascii="Arial" w:cs="Arial" w:eastAsia="Arial" w:hAnsi="Arial"/>
                <w:sz w:val="5"/>
                <w:szCs w:val="5"/>
                <w:b w:val="1"/>
                <w:bCs w:val="1"/>
                <w:color w:val="auto"/>
              </w:rPr>
              <w:t>(Dollars in millions, except per-share data, and shares</w:t>
            </w: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jc w:val="right"/>
              <w:ind w:right="144"/>
              <w:spacing w:after="0" w:line="52" w:lineRule="exact"/>
              <w:rPr>
                <w:sz w:val="20"/>
                <w:szCs w:val="20"/>
                <w:color w:val="auto"/>
              </w:rPr>
            </w:pPr>
            <w:r>
              <w:rPr>
                <w:rFonts w:ascii="Arial" w:cs="Arial" w:eastAsia="Arial" w:hAnsi="Arial"/>
                <w:sz w:val="5"/>
                <w:szCs w:val="5"/>
                <w:b w:val="1"/>
                <w:bCs w:val="1"/>
                <w:color w:val="auto"/>
              </w:rPr>
              <w:t>Paid-in</w:t>
            </w:r>
          </w:p>
        </w:tc>
        <w:tc>
          <w:tcPr>
            <w:tcW w:w="260" w:type="dxa"/>
            <w:vAlign w:val="bottom"/>
          </w:tcPr>
          <w:p>
            <w:pPr>
              <w:spacing w:after="0"/>
              <w:rPr>
                <w:sz w:val="4"/>
                <w:szCs w:val="4"/>
                <w:color w:val="auto"/>
              </w:rPr>
            </w:pPr>
          </w:p>
        </w:tc>
        <w:tc>
          <w:tcPr>
            <w:tcW w:w="720" w:type="dxa"/>
            <w:vAlign w:val="bottom"/>
          </w:tcPr>
          <w:p>
            <w:pPr>
              <w:jc w:val="right"/>
              <w:ind w:right="183"/>
              <w:spacing w:after="0" w:line="52" w:lineRule="exact"/>
              <w:rPr>
                <w:sz w:val="20"/>
                <w:szCs w:val="20"/>
                <w:color w:val="auto"/>
              </w:rPr>
            </w:pPr>
            <w:r>
              <w:rPr>
                <w:rFonts w:ascii="Arial" w:cs="Arial" w:eastAsia="Arial" w:hAnsi="Arial"/>
                <w:sz w:val="5"/>
                <w:szCs w:val="5"/>
                <w:b w:val="1"/>
                <w:bCs w:val="1"/>
                <w:color w:val="auto"/>
              </w:rPr>
              <w:t>Retained</w:t>
            </w:r>
          </w:p>
        </w:tc>
        <w:tc>
          <w:tcPr>
            <w:tcW w:w="180" w:type="dxa"/>
            <w:vAlign w:val="bottom"/>
          </w:tcPr>
          <w:p>
            <w:pPr>
              <w:spacing w:after="0"/>
              <w:rPr>
                <w:sz w:val="4"/>
                <w:szCs w:val="4"/>
                <w:color w:val="auto"/>
              </w:rPr>
            </w:pPr>
          </w:p>
        </w:tc>
        <w:tc>
          <w:tcPr>
            <w:tcW w:w="720" w:type="dxa"/>
            <w:vAlign w:val="bottom"/>
          </w:tcPr>
          <w:p>
            <w:pPr>
              <w:jc w:val="right"/>
              <w:ind w:right="147"/>
              <w:spacing w:after="0" w:line="52" w:lineRule="exact"/>
              <w:rPr>
                <w:sz w:val="20"/>
                <w:szCs w:val="20"/>
                <w:color w:val="auto"/>
              </w:rPr>
            </w:pPr>
            <w:r>
              <w:rPr>
                <w:rFonts w:ascii="Arial" w:cs="Arial" w:eastAsia="Arial" w:hAnsi="Arial"/>
                <w:sz w:val="5"/>
                <w:szCs w:val="5"/>
                <w:b w:val="1"/>
                <w:bCs w:val="1"/>
                <w:color w:val="auto"/>
              </w:rPr>
              <w:t>Employee</w:t>
            </w:r>
          </w:p>
        </w:tc>
        <w:tc>
          <w:tcPr>
            <w:tcW w:w="1280" w:type="dxa"/>
            <w:vAlign w:val="bottom"/>
            <w:gridSpan w:val="2"/>
          </w:tcPr>
          <w:p>
            <w:pPr>
              <w:jc w:val="right"/>
              <w:ind w:right="140"/>
              <w:spacing w:after="0" w:line="52" w:lineRule="exact"/>
              <w:rPr>
                <w:sz w:val="20"/>
                <w:szCs w:val="20"/>
                <w:color w:val="auto"/>
              </w:rPr>
            </w:pPr>
            <w:r>
              <w:rPr>
                <w:rFonts w:ascii="Arial" w:cs="Arial" w:eastAsia="Arial" w:hAnsi="Arial"/>
                <w:sz w:val="5"/>
                <w:szCs w:val="5"/>
                <w:b w:val="1"/>
                <w:bCs w:val="1"/>
                <w:color w:val="auto"/>
              </w:rPr>
              <w:t>Accumulated Other</w:t>
            </w: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jc w:val="right"/>
              <w:ind w:right="104"/>
              <w:spacing w:after="0" w:line="52" w:lineRule="exact"/>
              <w:rPr>
                <w:sz w:val="20"/>
                <w:szCs w:val="20"/>
                <w:color w:val="auto"/>
              </w:rPr>
            </w:pPr>
            <w:r>
              <w:rPr>
                <w:rFonts w:ascii="Arial" w:cs="Arial" w:eastAsia="Arial" w:hAnsi="Arial"/>
                <w:sz w:val="5"/>
                <w:szCs w:val="5"/>
                <w:b w:val="1"/>
                <w:bCs w:val="1"/>
                <w:color w:val="auto"/>
              </w:rPr>
              <w:t>Noncontrolling</w:t>
            </w:r>
          </w:p>
        </w:tc>
      </w:tr>
      <w:tr>
        <w:trPr>
          <w:trHeight w:val="168"/>
        </w:trPr>
        <w:tc>
          <w:tcPr>
            <w:tcW w:w="27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thousands)</w:t>
            </w:r>
          </w:p>
        </w:tc>
        <w:tc>
          <w:tcPr>
            <w:tcW w:w="82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Shares</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Amount</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rPr>
              <w:t>Capital</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Earnings</w:t>
            </w:r>
          </w:p>
        </w:tc>
        <w:tc>
          <w:tcPr>
            <w:tcW w:w="900" w:type="dxa"/>
            <w:vAlign w:val="bottom"/>
            <w:tcBorders>
              <w:bottom w:val="single" w:sz="8" w:color="auto"/>
            </w:tcBorders>
            <w:gridSpan w:val="2"/>
          </w:tcPr>
          <w:p>
            <w:pPr>
              <w:jc w:val="right"/>
              <w:ind w:right="87"/>
              <w:spacing w:after="0"/>
              <w:rPr>
                <w:sz w:val="20"/>
                <w:szCs w:val="20"/>
                <w:color w:val="auto"/>
              </w:rPr>
            </w:pPr>
            <w:r>
              <w:rPr>
                <w:rFonts w:ascii="Arial" w:cs="Arial" w:eastAsia="Arial" w:hAnsi="Arial"/>
                <w:sz w:val="10"/>
                <w:szCs w:val="10"/>
                <w:b w:val="1"/>
                <w:bCs w:val="1"/>
                <w:color w:val="auto"/>
              </w:rPr>
              <w:t>Benefit Trust</w:t>
            </w: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Comprehensive Loss</w:t>
            </w:r>
          </w:p>
        </w:tc>
        <w:tc>
          <w:tcPr>
            <w:tcW w:w="800" w:type="dxa"/>
            <w:vAlign w:val="bottom"/>
            <w:tcBorders>
              <w:bottom w:val="single" w:sz="8" w:color="auto"/>
            </w:tcBorders>
          </w:tcPr>
          <w:p>
            <w:pPr>
              <w:jc w:val="right"/>
              <w:ind w:right="201"/>
              <w:spacing w:after="0"/>
              <w:rPr>
                <w:sz w:val="20"/>
                <w:szCs w:val="20"/>
                <w:color w:val="auto"/>
              </w:rPr>
            </w:pPr>
            <w:r>
              <w:rPr>
                <w:rFonts w:ascii="Arial" w:cs="Arial" w:eastAsia="Arial" w:hAnsi="Arial"/>
                <w:sz w:val="10"/>
                <w:szCs w:val="10"/>
                <w:b w:val="1"/>
                <w:bCs w:val="1"/>
                <w:color w:val="auto"/>
              </w:rPr>
              <w:t>Shares</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Amount</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64"/>
              <w:spacing w:after="0"/>
              <w:rPr>
                <w:sz w:val="20"/>
                <w:szCs w:val="20"/>
                <w:color w:val="auto"/>
              </w:rPr>
            </w:pPr>
            <w:r>
              <w:rPr>
                <w:rFonts w:ascii="Arial" w:cs="Arial" w:eastAsia="Arial" w:hAnsi="Arial"/>
                <w:sz w:val="10"/>
                <w:szCs w:val="10"/>
                <w:b w:val="1"/>
                <w:bCs w:val="1"/>
                <w:color w:val="auto"/>
              </w:rPr>
              <w:t>Interests</w:t>
            </w:r>
          </w:p>
        </w:tc>
      </w:tr>
      <w:tr>
        <w:trPr>
          <w:trHeight w:val="166"/>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Balance at January 1, 2022</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954,116</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596.3</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6,833.4</w:t>
            </w:r>
          </w:p>
        </w:tc>
        <w:tc>
          <w:tcPr>
            <w:tcW w:w="2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8,958.5</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7"/>
              <w:spacing w:after="0"/>
              <w:rPr>
                <w:sz w:val="20"/>
                <w:szCs w:val="20"/>
                <w:color w:val="auto"/>
              </w:rPr>
            </w:pPr>
            <w:r>
              <w:rPr>
                <w:rFonts w:ascii="Arial" w:cs="Arial" w:eastAsia="Arial" w:hAnsi="Arial"/>
                <w:sz w:val="12"/>
                <w:szCs w:val="12"/>
                <w:color w:val="auto"/>
              </w:rPr>
              <w:t>(3,013.2)</w:t>
            </w:r>
          </w:p>
        </w:tc>
        <w:tc>
          <w:tcPr>
            <w:tcW w:w="50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(4,343.1)</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463</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175.6</w:t>
            </w:r>
          </w:p>
        </w:tc>
      </w:tr>
      <w:tr>
        <w:trPr>
          <w:trHeight w:val="153"/>
        </w:trPr>
        <w:tc>
          <w:tcPr>
            <w:tcW w:w="2740" w:type="dxa"/>
            <w:vAlign w:val="bottom"/>
          </w:tcPr>
          <w:p>
            <w:pPr>
              <w:spacing w:after="0"/>
              <w:rPr>
                <w:sz w:val="20"/>
                <w:szCs w:val="20"/>
                <w:color w:val="auto"/>
              </w:rPr>
            </w:pPr>
            <w:r>
              <w:rPr>
                <w:rFonts w:ascii="Arial" w:cs="Arial" w:eastAsia="Arial" w:hAnsi="Arial"/>
                <w:sz w:val="12"/>
                <w:szCs w:val="12"/>
                <w:color w:val="auto"/>
              </w:rPr>
              <w:t>Net income (loss)</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jc w:val="right"/>
              <w:ind w:right="63"/>
              <w:spacing w:after="0"/>
              <w:rPr>
                <w:sz w:val="20"/>
                <w:szCs w:val="20"/>
                <w:color w:val="auto"/>
              </w:rPr>
            </w:pPr>
            <w:r>
              <w:rPr>
                <w:rFonts w:ascii="Arial" w:cs="Arial" w:eastAsia="Arial" w:hAnsi="Arial"/>
                <w:sz w:val="12"/>
                <w:szCs w:val="12"/>
                <w:color w:val="auto"/>
              </w:rPr>
              <w:t>2,855.4</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(48.0)</w:t>
            </w:r>
          </w:p>
        </w:tc>
      </w:tr>
      <w:tr>
        <w:trPr>
          <w:trHeight w:val="28"/>
        </w:trPr>
        <w:tc>
          <w:tcPr>
            <w:tcW w:w="2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68"/>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Other comprehensive income, net of tax</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55.4</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0"/>
        </w:trPr>
        <w:tc>
          <w:tcPr>
            <w:tcW w:w="2740" w:type="dxa"/>
            <w:vAlign w:val="bottom"/>
          </w:tcPr>
          <w:p>
            <w:pPr>
              <w:spacing w:after="0"/>
              <w:rPr>
                <w:sz w:val="20"/>
                <w:szCs w:val="20"/>
                <w:color w:val="auto"/>
              </w:rPr>
            </w:pPr>
            <w:r>
              <w:rPr>
                <w:rFonts w:ascii="Arial" w:cs="Arial" w:eastAsia="Arial" w:hAnsi="Arial"/>
                <w:sz w:val="12"/>
                <w:szCs w:val="12"/>
                <w:color w:val="auto"/>
              </w:rPr>
              <w:t>Cash dividends declared per share: $1.96</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jc w:val="right"/>
              <w:ind w:right="23"/>
              <w:spacing w:after="0"/>
              <w:rPr>
                <w:sz w:val="20"/>
                <w:szCs w:val="20"/>
                <w:color w:val="auto"/>
              </w:rPr>
            </w:pPr>
            <w:r>
              <w:rPr>
                <w:rFonts w:ascii="Arial" w:cs="Arial" w:eastAsia="Arial" w:hAnsi="Arial"/>
                <w:sz w:val="12"/>
                <w:szCs w:val="12"/>
                <w:color w:val="auto"/>
              </w:rPr>
              <w:t>(1,765.9)</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8"/>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Retirement of treasury shares</w:t>
            </w:r>
          </w:p>
        </w:tc>
        <w:tc>
          <w:tcPr>
            <w:tcW w:w="8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(5,607)</w:t>
            </w:r>
          </w:p>
        </w:tc>
        <w:tc>
          <w:tcPr>
            <w:tcW w:w="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2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(1,496.5)</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(5,607)</w:t>
            </w: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1,500.0</w:t>
            </w:r>
          </w:p>
        </w:tc>
        <w:tc>
          <w:tcPr>
            <w:tcW w:w="2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r>
      <w:tr>
        <w:trPr>
          <w:trHeight w:val="160"/>
        </w:trPr>
        <w:tc>
          <w:tcPr>
            <w:tcW w:w="2740" w:type="dxa"/>
            <w:vAlign w:val="bottom"/>
          </w:tcPr>
          <w:p>
            <w:pPr>
              <w:spacing w:after="0"/>
              <w:rPr>
                <w:sz w:val="20"/>
                <w:szCs w:val="20"/>
                <w:color w:val="auto"/>
              </w:rPr>
            </w:pPr>
            <w:r>
              <w:rPr>
                <w:rFonts w:ascii="Arial" w:cs="Arial" w:eastAsia="Arial" w:hAnsi="Arial"/>
                <w:sz w:val="12"/>
                <w:szCs w:val="12"/>
                <w:color w:val="auto"/>
              </w:rPr>
              <w:t>Purchase of treasury shares</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jc w:val="right"/>
              <w:ind w:right="41"/>
              <w:spacing w:after="0"/>
              <w:rPr>
                <w:sz w:val="20"/>
                <w:szCs w:val="20"/>
                <w:color w:val="auto"/>
              </w:rPr>
            </w:pPr>
            <w:r>
              <w:rPr>
                <w:rFonts w:ascii="Arial" w:cs="Arial" w:eastAsia="Arial" w:hAnsi="Arial"/>
                <w:sz w:val="12"/>
                <w:szCs w:val="12"/>
                <w:color w:val="auto"/>
              </w:rPr>
              <w:t>5,607</w:t>
            </w: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(1,500.0)</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5"/>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Issuance of stock under employee stock plans, net</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2,110</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(280.5)</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53"/>
        </w:trPr>
        <w:tc>
          <w:tcPr>
            <w:tcW w:w="274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193.1</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8"/>
        </w:trPr>
        <w:tc>
          <w:tcPr>
            <w:tcW w:w="2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61"/>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8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4.5</w:t>
            </w:r>
          </w:p>
        </w:tc>
        <w:tc>
          <w:tcPr>
            <w:tcW w:w="1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w:t>
            </w:r>
          </w:p>
        </w:tc>
      </w:tr>
      <w:tr>
        <w:trPr>
          <w:trHeight w:val="174"/>
        </w:trPr>
        <w:tc>
          <w:tcPr>
            <w:tcW w:w="2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Balance at June 30, 2022</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950,619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594.1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6,746.0</w:t>
            </w:r>
          </w:p>
        </w:tc>
        <w:tc>
          <w:tcPr>
            <w:tcW w:w="2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8,556.0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27"/>
              <w:spacing w:after="0"/>
              <w:rPr>
                <w:sz w:val="20"/>
                <w:szCs w:val="20"/>
                <w:color w:val="auto"/>
              </w:rPr>
            </w:pPr>
            <w:r>
              <w:rPr>
                <w:rFonts w:ascii="Arial" w:cs="Arial" w:eastAsia="Arial" w:hAnsi="Arial"/>
                <w:sz w:val="12"/>
                <w:szCs w:val="12"/>
                <w:color w:val="auto"/>
              </w:rPr>
              <w:t>(3,013.2)</w:t>
            </w: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(4,287.7)</w:t>
            </w: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114.5</w:t>
            </w:r>
          </w:p>
        </w:tc>
      </w:tr>
      <w:tr>
        <w:trPr>
          <w:trHeight w:val="194"/>
        </w:trPr>
        <w:tc>
          <w:tcPr>
            <w:tcW w:w="27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4"/>
        </w:trPr>
        <w:tc>
          <w:tcPr>
            <w:tcW w:w="2740" w:type="dxa"/>
            <w:vAlign w:val="bottom"/>
          </w:tcPr>
          <w:p>
            <w:pPr>
              <w:spacing w:after="0"/>
              <w:rPr>
                <w:sz w:val="20"/>
                <w:szCs w:val="20"/>
                <w:color w:val="auto"/>
              </w:rPr>
            </w:pPr>
            <w:r>
              <w:rPr>
                <w:rFonts w:ascii="Arial" w:cs="Arial" w:eastAsia="Arial" w:hAnsi="Arial"/>
                <w:sz w:val="12"/>
                <w:szCs w:val="12"/>
                <w:color w:val="auto"/>
              </w:rPr>
              <w:t>Balance at January 1, 2023</w:t>
            </w:r>
          </w:p>
        </w:tc>
        <w:tc>
          <w:tcPr>
            <w:tcW w:w="820" w:type="dxa"/>
            <w:vAlign w:val="bottom"/>
          </w:tcPr>
          <w:p>
            <w:pPr>
              <w:jc w:val="right"/>
              <w:ind w:right="42"/>
              <w:spacing w:after="0"/>
              <w:rPr>
                <w:sz w:val="20"/>
                <w:szCs w:val="20"/>
                <w:color w:val="auto"/>
              </w:rPr>
            </w:pPr>
            <w:r>
              <w:rPr>
                <w:rFonts w:ascii="Arial" w:cs="Arial" w:eastAsia="Arial" w:hAnsi="Arial"/>
                <w:sz w:val="12"/>
                <w:szCs w:val="12"/>
                <w:b w:val="1"/>
                <w:bCs w:val="1"/>
                <w:color w:val="auto"/>
              </w:rPr>
              <w:t>950,632</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tcPr>
          <w:p>
            <w:pPr>
              <w:jc w:val="right"/>
              <w:ind w:right="1"/>
              <w:spacing w:after="0"/>
              <w:rPr>
                <w:sz w:val="20"/>
                <w:szCs w:val="20"/>
                <w:color w:val="auto"/>
              </w:rPr>
            </w:pPr>
            <w:r>
              <w:rPr>
                <w:rFonts w:ascii="Arial" w:cs="Arial" w:eastAsia="Arial" w:hAnsi="Arial"/>
                <w:sz w:val="12"/>
                <w:szCs w:val="12"/>
                <w:b w:val="1"/>
                <w:bCs w:val="1"/>
                <w:color w:val="auto"/>
              </w:rPr>
              <w:t>594.1</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6,921.4</w:t>
            </w:r>
          </w:p>
        </w:tc>
        <w:tc>
          <w:tcPr>
            <w:tcW w:w="260" w:type="dxa"/>
            <w:vAlign w:val="bottom"/>
          </w:tcPr>
          <w:p>
            <w:pPr>
              <w:jc w:val="right"/>
              <w:ind w:right="2"/>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ind w:right="63"/>
              <w:spacing w:after="0"/>
              <w:rPr>
                <w:sz w:val="20"/>
                <w:szCs w:val="20"/>
                <w:color w:val="auto"/>
              </w:rPr>
            </w:pPr>
            <w:r>
              <w:rPr>
                <w:rFonts w:ascii="Arial" w:cs="Arial" w:eastAsia="Arial" w:hAnsi="Arial"/>
                <w:sz w:val="12"/>
                <w:szCs w:val="12"/>
                <w:b w:val="1"/>
                <w:bCs w:val="1"/>
                <w:color w:val="auto"/>
              </w:rPr>
              <w:t>10,042.6</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ind w:right="27"/>
              <w:spacing w:after="0"/>
              <w:rPr>
                <w:sz w:val="20"/>
                <w:szCs w:val="20"/>
                <w:color w:val="auto"/>
              </w:rPr>
            </w:pPr>
            <w:r>
              <w:rPr>
                <w:rFonts w:ascii="Arial" w:cs="Arial" w:eastAsia="Arial" w:hAnsi="Arial"/>
                <w:sz w:val="12"/>
                <w:szCs w:val="12"/>
                <w:b w:val="1"/>
                <w:bCs w:val="1"/>
                <w:color w:val="auto"/>
              </w:rPr>
              <w:t>(3,013.2)</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w:t>
            </w:r>
          </w:p>
        </w:tc>
        <w:tc>
          <w:tcPr>
            <w:tcW w:w="780" w:type="dxa"/>
            <w:vAlign w:val="bottom"/>
          </w:tcPr>
          <w:p>
            <w:pPr>
              <w:jc w:val="right"/>
              <w:ind w:right="100"/>
              <w:spacing w:after="0"/>
              <w:rPr>
                <w:sz w:val="20"/>
                <w:szCs w:val="20"/>
                <w:color w:val="auto"/>
              </w:rPr>
            </w:pPr>
            <w:r>
              <w:rPr>
                <w:rFonts w:ascii="Arial" w:cs="Arial" w:eastAsia="Arial" w:hAnsi="Arial"/>
                <w:sz w:val="12"/>
                <w:szCs w:val="12"/>
                <w:b w:val="1"/>
                <w:bCs w:val="1"/>
                <w:color w:val="auto"/>
              </w:rPr>
              <w:t>(3,844.6)</w:t>
            </w:r>
          </w:p>
        </w:tc>
        <w:tc>
          <w:tcPr>
            <w:tcW w:w="800" w:type="dxa"/>
            <w:vAlign w:val="bottom"/>
          </w:tcPr>
          <w:p>
            <w:pPr>
              <w:jc w:val="right"/>
              <w:ind w:right="41"/>
              <w:spacing w:after="0"/>
              <w:rPr>
                <w:sz w:val="20"/>
                <w:szCs w:val="20"/>
                <w:color w:val="auto"/>
              </w:rPr>
            </w:pPr>
            <w:r>
              <w:rPr>
                <w:rFonts w:ascii="Arial" w:cs="Arial" w:eastAsia="Arial" w:hAnsi="Arial"/>
                <w:sz w:val="12"/>
                <w:szCs w:val="12"/>
                <w:b w:val="1"/>
                <w:bCs w:val="1"/>
                <w:color w:val="auto"/>
              </w:rPr>
              <w:t>450</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(50.5)</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tcPr>
          <w:p>
            <w:pPr>
              <w:jc w:val="right"/>
              <w:ind w:right="4"/>
              <w:spacing w:after="0"/>
              <w:rPr>
                <w:sz w:val="20"/>
                <w:szCs w:val="20"/>
                <w:color w:val="auto"/>
              </w:rPr>
            </w:pPr>
            <w:r>
              <w:rPr>
                <w:rFonts w:ascii="Arial" w:cs="Arial" w:eastAsia="Arial" w:hAnsi="Arial"/>
                <w:sz w:val="12"/>
                <w:szCs w:val="12"/>
                <w:b w:val="1"/>
                <w:bCs w:val="1"/>
                <w:color w:val="auto"/>
              </w:rPr>
              <w:t>125.6</w:t>
            </w:r>
          </w:p>
        </w:tc>
      </w:tr>
      <w:tr>
        <w:trPr>
          <w:trHeight w:val="175"/>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3"/>
              <w:spacing w:after="0"/>
              <w:rPr>
                <w:sz w:val="20"/>
                <w:szCs w:val="20"/>
                <w:color w:val="auto"/>
              </w:rPr>
            </w:pPr>
            <w:r>
              <w:rPr>
                <w:rFonts w:ascii="Arial" w:cs="Arial" w:eastAsia="Arial" w:hAnsi="Arial"/>
                <w:sz w:val="12"/>
                <w:szCs w:val="12"/>
                <w:b w:val="1"/>
                <w:bCs w:val="1"/>
                <w:color w:val="auto"/>
              </w:rPr>
              <w:t>3,108.1</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2"/>
                <w:szCs w:val="12"/>
                <w:b w:val="1"/>
                <w:bCs w:val="1"/>
                <w:color w:val="auto"/>
              </w:rPr>
              <w:t>0.5</w:t>
            </w:r>
          </w:p>
        </w:tc>
      </w:tr>
      <w:tr>
        <w:trPr>
          <w:trHeight w:val="167"/>
        </w:trPr>
        <w:tc>
          <w:tcPr>
            <w:tcW w:w="2740" w:type="dxa"/>
            <w:vAlign w:val="bottom"/>
          </w:tcPr>
          <w:p>
            <w:pPr>
              <w:spacing w:after="0"/>
              <w:rPr>
                <w:sz w:val="20"/>
                <w:szCs w:val="20"/>
                <w:color w:val="auto"/>
              </w:rPr>
            </w:pPr>
            <w:r>
              <w:rPr>
                <w:rFonts w:ascii="Arial" w:cs="Arial" w:eastAsia="Arial" w:hAnsi="Arial"/>
                <w:sz w:val="12"/>
                <w:szCs w:val="12"/>
                <w:color w:val="auto"/>
              </w:rPr>
              <w:t>Other comprehensive income, net of tax</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ind w:right="120"/>
              <w:spacing w:after="0"/>
              <w:rPr>
                <w:sz w:val="20"/>
                <w:szCs w:val="20"/>
                <w:color w:val="auto"/>
              </w:rPr>
            </w:pPr>
            <w:r>
              <w:rPr>
                <w:rFonts w:ascii="Arial" w:cs="Arial" w:eastAsia="Arial" w:hAnsi="Arial"/>
                <w:sz w:val="12"/>
                <w:szCs w:val="12"/>
                <w:b w:val="1"/>
                <w:bCs w:val="1"/>
                <w:color w:val="auto"/>
              </w:rPr>
              <w:t>55.9</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1"/>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Cash dividends declared per share: $2.26</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2"/>
                <w:szCs w:val="12"/>
                <w:b w:val="1"/>
                <w:bCs w:val="1"/>
                <w:color w:val="auto"/>
              </w:rPr>
              <w:t>(2,034.0)</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67"/>
        </w:trPr>
        <w:tc>
          <w:tcPr>
            <w:tcW w:w="2740" w:type="dxa"/>
            <w:vAlign w:val="bottom"/>
          </w:tcPr>
          <w:p>
            <w:pPr>
              <w:spacing w:after="0"/>
              <w:rPr>
                <w:sz w:val="20"/>
                <w:szCs w:val="20"/>
                <w:color w:val="auto"/>
              </w:rPr>
            </w:pPr>
            <w:r>
              <w:rPr>
                <w:rFonts w:ascii="Arial" w:cs="Arial" w:eastAsia="Arial" w:hAnsi="Arial"/>
                <w:sz w:val="12"/>
                <w:szCs w:val="12"/>
                <w:color w:val="auto"/>
              </w:rPr>
              <w:t>Retirement of treasury shares</w:t>
            </w:r>
          </w:p>
        </w:tc>
        <w:tc>
          <w:tcPr>
            <w:tcW w:w="820" w:type="dxa"/>
            <w:vAlign w:val="bottom"/>
          </w:tcPr>
          <w:p>
            <w:pPr>
              <w:jc w:val="right"/>
              <w:ind w:right="2"/>
              <w:spacing w:after="0"/>
              <w:rPr>
                <w:sz w:val="20"/>
                <w:szCs w:val="20"/>
                <w:color w:val="auto"/>
              </w:rPr>
            </w:pPr>
            <w:r>
              <w:rPr>
                <w:rFonts w:ascii="Arial" w:cs="Arial" w:eastAsia="Arial" w:hAnsi="Arial"/>
                <w:sz w:val="12"/>
                <w:szCs w:val="12"/>
                <w:b w:val="1"/>
                <w:bCs w:val="1"/>
                <w:color w:val="auto"/>
              </w:rPr>
              <w:t>(2,299)</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(1.4)</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23"/>
              <w:spacing w:after="0"/>
              <w:rPr>
                <w:sz w:val="20"/>
                <w:szCs w:val="20"/>
                <w:color w:val="auto"/>
              </w:rPr>
            </w:pPr>
            <w:r>
              <w:rPr>
                <w:rFonts w:ascii="Arial" w:cs="Arial" w:eastAsia="Arial" w:hAnsi="Arial"/>
                <w:sz w:val="12"/>
                <w:szCs w:val="12"/>
                <w:b w:val="1"/>
                <w:bCs w:val="1"/>
                <w:color w:val="auto"/>
              </w:rPr>
              <w:t>(748.6)</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b w:val="1"/>
                <w:bCs w:val="1"/>
                <w:color w:val="auto"/>
              </w:rPr>
              <w:t>(2,299)</w:t>
            </w:r>
          </w:p>
        </w:tc>
        <w:tc>
          <w:tcPr>
            <w:tcW w:w="20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b w:val="1"/>
                <w:bCs w:val="1"/>
                <w:color w:val="auto"/>
              </w:rPr>
              <w:t>750.0</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Purchase of treasury shares</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2"/>
                <w:szCs w:val="12"/>
                <w:b w:val="1"/>
                <w:bCs w:val="1"/>
                <w:color w:val="auto"/>
              </w:rPr>
              <w:t>2,299</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(750.0)</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74"/>
        </w:trPr>
        <w:tc>
          <w:tcPr>
            <w:tcW w:w="2740" w:type="dxa"/>
            <w:vAlign w:val="bottom"/>
          </w:tcPr>
          <w:p>
            <w:pPr>
              <w:spacing w:after="0"/>
              <w:rPr>
                <w:sz w:val="20"/>
                <w:szCs w:val="20"/>
                <w:color w:val="auto"/>
              </w:rPr>
            </w:pPr>
            <w:r>
              <w:rPr>
                <w:rFonts w:ascii="Arial" w:cs="Arial" w:eastAsia="Arial" w:hAnsi="Arial"/>
                <w:sz w:val="12"/>
                <w:szCs w:val="12"/>
                <w:color w:val="auto"/>
              </w:rPr>
              <w:t>Issuance of stock under employee stock plans, net</w:t>
            </w:r>
          </w:p>
        </w:tc>
        <w:tc>
          <w:tcPr>
            <w:tcW w:w="820" w:type="dxa"/>
            <w:vAlign w:val="bottom"/>
          </w:tcPr>
          <w:p>
            <w:pPr>
              <w:jc w:val="right"/>
              <w:ind w:right="42"/>
              <w:spacing w:after="0"/>
              <w:rPr>
                <w:sz w:val="20"/>
                <w:szCs w:val="20"/>
                <w:color w:val="auto"/>
              </w:rPr>
            </w:pPr>
            <w:r>
              <w:rPr>
                <w:rFonts w:ascii="Arial" w:cs="Arial" w:eastAsia="Arial" w:hAnsi="Arial"/>
                <w:sz w:val="12"/>
                <w:szCs w:val="12"/>
                <w:b w:val="1"/>
                <w:bCs w:val="1"/>
                <w:color w:val="auto"/>
              </w:rPr>
              <w:t>1,355</w:t>
            </w:r>
          </w:p>
        </w:tc>
        <w:tc>
          <w:tcPr>
            <w:tcW w:w="200" w:type="dxa"/>
            <w:vAlign w:val="bottom"/>
          </w:tcPr>
          <w:p>
            <w:pPr>
              <w:spacing w:after="0"/>
              <w:rPr>
                <w:sz w:val="15"/>
                <w:szCs w:val="15"/>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b w:val="1"/>
                <w:bCs w:val="1"/>
                <w:color w:val="auto"/>
              </w:rPr>
              <w:t>0.9</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(265.5)</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b w:val="1"/>
                <w:bCs w:val="1"/>
                <w:color w:val="auto"/>
              </w:rPr>
              <w:t>(48)</w:t>
            </w:r>
          </w:p>
        </w:tc>
        <w:tc>
          <w:tcPr>
            <w:tcW w:w="20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b w:val="1"/>
                <w:bCs w:val="1"/>
                <w:color w:val="auto"/>
              </w:rPr>
              <w:t>8.8</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292.7</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67"/>
        </w:trPr>
        <w:tc>
          <w:tcPr>
            <w:tcW w:w="2740" w:type="dxa"/>
            <w:vAlign w:val="bottom"/>
          </w:tcPr>
          <w:p>
            <w:pPr>
              <w:spacing w:after="0"/>
              <w:rPr>
                <w:sz w:val="20"/>
                <w:szCs w:val="20"/>
                <w:color w:val="auto"/>
              </w:rPr>
            </w:pPr>
            <w:r>
              <w:rPr>
                <w:rFonts w:ascii="Arial" w:cs="Arial" w:eastAsia="Arial" w:hAnsi="Arial"/>
                <w:sz w:val="12"/>
                <w:szCs w:val="12"/>
                <w:color w:val="auto"/>
              </w:rPr>
              <w:t>Other</w:t>
            </w: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b w:val="1"/>
                <w:bCs w:val="1"/>
                <w:color w:val="auto"/>
              </w:rPr>
              <w:t>0.4</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(3.3)</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(40.6)</w:t>
            </w:r>
          </w:p>
        </w:tc>
      </w:tr>
      <w:tr>
        <w:trPr>
          <w:trHeight w:val="180"/>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June 30, 2023</w:t>
            </w:r>
          </w:p>
        </w:tc>
        <w:tc>
          <w:tcPr>
            <w:tcW w:w="8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b w:val="1"/>
                <w:bCs w:val="1"/>
                <w:color w:val="auto"/>
              </w:rPr>
              <w:t>949,688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593.6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6,948.6</w:t>
            </w:r>
          </w:p>
        </w:tc>
        <w:tc>
          <w:tcPr>
            <w:tcW w:w="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b w:val="1"/>
                <w:bCs w:val="1"/>
                <w:color w:val="auto"/>
              </w:rPr>
              <w:t>10,368.5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2"/>
                <w:szCs w:val="12"/>
                <w:b w:val="1"/>
                <w:bCs w:val="1"/>
                <w:color w:val="auto"/>
              </w:rPr>
              <w:t>(3,013.2)</w:t>
            </w:r>
          </w:p>
        </w:tc>
        <w:tc>
          <w:tcPr>
            <w:tcW w:w="5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2"/>
                <w:szCs w:val="12"/>
                <w:b w:val="1"/>
                <w:bCs w:val="1"/>
                <w:color w:val="auto"/>
              </w:rPr>
              <w:t>$</w:t>
            </w:r>
          </w:p>
        </w:tc>
        <w:tc>
          <w:tcPr>
            <w:tcW w:w="7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(3,788.7)</w:t>
            </w: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b w:val="1"/>
                <w:bCs w:val="1"/>
                <w:color w:val="auto"/>
              </w:rPr>
              <w:t>402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b w:val="1"/>
                <w:bCs w:val="1"/>
                <w:color w:val="auto"/>
              </w:rPr>
              <w:t>85.5</w:t>
            </w:r>
          </w:p>
        </w:tc>
      </w:tr>
    </w:tbl>
    <w:p>
      <w:pPr>
        <w:spacing w:after="0" w:line="141" w:lineRule="exact"/>
        <w:rPr>
          <w:sz w:val="20"/>
          <w:szCs w:val="20"/>
          <w:color w:val="auto"/>
        </w:rPr>
      </w:pPr>
    </w:p>
    <w:p>
      <w:pPr>
        <w:ind w:left="120" w:hanging="117"/>
        <w:spacing w:after="0"/>
        <w:tabs>
          <w:tab w:leader="none" w:pos="120"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As of June 30, 2023, there was $2.50 billion remaining under our $5.00 billion share repurchase program authorized in May 2021.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Consolidated Condensed Statements of Cash Flows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ELI LILLY AND COMPANY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01"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Six Months Ended June 30,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6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212"/>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2"/>
        </w:trPr>
        <w:tc>
          <w:tcPr>
            <w:tcW w:w="836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Pr>
          <w:p>
            <w:pPr>
              <w:jc w:val="right"/>
              <w:ind w:right="55"/>
              <w:spacing w:after="0"/>
              <w:rPr>
                <w:sz w:val="20"/>
                <w:szCs w:val="20"/>
                <w:color w:val="auto"/>
              </w:rPr>
            </w:pPr>
            <w:r>
              <w:rPr>
                <w:rFonts w:ascii="Arial" w:cs="Arial" w:eastAsia="Arial" w:hAnsi="Arial"/>
                <w:sz w:val="17"/>
                <w:szCs w:val="17"/>
                <w:b w:val="1"/>
                <w:bCs w:val="1"/>
                <w:color w:val="auto"/>
              </w:rPr>
              <w:t>3,108.1</w:t>
            </w:r>
          </w:p>
        </w:tc>
        <w:tc>
          <w:tcPr>
            <w:tcW w:w="40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2,855.4</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Adjustments to Reconcile Net Income to Cash Flows from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836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b w:val="1"/>
                <w:bCs w:val="1"/>
                <w:color w:val="auto"/>
              </w:rPr>
              <w:t>728.6</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784.6</w:t>
            </w:r>
          </w:p>
        </w:tc>
      </w:tr>
      <w:tr>
        <w:trPr>
          <w:trHeight w:val="232"/>
        </w:trPr>
        <w:tc>
          <w:tcPr>
            <w:tcW w:w="8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 in deferred income taxes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(990.5)</w:t>
            </w: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(1,125.0)</w:t>
            </w:r>
          </w:p>
        </w:tc>
      </w:tr>
      <w:tr>
        <w:trPr>
          <w:trHeight w:val="219"/>
        </w:trPr>
        <w:tc>
          <w:tcPr>
            <w:tcW w:w="8360" w:type="dxa"/>
            <w:vAlign w:val="bottom"/>
          </w:tcPr>
          <w:p>
            <w:pPr>
              <w:ind w:left="140"/>
              <w:spacing w:after="0"/>
              <w:rPr>
                <w:sz w:val="20"/>
                <w:szCs w:val="20"/>
                <w:color w:val="auto"/>
              </w:rPr>
            </w:pPr>
            <w:r>
              <w:rPr>
                <w:rFonts w:ascii="Arial" w:cs="Arial" w:eastAsia="Arial" w:hAnsi="Arial"/>
                <w:sz w:val="17"/>
                <w:szCs w:val="17"/>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b w:val="1"/>
                <w:bCs w:val="1"/>
                <w:color w:val="auto"/>
              </w:rPr>
              <w:t>292.7</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193.1</w:t>
            </w:r>
          </w:p>
        </w:tc>
      </w:tr>
      <w:tr>
        <w:trPr>
          <w:trHeight w:val="219"/>
        </w:trPr>
        <w:tc>
          <w:tcPr>
            <w:tcW w:w="8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investment losses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80.0</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545.6</w:t>
            </w:r>
          </w:p>
        </w:tc>
      </w:tr>
      <w:tr>
        <w:trPr>
          <w:trHeight w:val="232"/>
        </w:trPr>
        <w:tc>
          <w:tcPr>
            <w:tcW w:w="8360" w:type="dxa"/>
            <w:vAlign w:val="bottom"/>
          </w:tcPr>
          <w:p>
            <w:pPr>
              <w:ind w:left="140"/>
              <w:spacing w:after="0"/>
              <w:rPr>
                <w:sz w:val="20"/>
                <w:szCs w:val="20"/>
                <w:color w:val="auto"/>
              </w:rPr>
            </w:pPr>
            <w:r>
              <w:rPr>
                <w:rFonts w:ascii="Arial" w:cs="Arial" w:eastAsia="Arial" w:hAnsi="Arial"/>
                <w:sz w:val="17"/>
                <w:szCs w:val="17"/>
                <w:color w:val="auto"/>
              </w:rPr>
              <w:t>Acquired in-process research and development</w:t>
            </w:r>
          </w:p>
        </w:tc>
        <w:tc>
          <w:tcPr>
            <w:tcW w:w="320" w:type="dxa"/>
            <w:vAlign w:val="bottom"/>
          </w:tcPr>
          <w:p>
            <w:pPr>
              <w:spacing w:after="0"/>
              <w:rPr>
                <w:sz w:val="20"/>
                <w:szCs w:val="20"/>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b w:val="1"/>
                <w:bCs w:val="1"/>
                <w:color w:val="auto"/>
              </w:rPr>
              <w:t>202.1</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606.0</w:t>
            </w:r>
          </w:p>
        </w:tc>
      </w:tr>
      <w:tr>
        <w:trPr>
          <w:trHeight w:val="219"/>
        </w:trPr>
        <w:tc>
          <w:tcPr>
            <w:tcW w:w="8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changes in operating assets and liabilities, net of acquisitions and divestitures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(676.1)</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w:t>
            </w:r>
          </w:p>
        </w:tc>
      </w:tr>
      <w:tr>
        <w:trPr>
          <w:trHeight w:val="219"/>
        </w:trPr>
        <w:tc>
          <w:tcPr>
            <w:tcW w:w="8360" w:type="dxa"/>
            <w:vAlign w:val="bottom"/>
          </w:tcPr>
          <w:p>
            <w:pPr>
              <w:ind w:left="140"/>
              <w:spacing w:after="0"/>
              <w:rPr>
                <w:sz w:val="20"/>
                <w:szCs w:val="20"/>
                <w:color w:val="auto"/>
              </w:rPr>
            </w:pPr>
            <w:r>
              <w:rPr>
                <w:rFonts w:ascii="Arial" w:cs="Arial" w:eastAsia="Arial" w:hAnsi="Arial"/>
                <w:sz w:val="17"/>
                <w:szCs w:val="17"/>
                <w:color w:val="auto"/>
              </w:rPr>
              <w:t>Other operating activities,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(382.4)</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(49.2)</w:t>
            </w:r>
          </w:p>
        </w:tc>
      </w:tr>
      <w:tr>
        <w:trPr>
          <w:trHeight w:val="225"/>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2,362.5</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3,706.3</w:t>
            </w:r>
          </w:p>
        </w:tc>
      </w:tr>
      <w:tr>
        <w:trPr>
          <w:trHeight w:val="219"/>
        </w:trPr>
        <w:tc>
          <w:tcPr>
            <w:tcW w:w="836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9"/>
        </w:trPr>
        <w:tc>
          <w:tcPr>
            <w:tcW w:w="8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property and equipment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(1,406.7)</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(736.4)</w:t>
            </w:r>
          </w:p>
        </w:tc>
      </w:tr>
      <w:tr>
        <w:trPr>
          <w:trHeight w:val="232"/>
        </w:trPr>
        <w:tc>
          <w:tcPr>
            <w:tcW w:w="8360" w:type="dxa"/>
            <w:vAlign w:val="bottom"/>
          </w:tcPr>
          <w:p>
            <w:pPr>
              <w:ind w:left="140"/>
              <w:spacing w:after="0"/>
              <w:rPr>
                <w:sz w:val="20"/>
                <w:szCs w:val="20"/>
                <w:color w:val="auto"/>
              </w:rPr>
            </w:pPr>
            <w:r>
              <w:rPr>
                <w:rFonts w:ascii="Arial" w:cs="Arial" w:eastAsia="Arial" w:hAnsi="Arial"/>
                <w:sz w:val="17"/>
                <w:szCs w:val="17"/>
                <w:color w:val="auto"/>
              </w:rPr>
              <w:t>Proceeds from sales and maturities of short-term investments</w:t>
            </w:r>
          </w:p>
        </w:tc>
        <w:tc>
          <w:tcPr>
            <w:tcW w:w="320" w:type="dxa"/>
            <w:vAlign w:val="bottom"/>
          </w:tcPr>
          <w:p>
            <w:pPr>
              <w:spacing w:after="0"/>
              <w:rPr>
                <w:sz w:val="20"/>
                <w:szCs w:val="20"/>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b w:val="1"/>
                <w:bCs w:val="1"/>
                <w:color w:val="auto"/>
              </w:rPr>
              <w:t>109.6</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57.6</w:t>
            </w:r>
          </w:p>
        </w:tc>
      </w:tr>
      <w:tr>
        <w:trPr>
          <w:trHeight w:val="219"/>
        </w:trPr>
        <w:tc>
          <w:tcPr>
            <w:tcW w:w="8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short-term investments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(59.8)</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r>
      <w:tr>
        <w:trPr>
          <w:trHeight w:val="219"/>
        </w:trPr>
        <w:tc>
          <w:tcPr>
            <w:tcW w:w="8360" w:type="dxa"/>
            <w:vAlign w:val="bottom"/>
          </w:tcPr>
          <w:p>
            <w:pPr>
              <w:ind w:left="140"/>
              <w:spacing w:after="0"/>
              <w:rPr>
                <w:sz w:val="20"/>
                <w:szCs w:val="20"/>
                <w:color w:val="auto"/>
              </w:rPr>
            </w:pPr>
            <w:r>
              <w:rPr>
                <w:rFonts w:ascii="Arial" w:cs="Arial" w:eastAsia="Arial" w:hAnsi="Arial"/>
                <w:sz w:val="17"/>
                <w:szCs w:val="17"/>
                <w:color w:val="auto"/>
              </w:rPr>
              <w:t>Proceeds from sales of and distributions from noncurrent investments</w:t>
            </w:r>
          </w:p>
        </w:tc>
        <w:tc>
          <w:tcPr>
            <w:tcW w:w="320" w:type="dxa"/>
            <w:vAlign w:val="bottom"/>
          </w:tcPr>
          <w:p>
            <w:pPr>
              <w:spacing w:after="0"/>
              <w:rPr>
                <w:sz w:val="19"/>
                <w:szCs w:val="19"/>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b w:val="1"/>
                <w:bCs w:val="1"/>
                <w:color w:val="auto"/>
              </w:rPr>
              <w:t>388.4</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168.5</w:t>
            </w:r>
          </w:p>
        </w:tc>
      </w:tr>
      <w:tr>
        <w:trPr>
          <w:trHeight w:val="232"/>
        </w:trPr>
        <w:tc>
          <w:tcPr>
            <w:tcW w:w="8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noncurrent investments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(343.4)</w:t>
            </w: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(251.4)</w:t>
            </w:r>
          </w:p>
        </w:tc>
      </w:tr>
      <w:tr>
        <w:trPr>
          <w:trHeight w:val="219"/>
        </w:trPr>
        <w:tc>
          <w:tcPr>
            <w:tcW w:w="8360" w:type="dxa"/>
            <w:vAlign w:val="bottom"/>
          </w:tcPr>
          <w:p>
            <w:pPr>
              <w:ind w:left="140"/>
              <w:spacing w:after="0"/>
              <w:rPr>
                <w:sz w:val="20"/>
                <w:szCs w:val="20"/>
                <w:color w:val="auto"/>
              </w:rPr>
            </w:pPr>
            <w:r>
              <w:rPr>
                <w:rFonts w:ascii="Arial" w:cs="Arial" w:eastAsia="Arial" w:hAnsi="Arial"/>
                <w:sz w:val="17"/>
                <w:szCs w:val="17"/>
                <w:color w:val="auto"/>
              </w:rPr>
              <w:t>Purchases of in-process research and development</w:t>
            </w:r>
          </w:p>
        </w:tc>
        <w:tc>
          <w:tcPr>
            <w:tcW w:w="3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(333.1)</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(958.2)</w:t>
            </w:r>
          </w:p>
        </w:tc>
      </w:tr>
      <w:tr>
        <w:trPr>
          <w:trHeight w:val="219"/>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investing activities,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497.1</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(111.3)</w:t>
            </w:r>
          </w:p>
        </w:tc>
      </w:tr>
      <w:tr>
        <w:trPr>
          <w:trHeight w:val="225"/>
        </w:trPr>
        <w:tc>
          <w:tcPr>
            <w:tcW w:w="8360" w:type="dxa"/>
            <w:vAlign w:val="bottom"/>
          </w:tcPr>
          <w:p>
            <w:pPr>
              <w:ind w:left="20"/>
              <w:spacing w:after="0"/>
              <w:rPr>
                <w:sz w:val="20"/>
                <w:szCs w:val="20"/>
                <w:color w:val="auto"/>
              </w:rPr>
            </w:pPr>
            <w:r>
              <w:rPr>
                <w:rFonts w:ascii="Arial" w:cs="Arial" w:eastAsia="Arial" w:hAnsi="Arial"/>
                <w:sz w:val="17"/>
                <w:szCs w:val="17"/>
                <w:b w:val="1"/>
                <w:bCs w:val="1"/>
                <w:color w:val="auto"/>
              </w:rPr>
              <w:t>Net Cash Used for Investing Activities</w:t>
            </w:r>
          </w:p>
        </w:tc>
        <w:tc>
          <w:tcPr>
            <w:tcW w:w="3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(1,147.9)</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(1,864.1)</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8360" w:type="dxa"/>
            <w:vAlign w:val="bottom"/>
          </w:tcPr>
          <w:p>
            <w:pPr>
              <w:ind w:left="140"/>
              <w:spacing w:after="0"/>
              <w:rPr>
                <w:sz w:val="20"/>
                <w:szCs w:val="20"/>
                <w:color w:val="auto"/>
              </w:rPr>
            </w:pPr>
            <w:r>
              <w:rPr>
                <w:rFonts w:ascii="Arial" w:cs="Arial" w:eastAsia="Arial" w:hAnsi="Arial"/>
                <w:sz w:val="17"/>
                <w:szCs w:val="17"/>
                <w:color w:val="auto"/>
              </w:rPr>
              <w:t>Dividends paid</w:t>
            </w:r>
          </w:p>
        </w:tc>
        <w:tc>
          <w:tcPr>
            <w:tcW w:w="3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(2,035.0)</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(1,769.2)</w:t>
            </w:r>
          </w:p>
        </w:tc>
      </w:tr>
      <w:tr>
        <w:trPr>
          <w:trHeight w:val="232"/>
        </w:trPr>
        <w:tc>
          <w:tcPr>
            <w:tcW w:w="8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change in short-term borrowings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(1,498.0)</w:t>
            </w: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2,117.2</w:t>
            </w:r>
          </w:p>
        </w:tc>
      </w:tr>
      <w:tr>
        <w:trPr>
          <w:trHeight w:val="219"/>
        </w:trPr>
        <w:tc>
          <w:tcPr>
            <w:tcW w:w="8360" w:type="dxa"/>
            <w:vAlign w:val="bottom"/>
          </w:tcPr>
          <w:p>
            <w:pPr>
              <w:ind w:left="140"/>
              <w:spacing w:after="0"/>
              <w:rPr>
                <w:sz w:val="20"/>
                <w:szCs w:val="20"/>
                <w:color w:val="auto"/>
              </w:rPr>
            </w:pPr>
            <w:r>
              <w:rPr>
                <w:rFonts w:ascii="Arial" w:cs="Arial" w:eastAsia="Arial" w:hAnsi="Arial"/>
                <w:sz w:val="17"/>
                <w:szCs w:val="17"/>
                <w:color w:val="auto"/>
              </w:rPr>
              <w:t>Proceeds from issuance of long-term debt</w:t>
            </w:r>
          </w:p>
        </w:tc>
        <w:tc>
          <w:tcPr>
            <w:tcW w:w="320" w:type="dxa"/>
            <w:vAlign w:val="bottom"/>
          </w:tcPr>
          <w:p>
            <w:pPr>
              <w:spacing w:after="0"/>
              <w:rPr>
                <w:sz w:val="19"/>
                <w:szCs w:val="19"/>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b w:val="1"/>
                <w:bCs w:val="1"/>
                <w:color w:val="auto"/>
              </w:rPr>
              <w:t>3,958.5</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8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Repayments of long-term debt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(1,560.0)</w:t>
            </w:r>
          </w:p>
        </w:tc>
      </w:tr>
      <w:tr>
        <w:trPr>
          <w:trHeight w:val="232"/>
        </w:trPr>
        <w:tc>
          <w:tcPr>
            <w:tcW w:w="8360" w:type="dxa"/>
            <w:vAlign w:val="bottom"/>
          </w:tcPr>
          <w:p>
            <w:pPr>
              <w:ind w:left="140"/>
              <w:spacing w:after="0"/>
              <w:rPr>
                <w:sz w:val="20"/>
                <w:szCs w:val="20"/>
                <w:color w:val="auto"/>
              </w:rPr>
            </w:pPr>
            <w:r>
              <w:rPr>
                <w:rFonts w:ascii="Arial" w:cs="Arial" w:eastAsia="Arial" w:hAnsi="Arial"/>
                <w:sz w:val="17"/>
                <w:szCs w:val="17"/>
                <w:color w:val="auto"/>
              </w:rPr>
              <w:t>Purchases of common stock</w:t>
            </w:r>
          </w:p>
        </w:tc>
        <w:tc>
          <w:tcPr>
            <w:tcW w:w="32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(750.0)</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(1,500.0)</w:t>
            </w:r>
          </w:p>
        </w:tc>
      </w:tr>
      <w:tr>
        <w:trPr>
          <w:trHeight w:val="219"/>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financing activities,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(296.6)</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(290.0)</w:t>
            </w:r>
          </w:p>
        </w:tc>
      </w:tr>
      <w:tr>
        <w:trPr>
          <w:trHeight w:val="212"/>
        </w:trPr>
        <w:tc>
          <w:tcPr>
            <w:tcW w:w="8360" w:type="dxa"/>
            <w:vAlign w:val="bottom"/>
          </w:tcPr>
          <w:p>
            <w:pPr>
              <w:ind w:left="20"/>
              <w:spacing w:after="0"/>
              <w:rPr>
                <w:sz w:val="20"/>
                <w:szCs w:val="20"/>
                <w:color w:val="auto"/>
              </w:rPr>
            </w:pPr>
            <w:r>
              <w:rPr>
                <w:rFonts w:ascii="Arial" w:cs="Arial" w:eastAsia="Arial" w:hAnsi="Arial"/>
                <w:sz w:val="17"/>
                <w:szCs w:val="17"/>
                <w:b w:val="1"/>
                <w:bCs w:val="1"/>
                <w:color w:val="auto"/>
              </w:rPr>
              <w:t>Net Cash Used for Financing Activities</w:t>
            </w:r>
          </w:p>
        </w:tc>
        <w:tc>
          <w:tcPr>
            <w:tcW w:w="32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(621.1)</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(3,002.0)</w:t>
            </w:r>
          </w:p>
        </w:tc>
      </w:tr>
      <w:tr>
        <w:trPr>
          <w:trHeight w:val="219"/>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34.0</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w:t>
            </w:r>
          </w:p>
        </w:tc>
      </w:tr>
      <w:tr>
        <w:trPr>
          <w:trHeight w:val="225"/>
        </w:trPr>
        <w:tc>
          <w:tcPr>
            <w:tcW w:w="836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320" w:type="dxa"/>
            <w:vAlign w:val="bottom"/>
          </w:tcPr>
          <w:p>
            <w:pPr>
              <w:spacing w:after="0"/>
              <w:rPr>
                <w:sz w:val="19"/>
                <w:szCs w:val="19"/>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b w:val="1"/>
                <w:bCs w:val="1"/>
                <w:color w:val="auto"/>
              </w:rPr>
              <w:t>627.5</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(1,195.6)</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at January 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2,067.0</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3,818.5</w:t>
            </w:r>
          </w:p>
        </w:tc>
      </w:tr>
      <w:tr>
        <w:trPr>
          <w:trHeight w:val="218"/>
        </w:trPr>
        <w:tc>
          <w:tcPr>
            <w:tcW w:w="836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at June 30</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2,694.5</w:t>
            </w:r>
          </w:p>
        </w:tc>
        <w:tc>
          <w:tcPr>
            <w:tcW w:w="4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2,622.9</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Notes to Consolidated Condensed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(Tables present dollars in millions, except per-share data)</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w:t>
      </w:r>
    </w:p>
    <w:p>
      <w:pPr>
        <w:spacing w:after="0" w:line="124"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consolidated condensed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78" w:lineRule="exact"/>
        <w:rPr>
          <w:sz w:val="20"/>
          <w:szCs w:val="20"/>
          <w:color w:val="auto"/>
        </w:rPr>
      </w:pPr>
    </w:p>
    <w:p>
      <w:pPr>
        <w:ind w:right="40"/>
        <w:spacing w:after="0" w:line="262" w:lineRule="auto"/>
        <w:rPr>
          <w:rFonts w:ascii="Arial" w:cs="Arial" w:eastAsia="Arial" w:hAnsi="Arial"/>
          <w:sz w:val="17"/>
          <w:szCs w:val="17"/>
          <w:color w:val="auto"/>
        </w:rPr>
      </w:pPr>
      <w:r>
        <w:rPr>
          <w:rFonts w:ascii="Arial" w:cs="Arial" w:eastAsia="Arial" w:hAnsi="Arial"/>
          <w:sz w:val="17"/>
          <w:szCs w:val="17"/>
          <w:color w:val="auto"/>
        </w:rPr>
        <w:t xml:space="preserve">The information included in this Quarterly Report on Form 10-Q should be read in conjunction with our consolidated financial statements and accompanying notes included in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2022. We issued our financial statements by filing them with the Securities and Exchange Commission and have evaluated subsequent events up to the time of the filing of this Quarterly Report on Form 10-Q.</w:t>
      </w:r>
    </w:p>
    <w:p>
      <w:pPr>
        <w:spacing w:after="0" w:line="76"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All per-share amounts, unless otherwise noted in the footnotes, are presented on a diluted basis; that is, based on the weighted-average number of common shares outstanding plus the effect of incremental shares from our stock-based compensation programs.</w:t>
      </w:r>
    </w:p>
    <w:p>
      <w:pPr>
        <w:spacing w:after="0" w:line="6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Regional commercial organizations market, distribute, and sell the products. The business is also supported by global corporate staff functions.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Expenses and Acquired In-Process Research and Development (IPR&amp;D)</w:t>
      </w:r>
    </w:p>
    <w:p>
      <w:pPr>
        <w:spacing w:after="0" w:line="124" w:lineRule="exact"/>
        <w:rPr>
          <w:sz w:val="20"/>
          <w:szCs w:val="20"/>
          <w:color w:val="auto"/>
        </w:rPr>
      </w:pPr>
    </w:p>
    <w:p>
      <w:pPr>
        <w:jc w:val="both"/>
        <w:ind w:right="40"/>
        <w:spacing w:after="0" w:line="267" w:lineRule="auto"/>
        <w:rPr>
          <w:sz w:val="20"/>
          <w:szCs w:val="20"/>
          <w:color w:val="auto"/>
        </w:rPr>
      </w:pPr>
      <w:r>
        <w:rPr>
          <w:rFonts w:ascii="Arial" w:cs="Arial" w:eastAsia="Arial" w:hAnsi="Arial"/>
          <w:sz w:val="17"/>
          <w:szCs w:val="17"/>
          <w:color w:val="auto"/>
        </w:rPr>
        <w:t>Research and development costs are expensed as incurred. Research and development costs consist of expenses incurred in performing research and development activities, including but not limited to, compensation and benefits, facilities and overhead expense, clinical trial expense, and fees paid to contract research organizations.</w:t>
      </w:r>
    </w:p>
    <w:p>
      <w:pPr>
        <w:spacing w:after="0" w:line="70"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Acquired IPR&amp;D includes the initial costs and development milestones incurred related to externally developed IPR&amp;D projects, acquired directly in a transaction other than a business combination, that do not have an alternative future use. Development milestones are milestone payment obligations that are incurred prior to regulatory approval of the compound and are expensed when the event triggering an obligation to pay the milestone occurs.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124"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Certain reclassifications have been made to prior periods in the consolidated condensed financial statements and accompanying notes to conform with the current presentation. Development milestone payments related to externally developed IPR&amp;D projects, acquired directly in a transaction other than a business combination, were previously included in cash flows from operating activities in the consolidated condensed statements of cash flows and are now included in purchases of IPR&amp;D in cash flows from investing activities. The reclassification resulted in an increase to net cash provided by operating activities and net cash used in investing activities of $386.4 million for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Note 2: Revenue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revenue recognized in our consolidated condensed statements of operations: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8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3"/>
          </w:tcPr>
          <w:p>
            <w:pPr>
              <w:jc w:val="right"/>
              <w:ind w:right="558"/>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3"/>
          </w:tcPr>
          <w:p>
            <w:pPr>
              <w:jc w:val="right"/>
              <w:ind w:right="598"/>
              <w:spacing w:after="0"/>
              <w:rPr>
                <w:sz w:val="20"/>
                <w:szCs w:val="20"/>
                <w:color w:val="auto"/>
              </w:rPr>
            </w:pPr>
            <w:r>
              <w:rPr>
                <w:rFonts w:ascii="Arial" w:cs="Arial" w:eastAsia="Arial" w:hAnsi="Arial"/>
                <w:sz w:val="14"/>
                <w:szCs w:val="14"/>
                <w:b w:val="1"/>
                <w:bCs w:val="1"/>
                <w:color w:val="auto"/>
              </w:rPr>
              <w:t>Six Months Ended June 30,</w:t>
            </w:r>
          </w:p>
        </w:tc>
      </w:tr>
      <w:tr>
        <w:trPr>
          <w:trHeight w:val="212"/>
        </w:trPr>
        <w:tc>
          <w:tcPr>
            <w:tcW w:w="4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product revenue</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6,979.8</w:t>
            </w:r>
          </w:p>
        </w:tc>
        <w:tc>
          <w:tcPr>
            <w:tcW w:w="4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5,870.9</w:t>
            </w:r>
          </w:p>
        </w:tc>
        <w:tc>
          <w:tcPr>
            <w:tcW w:w="44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13,218.0</w:t>
            </w:r>
          </w:p>
        </w:tc>
        <w:tc>
          <w:tcPr>
            <w:tcW w:w="4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13,003.8</w:t>
            </w:r>
          </w:p>
        </w:tc>
      </w:tr>
      <w:tr>
        <w:trPr>
          <w:trHeight w:val="232"/>
        </w:trPr>
        <w:tc>
          <w:tcPr>
            <w:tcW w:w="4840" w:type="dxa"/>
            <w:vAlign w:val="bottom"/>
            <w:tcBorders>
              <w:bottom w:val="single" w:sz="8" w:color="CCEEFF"/>
            </w:tcBorders>
          </w:tcPr>
          <w:p>
            <w:pPr>
              <w:ind w:left="20"/>
              <w:spacing w:after="0" w:line="232" w:lineRule="exact"/>
              <w:rPr>
                <w:sz w:val="20"/>
                <w:szCs w:val="20"/>
                <w:color w:val="auto"/>
              </w:rPr>
            </w:pPr>
            <w:r>
              <w:rPr>
                <w:rFonts w:ascii="Arial" w:cs="Arial" w:eastAsia="Arial" w:hAnsi="Arial"/>
                <w:sz w:val="17"/>
                <w:szCs w:val="17"/>
                <w:color w:val="auto"/>
              </w:rPr>
              <w:t>Collaboration and other revenue</w:t>
            </w:r>
            <w:r>
              <w:rPr>
                <w:rFonts w:ascii="Arial" w:cs="Arial" w:eastAsia="Arial" w:hAnsi="Arial"/>
                <w:sz w:val="22"/>
                <w:szCs w:val="22"/>
                <w:color w:val="auto"/>
                <w:vertAlign w:val="superscript"/>
              </w:rPr>
              <w:t>(1)</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b w:val="1"/>
                <w:bCs w:val="1"/>
                <w:color w:val="auto"/>
              </w:rPr>
              <w:t>1,332.3</w:t>
            </w: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617.1</w:t>
            </w: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b w:val="1"/>
                <w:bCs w:val="1"/>
                <w:color w:val="auto"/>
              </w:rPr>
              <w:t>2,054.1</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1,294.2</w:t>
            </w:r>
          </w:p>
        </w:tc>
      </w:tr>
      <w:tr>
        <w:trPr>
          <w:trHeight w:val="21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8,312.1</w:t>
            </w:r>
          </w:p>
        </w:tc>
        <w:tc>
          <w:tcPr>
            <w:tcW w:w="4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6,488.0</w:t>
            </w:r>
          </w:p>
        </w:tc>
        <w:tc>
          <w:tcPr>
            <w:tcW w:w="4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15,272.1</w:t>
            </w:r>
          </w:p>
        </w:tc>
        <w:tc>
          <w:tcPr>
            <w:tcW w:w="4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14,298.0</w:t>
            </w:r>
          </w:p>
        </w:tc>
      </w:tr>
    </w:tbl>
    <w:p>
      <w:pPr>
        <w:spacing w:after="0" w:line="98" w:lineRule="exact"/>
        <w:rPr>
          <w:sz w:val="20"/>
          <w:szCs w:val="20"/>
          <w:color w:val="auto"/>
        </w:rPr>
      </w:pPr>
    </w:p>
    <w:p>
      <w:pPr>
        <w:ind w:left="160" w:right="340" w:hanging="157"/>
        <w:spacing w:after="0" w:line="320" w:lineRule="auto"/>
        <w:tabs>
          <w:tab w:leader="none" w:pos="139"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Collaboration and other revenue associated with prior period transfers of intellectual property was $30.3 million and $55.4 million during the three and six months ended June 30, 2023, respectively, and $34.4 million and $87.6 million during the three and six months ended June 30, 2022, respectively.</w:t>
      </w:r>
    </w:p>
    <w:p>
      <w:pPr>
        <w:spacing w:after="0" w:line="41"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collaborations, as well as royalties, upfront and milestone payments we receive under these types of contracts. See Note 4 for additional information related to our collaborations and other arrangements. Collaboration and other revenue disclosed above includes the revenue from the Jardiance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Trajenta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families of products resulting from our collaboration with Boehringer Ingelheim and from the sale of rights for Baqsimi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discussed in Note 4. Substantially all of the remainder of collaboration and other revenue is related to contracts accounted for as contracts with customers.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Adjustments to Revenue</w:t>
      </w:r>
    </w:p>
    <w:p>
      <w:pPr>
        <w:spacing w:after="0" w:line="114" w:lineRule="exact"/>
        <w:rPr>
          <w:sz w:val="20"/>
          <w:szCs w:val="20"/>
          <w:color w:val="auto"/>
        </w:rPr>
      </w:pPr>
    </w:p>
    <w:p>
      <w:pPr>
        <w:jc w:val="both"/>
        <w:ind w:right="400"/>
        <w:spacing w:after="0" w:line="267" w:lineRule="auto"/>
        <w:rPr>
          <w:sz w:val="20"/>
          <w:szCs w:val="20"/>
          <w:color w:val="auto"/>
        </w:rPr>
      </w:pPr>
      <w:r>
        <w:rPr>
          <w:rFonts w:ascii="Arial" w:cs="Arial" w:eastAsia="Arial" w:hAnsi="Arial"/>
          <w:sz w:val="17"/>
          <w:szCs w:val="17"/>
          <w:color w:val="auto"/>
        </w:rPr>
        <w:t>Adjustments to revenue recognized as a result of changes in estimates for our most significant United States (U.S.) sales returns, rebates, and discounts liability balances for products shipped in previous periods were less than 1 percent of U.S. revenue during each of the three and six months ended June 30, 2023 and 2022.</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Contract Liabilities</w:t>
      </w:r>
    </w:p>
    <w:p>
      <w:pPr>
        <w:spacing w:after="0" w:line="11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contract liability balances: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June 30, 2023</w:t>
            </w: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December 31, 2022</w:t>
            </w:r>
          </w:p>
        </w:tc>
      </w:tr>
      <w:tr>
        <w:trPr>
          <w:trHeight w:val="213"/>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liabilities</w:t>
            </w:r>
          </w:p>
        </w:tc>
        <w:tc>
          <w:tcPr>
            <w:tcW w:w="332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7"/>
                <w:szCs w:val="17"/>
                <w:b w:val="1"/>
                <w:bCs w:val="1"/>
                <w:color w:val="auto"/>
              </w:rPr>
              <w:t>211.1</w:t>
            </w:r>
          </w:p>
        </w:tc>
        <w:tc>
          <w:tcPr>
            <w:tcW w:w="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219.2</w:t>
            </w:r>
          </w:p>
        </w:tc>
      </w:tr>
    </w:tbl>
    <w:p>
      <w:pPr>
        <w:spacing w:after="0" w:line="181"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During the three and six months ended June 30, 2023 and 2022, revenue recognized from contract liabilities as of the beginning of the respective year was not material. Revenue expected to be recognized in the future from contract liabilities as the related performance obligations are satisfied is not expected to be material in any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114" w:lineRule="exact"/>
        <w:rPr>
          <w:sz w:val="20"/>
          <w:szCs w:val="20"/>
          <w:color w:val="auto"/>
        </w:rPr>
      </w:pPr>
    </w:p>
    <w:p>
      <w:pPr>
        <w:ind w:right="520"/>
        <w:spacing w:after="0" w:line="280" w:lineRule="auto"/>
        <w:rPr>
          <w:sz w:val="20"/>
          <w:szCs w:val="20"/>
          <w:color w:val="auto"/>
        </w:rPr>
      </w:pPr>
      <w:r>
        <w:rPr>
          <w:rFonts w:ascii="Arial" w:cs="Arial" w:eastAsia="Arial" w:hAnsi="Arial"/>
          <w:sz w:val="17"/>
          <w:szCs w:val="17"/>
          <w:color w:val="auto"/>
        </w:rPr>
        <w:t>The following table summarizes revenue, including net product revenue and collaboration and other revenue, by product for the three months ended June 30, 2023 and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74"/>
        </w:trPr>
        <w:tc>
          <w:tcPr>
            <w:tcW w:w="39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74"/>
        </w:trPr>
        <w:tc>
          <w:tcPr>
            <w:tcW w:w="3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Outside U.S.</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8"/>
              </w:rPr>
              <w:t>Outside U.S.</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Total</w:t>
            </w:r>
          </w:p>
        </w:tc>
      </w:tr>
      <w:tr>
        <w:trPr>
          <w:trHeight w:val="225"/>
        </w:trPr>
        <w:tc>
          <w:tcPr>
            <w:tcW w:w="39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Diabetes: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3920" w:type="dxa"/>
            <w:vAlign w:val="bottom"/>
          </w:tcPr>
          <w:p>
            <w:pPr>
              <w:ind w:left="540"/>
              <w:spacing w:after="0" w:line="220" w:lineRule="exact"/>
              <w:rPr>
                <w:sz w:val="20"/>
                <w:szCs w:val="20"/>
                <w:color w:val="auto"/>
              </w:rPr>
            </w:pPr>
            <w:r>
              <w:rPr>
                <w:rFonts w:ascii="Arial" w:cs="Arial" w:eastAsia="Arial" w:hAnsi="Arial"/>
                <w:sz w:val="17"/>
                <w:szCs w:val="17"/>
                <w:i w:val="1"/>
                <w:iCs w:val="1"/>
                <w:color w:val="auto"/>
              </w:rPr>
              <w:t>Trulicity</w:t>
            </w:r>
            <w:r>
              <w:rPr>
                <w:rFonts w:ascii="Arial" w:cs="Arial" w:eastAsia="Arial" w:hAnsi="Arial"/>
                <w:sz w:val="22"/>
                <w:szCs w:val="22"/>
                <w:color w:val="auto"/>
                <w:vertAlign w:val="superscript"/>
              </w:rPr>
              <w:t>®</w:t>
            </w:r>
          </w:p>
        </w:tc>
        <w:tc>
          <w:tcPr>
            <w:tcW w:w="28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1,371.3</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441.2</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auto"/>
              </w:rPr>
              <w:t>1,812.5</w:t>
            </w:r>
          </w:p>
        </w:tc>
        <w:tc>
          <w:tcPr>
            <w:tcW w:w="36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1,430.1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481.7</w:t>
            </w:r>
          </w:p>
        </w:tc>
        <w:tc>
          <w:tcPr>
            <w:tcW w:w="3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1,911.9</w:t>
            </w:r>
          </w:p>
        </w:tc>
      </w:tr>
      <w:tr>
        <w:trPr>
          <w:trHeight w:val="219"/>
        </w:trPr>
        <w:tc>
          <w:tcPr>
            <w:tcW w:w="3920" w:type="dxa"/>
            <w:vAlign w:val="bottom"/>
            <w:shd w:val="clear" w:color="auto" w:fill="CCEEFF"/>
          </w:tcPr>
          <w:p>
            <w:pPr>
              <w:ind w:left="540"/>
              <w:spacing w:after="0" w:line="220" w:lineRule="exact"/>
              <w:rPr>
                <w:sz w:val="20"/>
                <w:szCs w:val="20"/>
                <w:color w:val="auto"/>
              </w:rPr>
            </w:pPr>
            <w:r>
              <w:rPr>
                <w:rFonts w:ascii="Arial" w:cs="Arial" w:eastAsia="Arial" w:hAnsi="Arial"/>
                <w:sz w:val="17"/>
                <w:szCs w:val="17"/>
                <w:i w:val="1"/>
                <w:iCs w:val="1"/>
                <w:color w:val="auto"/>
              </w:rPr>
              <w:t>Mounjaro</w:t>
            </w:r>
            <w:r>
              <w:rPr>
                <w:rFonts w:ascii="Arial" w:cs="Arial" w:eastAsia="Arial" w:hAnsi="Arial"/>
                <w:sz w:val="22"/>
                <w:szCs w:val="22"/>
                <w:i w:val="1"/>
                <w:iCs w:val="1"/>
                <w:color w:val="auto"/>
                <w:vertAlign w:val="superscript"/>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915.7</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64.0</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979.7</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r>
      <w:tr>
        <w:trPr>
          <w:trHeight w:val="232"/>
        </w:trPr>
        <w:tc>
          <w:tcPr>
            <w:tcW w:w="3920" w:type="dxa"/>
            <w:vAlign w:val="bottom"/>
          </w:tcPr>
          <w:p>
            <w:pPr>
              <w:ind w:left="540"/>
              <w:spacing w:after="0" w:line="232" w:lineRule="exact"/>
              <w:rPr>
                <w:sz w:val="20"/>
                <w:szCs w:val="20"/>
                <w:color w:val="auto"/>
              </w:rPr>
            </w:pPr>
            <w:r>
              <w:rPr>
                <w:rFonts w:ascii="Arial" w:cs="Arial" w:eastAsia="Arial" w:hAnsi="Arial"/>
                <w:sz w:val="17"/>
                <w:szCs w:val="17"/>
                <w:i w:val="1"/>
                <w:iCs w:val="1"/>
                <w:color w:val="auto"/>
              </w:rPr>
              <w:t>Jardiance</w:t>
            </w:r>
            <w:r>
              <w:rPr>
                <w:rFonts w:ascii="Arial" w:cs="Arial" w:eastAsia="Arial" w:hAnsi="Arial"/>
                <w:sz w:val="22"/>
                <w:szCs w:val="22"/>
                <w:color w:val="auto"/>
                <w:vertAlign w:val="superscript"/>
              </w:rPr>
              <w:t>(1)</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386.1</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282.2</w:t>
            </w:r>
          </w:p>
        </w:tc>
        <w:tc>
          <w:tcPr>
            <w:tcW w:w="2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auto"/>
              </w:rPr>
              <w:t>668.3</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250.7</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210.3</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461.0</w:t>
            </w:r>
          </w:p>
        </w:tc>
      </w:tr>
      <w:tr>
        <w:trPr>
          <w:trHeight w:val="219"/>
        </w:trPr>
        <w:tc>
          <w:tcPr>
            <w:tcW w:w="392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Baqsimi</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606.2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7.7</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613.9</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r>
      <w:tr>
        <w:trPr>
          <w:trHeight w:val="219"/>
        </w:trPr>
        <w:tc>
          <w:tcPr>
            <w:tcW w:w="3920" w:type="dxa"/>
            <w:vAlign w:val="bottom"/>
          </w:tcPr>
          <w:p>
            <w:pPr>
              <w:ind w:left="540"/>
              <w:spacing w:after="0" w:line="220" w:lineRule="exact"/>
              <w:rPr>
                <w:sz w:val="20"/>
                <w:szCs w:val="20"/>
                <w:color w:val="auto"/>
              </w:rPr>
            </w:pPr>
            <w:r>
              <w:rPr>
                <w:rFonts w:ascii="Arial" w:cs="Arial" w:eastAsia="Arial" w:hAnsi="Arial"/>
                <w:sz w:val="17"/>
                <w:szCs w:val="17"/>
                <w:i w:val="1"/>
                <w:iCs w:val="1"/>
                <w:color w:val="auto"/>
              </w:rPr>
              <w:t>Humalog</w:t>
            </w:r>
            <w:r>
              <w:rPr>
                <w:rFonts w:ascii="Arial" w:cs="Arial" w:eastAsia="Arial" w:hAnsi="Arial"/>
                <w:sz w:val="22"/>
                <w:szCs w:val="22"/>
                <w:color w:val="auto"/>
                <w:vertAlign w:val="superscript"/>
              </w:rPr>
              <w:t>® (2)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229.8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210.6</w:t>
            </w:r>
          </w:p>
        </w:tc>
        <w:tc>
          <w:tcPr>
            <w:tcW w:w="2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auto"/>
              </w:rPr>
              <w:t>440.4</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238.8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208.3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447.1</w:t>
            </w:r>
          </w:p>
        </w:tc>
      </w:tr>
      <w:tr>
        <w:trPr>
          <w:trHeight w:val="232"/>
        </w:trPr>
        <w:tc>
          <w:tcPr>
            <w:tcW w:w="3920" w:type="dxa"/>
            <w:vAlign w:val="bottom"/>
            <w:shd w:val="clear" w:color="auto" w:fill="CCEEFF"/>
          </w:tcPr>
          <w:p>
            <w:pPr>
              <w:ind w:left="540"/>
              <w:spacing w:after="0" w:line="232" w:lineRule="exact"/>
              <w:rPr>
                <w:sz w:val="20"/>
                <w:szCs w:val="20"/>
                <w:color w:val="auto"/>
              </w:rPr>
            </w:pPr>
            <w:r>
              <w:rPr>
                <w:rFonts w:ascii="Arial" w:cs="Arial" w:eastAsia="Arial" w:hAnsi="Arial"/>
                <w:sz w:val="17"/>
                <w:szCs w:val="17"/>
                <w:i w:val="1"/>
                <w:iCs w:val="1"/>
                <w:color w:val="auto"/>
              </w:rPr>
              <w:t>Humulin</w:t>
            </w:r>
            <w:r>
              <w:rPr>
                <w:rFonts w:ascii="Arial" w:cs="Arial" w:eastAsia="Arial" w:hAnsi="Arial"/>
                <w:sz w:val="22"/>
                <w:szCs w:val="22"/>
                <w:color w:val="auto"/>
                <w:vertAlign w:val="superscript"/>
              </w:rPr>
              <w:t>®</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144.3</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61.0</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205.3</w:t>
            </w: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202.3</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274.0</w:t>
            </w:r>
          </w:p>
        </w:tc>
      </w:tr>
      <w:tr>
        <w:trPr>
          <w:trHeight w:val="219"/>
        </w:trPr>
        <w:tc>
          <w:tcPr>
            <w:tcW w:w="3920" w:type="dxa"/>
            <w:vAlign w:val="bottom"/>
          </w:tcPr>
          <w:p>
            <w:pPr>
              <w:ind w:left="540"/>
              <w:spacing w:after="0" w:line="220" w:lineRule="exact"/>
              <w:rPr>
                <w:sz w:val="20"/>
                <w:szCs w:val="20"/>
                <w:color w:val="auto"/>
              </w:rPr>
            </w:pPr>
            <w:r>
              <w:rPr>
                <w:rFonts w:ascii="Arial" w:cs="Arial" w:eastAsia="Arial" w:hAnsi="Arial"/>
                <w:sz w:val="17"/>
                <w:szCs w:val="17"/>
                <w:i w:val="1"/>
                <w:iCs w:val="1"/>
                <w:color w:val="auto"/>
              </w:rPr>
              <w:t>Basaglar</w:t>
            </w:r>
            <w:r>
              <w:rPr>
                <w:rFonts w:ascii="Arial" w:cs="Arial" w:eastAsia="Arial" w:hAnsi="Arial"/>
                <w:sz w:val="22"/>
                <w:szCs w:val="22"/>
                <w:color w:val="auto"/>
                <w:vertAlign w:val="superscript"/>
              </w:rPr>
              <w:t>® (3)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83.0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71.2</w:t>
            </w:r>
          </w:p>
        </w:tc>
        <w:tc>
          <w:tcPr>
            <w:tcW w:w="2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auto"/>
              </w:rPr>
              <w:t>154.2</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95.8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78.4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174.2</w:t>
            </w:r>
          </w:p>
        </w:tc>
      </w:tr>
      <w:tr>
        <w:trPr>
          <w:trHeight w:val="219"/>
        </w:trPr>
        <w:tc>
          <w:tcPr>
            <w:tcW w:w="39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7"/>
                <w:szCs w:val="17"/>
                <w:i w:val="1"/>
                <w:iCs w:val="1"/>
                <w:color w:val="auto"/>
              </w:rPr>
              <w:t>Other diabetes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45.0</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91.6</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136.6</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w:t>
            </w:r>
          </w:p>
        </w:tc>
      </w:tr>
      <w:tr>
        <w:trPr>
          <w:trHeight w:val="225"/>
        </w:trPr>
        <w:tc>
          <w:tcPr>
            <w:tcW w:w="3920" w:type="dxa"/>
            <w:vAlign w:val="bottom"/>
          </w:tcPr>
          <w:p>
            <w:pPr>
              <w:ind w:left="340"/>
              <w:spacing w:after="0"/>
              <w:rPr>
                <w:sz w:val="20"/>
                <w:szCs w:val="20"/>
                <w:color w:val="auto"/>
              </w:rPr>
            </w:pPr>
            <w:r>
              <w:rPr>
                <w:rFonts w:ascii="Arial" w:cs="Arial" w:eastAsia="Arial" w:hAnsi="Arial"/>
                <w:sz w:val="17"/>
                <w:szCs w:val="17"/>
                <w:color w:val="auto"/>
              </w:rPr>
              <w:t>Total diabetes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3,781.4</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1,229.5</w:t>
            </w:r>
          </w:p>
        </w:tc>
        <w:tc>
          <w:tcPr>
            <w:tcW w:w="2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auto"/>
              </w:rPr>
              <w:t>5,010.9</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2,292.2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1,146.0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3,438.2</w:t>
            </w:r>
          </w:p>
        </w:tc>
      </w:tr>
      <w:tr>
        <w:trPr>
          <w:trHeight w:val="207"/>
        </w:trPr>
        <w:tc>
          <w:tcPr>
            <w:tcW w:w="3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9"/>
        </w:trPr>
        <w:tc>
          <w:tcPr>
            <w:tcW w:w="3920" w:type="dxa"/>
            <w:vAlign w:val="bottom"/>
          </w:tcPr>
          <w:p>
            <w:pPr>
              <w:ind w:left="120"/>
              <w:spacing w:after="0"/>
              <w:rPr>
                <w:sz w:val="20"/>
                <w:szCs w:val="20"/>
                <w:color w:val="auto"/>
              </w:rPr>
            </w:pPr>
            <w:r>
              <w:rPr>
                <w:rFonts w:ascii="Arial" w:cs="Arial" w:eastAsia="Arial" w:hAnsi="Arial"/>
                <w:sz w:val="17"/>
                <w:szCs w:val="17"/>
                <w:color w:val="auto"/>
              </w:rPr>
              <w:t>Oncology:</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3920" w:type="dxa"/>
            <w:vAlign w:val="bottom"/>
            <w:shd w:val="clear" w:color="auto" w:fill="CCEEFF"/>
          </w:tcPr>
          <w:p>
            <w:pPr>
              <w:ind w:left="540"/>
              <w:spacing w:after="0" w:line="220" w:lineRule="exact"/>
              <w:rPr>
                <w:sz w:val="20"/>
                <w:szCs w:val="20"/>
                <w:color w:val="auto"/>
              </w:rPr>
            </w:pPr>
            <w:r>
              <w:rPr>
                <w:rFonts w:ascii="Arial" w:cs="Arial" w:eastAsia="Arial" w:hAnsi="Arial"/>
                <w:sz w:val="17"/>
                <w:szCs w:val="17"/>
                <w:i w:val="1"/>
                <w:iCs w:val="1"/>
                <w:color w:val="auto"/>
              </w:rPr>
              <w:t>Verzenio</w:t>
            </w:r>
            <w:r>
              <w:rPr>
                <w:rFonts w:ascii="Arial" w:cs="Arial" w:eastAsia="Arial" w:hAnsi="Arial"/>
                <w:sz w:val="22"/>
                <w:szCs w:val="22"/>
                <w:color w:val="auto"/>
                <w:vertAlign w:val="superscript"/>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588.6</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338.2</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926.8</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588.5</w:t>
            </w:r>
          </w:p>
        </w:tc>
      </w:tr>
      <w:tr>
        <w:trPr>
          <w:trHeight w:val="232"/>
        </w:trPr>
        <w:tc>
          <w:tcPr>
            <w:tcW w:w="3920" w:type="dxa"/>
            <w:vAlign w:val="bottom"/>
          </w:tcPr>
          <w:p>
            <w:pPr>
              <w:ind w:left="540"/>
              <w:spacing w:after="0" w:line="232" w:lineRule="exact"/>
              <w:rPr>
                <w:sz w:val="20"/>
                <w:szCs w:val="20"/>
                <w:color w:val="auto"/>
              </w:rPr>
            </w:pPr>
            <w:r>
              <w:rPr>
                <w:rFonts w:ascii="Arial" w:cs="Arial" w:eastAsia="Arial" w:hAnsi="Arial"/>
                <w:sz w:val="17"/>
                <w:szCs w:val="17"/>
                <w:i w:val="1"/>
                <w:iCs w:val="1"/>
                <w:color w:val="auto"/>
              </w:rPr>
              <w:t>Cyramza</w:t>
            </w:r>
            <w:r>
              <w:rPr>
                <w:rFonts w:ascii="Arial" w:cs="Arial" w:eastAsia="Arial" w:hAnsi="Arial"/>
                <w:sz w:val="22"/>
                <w:szCs w:val="22"/>
                <w:color w:val="auto"/>
                <w:vertAlign w:val="superscript"/>
              </w:rPr>
              <w: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115.0</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145.3</w:t>
            </w:r>
          </w:p>
        </w:tc>
        <w:tc>
          <w:tcPr>
            <w:tcW w:w="2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auto"/>
              </w:rPr>
              <w:t>260.3</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92.6</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138.6</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231.3</w:t>
            </w:r>
          </w:p>
        </w:tc>
      </w:tr>
      <w:tr>
        <w:trPr>
          <w:trHeight w:val="219"/>
        </w:trPr>
        <w:tc>
          <w:tcPr>
            <w:tcW w:w="3920" w:type="dxa"/>
            <w:vAlign w:val="bottom"/>
            <w:shd w:val="clear" w:color="auto" w:fill="CCEEFF"/>
          </w:tcPr>
          <w:p>
            <w:pPr>
              <w:ind w:left="540"/>
              <w:spacing w:after="0" w:line="220" w:lineRule="exact"/>
              <w:rPr>
                <w:sz w:val="20"/>
                <w:szCs w:val="20"/>
                <w:color w:val="auto"/>
              </w:rPr>
            </w:pPr>
            <w:r>
              <w:rPr>
                <w:rFonts w:ascii="Arial" w:cs="Arial" w:eastAsia="Arial" w:hAnsi="Arial"/>
                <w:sz w:val="17"/>
                <w:szCs w:val="17"/>
                <w:i w:val="1"/>
                <w:iCs w:val="1"/>
                <w:color w:val="auto"/>
              </w:rPr>
              <w:t>Erbitux</w:t>
            </w:r>
            <w:r>
              <w:rPr>
                <w:rFonts w:ascii="Arial" w:cs="Arial" w:eastAsia="Arial" w:hAnsi="Arial"/>
                <w:sz w:val="22"/>
                <w:szCs w:val="22"/>
                <w:i w:val="1"/>
                <w:iCs w:val="1"/>
                <w:color w:val="auto"/>
                <w:vertAlign w:val="superscript"/>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145.5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17.0</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162.5</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140.8</w:t>
            </w:r>
          </w:p>
        </w:tc>
      </w:tr>
      <w:tr>
        <w:trPr>
          <w:trHeight w:val="219"/>
        </w:trPr>
        <w:tc>
          <w:tcPr>
            <w:tcW w:w="3920" w:type="dxa"/>
            <w:vAlign w:val="bottom"/>
          </w:tcPr>
          <w:p>
            <w:pPr>
              <w:ind w:left="540"/>
              <w:spacing w:after="0" w:line="220" w:lineRule="exact"/>
              <w:rPr>
                <w:sz w:val="20"/>
                <w:szCs w:val="20"/>
                <w:color w:val="auto"/>
              </w:rPr>
            </w:pPr>
            <w:r>
              <w:rPr>
                <w:rFonts w:ascii="Arial" w:cs="Arial" w:eastAsia="Arial" w:hAnsi="Arial"/>
                <w:sz w:val="17"/>
                <w:szCs w:val="17"/>
                <w:i w:val="1"/>
                <w:iCs w:val="1"/>
                <w:color w:val="auto"/>
              </w:rPr>
              <w:t>Alimta</w:t>
            </w:r>
            <w:r>
              <w:rPr>
                <w:rFonts w:ascii="Arial" w:cs="Arial" w:eastAsia="Arial" w:hAnsi="Arial"/>
                <w:sz w:val="22"/>
                <w:szCs w:val="22"/>
                <w:color w:val="auto"/>
                <w:vertAlign w:val="superscript"/>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17.9</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43.1</w:t>
            </w:r>
          </w:p>
        </w:tc>
        <w:tc>
          <w:tcPr>
            <w:tcW w:w="2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auto"/>
              </w:rPr>
              <w:t>60.9</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171.7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227.7</w:t>
            </w:r>
          </w:p>
        </w:tc>
      </w:tr>
      <w:tr>
        <w:trPr>
          <w:trHeight w:val="232"/>
        </w:trPr>
        <w:tc>
          <w:tcPr>
            <w:tcW w:w="392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Other oncology</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68.0</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192.4</w:t>
            </w: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260.5</w:t>
            </w: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135.2</w:t>
            </w: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180.4</w:t>
            </w:r>
          </w:p>
        </w:tc>
      </w:tr>
      <w:tr>
        <w:trPr>
          <w:trHeight w:val="212"/>
        </w:trPr>
        <w:tc>
          <w:tcPr>
            <w:tcW w:w="3920" w:type="dxa"/>
            <w:vAlign w:val="bottom"/>
          </w:tcPr>
          <w:p>
            <w:pPr>
              <w:ind w:left="340"/>
              <w:spacing w:after="0"/>
              <w:rPr>
                <w:sz w:val="20"/>
                <w:szCs w:val="20"/>
                <w:color w:val="auto"/>
              </w:rPr>
            </w:pPr>
            <w:r>
              <w:rPr>
                <w:rFonts w:ascii="Arial" w:cs="Arial" w:eastAsia="Arial" w:hAnsi="Arial"/>
                <w:sz w:val="17"/>
                <w:szCs w:val="17"/>
                <w:color w:val="auto"/>
              </w:rPr>
              <w:t>Total oncology</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935.0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736.0</w:t>
            </w:r>
          </w:p>
        </w:tc>
        <w:tc>
          <w:tcPr>
            <w:tcW w:w="220" w:type="dxa"/>
            <w:vAlign w:val="bottom"/>
          </w:tcPr>
          <w:p>
            <w:pPr>
              <w:spacing w:after="0"/>
              <w:rPr>
                <w:sz w:val="18"/>
                <w:szCs w:val="18"/>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auto"/>
              </w:rPr>
              <w:t>1,671.0</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819.0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549.8</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1,368.7</w:t>
            </w:r>
          </w:p>
        </w:tc>
      </w:tr>
      <w:tr>
        <w:trPr>
          <w:trHeight w:val="207"/>
        </w:trPr>
        <w:tc>
          <w:tcPr>
            <w:tcW w:w="3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9"/>
        </w:trPr>
        <w:tc>
          <w:tcPr>
            <w:tcW w:w="3920" w:type="dxa"/>
            <w:vAlign w:val="bottom"/>
          </w:tcPr>
          <w:p>
            <w:pPr>
              <w:ind w:left="120"/>
              <w:spacing w:after="0"/>
              <w:rPr>
                <w:sz w:val="20"/>
                <w:szCs w:val="20"/>
                <w:color w:val="auto"/>
              </w:rPr>
            </w:pPr>
            <w:r>
              <w:rPr>
                <w:rFonts w:ascii="Arial" w:cs="Arial" w:eastAsia="Arial" w:hAnsi="Arial"/>
                <w:sz w:val="17"/>
                <w:szCs w:val="17"/>
                <w:color w:val="auto"/>
              </w:rPr>
              <w:t>Immunology:</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3"/>
        </w:trPr>
        <w:tc>
          <w:tcPr>
            <w:tcW w:w="3920" w:type="dxa"/>
            <w:vAlign w:val="bottom"/>
            <w:shd w:val="clear" w:color="auto" w:fill="CCEEFF"/>
          </w:tcPr>
          <w:p>
            <w:pPr>
              <w:ind w:left="540"/>
              <w:spacing w:after="0" w:line="233" w:lineRule="exact"/>
              <w:rPr>
                <w:sz w:val="20"/>
                <w:szCs w:val="20"/>
                <w:color w:val="auto"/>
              </w:rPr>
            </w:pPr>
            <w:r>
              <w:rPr>
                <w:rFonts w:ascii="Arial" w:cs="Arial" w:eastAsia="Arial" w:hAnsi="Arial"/>
                <w:sz w:val="17"/>
                <w:szCs w:val="17"/>
                <w:i w:val="1"/>
                <w:iCs w:val="1"/>
                <w:color w:val="auto"/>
              </w:rPr>
              <w:t>Taltz</w:t>
            </w:r>
            <w:r>
              <w:rPr>
                <w:rFonts w:ascii="Arial" w:cs="Arial" w:eastAsia="Arial" w:hAnsi="Arial"/>
                <w:sz w:val="22"/>
                <w:szCs w:val="22"/>
                <w:color w:val="auto"/>
                <w:vertAlign w:val="superscript"/>
              </w:rPr>
              <w:t>®</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472.3</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231.6</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703.9</w:t>
            </w: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411.6</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194.7</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606.2</w:t>
            </w:r>
          </w:p>
        </w:tc>
      </w:tr>
      <w:tr>
        <w:trPr>
          <w:trHeight w:val="219"/>
        </w:trPr>
        <w:tc>
          <w:tcPr>
            <w:tcW w:w="3920" w:type="dxa"/>
            <w:vAlign w:val="bottom"/>
          </w:tcPr>
          <w:p>
            <w:pPr>
              <w:ind w:left="540"/>
              <w:spacing w:after="0" w:line="220" w:lineRule="exact"/>
              <w:rPr>
                <w:sz w:val="20"/>
                <w:szCs w:val="20"/>
                <w:color w:val="auto"/>
              </w:rPr>
            </w:pPr>
            <w:r>
              <w:rPr>
                <w:rFonts w:ascii="Arial" w:cs="Arial" w:eastAsia="Arial" w:hAnsi="Arial"/>
                <w:sz w:val="17"/>
                <w:szCs w:val="17"/>
                <w:i w:val="1"/>
                <w:iCs w:val="1"/>
                <w:color w:val="auto"/>
              </w:rPr>
              <w:t>Olumiant</w:t>
            </w:r>
            <w:r>
              <w:rPr>
                <w:rFonts w:ascii="Arial" w:cs="Arial" w:eastAsia="Arial" w:hAnsi="Arial"/>
                <w:sz w:val="22"/>
                <w:szCs w:val="22"/>
                <w:color w:val="auto"/>
                <w:vertAlign w:val="superscript"/>
              </w:rPr>
              <w:t>® (4)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50.8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168.1</w:t>
            </w:r>
          </w:p>
        </w:tc>
        <w:tc>
          <w:tcPr>
            <w:tcW w:w="2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auto"/>
              </w:rPr>
              <w:t>218.9</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10.4</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175.8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186.2</w:t>
            </w:r>
          </w:p>
        </w:tc>
      </w:tr>
      <w:tr>
        <w:trPr>
          <w:trHeight w:val="219"/>
        </w:trPr>
        <w:tc>
          <w:tcPr>
            <w:tcW w:w="39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7"/>
                <w:szCs w:val="17"/>
                <w:i w:val="1"/>
                <w:iCs w:val="1"/>
                <w:color w:val="auto"/>
              </w:rPr>
              <w:t>Other immunology</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5.7</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5.7</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25"/>
        </w:trPr>
        <w:tc>
          <w:tcPr>
            <w:tcW w:w="3920" w:type="dxa"/>
            <w:vAlign w:val="bottom"/>
          </w:tcPr>
          <w:p>
            <w:pPr>
              <w:ind w:left="340"/>
              <w:spacing w:after="0"/>
              <w:rPr>
                <w:sz w:val="20"/>
                <w:szCs w:val="20"/>
                <w:color w:val="auto"/>
              </w:rPr>
            </w:pPr>
            <w:r>
              <w:rPr>
                <w:rFonts w:ascii="Arial" w:cs="Arial" w:eastAsia="Arial" w:hAnsi="Arial"/>
                <w:sz w:val="17"/>
                <w:szCs w:val="17"/>
                <w:color w:val="auto"/>
              </w:rPr>
              <w:t>Total immunology</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523.1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405.4</w:t>
            </w:r>
          </w:p>
        </w:tc>
        <w:tc>
          <w:tcPr>
            <w:tcW w:w="2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auto"/>
              </w:rPr>
              <w:t>928.5</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422.0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374.5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796.5</w:t>
            </w:r>
          </w:p>
        </w:tc>
      </w:tr>
      <w:tr>
        <w:trPr>
          <w:trHeight w:val="207"/>
        </w:trPr>
        <w:tc>
          <w:tcPr>
            <w:tcW w:w="3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9"/>
        </w:trPr>
        <w:tc>
          <w:tcPr>
            <w:tcW w:w="3920" w:type="dxa"/>
            <w:vAlign w:val="bottom"/>
          </w:tcPr>
          <w:p>
            <w:pPr>
              <w:ind w:left="120"/>
              <w:spacing w:after="0"/>
              <w:rPr>
                <w:sz w:val="20"/>
                <w:szCs w:val="20"/>
                <w:color w:val="auto"/>
              </w:rPr>
            </w:pPr>
            <w:r>
              <w:rPr>
                <w:rFonts w:ascii="Arial" w:cs="Arial" w:eastAsia="Arial" w:hAnsi="Arial"/>
                <w:sz w:val="17"/>
                <w:szCs w:val="17"/>
                <w:color w:val="auto"/>
              </w:rPr>
              <w:t>Neuroscience: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3920" w:type="dxa"/>
            <w:vAlign w:val="bottom"/>
            <w:shd w:val="clear" w:color="auto" w:fill="CCEEFF"/>
          </w:tcPr>
          <w:p>
            <w:pPr>
              <w:ind w:left="540"/>
              <w:spacing w:after="0" w:line="220" w:lineRule="exact"/>
              <w:rPr>
                <w:sz w:val="20"/>
                <w:szCs w:val="20"/>
                <w:color w:val="auto"/>
              </w:rPr>
            </w:pPr>
            <w:r>
              <w:rPr>
                <w:rFonts w:ascii="Arial" w:cs="Arial" w:eastAsia="Arial" w:hAnsi="Arial"/>
                <w:sz w:val="17"/>
                <w:szCs w:val="17"/>
                <w:i w:val="1"/>
                <w:iCs w:val="1"/>
                <w:color w:val="auto"/>
              </w:rPr>
              <w:t>Emgality</w:t>
            </w:r>
            <w:r>
              <w:rPr>
                <w:rFonts w:ascii="Arial" w:cs="Arial" w:eastAsia="Arial" w:hAnsi="Arial"/>
                <w:sz w:val="22"/>
                <w:szCs w:val="22"/>
                <w:color w:val="auto"/>
                <w:vertAlign w:val="superscript"/>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118.8</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50.5</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169.3</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157.5</w:t>
            </w:r>
          </w:p>
        </w:tc>
      </w:tr>
      <w:tr>
        <w:trPr>
          <w:trHeight w:val="232"/>
        </w:trPr>
        <w:tc>
          <w:tcPr>
            <w:tcW w:w="3920" w:type="dxa"/>
            <w:vAlign w:val="bottom"/>
            <w:tcBorders>
              <w:bottom w:val="single" w:sz="8" w:color="CCEEFF"/>
            </w:tcBorders>
          </w:tcPr>
          <w:p>
            <w:pPr>
              <w:ind w:left="540"/>
              <w:spacing w:after="0"/>
              <w:rPr>
                <w:sz w:val="20"/>
                <w:szCs w:val="20"/>
                <w:color w:val="auto"/>
              </w:rPr>
            </w:pPr>
            <w:r>
              <w:rPr>
                <w:rFonts w:ascii="Arial" w:cs="Arial" w:eastAsia="Arial" w:hAnsi="Arial"/>
                <w:sz w:val="17"/>
                <w:szCs w:val="17"/>
                <w:i w:val="1"/>
                <w:iCs w:val="1"/>
                <w:color w:val="auto"/>
              </w:rPr>
              <w:t>Other neuroscience</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42.1</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175.8</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217.9</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196.3</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232.4</w:t>
            </w:r>
          </w:p>
        </w:tc>
      </w:tr>
      <w:tr>
        <w:trPr>
          <w:trHeight w:val="212"/>
        </w:trPr>
        <w:tc>
          <w:tcPr>
            <w:tcW w:w="3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neuroscience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160.9</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226.3</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387.2</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144.8</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245.2</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389.9</w:t>
            </w:r>
          </w:p>
        </w:tc>
      </w:tr>
      <w:tr>
        <w:trPr>
          <w:trHeight w:val="207"/>
        </w:trPr>
        <w:tc>
          <w:tcPr>
            <w:tcW w:w="3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39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2"/>
        </w:trPr>
        <w:tc>
          <w:tcPr>
            <w:tcW w:w="3920" w:type="dxa"/>
            <w:vAlign w:val="bottom"/>
          </w:tcPr>
          <w:p>
            <w:pPr>
              <w:ind w:left="540"/>
              <w:spacing w:after="0" w:line="232" w:lineRule="exact"/>
              <w:rPr>
                <w:sz w:val="20"/>
                <w:szCs w:val="20"/>
                <w:color w:val="auto"/>
              </w:rPr>
            </w:pPr>
            <w:r>
              <w:rPr>
                <w:rFonts w:ascii="Arial" w:cs="Arial" w:eastAsia="Arial" w:hAnsi="Arial"/>
                <w:sz w:val="17"/>
                <w:szCs w:val="17"/>
                <w:i w:val="1"/>
                <w:iCs w:val="1"/>
                <w:color w:val="auto"/>
              </w:rPr>
              <w:t>Forteo</w:t>
            </w:r>
            <w:r>
              <w:rPr>
                <w:rFonts w:ascii="Arial" w:cs="Arial" w:eastAsia="Arial" w:hAnsi="Arial"/>
                <w:sz w:val="22"/>
                <w:szCs w:val="22"/>
                <w:i w:val="1"/>
                <w:iCs w:val="1"/>
                <w:color w:val="auto"/>
                <w:vertAlign w:val="superscript"/>
              </w:rPr>
              <w: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97.4</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50.6</w:t>
            </w:r>
          </w:p>
        </w:tc>
        <w:tc>
          <w:tcPr>
            <w:tcW w:w="2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auto"/>
              </w:rPr>
              <w:t>148.0</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78.5</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60.0</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138.5</w:t>
            </w:r>
          </w:p>
        </w:tc>
      </w:tr>
      <w:tr>
        <w:trPr>
          <w:trHeight w:val="219"/>
        </w:trPr>
        <w:tc>
          <w:tcPr>
            <w:tcW w:w="3920" w:type="dxa"/>
            <w:vAlign w:val="bottom"/>
            <w:shd w:val="clear" w:color="auto" w:fill="CCEEFF"/>
          </w:tcPr>
          <w:p>
            <w:pPr>
              <w:ind w:left="540"/>
              <w:spacing w:after="0" w:line="220" w:lineRule="exact"/>
              <w:rPr>
                <w:sz w:val="20"/>
                <w:szCs w:val="20"/>
                <w:color w:val="auto"/>
              </w:rPr>
            </w:pPr>
            <w:r>
              <w:rPr>
                <w:rFonts w:ascii="Arial" w:cs="Arial" w:eastAsia="Arial" w:hAnsi="Arial"/>
                <w:sz w:val="17"/>
                <w:szCs w:val="17"/>
                <w:i w:val="1"/>
                <w:iCs w:val="1"/>
                <w:color w:val="auto"/>
              </w:rPr>
              <w:t>Cialis</w:t>
            </w:r>
            <w:r>
              <w:rPr>
                <w:rFonts w:ascii="Arial" w:cs="Arial" w:eastAsia="Arial" w:hAnsi="Arial"/>
                <w:sz w:val="22"/>
                <w:szCs w:val="22"/>
                <w:i w:val="1"/>
                <w:iCs w:val="1"/>
                <w:color w:val="auto"/>
                <w:vertAlign w:val="superscript"/>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106.4</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115.6</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147.0</w:t>
            </w:r>
          </w:p>
        </w:tc>
      </w:tr>
      <w:tr>
        <w:trPr>
          <w:trHeight w:val="219"/>
        </w:trPr>
        <w:tc>
          <w:tcPr>
            <w:tcW w:w="3920" w:type="dxa"/>
            <w:vAlign w:val="bottom"/>
          </w:tcPr>
          <w:p>
            <w:pPr>
              <w:ind w:left="540"/>
              <w:spacing w:after="0" w:line="220" w:lineRule="exact"/>
              <w:rPr>
                <w:sz w:val="20"/>
                <w:szCs w:val="20"/>
                <w:color w:val="auto"/>
              </w:rPr>
            </w:pPr>
            <w:r>
              <w:rPr>
                <w:rFonts w:ascii="Arial" w:cs="Arial" w:eastAsia="Arial" w:hAnsi="Arial"/>
                <w:sz w:val="17"/>
                <w:szCs w:val="17"/>
                <w:i w:val="1"/>
                <w:iCs w:val="1"/>
                <w:color w:val="auto"/>
              </w:rPr>
              <w:t>COVID-19 antibodies</w:t>
            </w:r>
            <w:r>
              <w:rPr>
                <w:rFonts w:ascii="Arial" w:cs="Arial" w:eastAsia="Arial" w:hAnsi="Arial"/>
                <w:sz w:val="22"/>
                <w:szCs w:val="22"/>
                <w:color w:val="auto"/>
                <w:vertAlign w:val="superscript"/>
              </w:rPr>
              <w:t>(5)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129.1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129.1</w:t>
            </w:r>
          </w:p>
        </w:tc>
      </w:tr>
      <w:tr>
        <w:trPr>
          <w:trHeight w:val="232"/>
        </w:trPr>
        <w:tc>
          <w:tcPr>
            <w:tcW w:w="392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Other</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24.4</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26.5</w:t>
            </w: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51.0</w:t>
            </w: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80.1</w:t>
            </w:r>
          </w:p>
        </w:tc>
      </w:tr>
      <w:tr>
        <w:trPr>
          <w:trHeight w:val="212"/>
        </w:trPr>
        <w:tc>
          <w:tcPr>
            <w:tcW w:w="39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other</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131.0</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183.5</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314.6</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256.9</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237.9</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494.7</w:t>
            </w:r>
          </w:p>
        </w:tc>
      </w:tr>
      <w:tr>
        <w:trPr>
          <w:trHeight w:val="218"/>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5,531.4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2,780.7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8,312.1</w:t>
            </w:r>
          </w:p>
        </w:tc>
        <w:tc>
          <w:tcPr>
            <w:tcW w:w="3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3,934.8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2,553.3</w:t>
            </w:r>
          </w:p>
        </w:tc>
        <w:tc>
          <w:tcPr>
            <w:tcW w:w="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6,488.0</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 w:lineRule="exact"/>
        <w:rPr>
          <w:sz w:val="20"/>
          <w:szCs w:val="20"/>
          <w:color w:val="auto"/>
        </w:rPr>
      </w:pPr>
    </w:p>
    <w:p>
      <w:pPr>
        <w:ind w:left="140" w:hanging="137"/>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w:t>
      </w:r>
      <w:r>
        <w:rPr>
          <w:rFonts w:ascii="Arial" w:cs="Arial" w:eastAsia="Arial" w:hAnsi="Arial"/>
          <w:sz w:val="15"/>
          <w:szCs w:val="15"/>
          <w:color w:val="auto"/>
          <w:vertAlign w:val="superscript"/>
        </w:rPr>
        <w:t>®</w:t>
      </w:r>
      <w:r>
        <w:rPr>
          <w:rFonts w:ascii="Arial" w:cs="Arial" w:eastAsia="Arial" w:hAnsi="Arial"/>
          <w:sz w:val="12"/>
          <w:szCs w:val="12"/>
          <w:color w:val="auto"/>
        </w:rPr>
        <w:t>, Synjardy</w:t>
      </w:r>
      <w:r>
        <w:rPr>
          <w:rFonts w:ascii="Arial" w:cs="Arial" w:eastAsia="Arial" w:hAnsi="Arial"/>
          <w:sz w:val="15"/>
          <w:szCs w:val="15"/>
          <w:color w:val="auto"/>
          <w:vertAlign w:val="superscript"/>
        </w:rPr>
        <w:t>®</w:t>
      </w:r>
      <w:r>
        <w:rPr>
          <w:rFonts w:ascii="Arial" w:cs="Arial" w:eastAsia="Arial" w:hAnsi="Arial"/>
          <w:sz w:val="12"/>
          <w:szCs w:val="12"/>
          <w:color w:val="auto"/>
        </w:rPr>
        <w:t>, and Trijardy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XR.</w:t>
      </w:r>
    </w:p>
    <w:p>
      <w:pPr>
        <w:ind w:left="140" w:hanging="137"/>
        <w:spacing w:after="0" w:line="202"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ind w:left="140" w:hanging="137"/>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Basaglar revenue includes Rezvoglar</w:t>
      </w:r>
      <w:r>
        <w:rPr>
          <w:rFonts w:ascii="Arial" w:cs="Arial" w:eastAsia="Arial" w:hAnsi="Arial"/>
          <w:sz w:val="8"/>
          <w:szCs w:val="8"/>
          <w:color w:val="auto"/>
        </w:rPr>
        <w:t>®</w:t>
      </w:r>
      <w:r>
        <w:rPr>
          <w:rFonts w:ascii="Arial" w:cs="Arial" w:eastAsia="Arial" w:hAnsi="Arial"/>
          <w:sz w:val="14"/>
          <w:szCs w:val="14"/>
          <w:color w:val="auto"/>
        </w:rPr>
        <w:t>.</w:t>
      </w:r>
    </w:p>
    <w:p>
      <w:pPr>
        <w:spacing w:after="0" w:line="3" w:lineRule="exact"/>
        <w:rPr>
          <w:rFonts w:ascii="Arial" w:cs="Arial" w:eastAsia="Arial" w:hAnsi="Arial"/>
          <w:sz w:val="9"/>
          <w:szCs w:val="9"/>
          <w:color w:val="auto"/>
        </w:rPr>
      </w:pPr>
    </w:p>
    <w:p>
      <w:pPr>
        <w:ind w:left="140" w:hanging="137"/>
        <w:spacing w:after="0" w:line="218"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Olumiant revenue includes sales for baricitinib that were made pursuant to Emergency Use Authorization (EUA) or similar regulatory authorizations.</w:t>
      </w:r>
    </w:p>
    <w:p>
      <w:pPr>
        <w:spacing w:after="0" w:line="3" w:lineRule="exact"/>
        <w:rPr>
          <w:rFonts w:ascii="Arial" w:cs="Arial" w:eastAsia="Arial" w:hAnsi="Arial"/>
          <w:sz w:val="16"/>
          <w:szCs w:val="16"/>
          <w:color w:val="auto"/>
          <w:vertAlign w:val="superscript"/>
        </w:rPr>
      </w:pPr>
    </w:p>
    <w:p>
      <w:pPr>
        <w:ind w:left="160" w:right="120" w:hanging="157"/>
        <w:spacing w:after="0" w:line="257" w:lineRule="auto"/>
        <w:tabs>
          <w:tab w:leader="none" w:pos="139"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COVID-19 antibodies include sales for bamlanivimab administered alone, for bamlanivimab and etesevimab administered together, and for bebtelovimab and were made pursuant to EUAs or similar regulatory authorizations.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The following table summarizes revenue, including net product revenue and collaboration and other revenue, by product for the six months ended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June 30, 2023 and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74"/>
        </w:trPr>
        <w:tc>
          <w:tcPr>
            <w:tcW w:w="39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74"/>
        </w:trPr>
        <w:tc>
          <w:tcPr>
            <w:tcW w:w="3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8"/>
              </w:rPr>
              <w:t>Outside U.S.</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Total</w:t>
            </w:r>
          </w:p>
        </w:tc>
      </w:tr>
      <w:tr>
        <w:trPr>
          <w:trHeight w:val="225"/>
        </w:trPr>
        <w:tc>
          <w:tcPr>
            <w:tcW w:w="39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Diabetes: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3920" w:type="dxa"/>
            <w:vAlign w:val="bottom"/>
          </w:tcPr>
          <w:p>
            <w:pPr>
              <w:ind w:left="540"/>
              <w:spacing w:after="0"/>
              <w:rPr>
                <w:sz w:val="20"/>
                <w:szCs w:val="20"/>
                <w:color w:val="auto"/>
              </w:rPr>
            </w:pPr>
            <w:r>
              <w:rPr>
                <w:rFonts w:ascii="Arial" w:cs="Arial" w:eastAsia="Arial" w:hAnsi="Arial"/>
                <w:sz w:val="17"/>
                <w:szCs w:val="17"/>
                <w:i w:val="1"/>
                <w:iCs w:val="1"/>
                <w:color w:val="auto"/>
              </w:rPr>
              <w:t>Trulicity</w:t>
            </w:r>
          </w:p>
        </w:tc>
        <w:tc>
          <w:tcPr>
            <w:tcW w:w="280" w:type="dxa"/>
            <w:vAlign w:val="bottom"/>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2,918.7</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871.0</w:t>
            </w:r>
          </w:p>
        </w:tc>
        <w:tc>
          <w:tcPr>
            <w:tcW w:w="260" w:type="dxa"/>
            <w:vAlign w:val="bottom"/>
          </w:tcPr>
          <w:p>
            <w:pPr>
              <w:jc w:val="right"/>
              <w:ind w:right="34"/>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3,789.6</w:t>
            </w:r>
          </w:p>
        </w:tc>
        <w:tc>
          <w:tcPr>
            <w:tcW w:w="36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2,744.1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909.1</w:t>
            </w:r>
          </w:p>
        </w:tc>
        <w:tc>
          <w:tcPr>
            <w:tcW w:w="3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3,653.2</w:t>
            </w:r>
          </w:p>
        </w:tc>
      </w:tr>
      <w:tr>
        <w:trPr>
          <w:trHeight w:val="219"/>
        </w:trPr>
        <w:tc>
          <w:tcPr>
            <w:tcW w:w="392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Mounjaro</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1,452.2</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96.0</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1,548.2</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r>
      <w:tr>
        <w:trPr>
          <w:trHeight w:val="232"/>
        </w:trPr>
        <w:tc>
          <w:tcPr>
            <w:tcW w:w="3920" w:type="dxa"/>
            <w:vAlign w:val="bottom"/>
          </w:tcPr>
          <w:p>
            <w:pPr>
              <w:ind w:left="540"/>
              <w:spacing w:after="0" w:line="232" w:lineRule="exact"/>
              <w:rPr>
                <w:sz w:val="20"/>
                <w:szCs w:val="20"/>
                <w:color w:val="auto"/>
              </w:rPr>
            </w:pPr>
            <w:r>
              <w:rPr>
                <w:rFonts w:ascii="Arial" w:cs="Arial" w:eastAsia="Arial" w:hAnsi="Arial"/>
                <w:sz w:val="17"/>
                <w:szCs w:val="17"/>
                <w:i w:val="1"/>
                <w:iCs w:val="1"/>
                <w:color w:val="auto"/>
              </w:rPr>
              <w:t>Jardiance</w:t>
            </w:r>
            <w:r>
              <w:rPr>
                <w:rFonts w:ascii="Arial" w:cs="Arial" w:eastAsia="Arial" w:hAnsi="Arial"/>
                <w:sz w:val="22"/>
                <w:szCs w:val="22"/>
                <w:color w:val="auto"/>
                <w:vertAlign w:val="superscript"/>
              </w:rPr>
              <w:t>(1)</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715.6</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530.2</w:t>
            </w:r>
          </w:p>
        </w:tc>
        <w:tc>
          <w:tcPr>
            <w:tcW w:w="2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1,245.8</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480.4</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400.0</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880.4</w:t>
            </w:r>
          </w:p>
        </w:tc>
      </w:tr>
      <w:tr>
        <w:trPr>
          <w:trHeight w:val="219"/>
        </w:trPr>
        <w:tc>
          <w:tcPr>
            <w:tcW w:w="3920" w:type="dxa"/>
            <w:vAlign w:val="bottom"/>
            <w:shd w:val="clear" w:color="auto" w:fill="CCEEFF"/>
          </w:tcPr>
          <w:p>
            <w:pPr>
              <w:ind w:left="540"/>
              <w:spacing w:after="0" w:line="220" w:lineRule="exact"/>
              <w:rPr>
                <w:sz w:val="20"/>
                <w:szCs w:val="20"/>
                <w:color w:val="auto"/>
              </w:rPr>
            </w:pPr>
            <w:r>
              <w:rPr>
                <w:rFonts w:ascii="Arial" w:cs="Arial" w:eastAsia="Arial" w:hAnsi="Arial"/>
                <w:sz w:val="17"/>
                <w:szCs w:val="17"/>
                <w:i w:val="1"/>
                <w:iCs w:val="1"/>
                <w:color w:val="auto"/>
              </w:rPr>
              <w:t>Humalog</w:t>
            </w:r>
            <w:r>
              <w:rPr>
                <w:rFonts w:ascii="Arial" w:cs="Arial" w:eastAsia="Arial" w:hAnsi="Arial"/>
                <w:sz w:val="22"/>
                <w:szCs w:val="22"/>
                <w:color w:val="auto"/>
                <w:vertAlign w:val="superscript"/>
              </w:rPr>
              <w:t>(2)</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501.4</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400.0</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901.4</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607.7</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1,065.3</w:t>
            </w:r>
          </w:p>
        </w:tc>
      </w:tr>
      <w:tr>
        <w:trPr>
          <w:trHeight w:val="219"/>
        </w:trPr>
        <w:tc>
          <w:tcPr>
            <w:tcW w:w="3920" w:type="dxa"/>
            <w:vAlign w:val="bottom"/>
          </w:tcPr>
          <w:p>
            <w:pPr>
              <w:ind w:left="540"/>
              <w:spacing w:after="0"/>
              <w:rPr>
                <w:sz w:val="20"/>
                <w:szCs w:val="20"/>
                <w:color w:val="auto"/>
              </w:rPr>
            </w:pPr>
            <w:r>
              <w:rPr>
                <w:rFonts w:ascii="Arial" w:cs="Arial" w:eastAsia="Arial" w:hAnsi="Arial"/>
                <w:sz w:val="17"/>
                <w:szCs w:val="17"/>
                <w:i w:val="1"/>
                <w:iCs w:val="1"/>
                <w:color w:val="auto"/>
              </w:rPr>
              <w:t>Baqsimi</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629.3</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16.1</w:t>
            </w:r>
          </w:p>
        </w:tc>
        <w:tc>
          <w:tcPr>
            <w:tcW w:w="26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645.4</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44.3</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58.2</w:t>
            </w:r>
          </w:p>
        </w:tc>
      </w:tr>
      <w:tr>
        <w:trPr>
          <w:trHeight w:val="232"/>
        </w:trPr>
        <w:tc>
          <w:tcPr>
            <w:tcW w:w="392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Humulin</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343.1</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114.2</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457.3</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392.8</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547.2</w:t>
            </w:r>
          </w:p>
        </w:tc>
      </w:tr>
      <w:tr>
        <w:trPr>
          <w:trHeight w:val="219"/>
        </w:trPr>
        <w:tc>
          <w:tcPr>
            <w:tcW w:w="3920" w:type="dxa"/>
            <w:vAlign w:val="bottom"/>
          </w:tcPr>
          <w:p>
            <w:pPr>
              <w:ind w:left="540"/>
              <w:spacing w:after="0" w:line="220" w:lineRule="exact"/>
              <w:rPr>
                <w:sz w:val="20"/>
                <w:szCs w:val="20"/>
                <w:color w:val="auto"/>
              </w:rPr>
            </w:pPr>
            <w:r>
              <w:rPr>
                <w:rFonts w:ascii="Arial" w:cs="Arial" w:eastAsia="Arial" w:hAnsi="Arial"/>
                <w:sz w:val="17"/>
                <w:szCs w:val="17"/>
                <w:i w:val="1"/>
                <w:iCs w:val="1"/>
                <w:color w:val="auto"/>
              </w:rPr>
              <w:t>Basaglar</w:t>
            </w:r>
            <w:r>
              <w:rPr>
                <w:rFonts w:ascii="Arial" w:cs="Arial" w:eastAsia="Arial" w:hAnsi="Arial"/>
                <w:sz w:val="22"/>
                <w:szCs w:val="22"/>
                <w:color w:val="auto"/>
                <w:vertAlign w:val="superscript"/>
              </w:rPr>
              <w:t>(3)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218.4</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145.2</w:t>
            </w:r>
          </w:p>
        </w:tc>
        <w:tc>
          <w:tcPr>
            <w:tcW w:w="26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363.5</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215.1</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150.6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365.7</w:t>
            </w:r>
          </w:p>
        </w:tc>
      </w:tr>
      <w:tr>
        <w:trPr>
          <w:trHeight w:val="219"/>
        </w:trPr>
        <w:tc>
          <w:tcPr>
            <w:tcW w:w="39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7"/>
                <w:szCs w:val="17"/>
                <w:i w:val="1"/>
                <w:iCs w:val="1"/>
                <w:color w:val="auto"/>
              </w:rPr>
              <w:t>Other diabetes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77.7</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172.2</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250.1</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71.7</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168.5</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240.3</w:t>
            </w:r>
          </w:p>
        </w:tc>
      </w:tr>
      <w:tr>
        <w:trPr>
          <w:trHeight w:val="225"/>
        </w:trPr>
        <w:tc>
          <w:tcPr>
            <w:tcW w:w="3920" w:type="dxa"/>
            <w:vAlign w:val="bottom"/>
          </w:tcPr>
          <w:p>
            <w:pPr>
              <w:ind w:left="340"/>
              <w:spacing w:after="0"/>
              <w:rPr>
                <w:sz w:val="20"/>
                <w:szCs w:val="20"/>
                <w:color w:val="auto"/>
              </w:rPr>
            </w:pPr>
            <w:r>
              <w:rPr>
                <w:rFonts w:ascii="Arial" w:cs="Arial" w:eastAsia="Arial" w:hAnsi="Arial"/>
                <w:sz w:val="17"/>
                <w:szCs w:val="17"/>
                <w:color w:val="auto"/>
              </w:rPr>
              <w:t>Total diabetes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6,856.4</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2,344.9</w:t>
            </w:r>
          </w:p>
        </w:tc>
        <w:tc>
          <w:tcPr>
            <w:tcW w:w="26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9,201.3</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4,568.7</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2,257.6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6,826.3</w:t>
            </w:r>
          </w:p>
        </w:tc>
      </w:tr>
      <w:tr>
        <w:trPr>
          <w:trHeight w:val="207"/>
        </w:trPr>
        <w:tc>
          <w:tcPr>
            <w:tcW w:w="3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9"/>
        </w:trPr>
        <w:tc>
          <w:tcPr>
            <w:tcW w:w="3920" w:type="dxa"/>
            <w:vAlign w:val="bottom"/>
          </w:tcPr>
          <w:p>
            <w:pPr>
              <w:ind w:left="120"/>
              <w:spacing w:after="0"/>
              <w:rPr>
                <w:sz w:val="20"/>
                <w:szCs w:val="20"/>
                <w:color w:val="auto"/>
              </w:rPr>
            </w:pPr>
            <w:r>
              <w:rPr>
                <w:rFonts w:ascii="Arial" w:cs="Arial" w:eastAsia="Arial" w:hAnsi="Arial"/>
                <w:sz w:val="17"/>
                <w:szCs w:val="17"/>
                <w:color w:val="auto"/>
              </w:rPr>
              <w:t>Oncology:</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392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Verzenio</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1,049.6</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628.0</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1,677.7</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685.7</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1,057.9</w:t>
            </w:r>
          </w:p>
        </w:tc>
      </w:tr>
      <w:tr>
        <w:trPr>
          <w:trHeight w:val="232"/>
        </w:trPr>
        <w:tc>
          <w:tcPr>
            <w:tcW w:w="3920" w:type="dxa"/>
            <w:vAlign w:val="bottom"/>
          </w:tcPr>
          <w:p>
            <w:pPr>
              <w:ind w:left="540"/>
              <w:spacing w:after="0"/>
              <w:rPr>
                <w:sz w:val="20"/>
                <w:szCs w:val="20"/>
                <w:color w:val="auto"/>
              </w:rPr>
            </w:pPr>
            <w:r>
              <w:rPr>
                <w:rFonts w:ascii="Arial" w:cs="Arial" w:eastAsia="Arial" w:hAnsi="Arial"/>
                <w:sz w:val="17"/>
                <w:szCs w:val="17"/>
                <w:i w:val="1"/>
                <w:iCs w:val="1"/>
                <w:color w:val="auto"/>
              </w:rPr>
              <w:t>Cyramza</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215.6</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281.4</w:t>
            </w:r>
          </w:p>
        </w:tc>
        <w:tc>
          <w:tcPr>
            <w:tcW w:w="2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497.0</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171.8</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289.7</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461.5</w:t>
            </w:r>
          </w:p>
        </w:tc>
      </w:tr>
      <w:tr>
        <w:trPr>
          <w:trHeight w:val="219"/>
        </w:trPr>
        <w:tc>
          <w:tcPr>
            <w:tcW w:w="392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Erbitux</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264.2</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28.1</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292.4</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234.7</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263.4</w:t>
            </w:r>
          </w:p>
        </w:tc>
      </w:tr>
      <w:tr>
        <w:trPr>
          <w:trHeight w:val="219"/>
        </w:trPr>
        <w:tc>
          <w:tcPr>
            <w:tcW w:w="3920" w:type="dxa"/>
            <w:vAlign w:val="bottom"/>
          </w:tcPr>
          <w:p>
            <w:pPr>
              <w:ind w:left="540"/>
              <w:spacing w:after="0"/>
              <w:rPr>
                <w:sz w:val="20"/>
                <w:szCs w:val="20"/>
                <w:color w:val="auto"/>
              </w:rPr>
            </w:pPr>
            <w:r>
              <w:rPr>
                <w:rFonts w:ascii="Arial" w:cs="Arial" w:eastAsia="Arial" w:hAnsi="Arial"/>
                <w:sz w:val="17"/>
                <w:szCs w:val="17"/>
                <w:i w:val="1"/>
                <w:iCs w:val="1"/>
                <w:color w:val="auto"/>
              </w:rPr>
              <w:t>Alimta</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38.0</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81.2</w:t>
            </w:r>
          </w:p>
        </w:tc>
        <w:tc>
          <w:tcPr>
            <w:tcW w:w="26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119.1</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425.9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145.8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571.7</w:t>
            </w:r>
          </w:p>
        </w:tc>
      </w:tr>
      <w:tr>
        <w:trPr>
          <w:trHeight w:val="232"/>
        </w:trPr>
        <w:tc>
          <w:tcPr>
            <w:tcW w:w="392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Other oncology</w:t>
            </w: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121.0</w:t>
            </w: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319.9</w:t>
            </w: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440.8</w:t>
            </w:r>
          </w:p>
        </w:tc>
        <w:tc>
          <w:tcPr>
            <w:tcW w:w="3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84.6</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282.7</w:t>
            </w: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367.2</w:t>
            </w:r>
          </w:p>
        </w:tc>
      </w:tr>
      <w:tr>
        <w:trPr>
          <w:trHeight w:val="212"/>
        </w:trPr>
        <w:tc>
          <w:tcPr>
            <w:tcW w:w="3920" w:type="dxa"/>
            <w:vAlign w:val="bottom"/>
          </w:tcPr>
          <w:p>
            <w:pPr>
              <w:ind w:left="340"/>
              <w:spacing w:after="0"/>
              <w:rPr>
                <w:sz w:val="20"/>
                <w:szCs w:val="20"/>
                <w:color w:val="auto"/>
              </w:rPr>
            </w:pPr>
            <w:r>
              <w:rPr>
                <w:rFonts w:ascii="Arial" w:cs="Arial" w:eastAsia="Arial" w:hAnsi="Arial"/>
                <w:sz w:val="17"/>
                <w:szCs w:val="17"/>
                <w:color w:val="auto"/>
              </w:rPr>
              <w:t>Total oncology</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1,688.4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1,338.6</w:t>
            </w:r>
          </w:p>
        </w:tc>
        <w:tc>
          <w:tcPr>
            <w:tcW w:w="26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3,027.0</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1,602.7</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1,119.0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2,721.7</w:t>
            </w:r>
          </w:p>
        </w:tc>
      </w:tr>
      <w:tr>
        <w:trPr>
          <w:trHeight w:val="207"/>
        </w:trPr>
        <w:tc>
          <w:tcPr>
            <w:tcW w:w="3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9"/>
        </w:trPr>
        <w:tc>
          <w:tcPr>
            <w:tcW w:w="3920" w:type="dxa"/>
            <w:vAlign w:val="bottom"/>
          </w:tcPr>
          <w:p>
            <w:pPr>
              <w:ind w:left="120"/>
              <w:spacing w:after="0"/>
              <w:rPr>
                <w:sz w:val="20"/>
                <w:szCs w:val="20"/>
                <w:color w:val="auto"/>
              </w:rPr>
            </w:pPr>
            <w:r>
              <w:rPr>
                <w:rFonts w:ascii="Arial" w:cs="Arial" w:eastAsia="Arial" w:hAnsi="Arial"/>
                <w:sz w:val="17"/>
                <w:szCs w:val="17"/>
                <w:color w:val="auto"/>
              </w:rPr>
              <w:t>Immunology:</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3"/>
        </w:trPr>
        <w:tc>
          <w:tcPr>
            <w:tcW w:w="392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Taltz</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784.5</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446.3</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1,230.8</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718.8</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375.5</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1,094.3</w:t>
            </w:r>
          </w:p>
        </w:tc>
      </w:tr>
      <w:tr>
        <w:trPr>
          <w:trHeight w:val="219"/>
        </w:trPr>
        <w:tc>
          <w:tcPr>
            <w:tcW w:w="3920" w:type="dxa"/>
            <w:vAlign w:val="bottom"/>
          </w:tcPr>
          <w:p>
            <w:pPr>
              <w:ind w:left="540"/>
              <w:spacing w:after="0" w:line="220" w:lineRule="exact"/>
              <w:rPr>
                <w:sz w:val="20"/>
                <w:szCs w:val="20"/>
                <w:color w:val="auto"/>
              </w:rPr>
            </w:pPr>
            <w:r>
              <w:rPr>
                <w:rFonts w:ascii="Arial" w:cs="Arial" w:eastAsia="Arial" w:hAnsi="Arial"/>
                <w:sz w:val="17"/>
                <w:szCs w:val="17"/>
                <w:i w:val="1"/>
                <w:iCs w:val="1"/>
                <w:color w:val="auto"/>
              </w:rPr>
              <w:t>Olumiant</w:t>
            </w:r>
            <w:r>
              <w:rPr>
                <w:rFonts w:ascii="Arial" w:cs="Arial" w:eastAsia="Arial" w:hAnsi="Arial"/>
                <w:sz w:val="22"/>
                <w:szCs w:val="22"/>
                <w:color w:val="auto"/>
                <w:vertAlign w:val="superscript"/>
              </w:rPr>
              <w:t>(4)</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93.1</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354.6</w:t>
            </w:r>
          </w:p>
        </w:tc>
        <w:tc>
          <w:tcPr>
            <w:tcW w:w="26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447.8</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81.7</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360.1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441.8</w:t>
            </w:r>
          </w:p>
        </w:tc>
      </w:tr>
      <w:tr>
        <w:trPr>
          <w:trHeight w:val="219"/>
        </w:trPr>
        <w:tc>
          <w:tcPr>
            <w:tcW w:w="39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7"/>
                <w:szCs w:val="17"/>
                <w:i w:val="1"/>
                <w:iCs w:val="1"/>
                <w:color w:val="auto"/>
              </w:rPr>
              <w:t>Other immunology</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27.7</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27.7</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25"/>
        </w:trPr>
        <w:tc>
          <w:tcPr>
            <w:tcW w:w="3920" w:type="dxa"/>
            <w:vAlign w:val="bottom"/>
          </w:tcPr>
          <w:p>
            <w:pPr>
              <w:ind w:left="340"/>
              <w:spacing w:after="0"/>
              <w:rPr>
                <w:sz w:val="20"/>
                <w:szCs w:val="20"/>
                <w:color w:val="auto"/>
              </w:rPr>
            </w:pPr>
            <w:r>
              <w:rPr>
                <w:rFonts w:ascii="Arial" w:cs="Arial" w:eastAsia="Arial" w:hAnsi="Arial"/>
                <w:sz w:val="17"/>
                <w:szCs w:val="17"/>
                <w:color w:val="auto"/>
              </w:rPr>
              <w:t>Total immunology</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877.6</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828.6</w:t>
            </w:r>
          </w:p>
        </w:tc>
        <w:tc>
          <w:tcPr>
            <w:tcW w:w="26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1,706.3</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800.5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744.1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1,544.6</w:t>
            </w:r>
          </w:p>
        </w:tc>
      </w:tr>
      <w:tr>
        <w:trPr>
          <w:trHeight w:val="207"/>
        </w:trPr>
        <w:tc>
          <w:tcPr>
            <w:tcW w:w="3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9"/>
        </w:trPr>
        <w:tc>
          <w:tcPr>
            <w:tcW w:w="3920" w:type="dxa"/>
            <w:vAlign w:val="bottom"/>
          </w:tcPr>
          <w:p>
            <w:pPr>
              <w:ind w:left="120"/>
              <w:spacing w:after="0"/>
              <w:rPr>
                <w:sz w:val="20"/>
                <w:szCs w:val="20"/>
                <w:color w:val="auto"/>
              </w:rPr>
            </w:pPr>
            <w:r>
              <w:rPr>
                <w:rFonts w:ascii="Arial" w:cs="Arial" w:eastAsia="Arial" w:hAnsi="Arial"/>
                <w:sz w:val="17"/>
                <w:szCs w:val="17"/>
                <w:color w:val="auto"/>
              </w:rPr>
              <w:t>Neuroscience:</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392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Emgality</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227.5</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96.1</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323.6</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216.9</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306.7</w:t>
            </w:r>
          </w:p>
        </w:tc>
      </w:tr>
      <w:tr>
        <w:trPr>
          <w:trHeight w:val="232"/>
        </w:trPr>
        <w:tc>
          <w:tcPr>
            <w:tcW w:w="3920" w:type="dxa"/>
            <w:vAlign w:val="bottom"/>
            <w:tcBorders>
              <w:bottom w:val="single" w:sz="8" w:color="CCEEFF"/>
            </w:tcBorders>
          </w:tcPr>
          <w:p>
            <w:pPr>
              <w:ind w:left="540"/>
              <w:spacing w:after="0"/>
              <w:rPr>
                <w:sz w:val="20"/>
                <w:szCs w:val="20"/>
                <w:color w:val="auto"/>
              </w:rPr>
            </w:pPr>
            <w:r>
              <w:rPr>
                <w:rFonts w:ascii="Arial" w:cs="Arial" w:eastAsia="Arial" w:hAnsi="Arial"/>
                <w:sz w:val="17"/>
                <w:szCs w:val="17"/>
                <w:i w:val="1"/>
                <w:iCs w:val="1"/>
                <w:color w:val="auto"/>
              </w:rPr>
              <w:t>Other neuroscience</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77.9</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346.2</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424.1</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81.2</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399.7</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481.0</w:t>
            </w:r>
          </w:p>
        </w:tc>
      </w:tr>
      <w:tr>
        <w:trPr>
          <w:trHeight w:val="212"/>
        </w:trPr>
        <w:tc>
          <w:tcPr>
            <w:tcW w:w="3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neuroscience</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305.4</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442.3</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747.7</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298.1</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489.5</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787.7</w:t>
            </w:r>
          </w:p>
        </w:tc>
      </w:tr>
      <w:tr>
        <w:trPr>
          <w:trHeight w:val="207"/>
        </w:trPr>
        <w:tc>
          <w:tcPr>
            <w:tcW w:w="3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39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2"/>
        </w:trPr>
        <w:tc>
          <w:tcPr>
            <w:tcW w:w="3920" w:type="dxa"/>
            <w:vAlign w:val="bottom"/>
          </w:tcPr>
          <w:p>
            <w:pPr>
              <w:ind w:left="540"/>
              <w:spacing w:after="0"/>
              <w:rPr>
                <w:sz w:val="20"/>
                <w:szCs w:val="20"/>
                <w:color w:val="auto"/>
              </w:rPr>
            </w:pPr>
            <w:r>
              <w:rPr>
                <w:rFonts w:ascii="Arial" w:cs="Arial" w:eastAsia="Arial" w:hAnsi="Arial"/>
                <w:sz w:val="17"/>
                <w:szCs w:val="17"/>
                <w:i w:val="1"/>
                <w:iCs w:val="1"/>
                <w:color w:val="auto"/>
              </w:rPr>
              <w:t>Forteo</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168.0</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102.3</w:t>
            </w:r>
          </w:p>
        </w:tc>
        <w:tc>
          <w:tcPr>
            <w:tcW w:w="2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270.3</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148.7</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127.2</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275.9</w:t>
            </w:r>
          </w:p>
        </w:tc>
      </w:tr>
      <w:tr>
        <w:trPr>
          <w:trHeight w:val="219"/>
        </w:trPr>
        <w:tc>
          <w:tcPr>
            <w:tcW w:w="392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Cialis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16.8</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199.1</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215.9</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364.7</w:t>
            </w:r>
          </w:p>
        </w:tc>
      </w:tr>
      <w:tr>
        <w:trPr>
          <w:trHeight w:val="219"/>
        </w:trPr>
        <w:tc>
          <w:tcPr>
            <w:tcW w:w="3920" w:type="dxa"/>
            <w:vAlign w:val="bottom"/>
          </w:tcPr>
          <w:p>
            <w:pPr>
              <w:ind w:left="540"/>
              <w:spacing w:after="0" w:line="220" w:lineRule="exact"/>
              <w:rPr>
                <w:sz w:val="20"/>
                <w:szCs w:val="20"/>
                <w:color w:val="auto"/>
              </w:rPr>
            </w:pPr>
            <w:r>
              <w:rPr>
                <w:rFonts w:ascii="Arial" w:cs="Arial" w:eastAsia="Arial" w:hAnsi="Arial"/>
                <w:sz w:val="17"/>
                <w:szCs w:val="17"/>
                <w:i w:val="1"/>
                <w:iCs w:val="1"/>
                <w:color w:val="auto"/>
              </w:rPr>
              <w:t>COVID-19 antibodies</w:t>
            </w:r>
            <w:r>
              <w:rPr>
                <w:rFonts w:ascii="Arial" w:cs="Arial" w:eastAsia="Arial" w:hAnsi="Arial"/>
                <w:sz w:val="22"/>
                <w:szCs w:val="22"/>
                <w:color w:val="auto"/>
                <w:vertAlign w:val="superscript"/>
              </w:rPr>
              <w:t>(5)</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1,584.3</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1,598.9</w:t>
            </w:r>
          </w:p>
        </w:tc>
      </w:tr>
      <w:tr>
        <w:trPr>
          <w:trHeight w:val="232"/>
        </w:trPr>
        <w:tc>
          <w:tcPr>
            <w:tcW w:w="3920" w:type="dxa"/>
            <w:vAlign w:val="bottom"/>
            <w:shd w:val="clear" w:color="auto" w:fill="CCEEFF"/>
          </w:tcPr>
          <w:p>
            <w:pPr>
              <w:ind w:left="540"/>
              <w:spacing w:after="0"/>
              <w:rPr>
                <w:sz w:val="20"/>
                <w:szCs w:val="20"/>
                <w:color w:val="auto"/>
              </w:rPr>
            </w:pPr>
            <w:r>
              <w:rPr>
                <w:rFonts w:ascii="Arial" w:cs="Arial" w:eastAsia="Arial" w:hAnsi="Arial"/>
                <w:sz w:val="17"/>
                <w:szCs w:val="17"/>
                <w:i w:val="1"/>
                <w:iCs w:val="1"/>
                <w:color w:val="auto"/>
              </w:rPr>
              <w:t>Other</w:t>
            </w: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55.0</w:t>
            </w: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48.7</w:t>
            </w: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103.7</w:t>
            </w:r>
          </w:p>
        </w:tc>
        <w:tc>
          <w:tcPr>
            <w:tcW w:w="3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88.5</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89.6</w:t>
            </w: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178.2</w:t>
            </w:r>
          </w:p>
        </w:tc>
      </w:tr>
      <w:tr>
        <w:trPr>
          <w:trHeight w:val="212"/>
        </w:trPr>
        <w:tc>
          <w:tcPr>
            <w:tcW w:w="39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other</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239.8</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350.1</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589.9</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1,839.2</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2,417.7</w:t>
            </w:r>
          </w:p>
        </w:tc>
      </w:tr>
      <w:tr>
        <w:trPr>
          <w:trHeight w:val="218"/>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9,967.6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5,304.6</w:t>
            </w:r>
          </w:p>
        </w:tc>
        <w:tc>
          <w:tcPr>
            <w:tcW w:w="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15,272.1</w:t>
            </w:r>
          </w:p>
        </w:tc>
        <w:tc>
          <w:tcPr>
            <w:tcW w:w="3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5,188.7</w:t>
            </w:r>
          </w:p>
        </w:tc>
        <w:tc>
          <w:tcPr>
            <w:tcW w:w="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14,298.0</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ind w:left="140" w:hanging="137"/>
        <w:spacing w:after="0" w:line="236" w:lineRule="auto"/>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 Synjardy, and Trijardy XR.</w:t>
      </w:r>
    </w:p>
    <w:p>
      <w:pPr>
        <w:spacing w:after="0" w:line="3" w:lineRule="exact"/>
        <w:rPr>
          <w:rFonts w:ascii="Arial" w:cs="Arial" w:eastAsia="Arial" w:hAnsi="Arial"/>
          <w:sz w:val="16"/>
          <w:szCs w:val="16"/>
          <w:color w:val="auto"/>
          <w:vertAlign w:val="superscript"/>
        </w:rPr>
      </w:pPr>
    </w:p>
    <w:p>
      <w:pPr>
        <w:ind w:left="140" w:hanging="137"/>
        <w:spacing w:after="0" w:line="202" w:lineRule="auto"/>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ind w:left="160" w:hanging="157"/>
        <w:spacing w:after="0"/>
        <w:tabs>
          <w:tab w:leader="none" w:pos="160" w:val="left"/>
        </w:tabs>
        <w:numPr>
          <w:ilvl w:val="0"/>
          <w:numId w:val="6"/>
        </w:numPr>
        <w:rPr>
          <w:rFonts w:ascii="Arial" w:cs="Arial" w:eastAsia="Arial" w:hAnsi="Arial"/>
          <w:sz w:val="9"/>
          <w:szCs w:val="9"/>
          <w:color w:val="auto"/>
        </w:rPr>
      </w:pPr>
      <w:r>
        <w:rPr>
          <w:rFonts w:ascii="Arial" w:cs="Arial" w:eastAsia="Arial" w:hAnsi="Arial"/>
          <w:sz w:val="14"/>
          <w:szCs w:val="14"/>
          <w:color w:val="auto"/>
        </w:rPr>
        <w:t>Basaglar revenue includes Rezvoglar.</w:t>
      </w:r>
    </w:p>
    <w:p>
      <w:pPr>
        <w:spacing w:after="0" w:line="3" w:lineRule="exact"/>
        <w:rPr>
          <w:rFonts w:ascii="Arial" w:cs="Arial" w:eastAsia="Arial" w:hAnsi="Arial"/>
          <w:sz w:val="9"/>
          <w:szCs w:val="9"/>
          <w:color w:val="auto"/>
        </w:rPr>
      </w:pPr>
    </w:p>
    <w:p>
      <w:pPr>
        <w:ind w:left="140" w:hanging="137"/>
        <w:spacing w:after="0" w:line="218" w:lineRule="auto"/>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Olumiant revenue includes sales for baricitinib that were made pursuant to EUA or similar regulatory authorizations.</w:t>
      </w:r>
    </w:p>
    <w:p>
      <w:pPr>
        <w:spacing w:after="0" w:line="3" w:lineRule="exact"/>
        <w:rPr>
          <w:rFonts w:ascii="Arial" w:cs="Arial" w:eastAsia="Arial" w:hAnsi="Arial"/>
          <w:sz w:val="16"/>
          <w:szCs w:val="16"/>
          <w:color w:val="auto"/>
          <w:vertAlign w:val="superscript"/>
        </w:rPr>
      </w:pPr>
    </w:p>
    <w:p>
      <w:pPr>
        <w:ind w:left="160" w:right="120" w:hanging="157"/>
        <w:spacing w:after="0" w:line="257" w:lineRule="auto"/>
        <w:tabs>
          <w:tab w:leader="none" w:pos="139"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COVID-19 antibodies include sales for bamlanivimab administered alone, for bamlanivimab and etesevimab administered together, and for bebtelovimab and were made pursuant to EUAs or similar regulatory authorizations.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The following table summarizes revenue by geographical area: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Six Months Ended June 30,</w:t>
            </w:r>
          </w:p>
        </w:tc>
      </w:tr>
      <w:tr>
        <w:trPr>
          <w:trHeight w:val="174"/>
        </w:trPr>
        <w:tc>
          <w:tcPr>
            <w:tcW w:w="48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225"/>
        </w:trPr>
        <w:tc>
          <w:tcPr>
            <w:tcW w:w="4840" w:type="dxa"/>
            <w:vAlign w:val="bottom"/>
            <w:shd w:val="clear" w:color="auto" w:fill="CCEEFF"/>
          </w:tcPr>
          <w:p>
            <w:pPr>
              <w:ind w:left="20"/>
              <w:spacing w:after="0" w:line="225" w:lineRule="exact"/>
              <w:rPr>
                <w:sz w:val="20"/>
                <w:szCs w:val="20"/>
                <w:color w:val="auto"/>
              </w:rPr>
            </w:pPr>
            <w:r>
              <w:rPr>
                <w:rFonts w:ascii="Arial" w:cs="Arial" w:eastAsia="Arial" w:hAnsi="Arial"/>
                <w:sz w:val="17"/>
                <w:szCs w:val="17"/>
                <w:color w:val="auto"/>
              </w:rPr>
              <w:t>Revenue</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4840" w:type="dxa"/>
            <w:vAlign w:val="bottom"/>
          </w:tcPr>
          <w:p>
            <w:pPr>
              <w:ind w:left="140"/>
              <w:spacing w:after="0"/>
              <w:rPr>
                <w:sz w:val="20"/>
                <w:szCs w:val="20"/>
                <w:color w:val="auto"/>
              </w:rPr>
            </w:pPr>
            <w:r>
              <w:rPr>
                <w:rFonts w:ascii="Arial" w:cs="Arial" w:eastAsia="Arial" w:hAnsi="Arial"/>
                <w:sz w:val="17"/>
                <w:szCs w:val="17"/>
                <w:color w:val="auto"/>
              </w:rPr>
              <w:t>U.S.</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38"/>
              <w:spacing w:after="0"/>
              <w:rPr>
                <w:sz w:val="20"/>
                <w:szCs w:val="20"/>
                <w:color w:val="auto"/>
              </w:rPr>
            </w:pPr>
            <w:r>
              <w:rPr>
                <w:rFonts w:ascii="Arial" w:cs="Arial" w:eastAsia="Arial" w:hAnsi="Arial"/>
                <w:sz w:val="17"/>
                <w:szCs w:val="17"/>
                <w:b w:val="1"/>
                <w:bCs w:val="1"/>
                <w:color w:val="auto"/>
              </w:rPr>
              <w:t>5,531.4</w:t>
            </w:r>
          </w:p>
        </w:tc>
        <w:tc>
          <w:tcPr>
            <w:tcW w:w="44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6"/>
              <w:spacing w:after="0"/>
              <w:rPr>
                <w:sz w:val="20"/>
                <w:szCs w:val="20"/>
                <w:color w:val="auto"/>
              </w:rPr>
            </w:pPr>
            <w:r>
              <w:rPr>
                <w:rFonts w:ascii="Arial" w:cs="Arial" w:eastAsia="Arial" w:hAnsi="Arial"/>
                <w:sz w:val="17"/>
                <w:szCs w:val="17"/>
                <w:color w:val="auto"/>
              </w:rPr>
              <w:t>3,934.8</w:t>
            </w:r>
          </w:p>
        </w:tc>
        <w:tc>
          <w:tcPr>
            <w:tcW w:w="44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8"/>
              <w:spacing w:after="0"/>
              <w:rPr>
                <w:sz w:val="20"/>
                <w:szCs w:val="20"/>
                <w:color w:val="auto"/>
              </w:rPr>
            </w:pPr>
            <w:r>
              <w:rPr>
                <w:rFonts w:ascii="Arial" w:cs="Arial" w:eastAsia="Arial" w:hAnsi="Arial"/>
                <w:sz w:val="17"/>
                <w:szCs w:val="17"/>
                <w:b w:val="1"/>
                <w:bCs w:val="1"/>
                <w:color w:val="auto"/>
              </w:rPr>
              <w:t>9,967.6</w:t>
            </w:r>
          </w:p>
        </w:tc>
        <w:tc>
          <w:tcPr>
            <w:tcW w:w="4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9,109.4</w:t>
            </w:r>
          </w:p>
        </w:tc>
      </w:tr>
      <w:tr>
        <w:trPr>
          <w:trHeight w:val="219"/>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Europe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1,177.6</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1,101.1</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2,268.5</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2,168.4</w:t>
            </w:r>
          </w:p>
        </w:tc>
      </w:tr>
      <w:tr>
        <w:trPr>
          <w:trHeight w:val="232"/>
        </w:trPr>
        <w:tc>
          <w:tcPr>
            <w:tcW w:w="4840" w:type="dxa"/>
            <w:vAlign w:val="bottom"/>
          </w:tcPr>
          <w:p>
            <w:pPr>
              <w:ind w:left="140"/>
              <w:spacing w:after="0"/>
              <w:rPr>
                <w:sz w:val="20"/>
                <w:szCs w:val="20"/>
                <w:color w:val="auto"/>
              </w:rPr>
            </w:pPr>
            <w:r>
              <w:rPr>
                <w:rFonts w:ascii="Arial" w:cs="Arial" w:eastAsia="Arial" w:hAnsi="Arial"/>
                <w:sz w:val="17"/>
                <w:szCs w:val="17"/>
                <w:color w:val="auto"/>
              </w:rPr>
              <w:t>Japan</w:t>
            </w:r>
          </w:p>
        </w:tc>
        <w:tc>
          <w:tcPr>
            <w:tcW w:w="360" w:type="dxa"/>
            <w:vAlign w:val="bottom"/>
          </w:tcPr>
          <w:p>
            <w:pPr>
              <w:spacing w:after="0"/>
              <w:rPr>
                <w:sz w:val="20"/>
                <w:szCs w:val="20"/>
                <w:color w:val="auto"/>
              </w:rPr>
            </w:pPr>
          </w:p>
        </w:tc>
        <w:tc>
          <w:tcPr>
            <w:tcW w:w="1180" w:type="dxa"/>
            <w:vAlign w:val="bottom"/>
          </w:tcPr>
          <w:p>
            <w:pPr>
              <w:jc w:val="right"/>
              <w:ind w:right="38"/>
              <w:spacing w:after="0"/>
              <w:rPr>
                <w:sz w:val="20"/>
                <w:szCs w:val="20"/>
                <w:color w:val="auto"/>
              </w:rPr>
            </w:pPr>
            <w:r>
              <w:rPr>
                <w:rFonts w:ascii="Arial" w:cs="Arial" w:eastAsia="Arial" w:hAnsi="Arial"/>
                <w:sz w:val="17"/>
                <w:szCs w:val="17"/>
                <w:b w:val="1"/>
                <w:bCs w:val="1"/>
                <w:color w:val="auto"/>
              </w:rPr>
              <w:t>455.6</w:t>
            </w:r>
          </w:p>
        </w:tc>
        <w:tc>
          <w:tcPr>
            <w:tcW w:w="440" w:type="dxa"/>
            <w:vAlign w:val="bottom"/>
          </w:tcPr>
          <w:p>
            <w:pPr>
              <w:spacing w:after="0"/>
              <w:rPr>
                <w:sz w:val="20"/>
                <w:szCs w:val="20"/>
                <w:color w:val="auto"/>
              </w:rPr>
            </w:pPr>
          </w:p>
        </w:tc>
        <w:tc>
          <w:tcPr>
            <w:tcW w:w="1200" w:type="dxa"/>
            <w:vAlign w:val="bottom"/>
          </w:tcPr>
          <w:p>
            <w:pPr>
              <w:jc w:val="right"/>
              <w:ind w:right="36"/>
              <w:spacing w:after="0"/>
              <w:rPr>
                <w:sz w:val="20"/>
                <w:szCs w:val="20"/>
                <w:color w:val="auto"/>
              </w:rPr>
            </w:pPr>
            <w:r>
              <w:rPr>
                <w:rFonts w:ascii="Arial" w:cs="Arial" w:eastAsia="Arial" w:hAnsi="Arial"/>
                <w:sz w:val="17"/>
                <w:szCs w:val="17"/>
                <w:color w:val="auto"/>
              </w:rPr>
              <w:t>454.4</w:t>
            </w:r>
          </w:p>
        </w:tc>
        <w:tc>
          <w:tcPr>
            <w:tcW w:w="440" w:type="dxa"/>
            <w:vAlign w:val="bottom"/>
          </w:tcPr>
          <w:p>
            <w:pPr>
              <w:spacing w:after="0"/>
              <w:rPr>
                <w:sz w:val="20"/>
                <w:szCs w:val="20"/>
                <w:color w:val="auto"/>
              </w:rPr>
            </w:pPr>
          </w:p>
        </w:tc>
        <w:tc>
          <w:tcPr>
            <w:tcW w:w="1180" w:type="dxa"/>
            <w:vAlign w:val="bottom"/>
          </w:tcPr>
          <w:p>
            <w:pPr>
              <w:jc w:val="right"/>
              <w:ind w:right="18"/>
              <w:spacing w:after="0"/>
              <w:rPr>
                <w:sz w:val="20"/>
                <w:szCs w:val="20"/>
                <w:color w:val="auto"/>
              </w:rPr>
            </w:pPr>
            <w:r>
              <w:rPr>
                <w:rFonts w:ascii="Arial" w:cs="Arial" w:eastAsia="Arial" w:hAnsi="Arial"/>
                <w:sz w:val="17"/>
                <w:szCs w:val="17"/>
                <w:b w:val="1"/>
                <w:bCs w:val="1"/>
                <w:color w:val="auto"/>
              </w:rPr>
              <w:t>842.8</w:t>
            </w: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864.6</w:t>
            </w:r>
          </w:p>
        </w:tc>
      </w:tr>
      <w:tr>
        <w:trPr>
          <w:trHeight w:val="219"/>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China</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399.0</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352.1</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771.7</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758.5</w:t>
            </w:r>
          </w:p>
        </w:tc>
      </w:tr>
      <w:tr>
        <w:trPr>
          <w:trHeight w:val="219"/>
        </w:trPr>
        <w:tc>
          <w:tcPr>
            <w:tcW w:w="4840" w:type="dxa"/>
            <w:vAlign w:val="bottom"/>
          </w:tcPr>
          <w:p>
            <w:pPr>
              <w:ind w:left="140"/>
              <w:spacing w:after="0"/>
              <w:rPr>
                <w:sz w:val="20"/>
                <w:szCs w:val="20"/>
                <w:color w:val="auto"/>
              </w:rPr>
            </w:pPr>
            <w:r>
              <w:rPr>
                <w:rFonts w:ascii="Arial" w:cs="Arial" w:eastAsia="Arial" w:hAnsi="Arial"/>
                <w:sz w:val="17"/>
                <w:szCs w:val="17"/>
                <w:color w:val="auto"/>
              </w:rPr>
              <w:t>Other foreign countries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b w:val="1"/>
                <w:bCs w:val="1"/>
                <w:color w:val="auto"/>
              </w:rPr>
              <w:t>748.5</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645.7</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b w:val="1"/>
                <w:bCs w:val="1"/>
                <w:color w:val="auto"/>
              </w:rPr>
              <w:t>1,421.5</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1,397.2</w:t>
            </w:r>
          </w:p>
        </w:tc>
      </w:tr>
      <w:tr>
        <w:trPr>
          <w:trHeight w:val="231"/>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8,312.1</w:t>
            </w:r>
          </w:p>
        </w:tc>
        <w:tc>
          <w:tcPr>
            <w:tcW w:w="4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6,488.0</w:t>
            </w:r>
          </w:p>
        </w:tc>
        <w:tc>
          <w:tcPr>
            <w:tcW w:w="4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15,272.1</w:t>
            </w:r>
          </w:p>
        </w:tc>
        <w:tc>
          <w:tcPr>
            <w:tcW w:w="4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14,298.0</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ind w:left="140" w:hanging="137"/>
        <w:spacing w:after="0" w:line="236"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Revenue is attributed to the countries based on the location of the customer or other party.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Acquisitions</w:t>
      </w:r>
    </w:p>
    <w:p>
      <w:pPr>
        <w:spacing w:after="0" w:line="12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We engage in various forms of business development activities to enhance our product pipeline, including acquisitions, collaborations, investments, and licensing arrangements. In connection with these arrangements, our partners may be entitled to future royalties and/or commercial milestones based on sales should products be approved for commercialization and/or milestones based on the successful progress of compounds through the development process.</w:t>
      </w:r>
    </w:p>
    <w:p>
      <w:pPr>
        <w:spacing w:after="0" w:line="76"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In December 2022, we completed the acquisition of Akouos, Inc. (Akouos). This transaction, as further discussed below in Acquisition of a Business, was accounted for as a business combination under the acquisition method of accounting. Under this method, the assets acquired and liabilities assumed were recorded at their respective fair values as of the acquisition date in our consolidated condensed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this acquisition is included in our consolidated condensed financial statements from the date of acquisition.</w:t>
      </w:r>
    </w:p>
    <w:p>
      <w:pPr>
        <w:spacing w:after="0" w:line="81"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We also acquired assets in development which are further discussed below in Asset Acquisitions. Upon each acquisition, the cost allocated to acquired IPR&amp;D was immediately expensed if the compound has no alternative future use. Milestone payment obligations incurred prior to regulatory approval of the compound are expensed as acquired IPR&amp;D when the event triggering an obligation to pay the milestone occurs. We recognized acquired IPR&amp;D charges of $97.1 million and $202.1 million for the three and six months ended June 30, 2023, respectively, and $440.4 million and $606.0 million for the three and six months ended June 30, 2022,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a Business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Akouos Acquisition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 of Transaction</w:t>
      </w:r>
    </w:p>
    <w:p>
      <w:pPr>
        <w:spacing w:after="0" w:line="120"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 December 2022, we acquired all shares of Akouos for a purchase price that included $12.50 per share in cash (or an aggregate of $327.2 million, net of cash acquired) plus one non-tradable contingent value right (CVR) per share. The CVR entitles the Akouos shareholders up to an additional $3.00 per share in cash (or an aggregate of approximately $122 million) payable, subject to certain terms and conditions, upon the achievement of certain specified milestones.</w:t>
      </w:r>
    </w:p>
    <w:p>
      <w:pPr>
        <w:spacing w:after="0" w:line="76"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Under the terms of the agreement, we acquired potential gene therapy treatments for hearing loss and other inner ear conditions. The lead gene therapies in clinical development that we acquired included GJB2 (which encodes connexin 26) for a common form of monogenic deafness and hearing loss; AK-OTOF for hearing loss due to mutations in the otoferlin gene; AK-CLRN1 for Usher Type 3A, an autosomal recessive disorder characterized by progressive loss of both hearing and vision; and AK-antiVEGF for vestibular schwannoma.</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i w:val="1"/>
          <w:iCs w:val="1"/>
          <w:color w:val="auto"/>
        </w:rPr>
        <w:t>Assets Acquired and Liabilities Assumed</w:t>
      </w:r>
    </w:p>
    <w:p>
      <w:pPr>
        <w:spacing w:after="0" w:line="120" w:lineRule="exact"/>
        <w:rPr>
          <w:sz w:val="20"/>
          <w:szCs w:val="20"/>
          <w:color w:val="auto"/>
        </w:rPr>
      </w:pPr>
    </w:p>
    <w:p>
      <w:pPr>
        <w:jc w:val="both"/>
        <w:ind w:right="220"/>
        <w:spacing w:after="0" w:line="258" w:lineRule="auto"/>
        <w:rPr>
          <w:sz w:val="20"/>
          <w:szCs w:val="20"/>
          <w:color w:val="auto"/>
        </w:rPr>
      </w:pPr>
      <w:r>
        <w:rPr>
          <w:rFonts w:ascii="Arial" w:cs="Arial" w:eastAsia="Arial" w:hAnsi="Arial"/>
          <w:sz w:val="17"/>
          <w:szCs w:val="17"/>
          <w:color w:val="auto"/>
        </w:rPr>
        <w:t>Our access to Akouos information was limited prior to the acquisition. As a consequence, we are in the process of determining fair values and tax bases of a significant portion of the assets acquired and liabilities assumed, including the identification and valuation of intangible assets and tax exposures. The final determination of these amounts will be completed as soon as possible but no later than one year from the acquisition date.</w:t>
      </w:r>
    </w:p>
    <w:p>
      <w:pPr>
        <w:jc w:val="both"/>
        <w:ind w:right="240"/>
        <w:spacing w:after="0" w:line="267" w:lineRule="auto"/>
        <w:rPr>
          <w:sz w:val="20"/>
          <w:szCs w:val="20"/>
          <w:color w:val="auto"/>
        </w:rPr>
      </w:pPr>
      <w:r>
        <w:rPr>
          <w:rFonts w:ascii="Arial" w:cs="Arial" w:eastAsia="Arial" w:hAnsi="Arial"/>
          <w:sz w:val="17"/>
          <w:szCs w:val="17"/>
          <w:color w:val="auto"/>
        </w:rPr>
        <w:t>The final determination may result in asset and liability fair values and tax bases that differ from the preliminary estimates and require changes to the preliminary amounts recognized.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preliminary amounts recognized for assets acquired and liabilities assumed as of the acquisition date:</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December 1, 2022</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900" w:type="dxa"/>
            <w:vAlign w:val="bottom"/>
            <w:tcBorders>
              <w:top w:val="single" w:sz="8" w:color="auto"/>
            </w:tcBorders>
            <w:shd w:val="clear" w:color="auto" w:fill="CCEEFF"/>
          </w:tcPr>
          <w:p>
            <w:pPr>
              <w:jc w:val="right"/>
              <w:ind w:right="694"/>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153.2</w:t>
            </w:r>
          </w:p>
        </w:tc>
      </w:tr>
      <w:tr>
        <w:trPr>
          <w:trHeight w:val="219"/>
        </w:trPr>
        <w:tc>
          <w:tcPr>
            <w:tcW w:w="9000" w:type="dxa"/>
            <w:vAlign w:val="bottom"/>
          </w:tcPr>
          <w:p>
            <w:pPr>
              <w:ind w:left="20"/>
              <w:spacing w:after="0" w:line="220" w:lineRule="exact"/>
              <w:rPr>
                <w:sz w:val="20"/>
                <w:szCs w:val="20"/>
                <w:color w:val="auto"/>
              </w:rPr>
            </w:pPr>
            <w:r>
              <w:rPr>
                <w:rFonts w:ascii="Arial" w:cs="Arial" w:eastAsia="Arial" w:hAnsi="Arial"/>
                <w:sz w:val="17"/>
                <w:szCs w:val="17"/>
                <w:color w:val="auto"/>
              </w:rPr>
              <w:t>Acquired IPR&amp;D</w:t>
            </w:r>
            <w:r>
              <w:rPr>
                <w:rFonts w:ascii="Arial" w:cs="Arial" w:eastAsia="Arial" w:hAnsi="Arial"/>
                <w:sz w:val="22"/>
                <w:szCs w:val="22"/>
                <w:color w:val="auto"/>
                <w:vertAlign w:val="superscript"/>
              </w:rPr>
              <w:t>(1)</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184.0</w:t>
            </w:r>
          </w:p>
        </w:tc>
      </w:tr>
      <w:tr>
        <w:trPr>
          <w:trHeight w:val="232"/>
        </w:trPr>
        <w:tc>
          <w:tcPr>
            <w:tcW w:w="9000" w:type="dxa"/>
            <w:vAlign w:val="bottom"/>
            <w:shd w:val="clear" w:color="auto" w:fill="CCEEFF"/>
          </w:tcPr>
          <w:p>
            <w:pPr>
              <w:ind w:left="20"/>
              <w:spacing w:after="0" w:line="232" w:lineRule="exact"/>
              <w:rPr>
                <w:sz w:val="20"/>
                <w:szCs w:val="20"/>
                <w:color w:val="auto"/>
              </w:rPr>
            </w:pPr>
            <w:r>
              <w:rPr>
                <w:rFonts w:ascii="Arial" w:cs="Arial" w:eastAsia="Arial" w:hAnsi="Arial"/>
                <w:sz w:val="17"/>
                <w:szCs w:val="17"/>
                <w:color w:val="auto"/>
              </w:rPr>
              <w:t>Goodwill</w:t>
            </w:r>
            <w:r>
              <w:rPr>
                <w:rFonts w:ascii="Arial" w:cs="Arial" w:eastAsia="Arial" w:hAnsi="Arial"/>
                <w:sz w:val="22"/>
                <w:szCs w:val="22"/>
                <w:color w:val="auto"/>
                <w:vertAlign w:val="superscript"/>
              </w:rPr>
              <w:t>(2)</w:t>
            </w:r>
          </w:p>
        </w:tc>
        <w:tc>
          <w:tcPr>
            <w:tcW w:w="9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w:t>
            </w:r>
          </w:p>
        </w:tc>
      </w:tr>
      <w:tr>
        <w:trPr>
          <w:trHeight w:val="219"/>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 and liabilities, net</w:t>
            </w: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w:t>
            </w:r>
          </w:p>
        </w:tc>
      </w:tr>
      <w:tr>
        <w:trPr>
          <w:trHeight w:val="213"/>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date fair value of consideration transferred</w:t>
            </w:r>
          </w:p>
        </w:tc>
        <w:tc>
          <w:tcPr>
            <w:tcW w:w="9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547.3</w:t>
            </w:r>
          </w:p>
        </w:tc>
      </w:tr>
      <w:tr>
        <w:trPr>
          <w:trHeight w:val="225"/>
        </w:trPr>
        <w:tc>
          <w:tcPr>
            <w:tcW w:w="9000" w:type="dxa"/>
            <w:vAlign w:val="bottom"/>
          </w:tcPr>
          <w:p>
            <w:pPr>
              <w:ind w:left="20"/>
              <w:spacing w:after="0"/>
              <w:rPr>
                <w:sz w:val="20"/>
                <w:szCs w:val="20"/>
                <w:color w:val="auto"/>
              </w:rPr>
            </w:pPr>
            <w:r>
              <w:rPr>
                <w:rFonts w:ascii="Arial" w:cs="Arial" w:eastAsia="Arial" w:hAnsi="Arial"/>
                <w:sz w:val="17"/>
                <w:szCs w:val="17"/>
                <w:color w:val="auto"/>
              </w:rPr>
              <w:t>Less:</w:t>
            </w:r>
          </w:p>
        </w:tc>
        <w:tc>
          <w:tcPr>
            <w:tcW w:w="9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7"/>
        </w:trPr>
        <w:tc>
          <w:tcPr>
            <w:tcW w:w="90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Cash acquired</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(153.2)</w:t>
            </w:r>
          </w:p>
        </w:tc>
      </w:tr>
      <w:tr>
        <w:trPr>
          <w:trHeight w:val="219"/>
        </w:trPr>
        <w:tc>
          <w:tcPr>
            <w:tcW w:w="9000" w:type="dxa"/>
            <w:vAlign w:val="bottom"/>
          </w:tcPr>
          <w:p>
            <w:pPr>
              <w:ind w:left="260"/>
              <w:spacing w:after="0" w:line="220" w:lineRule="exact"/>
              <w:rPr>
                <w:sz w:val="20"/>
                <w:szCs w:val="20"/>
                <w:color w:val="auto"/>
              </w:rPr>
            </w:pPr>
            <w:r>
              <w:rPr>
                <w:rFonts w:ascii="Arial" w:cs="Arial" w:eastAsia="Arial" w:hAnsi="Arial"/>
                <w:sz w:val="17"/>
                <w:szCs w:val="17"/>
                <w:color w:val="auto"/>
              </w:rPr>
              <w:t>Fair value of CVR liability</w:t>
            </w:r>
            <w:r>
              <w:rPr>
                <w:rFonts w:ascii="Arial" w:cs="Arial" w:eastAsia="Arial" w:hAnsi="Arial"/>
                <w:sz w:val="22"/>
                <w:szCs w:val="22"/>
                <w:color w:val="auto"/>
                <w:vertAlign w:val="superscript"/>
              </w:rPr>
              <w:t>(3)</w:t>
            </w: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(66.9)</w:t>
            </w:r>
          </w:p>
        </w:tc>
      </w:tr>
      <w:tr>
        <w:trPr>
          <w:trHeight w:val="231"/>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paid, net of cash acquired</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327.2</w:t>
            </w:r>
          </w:p>
        </w:tc>
      </w:tr>
    </w:tbl>
    <w:p>
      <w:pPr>
        <w:spacing w:after="0" w:line="72" w:lineRule="exact"/>
        <w:rPr>
          <w:sz w:val="20"/>
          <w:szCs w:val="20"/>
          <w:color w:val="auto"/>
        </w:rPr>
      </w:pPr>
    </w:p>
    <w:p>
      <w:pPr>
        <w:ind w:left="140" w:hanging="137"/>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Acquired IPR&amp;D intangibles primarily relate to GJB2.</w:t>
      </w:r>
    </w:p>
    <w:p>
      <w:pPr>
        <w:spacing w:after="0" w:line="13" w:lineRule="exact"/>
        <w:rPr>
          <w:rFonts w:ascii="Arial" w:cs="Arial" w:eastAsia="Arial" w:hAnsi="Arial"/>
          <w:sz w:val="9"/>
          <w:szCs w:val="9"/>
          <w:color w:val="auto"/>
        </w:rPr>
      </w:pPr>
    </w:p>
    <w:p>
      <w:pPr>
        <w:ind w:left="160" w:right="80" w:hanging="157"/>
        <w:spacing w:after="0"/>
        <w:tabs>
          <w:tab w:leader="none" w:pos="139"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The goodwill recognized from this acquisition is attributable primarily to future unidentified projects and products and the assembled workforce for Akouos and is not deductible for tax purposes.</w:t>
      </w:r>
    </w:p>
    <w:p>
      <w:pPr>
        <w:spacing w:after="0" w:line="151" w:lineRule="exact"/>
        <w:rPr>
          <w:rFonts w:ascii="Arial" w:cs="Arial" w:eastAsia="Arial" w:hAnsi="Arial"/>
          <w:sz w:val="16"/>
          <w:szCs w:val="16"/>
          <w:color w:val="auto"/>
          <w:vertAlign w:val="superscript"/>
        </w:rPr>
      </w:pPr>
    </w:p>
    <w:p>
      <w:pPr>
        <w:ind w:left="140" w:hanging="137"/>
        <w:spacing w:after="0" w:line="218" w:lineRule="auto"/>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See Note 5 for a discussion on the estimation of the CVR liability.</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attributable to Akouos for the three and six months ended June 30, 2023 were immaterial.</w:t>
      </w:r>
    </w:p>
    <w:p>
      <w:pPr>
        <w:spacing w:after="0" w:line="114" w:lineRule="exact"/>
        <w:rPr>
          <w:sz w:val="20"/>
          <w:szCs w:val="20"/>
          <w:color w:val="auto"/>
        </w:rPr>
      </w:pPr>
    </w:p>
    <w:p>
      <w:pPr>
        <w:ind w:right="580"/>
        <w:spacing w:after="0" w:line="280" w:lineRule="auto"/>
        <w:rPr>
          <w:sz w:val="20"/>
          <w:szCs w:val="20"/>
          <w:color w:val="auto"/>
        </w:rPr>
      </w:pPr>
      <w:r>
        <w:rPr>
          <w:rFonts w:ascii="Arial" w:cs="Arial" w:eastAsia="Arial" w:hAnsi="Arial"/>
          <w:sz w:val="17"/>
          <w:szCs w:val="17"/>
          <w:color w:val="auto"/>
        </w:rPr>
        <w:t>Pro forma information has not been included as this acquisition did not have a material impact on our consolidated condensed statements of operations for the three and six months ended June 30, 2022.</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Acquisitions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In February 2022, we acquired a Priority Review Voucher from BioMarin Pharmaceutical Inc. for $110.0 million.</w:t>
      </w:r>
    </w:p>
    <w:p>
      <w:pPr>
        <w:spacing w:after="0" w:line="114"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In connection with our acquisition of Petra Pharma Corporation (Petra), we were required to make milestone payments to Petra shareholders contingent upon the occurrence of certain future events linked to the success of the mutant-selective PI3Kα inhibitor. In the second quarter of 2022, we entered into agreements with substantially all Petra shareholders to acquire their rights to receive any future milestone payments in exchange for a one-time payment. As a result of these agreements, we recognized a charge of $333.8 million as acquired IPR&amp;D during the three and six months ended June 30, 2022. Any remaining contingent milestones payments linked to the success of the mutant-selective PI3Kα inhibitor are not expected to be material.</w:t>
      </w:r>
    </w:p>
    <w:p>
      <w:pPr>
        <w:spacing w:after="0" w:line="81" w:lineRule="exact"/>
        <w:rPr>
          <w:sz w:val="20"/>
          <w:szCs w:val="20"/>
          <w:color w:val="auto"/>
        </w:rPr>
      </w:pPr>
    </w:p>
    <w:p>
      <w:pPr>
        <w:ind w:right="1720"/>
        <w:spacing w:after="0" w:line="380" w:lineRule="auto"/>
        <w:rPr>
          <w:sz w:val="20"/>
          <w:szCs w:val="20"/>
          <w:color w:val="auto"/>
        </w:rPr>
      </w:pPr>
      <w:r>
        <w:rPr>
          <w:rFonts w:ascii="Arial" w:cs="Arial" w:eastAsia="Arial" w:hAnsi="Arial"/>
          <w:sz w:val="17"/>
          <w:szCs w:val="17"/>
          <w:color w:val="auto"/>
        </w:rPr>
        <w:t xml:space="preserve">We recognized no other significant acquired IPR&amp;D charges during the three and six months ended June 30, 2023 and 2022. </w:t>
      </w:r>
      <w:r>
        <w:rPr>
          <w:rFonts w:ascii="Arial" w:cs="Arial" w:eastAsia="Arial" w:hAnsi="Arial"/>
          <w:sz w:val="17"/>
          <w:szCs w:val="17"/>
          <w:b w:val="1"/>
          <w:bCs w:val="1"/>
          <w:color w:val="auto"/>
        </w:rPr>
        <w:t>Subsequent Events</w:t>
      </w:r>
    </w:p>
    <w:p>
      <w:pPr>
        <w:spacing w:after="0" w:line="1"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In June 2023, we announced an agreement to acquire DICE Therapeutics, Inc. (DICE) for a purchase price of $48 per share in cash (an aggregate of approximately $2.4 billion) payable at closing. The proposed acquisition is expected to close in the third quarter of 2023, subject to customary closing conditions, including the receipt of required antitrust clearance and the tender of at least a majority of the outstanding shares of DICE's common stock as of the expiration of the tender offer.</w:t>
      </w:r>
    </w:p>
    <w:p>
      <w:pPr>
        <w:spacing w:after="0" w:line="76"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color w:val="auto"/>
        </w:rPr>
        <w:t>As of June 30, 2023, potential amounts payable for other pending business development acquisitions were approximately $1 billion in aggregate, subject to closing conditions and/or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Note 4: Collaborations and Other Arrangements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Collaborations and Other Similar Arrangements</w:t>
      </w:r>
    </w:p>
    <w:p>
      <w:pPr>
        <w:spacing w:after="0" w:line="124"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as well as royalty or profit-share payments, contingent upon the occurrence of certain future events linked to the success of the asset in development, as well as expense reimbursements from or payments to the collaboration partner.</w:t>
      </w:r>
    </w:p>
    <w:p>
      <w:pPr>
        <w:spacing w:after="0" w:line="76" w:lineRule="exact"/>
        <w:rPr>
          <w:sz w:val="20"/>
          <w:szCs w:val="20"/>
          <w:color w:val="auto"/>
        </w:rPr>
      </w:pPr>
    </w:p>
    <w:p>
      <w:pPr>
        <w:jc w:val="both"/>
        <w:ind w:right="100"/>
        <w:spacing w:after="0" w:line="267" w:lineRule="auto"/>
        <w:rPr>
          <w:sz w:val="20"/>
          <w:szCs w:val="20"/>
          <w:color w:val="auto"/>
        </w:rPr>
      </w:pPr>
      <w:r>
        <w:rPr>
          <w:rFonts w:ascii="Arial" w:cs="Arial" w:eastAsia="Arial" w:hAnsi="Arial"/>
          <w:sz w:val="17"/>
          <w:szCs w:val="17"/>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arrangement is unique in nature, and our more significant arrangements are discussed below.</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Boehringer Ingelheim Diabetes Collaboration</w:t>
      </w:r>
    </w:p>
    <w:p>
      <w:pPr>
        <w:spacing w:after="0" w:line="120" w:lineRule="exact"/>
        <w:rPr>
          <w:sz w:val="20"/>
          <w:szCs w:val="20"/>
          <w:color w:val="auto"/>
        </w:rPr>
      </w:pPr>
    </w:p>
    <w:p>
      <w:pPr>
        <w:spacing w:after="0" w:line="224" w:lineRule="auto"/>
        <w:rPr>
          <w:sz w:val="20"/>
          <w:szCs w:val="20"/>
          <w:color w:val="auto"/>
        </w:rPr>
      </w:pPr>
      <w:r>
        <w:rPr>
          <w:rFonts w:ascii="Arial" w:cs="Arial" w:eastAsia="Arial" w:hAnsi="Arial"/>
          <w:sz w:val="17"/>
          <w:szCs w:val="17"/>
          <w:color w:val="auto"/>
        </w:rPr>
        <w:t>We and Boehringer Ingelheim have a global agreement to jointly develop and commercialize a portfolio of diabetes compounds. Currently included in the collaboration are Boehringer Ingelheim's oral diabetes products: Jardiance, Glyxambi, Synjardy, Trijardy XR, Trajenta, and Jentadueto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as well as our basal insulins, Basaglar and Rezvoglar</w:t>
      </w:r>
      <w:r>
        <w:rPr>
          <w:rFonts w:ascii="Arial" w:cs="Arial" w:eastAsia="Arial" w:hAnsi="Arial"/>
          <w:sz w:val="22"/>
          <w:szCs w:val="22"/>
          <w:color w:val="auto"/>
          <w:vertAlign w:val="superscript"/>
        </w:rPr>
        <w:t>®</w:t>
      </w:r>
      <w:r>
        <w:rPr>
          <w:rFonts w:ascii="Arial" w:cs="Arial" w:eastAsia="Arial" w:hAnsi="Arial"/>
          <w:sz w:val="17"/>
          <w:szCs w:val="17"/>
          <w:color w:val="auto"/>
        </w:rPr>
        <w:t>. Glyxambi, Synjardy, and Trijardy XR are included in the Jardiance product family. Jentadueto is included in the Trajenta product family. Rezvoglar is included in the Basaglar product family.</w:t>
      </w:r>
    </w:p>
    <w:p>
      <w:pPr>
        <w:spacing w:after="0" w:line="9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In connection with the regulatory approvals of Jardiance, Trajenta, and Basaglar in the U.S., Europe, and Japan, milestone payments made for Jardiance and Trajenta were capitalized as intangible assets and are being amortized to cost of sales, and milestone payments received for Basaglar were recorded as contract liabilities and are being amortized to collaboration and other revenue. The milestones pertaining to Jardiance and Trajenta are being amortized through their respective term under the collaboration, which, depending on country or region, is determined based on the latest to occur of (a) a defined number of years following launch date, (b) the expiration of the compound patent, or (c) the expiration of marketing authorization exclusivity. The milestones pertaining to Basaglar are being amortized through 2029. The table below summarizes the net milestones capitalized with respect to the Jardiance and Trajenta families of products and the net milestones deferred with respect to the Basaglar product family as of June 30, 2023 and December 31, 2022: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3"/>
          </w:tcPr>
          <w:p>
            <w:pPr>
              <w:jc w:val="right"/>
              <w:ind w:right="598"/>
              <w:spacing w:after="0"/>
              <w:rPr>
                <w:sz w:val="20"/>
                <w:szCs w:val="20"/>
                <w:color w:val="auto"/>
              </w:rPr>
            </w:pPr>
            <w:r>
              <w:rPr>
                <w:rFonts w:ascii="Arial" w:cs="Arial" w:eastAsia="Arial" w:hAnsi="Arial"/>
                <w:sz w:val="14"/>
                <w:szCs w:val="14"/>
                <w:b w:val="1"/>
                <w:bCs w:val="1"/>
                <w:color w:val="auto"/>
              </w:rPr>
              <w:t>Net Milestones Capitalized (Deferred)</w:t>
            </w:r>
            <w:r>
              <w:rPr>
                <w:rFonts w:ascii="Arial" w:cs="Arial" w:eastAsia="Arial" w:hAnsi="Arial"/>
                <w:sz w:val="17"/>
                <w:szCs w:val="17"/>
                <w:b w:val="1"/>
                <w:bCs w:val="1"/>
                <w:color w:val="auto"/>
                <w:vertAlign w:val="superscript"/>
              </w:rPr>
              <w:t>(1)</w:t>
            </w:r>
          </w:p>
        </w:tc>
      </w:tr>
      <w:tr>
        <w:trPr>
          <w:trHeight w:val="186"/>
        </w:trPr>
        <w:tc>
          <w:tcPr>
            <w:tcW w:w="7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December 31, 2022</w:t>
            </w:r>
          </w:p>
        </w:tc>
      </w:tr>
      <w:tr>
        <w:trPr>
          <w:trHeight w:val="21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Jardiance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106.3</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w:t>
            </w:r>
          </w:p>
        </w:tc>
      </w:tr>
      <w:tr>
        <w:trPr>
          <w:trHeight w:val="219"/>
        </w:trPr>
        <w:tc>
          <w:tcPr>
            <w:tcW w:w="7180" w:type="dxa"/>
            <w:vAlign w:val="bottom"/>
          </w:tcPr>
          <w:p>
            <w:pPr>
              <w:ind w:left="20"/>
              <w:spacing w:after="0"/>
              <w:rPr>
                <w:sz w:val="20"/>
                <w:szCs w:val="20"/>
                <w:color w:val="auto"/>
              </w:rPr>
            </w:pPr>
            <w:r>
              <w:rPr>
                <w:rFonts w:ascii="Arial" w:cs="Arial" w:eastAsia="Arial" w:hAnsi="Arial"/>
                <w:sz w:val="17"/>
                <w:szCs w:val="17"/>
                <w:color w:val="auto"/>
              </w:rPr>
              <w:t>Trajenta</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51.2</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63.5</w:t>
            </w:r>
          </w:p>
        </w:tc>
      </w:tr>
      <w:tr>
        <w:trPr>
          <w:trHeight w:val="232"/>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Basaglar</w:t>
            </w:r>
          </w:p>
        </w:tc>
        <w:tc>
          <w:tcPr>
            <w:tcW w:w="3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(121.3)</w:t>
            </w:r>
          </w:p>
        </w:tc>
        <w:tc>
          <w:tcPr>
            <w:tcW w:w="24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w:t>
            </w:r>
          </w:p>
        </w:tc>
      </w:tr>
    </w:tbl>
    <w:p>
      <w:pPr>
        <w:spacing w:after="0" w:line="72" w:lineRule="exact"/>
        <w:rPr>
          <w:sz w:val="20"/>
          <w:szCs w:val="20"/>
          <w:color w:val="auto"/>
        </w:rPr>
      </w:pPr>
    </w:p>
    <w:p>
      <w:pPr>
        <w:ind w:left="140" w:hanging="137"/>
        <w:spacing w:after="0"/>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This represents the amounts that have been capitalized (deferred) from the start of this collaboration through the end of the reporting period, net of amount amortized.</w:t>
      </w:r>
    </w:p>
    <w:p>
      <w:pPr>
        <w:spacing w:after="0" w:line="103"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For the Jardiance product family, we and Boehringer Ingelheim generally share equally the ongoing development and commercialization costs in the most significant markets, and we record our portion of the development and commercialization costs as research and development expense and marketing, selling, and administrative expense, respectively. We receive a royalty on net sales of Boehringer Ingelheim's products in the most significant markets and recognize the royalty as collaboration and other revenue. Boehringer Ingelheim is entitled to potential performance payments depending on the net sales of the Jardiance product family; therefore, our reported revenue for Jardiance may be reduced by any potential performance payments we make related to this product family. The royalty received by us related to the Jardiance product family may also be increased or decreased depending on whether net sales for this product family exceed or fall below certain thresholds. We pay to Boehringer Ingelheim a royalty on net sales for the Basaglar product family in the U.S. We record our sales of the Basaglar product family to third parties as net product revenue with the royalty payments made to Boehringer Ingelheim recorded as cost of sales.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17" w:name="page18"/>
    <w:bookmarkEnd w:id="17"/>
    <w:p>
      <w:pPr>
        <w:ind w:right="60"/>
        <w:spacing w:after="0" w:line="280" w:lineRule="auto"/>
        <w:rPr>
          <w:sz w:val="20"/>
          <w:szCs w:val="20"/>
          <w:color w:val="auto"/>
        </w:rPr>
      </w:pPr>
      <w:r>
        <w:rPr>
          <w:rFonts w:ascii="Arial" w:cs="Arial" w:eastAsia="Arial" w:hAnsi="Arial"/>
          <w:sz w:val="17"/>
          <w:szCs w:val="17"/>
          <w:color w:val="auto"/>
        </w:rPr>
        <w:t>The following table summarizes our collaboration and other revenue recognized with respect to the Jardiance and Trajenta families of products and net product revenue recognized with respect to the Basaglar product family:</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40" w:type="dxa"/>
            <w:vAlign w:val="bottom"/>
          </w:tcPr>
          <w:p>
            <w:pPr>
              <w:spacing w:after="0"/>
              <w:rPr>
                <w:sz w:val="16"/>
                <w:szCs w:val="16"/>
                <w:color w:val="auto"/>
              </w:rPr>
            </w:pPr>
          </w:p>
        </w:tc>
        <w:tc>
          <w:tcPr>
            <w:tcW w:w="25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8"/>
              </w:rPr>
              <w:t>Three Months Ended June 30,</w:t>
            </w: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578"/>
              <w:spacing w:after="0"/>
              <w:rPr>
                <w:sz w:val="20"/>
                <w:szCs w:val="20"/>
                <w:color w:val="auto"/>
              </w:rPr>
            </w:pPr>
            <w:r>
              <w:rPr>
                <w:rFonts w:ascii="Arial" w:cs="Arial" w:eastAsia="Arial" w:hAnsi="Arial"/>
                <w:sz w:val="14"/>
                <w:szCs w:val="14"/>
                <w:b w:val="1"/>
                <w:bCs w:val="1"/>
                <w:color w:val="auto"/>
              </w:rPr>
              <w:t>Six Months Ended June 30,</w:t>
            </w:r>
          </w:p>
        </w:tc>
      </w:tr>
      <w:tr>
        <w:trPr>
          <w:trHeight w:val="174"/>
        </w:trPr>
        <w:tc>
          <w:tcPr>
            <w:tcW w:w="48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r>
      <w:tr>
        <w:trPr>
          <w:trHeight w:val="225"/>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Jardiance</w:t>
            </w:r>
          </w:p>
        </w:tc>
        <w:tc>
          <w:tcPr>
            <w:tcW w:w="940" w:type="dxa"/>
            <w:vAlign w:val="bottom"/>
            <w:shd w:val="clear" w:color="auto" w:fill="CCEEFF"/>
          </w:tcPr>
          <w:p>
            <w:pPr>
              <w:jc w:val="right"/>
              <w:ind w:right="745"/>
              <w:spacing w:after="0"/>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668.3</w:t>
            </w:r>
          </w:p>
        </w:tc>
        <w:tc>
          <w:tcPr>
            <w:tcW w:w="1040" w:type="dxa"/>
            <w:vAlign w:val="bottom"/>
            <w:shd w:val="clear" w:color="auto" w:fill="CCEEFF"/>
          </w:tcPr>
          <w:p>
            <w:pPr>
              <w:jc w:val="right"/>
              <w:ind w:right="74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461.0</w:t>
            </w:r>
          </w:p>
        </w:tc>
        <w:tc>
          <w:tcPr>
            <w:tcW w:w="44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1,245.8</w:t>
            </w:r>
          </w:p>
        </w:tc>
        <w:tc>
          <w:tcPr>
            <w:tcW w:w="4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880.4</w:t>
            </w:r>
          </w:p>
        </w:tc>
      </w:tr>
      <w:tr>
        <w:trPr>
          <w:trHeight w:val="219"/>
        </w:trPr>
        <w:tc>
          <w:tcPr>
            <w:tcW w:w="4840" w:type="dxa"/>
            <w:vAlign w:val="bottom"/>
          </w:tcPr>
          <w:p>
            <w:pPr>
              <w:ind w:left="20"/>
              <w:spacing w:after="0"/>
              <w:rPr>
                <w:sz w:val="20"/>
                <w:szCs w:val="20"/>
                <w:color w:val="auto"/>
              </w:rPr>
            </w:pPr>
            <w:r>
              <w:rPr>
                <w:rFonts w:ascii="Arial" w:cs="Arial" w:eastAsia="Arial" w:hAnsi="Arial"/>
                <w:sz w:val="17"/>
                <w:szCs w:val="17"/>
                <w:color w:val="auto"/>
              </w:rPr>
              <w:t>Basaglar</w:t>
            </w:r>
          </w:p>
        </w:tc>
        <w:tc>
          <w:tcPr>
            <w:tcW w:w="94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7"/>
                <w:szCs w:val="17"/>
                <w:b w:val="1"/>
                <w:bCs w:val="1"/>
                <w:color w:val="auto"/>
              </w:rPr>
              <w:t>154.2</w:t>
            </w:r>
          </w:p>
        </w:tc>
        <w:tc>
          <w:tcPr>
            <w:tcW w:w="104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7"/>
                <w:szCs w:val="17"/>
                <w:color w:val="auto"/>
              </w:rPr>
              <w:t>174.2</w:t>
            </w:r>
          </w:p>
        </w:tc>
        <w:tc>
          <w:tcPr>
            <w:tcW w:w="44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7"/>
                <w:szCs w:val="17"/>
                <w:b w:val="1"/>
                <w:bCs w:val="1"/>
                <w:color w:val="auto"/>
              </w:rPr>
              <w:t>363.5</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365.7</w:t>
            </w: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Trajenta</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103.6</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97.1</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189.5</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Olumiant</w:t>
      </w:r>
    </w:p>
    <w:p>
      <w:pPr>
        <w:spacing w:after="0" w:line="120"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We have a worldwide license and collaboration agreement with Incyte Corporation (Incyte), which provides us the development and commercialization rights to baricitinib, which is branded and trademarked as Olumiant, and certain follow-on compounds, for the treatment of inflammatory and autoimmune diseases and COVID-19. Incyte has the right to receive tiered, double digit royalty payments on worldwide net sales with rates ranging up to 20 percent. Incyte has the right to receive an additional royalty ranging up to the low teens on worldwide net sales for the treatment of COVID-19 that exceed a specified aggregate worldwide net sales threshold. The agreement calls for payments by us to Incyte associated with certain development, success-based regulatory, and sales-based milestones.</w:t>
      </w:r>
    </w:p>
    <w:p>
      <w:pPr>
        <w:spacing w:after="0" w:line="8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 connection with the regulatory approvals of Olumiant in the U.S., Europe, and Japan, as well as achievement of a sales-based milestone, milestone payments of $330.0 million were capitalized as intangible assets as of June 30, 2023 and December 31, 2022 and are being amortized to cost of sales through the term of the collaboration. This represents the cumulative amounts that have been capitalized from the start of this collaboration through the end of each reporting period.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2023, Incyte is eligible to receive up to $100.0 million of additional payments from us in potential sales-based milestones.</w:t>
      </w:r>
    </w:p>
    <w:p>
      <w:pPr>
        <w:spacing w:after="0" w:line="114"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We record our sales of Olumiant, including sales of baricitinib that were made pursuant to EUA or similar regulatory authorizations, to third parties as net product revenue with the royalty payments made to Incyte recorded as cost of sales. The following table summarizes our net product revenue recognized with respect to Olumiant: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40" w:type="dxa"/>
            <w:vAlign w:val="bottom"/>
          </w:tcPr>
          <w:p>
            <w:pPr>
              <w:spacing w:after="0"/>
              <w:rPr>
                <w:sz w:val="16"/>
                <w:szCs w:val="16"/>
                <w:color w:val="auto"/>
              </w:rPr>
            </w:pPr>
          </w:p>
        </w:tc>
        <w:tc>
          <w:tcPr>
            <w:tcW w:w="25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8"/>
              </w:rPr>
              <w:t>Three Months Ended June 30,</w:t>
            </w: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4"/>
                <w:szCs w:val="14"/>
                <w:b w:val="1"/>
                <w:bCs w:val="1"/>
                <w:color w:val="auto"/>
              </w:rPr>
              <w:t>Six Months Ended June 30,</w:t>
            </w:r>
          </w:p>
        </w:tc>
      </w:tr>
      <w:tr>
        <w:trPr>
          <w:trHeight w:val="174"/>
        </w:trPr>
        <w:tc>
          <w:tcPr>
            <w:tcW w:w="48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5"/>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r>
      <w:tr>
        <w:trPr>
          <w:trHeight w:val="225"/>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Olumiant</w:t>
            </w:r>
          </w:p>
        </w:tc>
        <w:tc>
          <w:tcPr>
            <w:tcW w:w="960" w:type="dxa"/>
            <w:vAlign w:val="bottom"/>
            <w:shd w:val="clear" w:color="auto" w:fill="CCEEFF"/>
          </w:tcPr>
          <w:p>
            <w:pPr>
              <w:jc w:val="right"/>
              <w:ind w:right="765"/>
              <w:spacing w:after="0"/>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218.9</w:t>
            </w:r>
          </w:p>
        </w:tc>
        <w:tc>
          <w:tcPr>
            <w:tcW w:w="1040" w:type="dxa"/>
            <w:vAlign w:val="bottom"/>
            <w:shd w:val="clear" w:color="auto" w:fill="CCEEFF"/>
          </w:tcPr>
          <w:p>
            <w:pPr>
              <w:jc w:val="right"/>
              <w:ind w:right="74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186.2</w:t>
            </w:r>
          </w:p>
        </w:tc>
        <w:tc>
          <w:tcPr>
            <w:tcW w:w="44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45"/>
              <w:spacing w:after="0"/>
              <w:rPr>
                <w:sz w:val="20"/>
                <w:szCs w:val="20"/>
                <w:color w:val="auto"/>
              </w:rPr>
            </w:pPr>
            <w:r>
              <w:rPr>
                <w:rFonts w:ascii="Arial" w:cs="Arial" w:eastAsia="Arial" w:hAnsi="Arial"/>
                <w:sz w:val="17"/>
                <w:szCs w:val="17"/>
                <w:b w:val="1"/>
                <w:bCs w:val="1"/>
                <w:color w:val="auto"/>
              </w:rPr>
              <w:t>447.8</w:t>
            </w:r>
          </w:p>
        </w:tc>
        <w:tc>
          <w:tcPr>
            <w:tcW w:w="4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441.8</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COVID-19 Antibodies</w:t>
      </w:r>
    </w:p>
    <w:p>
      <w:pPr>
        <w:spacing w:after="0" w:line="120"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We have a worldwide license and collaboration agreement with AbCellera Biologics Inc. (AbCellera) to co-develop therapeutic antibodies for the potential prevention and treatment of COVID-19, including bamlanivimab and bebtelovimab, for which we hold development and commercialization rights. AbCellera has the right to receive tiered royalty payments on worldwide net sales of bamlanivimab and bebtelovimab with percentages ranging in the mid-teens to mid-twenties. Royalty payments made to AbCellera were recorded as cost of sales.</w:t>
      </w:r>
    </w:p>
    <w:p>
      <w:pPr>
        <w:spacing w:after="0" w:line="76" w:lineRule="exact"/>
        <w:rPr>
          <w:sz w:val="20"/>
          <w:szCs w:val="20"/>
          <w:color w:val="auto"/>
        </w:rPr>
      </w:pPr>
    </w:p>
    <w:p>
      <w:pPr>
        <w:jc w:val="both"/>
        <w:ind w:right="80"/>
        <w:spacing w:after="0" w:line="267" w:lineRule="auto"/>
        <w:rPr>
          <w:sz w:val="20"/>
          <w:szCs w:val="20"/>
          <w:color w:val="auto"/>
        </w:rPr>
      </w:pPr>
      <w:r>
        <w:rPr>
          <w:rFonts w:ascii="Arial" w:cs="Arial" w:eastAsia="Arial" w:hAnsi="Arial"/>
          <w:sz w:val="17"/>
          <w:szCs w:val="17"/>
          <w:color w:val="auto"/>
        </w:rPr>
        <w:t>Pursuant to EUAs or similar regulatory authorizations, we recognized net product revenue associated with our sales of our COVID-19 antibodies of $129.1 million and $1.60 billion, primarily related to bebtelovimab, for the three and six months ended June 30, 2022, respectively. We did not have sales of our COVID-19 antibodies during the three and six months ended June 30, 2023.</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Lebrikizumab</w:t>
      </w:r>
    </w:p>
    <w:p>
      <w:pPr>
        <w:spacing w:after="0" w:line="12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We have a worldwide license agreement with F. Hoffmann-La Roche Ltd and Genentech, Inc. (collectively, Roche), which provides us the worldwide development and commercialization rights to lebrikizumab. Roche has the right to receive tiered royalty payments on future worldwide net sales ranging in percentages from high single digits to high teens if the product is successfully commercialized. As of June 30, 2023, Roche is eligible to receive up to $160.0 million of payments from us contingent upon the achievement of success-based regulatory milestones and up to $1.03 billion in a series of sales-based milestones, contingent upon the commercial success of lebrikizumab.</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8" w:name="page19"/>
    <w:bookmarkEnd w:id="18"/>
    <w:p>
      <w:pPr>
        <w:ind w:right="120"/>
        <w:spacing w:after="0" w:line="258" w:lineRule="auto"/>
        <w:rPr>
          <w:sz w:val="20"/>
          <w:szCs w:val="20"/>
          <w:color w:val="auto"/>
        </w:rPr>
      </w:pPr>
      <w:r>
        <w:rPr>
          <w:rFonts w:ascii="Arial" w:cs="Arial" w:eastAsia="Arial" w:hAnsi="Arial"/>
          <w:sz w:val="17"/>
          <w:szCs w:val="17"/>
          <w:color w:val="auto"/>
        </w:rPr>
        <w:t>We have a license agreement with Almirall, S.A. (Almirall), under which Almirall licensed the rights to develop and commercialize lebrikizumab for the treatment or prevention of dermatology indications, including, but not limited to, atopic dermatitis in Europe. We have the right to receive tiered royalty payments on future net sales in Europe ranging in percentages from low double digits to low twenties if the product is successfully commercialized. As of June 30, 2023, we are eligible to receive payments of $65.0 million from Almirall contingent upon the achievement of success-based regulatory milestones and up to $1.25 billion in a series of sales-based milestones, contingent upon the commercial success of lebrikizumab. During the three and six months ended June 30, 2023 and 2022, collaboration and other revenue recognized under this license agreement was not material.</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Divestitures</w:t>
      </w:r>
    </w:p>
    <w:p>
      <w:pPr>
        <w:spacing w:after="0" w:line="124" w:lineRule="exact"/>
        <w:rPr>
          <w:sz w:val="20"/>
          <w:szCs w:val="20"/>
          <w:color w:val="auto"/>
        </w:rPr>
      </w:pPr>
    </w:p>
    <w:p>
      <w:pPr>
        <w:ind w:right="460"/>
        <w:spacing w:after="0" w:line="280" w:lineRule="auto"/>
        <w:rPr>
          <w:sz w:val="20"/>
          <w:szCs w:val="20"/>
          <w:color w:val="auto"/>
        </w:rPr>
      </w:pPr>
      <w:r>
        <w:rPr>
          <w:rFonts w:ascii="Arial" w:cs="Arial" w:eastAsia="Arial" w:hAnsi="Arial"/>
          <w:sz w:val="17"/>
          <w:szCs w:val="17"/>
          <w:color w:val="auto"/>
        </w:rPr>
        <w:t>We periodically enter into arrangements to sell the rights of a product. We recognize the net gain or loss associated with the sale of rights of a product as collaboration and other revenue when control of the asset transfers to the other party.</w:t>
      </w:r>
    </w:p>
    <w:p>
      <w:pPr>
        <w:spacing w:after="0" w:line="60" w:lineRule="exact"/>
        <w:rPr>
          <w:sz w:val="20"/>
          <w:szCs w:val="20"/>
          <w:color w:val="auto"/>
        </w:rPr>
      </w:pPr>
    </w:p>
    <w:p>
      <w:pPr>
        <w:ind w:right="320"/>
        <w:spacing w:after="0" w:line="267" w:lineRule="auto"/>
        <w:rPr>
          <w:sz w:val="20"/>
          <w:szCs w:val="20"/>
          <w:color w:val="auto"/>
        </w:rPr>
      </w:pPr>
      <w:r>
        <w:rPr>
          <w:rFonts w:ascii="Arial" w:cs="Arial" w:eastAsia="Arial" w:hAnsi="Arial"/>
          <w:sz w:val="17"/>
          <w:szCs w:val="17"/>
          <w:color w:val="auto"/>
        </w:rPr>
        <w:t>We may be eligible to receive milestone payments contingent upon the occurrence of certain future events linked to the success of the divested product. Milestones are included in the transaction price only to the extent a significant reversal in the amount of revenue recognized is not probable of occurring when the uncertainties associated with the milestones are subsequently resolved.</w:t>
      </w:r>
    </w:p>
    <w:p>
      <w:pPr>
        <w:spacing w:after="0" w:line="70"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may enter into a supply arrangement as part of a divestiture of product rights. Our sale of product inventory under the supply agreement is recognized as net product revenue at the earlier of when control of the asset transfers to the other party or when the product has no alternative use to us and we have right to payment.</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Baqsimi</w:t>
      </w:r>
    </w:p>
    <w:p>
      <w:pPr>
        <w:spacing w:after="0" w:line="120"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In June 2023, we sold the rights for Baqsimi to Amphastar Pharmaceuticals, Inc. (Amphastar). Under the terms of the agreement, we received $500.0 million in cash and will receive an additional $125.0 million in cash upon the one year anniversary of closing. We included both in the transaction price as of June 30, 2023. We are eligible to receive payments of up to $450.0 million in a series of sales-based milestones, that have not been included in the transaction price as of June 30, 2023.</w:t>
      </w:r>
    </w:p>
    <w:p>
      <w:pPr>
        <w:spacing w:after="0" w:line="7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entered into a supply agreement with Amphastar that obligates Amphastar to purchase Baqsimi product we are manufacturing at an amount which represents a stand alone selling price. As the product we are manufacturing under this supply agreement has no alternative use to us and we have right to payment, we will recognize net product revenue over time as we manufacture the product.</w:t>
      </w:r>
    </w:p>
    <w:p>
      <w:pPr>
        <w:spacing w:after="0" w:line="7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For the three and six months ended June 30, 2023, we recognized $579.0 million in revenue primarily related to the net gain on the sale of rights for Baqsimi. Cash received from the sale of rights for Baqsimi was included in cash flows from investing activities for the six months ended June 30, 2023.</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Olanzapine (including Zyprexa</w:t>
      </w:r>
      <w:r>
        <w:rPr>
          <w:rFonts w:ascii="Arial" w:cs="Arial" w:eastAsia="Arial" w:hAnsi="Arial"/>
          <w:sz w:val="22"/>
          <w:szCs w:val="22"/>
          <w:i w:val="1"/>
          <w:iCs w:val="1"/>
          <w:u w:val="single" w:color="auto"/>
          <w:color w:val="auto"/>
          <w:vertAlign w:val="superscript"/>
        </w:rPr>
        <w:t>®</w:t>
      </w:r>
      <w:r>
        <w:rPr>
          <w:rFonts w:ascii="Arial" w:cs="Arial" w:eastAsia="Arial" w:hAnsi="Arial"/>
          <w:sz w:val="17"/>
          <w:szCs w:val="17"/>
          <w:i w:val="1"/>
          <w:iCs w:val="1"/>
          <w:u w:val="single" w:color="auto"/>
          <w:color w:val="auto"/>
        </w:rPr>
        <w:t>)</w:t>
      </w:r>
    </w:p>
    <w:p>
      <w:pPr>
        <w:spacing w:after="0" w:line="6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 July 2023, we sold the rights for the olanzapine portfolio, including Zyprexa, to Cheplapharm Arzneimittel GmbH (Cheplapharm). Under the terms of the agreement, we received $1.05 billion in cash and will receive an additional $305.0 million in cash upon the one year anniversary of closing. We are eligible to receive milestone payments of up to $50.0 million. We also entered into a supply agreement with Cheplapharm that obligates Cheplapharm to purchase Zyprexa product we are manufacturing at an amount which represents a stand alone selling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6" w:right="35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Note 5: Financial Instruments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in Equity and Debt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Our equity investments are accounted for using three different methods depending on the type of equity investment:</w:t>
      </w:r>
    </w:p>
    <w:p>
      <w:pPr>
        <w:spacing w:after="0" w:line="114" w:lineRule="exact"/>
        <w:rPr>
          <w:sz w:val="20"/>
          <w:szCs w:val="20"/>
          <w:color w:val="auto"/>
        </w:rPr>
      </w:pPr>
    </w:p>
    <w:p>
      <w:pPr>
        <w:ind w:left="620" w:right="60" w:hanging="307"/>
        <w:spacing w:after="0" w:line="280" w:lineRule="auto"/>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Investments in companies over which we have significant influence but not a controlling interest are accounted for using the equity method, with our share of earnings or losses reported in other-net, (income) expense.</w:t>
      </w:r>
    </w:p>
    <w:p>
      <w:pPr>
        <w:spacing w:after="0" w:line="60" w:lineRule="exact"/>
        <w:rPr>
          <w:rFonts w:ascii="Arial" w:cs="Arial" w:eastAsia="Arial" w:hAnsi="Arial"/>
          <w:sz w:val="17"/>
          <w:szCs w:val="17"/>
          <w:color w:val="auto"/>
        </w:rPr>
      </w:pPr>
    </w:p>
    <w:p>
      <w:pPr>
        <w:jc w:val="both"/>
        <w:ind w:left="620" w:right="100" w:hanging="307"/>
        <w:spacing w:after="0" w:line="267" w:lineRule="auto"/>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70" w:lineRule="exact"/>
        <w:rPr>
          <w:rFonts w:ascii="Arial" w:cs="Arial" w:eastAsia="Arial" w:hAnsi="Arial"/>
          <w:sz w:val="17"/>
          <w:szCs w:val="17"/>
          <w:color w:val="auto"/>
        </w:rPr>
      </w:pPr>
    </w:p>
    <w:p>
      <w:pPr>
        <w:ind w:left="620" w:right="740" w:hanging="307"/>
        <w:spacing w:after="0" w:line="280" w:lineRule="auto"/>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public equity investments are measured and carried at fair value. Any change in fair value is recognized in other-net, (income) expense.</w:t>
      </w:r>
    </w:p>
    <w:p>
      <w:pPr>
        <w:spacing w:after="0" w:line="60"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near-term prospects of the issuer, general market conditions, and industry specific factors. Adjustments recorded for the three and six months ended June 30, 2023 and 2022 were not material.</w:t>
      </w:r>
    </w:p>
    <w:p>
      <w:pPr>
        <w:spacing w:after="0" w:line="77"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net losses recognized in our consolidated condensed statements of operations for equity securities were $64.9 million and $78.6 million for the three and six months ended June 30, 2023, respectively, and $118.9 million and $544.3 million for the three and six months ended June 30, 2022, respectively. The net gains (losses) recognized for the three and six months ended June 30, 2023 and 2022 on equity securities sold during the respective periods were not material.</w:t>
      </w:r>
    </w:p>
    <w:p>
      <w:pPr>
        <w:spacing w:after="0" w:line="76"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color w:val="auto"/>
        </w:rPr>
        <w:t>As of June 30, 2023, we had approximately $925 million of unfunded commitments to invest in venture capital funds, which we anticipate will be paid over a period of up to 10 years.</w:t>
      </w:r>
    </w:p>
    <w:p>
      <w:pPr>
        <w:spacing w:after="0" w:line="60"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We record our available-for-sale debt securities at fair value, with changes in fair value reported as a component of accumulated other comprehensive income (loss). We periodically assess our investment in available-for-sale securities for impairment losses and credit losses.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Impairment and credit losses related to available-for-sale securities were not material for the three and six months ended June 30, 2023 and 2022.</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contractual maturities of our investments in debt securities measured at fair value as of June 30,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Maturities by Period</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1"/>
                <w:szCs w:val="11"/>
                <w:color w:val="auto"/>
              </w:rPr>
            </w:pPr>
          </w:p>
        </w:tc>
        <w:tc>
          <w:tcPr>
            <w:tcW w:w="1060" w:type="dxa"/>
            <w:vAlign w:val="bottom"/>
          </w:tcPr>
          <w:p>
            <w:pPr>
              <w:jc w:val="center"/>
              <w:ind w:right="125"/>
              <w:spacing w:after="0" w:line="136" w:lineRule="exact"/>
              <w:rPr>
                <w:sz w:val="20"/>
                <w:szCs w:val="20"/>
                <w:color w:val="auto"/>
              </w:rPr>
            </w:pPr>
            <w:r>
              <w:rPr>
                <w:rFonts w:ascii="Arial" w:cs="Arial" w:eastAsia="Arial" w:hAnsi="Arial"/>
                <w:sz w:val="14"/>
                <w:szCs w:val="14"/>
                <w:b w:val="1"/>
                <w:bCs w:val="1"/>
                <w:color w:val="auto"/>
              </w:rPr>
              <w:t>Less Than</w:t>
            </w:r>
          </w:p>
        </w:tc>
        <w:tc>
          <w:tcPr>
            <w:tcW w:w="380" w:type="dxa"/>
            <w:vAlign w:val="bottom"/>
          </w:tcPr>
          <w:p>
            <w:pPr>
              <w:spacing w:after="0"/>
              <w:rPr>
                <w:sz w:val="11"/>
                <w:szCs w:val="11"/>
                <w:color w:val="auto"/>
              </w:rPr>
            </w:pPr>
          </w:p>
        </w:tc>
        <w:tc>
          <w:tcPr>
            <w:tcW w:w="1060" w:type="dxa"/>
            <w:vAlign w:val="bottom"/>
          </w:tcPr>
          <w:p>
            <w:pPr>
              <w:jc w:val="center"/>
              <w:ind w:right="265"/>
              <w:spacing w:after="0" w:line="136" w:lineRule="exact"/>
              <w:rPr>
                <w:sz w:val="20"/>
                <w:szCs w:val="20"/>
                <w:color w:val="auto"/>
              </w:rPr>
            </w:pPr>
            <w:r>
              <w:rPr>
                <w:rFonts w:ascii="Arial" w:cs="Arial" w:eastAsia="Arial" w:hAnsi="Arial"/>
                <w:sz w:val="14"/>
                <w:szCs w:val="14"/>
                <w:b w:val="1"/>
                <w:bCs w:val="1"/>
                <w:color w:val="auto"/>
                <w:w w:val="98"/>
              </w:rPr>
              <w:t>1-5</w:t>
            </w:r>
          </w:p>
        </w:tc>
        <w:tc>
          <w:tcPr>
            <w:tcW w:w="300" w:type="dxa"/>
            <w:vAlign w:val="bottom"/>
          </w:tcPr>
          <w:p>
            <w:pPr>
              <w:spacing w:after="0"/>
              <w:rPr>
                <w:sz w:val="11"/>
                <w:szCs w:val="11"/>
                <w:color w:val="auto"/>
              </w:rPr>
            </w:pPr>
          </w:p>
        </w:tc>
        <w:tc>
          <w:tcPr>
            <w:tcW w:w="1000" w:type="dxa"/>
            <w:vAlign w:val="bottom"/>
          </w:tcPr>
          <w:p>
            <w:pPr>
              <w:jc w:val="right"/>
              <w:ind w:right="445"/>
              <w:spacing w:after="0" w:line="136" w:lineRule="exact"/>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1"/>
                <w:szCs w:val="11"/>
                <w:color w:val="auto"/>
              </w:rPr>
            </w:pPr>
          </w:p>
        </w:tc>
        <w:tc>
          <w:tcPr>
            <w:tcW w:w="1060" w:type="dxa"/>
            <w:vAlign w:val="bottom"/>
          </w:tcPr>
          <w:p>
            <w:pPr>
              <w:jc w:val="center"/>
              <w:ind w:right="125"/>
              <w:spacing w:after="0" w:line="136"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81"/>
        </w:trPr>
        <w:tc>
          <w:tcPr>
            <w:tcW w:w="4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9"/>
              </w:rPr>
              <w:t>1 Year</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85"/>
              <w:spacing w:after="0"/>
              <w:rPr>
                <w:sz w:val="20"/>
                <w:szCs w:val="20"/>
                <w:color w:val="auto"/>
              </w:rPr>
            </w:pPr>
            <w:r>
              <w:rPr>
                <w:rFonts w:ascii="Arial" w:cs="Arial" w:eastAsia="Arial" w:hAnsi="Arial"/>
                <w:sz w:val="14"/>
                <w:szCs w:val="14"/>
                <w:b w:val="1"/>
                <w:bCs w:val="1"/>
                <w:color w:val="auto"/>
                <w:w w:val="99"/>
              </w:rPr>
              <w:t>Years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45"/>
              <w:spacing w:after="0"/>
              <w:rPr>
                <w:sz w:val="20"/>
                <w:szCs w:val="20"/>
                <w:color w:val="auto"/>
              </w:rPr>
            </w:pPr>
            <w:r>
              <w:rPr>
                <w:rFonts w:ascii="Arial" w:cs="Arial" w:eastAsia="Arial" w:hAnsi="Arial"/>
                <w:sz w:val="14"/>
                <w:szCs w:val="14"/>
                <w:b w:val="1"/>
                <w:bCs w:val="1"/>
                <w:color w:val="auto"/>
                <w:w w:val="94"/>
              </w:rPr>
              <w:t>Years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w w:val="97"/>
              </w:rPr>
              <w:t>10 Years</w:t>
            </w:r>
          </w:p>
        </w:tc>
        <w:tc>
          <w:tcPr>
            <w:tcW w:w="0" w:type="dxa"/>
            <w:vAlign w:val="bottom"/>
          </w:tcPr>
          <w:p>
            <w:pPr>
              <w:spacing w:after="0"/>
              <w:rPr>
                <w:sz w:val="1"/>
                <w:szCs w:val="1"/>
                <w:color w:val="auto"/>
              </w:rPr>
            </w:pPr>
          </w:p>
        </w:tc>
      </w:tr>
      <w:tr>
        <w:trPr>
          <w:trHeight w:val="212"/>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debt securities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663.6</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86.1</w:t>
            </w:r>
          </w:p>
        </w:tc>
        <w:tc>
          <w:tcPr>
            <w:tcW w:w="380" w:type="dxa"/>
            <w:vAlign w:val="bottom"/>
            <w:shd w:val="clear" w:color="auto" w:fill="CCEEFF"/>
          </w:tcPr>
          <w:p>
            <w:pPr>
              <w:jc w:val="right"/>
              <w:ind w:right="8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85"/>
              <w:spacing w:after="0"/>
              <w:rPr>
                <w:sz w:val="20"/>
                <w:szCs w:val="20"/>
                <w:color w:val="auto"/>
              </w:rPr>
            </w:pPr>
            <w:r>
              <w:rPr>
                <w:rFonts w:ascii="Arial" w:cs="Arial" w:eastAsia="Arial" w:hAnsi="Arial"/>
                <w:sz w:val="17"/>
                <w:szCs w:val="17"/>
                <w:color w:val="auto"/>
              </w:rPr>
              <w:t>213.2</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7"/>
                <w:szCs w:val="17"/>
                <w:color w:val="auto"/>
              </w:rPr>
              <w:t>117.0</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247.3</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A summary of the amount of unrealized gains and losses in accumulated other comprehensive loss and the fair value of available-for-sale securities in an unrealized gain or loss position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June 30, 2023</w:t>
            </w: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December 31, 2022</w:t>
            </w:r>
          </w:p>
        </w:tc>
      </w:tr>
      <w:tr>
        <w:trPr>
          <w:trHeight w:val="213"/>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gross gains</w:t>
            </w:r>
          </w:p>
        </w:tc>
        <w:tc>
          <w:tcPr>
            <w:tcW w:w="300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0.6</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19"/>
        </w:trPr>
        <w:tc>
          <w:tcPr>
            <w:tcW w:w="4780" w:type="dxa"/>
            <w:vAlign w:val="bottom"/>
          </w:tcPr>
          <w:p>
            <w:pPr>
              <w:ind w:left="20"/>
              <w:spacing w:after="0"/>
              <w:rPr>
                <w:sz w:val="20"/>
                <w:szCs w:val="20"/>
                <w:color w:val="auto"/>
              </w:rPr>
            </w:pPr>
            <w:r>
              <w:rPr>
                <w:rFonts w:ascii="Arial" w:cs="Arial" w:eastAsia="Arial" w:hAnsi="Arial"/>
                <w:sz w:val="17"/>
                <w:szCs w:val="17"/>
                <w:color w:val="auto"/>
              </w:rPr>
              <w:t>Unrealized gross losses</w:t>
            </w:r>
          </w:p>
        </w:tc>
        <w:tc>
          <w:tcPr>
            <w:tcW w:w="3000" w:type="dxa"/>
            <w:vAlign w:val="bottom"/>
          </w:tcPr>
          <w:p>
            <w:pPr>
              <w:spacing w:after="0"/>
              <w:rPr>
                <w:sz w:val="19"/>
                <w:szCs w:val="19"/>
                <w:color w:val="auto"/>
              </w:rPr>
            </w:pPr>
          </w:p>
        </w:tc>
        <w:tc>
          <w:tcPr>
            <w:tcW w:w="1560" w:type="dxa"/>
            <w:vAlign w:val="bottom"/>
          </w:tcPr>
          <w:p>
            <w:pPr>
              <w:jc w:val="right"/>
              <w:ind w:right="17"/>
              <w:spacing w:after="0"/>
              <w:rPr>
                <w:sz w:val="20"/>
                <w:szCs w:val="20"/>
                <w:color w:val="auto"/>
              </w:rPr>
            </w:pPr>
            <w:r>
              <w:rPr>
                <w:rFonts w:ascii="Arial" w:cs="Arial" w:eastAsia="Arial" w:hAnsi="Arial"/>
                <w:sz w:val="17"/>
                <w:szCs w:val="17"/>
                <w:b w:val="1"/>
                <w:bCs w:val="1"/>
                <w:color w:val="auto"/>
              </w:rPr>
              <w:t>44.6</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49.2</w:t>
            </w:r>
          </w:p>
        </w:tc>
      </w:tr>
      <w:tr>
        <w:trPr>
          <w:trHeight w:val="232"/>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securities in an unrealized gain position</w:t>
            </w:r>
          </w:p>
        </w:tc>
        <w:tc>
          <w:tcPr>
            <w:tcW w:w="300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54.6</w:t>
            </w:r>
          </w:p>
        </w:tc>
        <w:tc>
          <w:tcPr>
            <w:tcW w:w="2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w:t>
            </w:r>
          </w:p>
        </w:tc>
      </w:tr>
      <w:tr>
        <w:trPr>
          <w:trHeight w:val="242"/>
        </w:trPr>
        <w:tc>
          <w:tcPr>
            <w:tcW w:w="4780" w:type="dxa"/>
            <w:vAlign w:val="bottom"/>
          </w:tcPr>
          <w:p>
            <w:pPr>
              <w:ind w:left="20"/>
              <w:spacing w:after="0"/>
              <w:rPr>
                <w:sz w:val="20"/>
                <w:szCs w:val="20"/>
                <w:color w:val="auto"/>
              </w:rPr>
            </w:pPr>
            <w:r>
              <w:rPr>
                <w:rFonts w:ascii="Arial" w:cs="Arial" w:eastAsia="Arial" w:hAnsi="Arial"/>
                <w:sz w:val="17"/>
                <w:szCs w:val="17"/>
                <w:color w:val="auto"/>
              </w:rPr>
              <w:t>Fair value of securities in an unrealized loss position</w:t>
            </w:r>
          </w:p>
        </w:tc>
        <w:tc>
          <w:tcPr>
            <w:tcW w:w="300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7"/>
                <w:szCs w:val="17"/>
                <w:b w:val="1"/>
                <w:bCs w:val="1"/>
                <w:color w:val="auto"/>
              </w:rPr>
              <w:t>570.6</w:t>
            </w: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568.7</w:t>
            </w:r>
          </w:p>
        </w:tc>
      </w:tr>
      <w:tr>
        <w:trPr>
          <w:trHeight w:val="802"/>
        </w:trPr>
        <w:tc>
          <w:tcPr>
            <w:tcW w:w="4780" w:type="dxa"/>
            <w:vAlign w:val="bottom"/>
          </w:tcPr>
          <w:p>
            <w:pPr>
              <w:spacing w:after="0"/>
              <w:rPr>
                <w:sz w:val="24"/>
                <w:szCs w:val="24"/>
                <w:color w:val="auto"/>
              </w:rPr>
            </w:pPr>
          </w:p>
        </w:tc>
        <w:tc>
          <w:tcPr>
            <w:tcW w:w="3000" w:type="dxa"/>
            <w:vAlign w:val="bottom"/>
          </w:tcPr>
          <w:p>
            <w:pPr>
              <w:jc w:val="right"/>
              <w:ind w:right="1974"/>
              <w:spacing w:after="0"/>
              <w:rPr>
                <w:sz w:val="20"/>
                <w:szCs w:val="20"/>
                <w:color w:val="auto"/>
              </w:rPr>
            </w:pPr>
            <w:r>
              <w:rPr>
                <w:rFonts w:ascii="Arial" w:cs="Arial" w:eastAsia="Arial" w:hAnsi="Arial"/>
                <w:sz w:val="17"/>
                <w:szCs w:val="17"/>
                <w:color w:val="auto"/>
              </w:rPr>
              <w:t>20</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1"/>
        </w:trPr>
        <w:tc>
          <w:tcPr>
            <w:tcW w:w="478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20" w:name="page21"/>
    <w:bookmarkEnd w:id="20"/>
    <w:p>
      <w:pPr>
        <w:ind w:right="20"/>
        <w:spacing w:after="0" w:line="260" w:lineRule="auto"/>
        <w:rPr>
          <w:sz w:val="20"/>
          <w:szCs w:val="20"/>
          <w:color w:val="auto"/>
        </w:rPr>
      </w:pPr>
      <w:r>
        <w:rPr>
          <w:rFonts w:ascii="Arial" w:cs="Arial" w:eastAsia="Arial" w:hAnsi="Arial"/>
          <w:sz w:val="17"/>
          <w:szCs w:val="17"/>
          <w:color w:val="auto"/>
        </w:rPr>
        <w:t>As of June 30, 2023, the available-for-sale securities in an unrealized loss position include primarily fixed-rate debt securities of varying maturities, which are sensitive to changes in the yield curve and other market conditions. Approximately 99 percent of the fixed-rate debt securities in a loss position are investment-grade debt securities. As of June 30, 2023, we do not intend to sell, and it is not more likely than not that we will be required to sell, the securities in a loss position before the market values recover or the underlying cash flows have been received, and there is no indication of a material default on interest or principal payments for our debt securities.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Activity related to our available-for-sale securities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60" w:type="dxa"/>
            <w:vAlign w:val="bottom"/>
          </w:tcPr>
          <w:p>
            <w:pPr>
              <w:spacing w:after="0"/>
              <w:rPr>
                <w:sz w:val="16"/>
                <w:szCs w:val="16"/>
                <w:color w:val="auto"/>
              </w:rPr>
            </w:pPr>
          </w:p>
        </w:tc>
        <w:tc>
          <w:tcPr>
            <w:tcW w:w="26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578"/>
              <w:spacing w:after="0"/>
              <w:rPr>
                <w:sz w:val="20"/>
                <w:szCs w:val="20"/>
                <w:color w:val="auto"/>
              </w:rPr>
            </w:pPr>
            <w:r>
              <w:rPr>
                <w:rFonts w:ascii="Arial" w:cs="Arial" w:eastAsia="Arial" w:hAnsi="Arial"/>
                <w:sz w:val="14"/>
                <w:szCs w:val="14"/>
                <w:b w:val="1"/>
                <w:bCs w:val="1"/>
                <w:color w:val="auto"/>
              </w:rPr>
              <w:t>Six Months Ended June 30,</w:t>
            </w:r>
          </w:p>
        </w:tc>
      </w:tr>
      <w:tr>
        <w:trPr>
          <w:trHeight w:val="174"/>
        </w:trPr>
        <w:tc>
          <w:tcPr>
            <w:tcW w:w="48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r>
      <w:tr>
        <w:trPr>
          <w:trHeight w:val="225"/>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sales</w:t>
            </w:r>
          </w:p>
        </w:tc>
        <w:tc>
          <w:tcPr>
            <w:tcW w:w="980" w:type="dxa"/>
            <w:vAlign w:val="bottom"/>
            <w:shd w:val="clear" w:color="auto" w:fill="CCEEFF"/>
          </w:tcPr>
          <w:p>
            <w:pPr>
              <w:jc w:val="right"/>
              <w:ind w:right="805"/>
              <w:spacing w:after="0"/>
              <w:rPr>
                <w:sz w:val="20"/>
                <w:szCs w:val="20"/>
                <w:color w:val="auto"/>
              </w:rPr>
            </w:pPr>
            <w:r>
              <w:rPr>
                <w:rFonts w:ascii="Arial" w:cs="Arial" w:eastAsia="Arial" w:hAnsi="Arial"/>
                <w:sz w:val="17"/>
                <w:szCs w:val="17"/>
                <w:b w:val="1"/>
                <w:bCs w:val="1"/>
                <w:color w:val="auto"/>
                <w:w w:val="84"/>
              </w:rPr>
              <w:t>$</w:t>
            </w: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34.2</w:t>
            </w:r>
          </w:p>
        </w:tc>
        <w:tc>
          <w:tcPr>
            <w:tcW w:w="1100" w:type="dxa"/>
            <w:vAlign w:val="bottom"/>
            <w:shd w:val="clear" w:color="auto" w:fill="CCEEFF"/>
          </w:tcPr>
          <w:p>
            <w:pPr>
              <w:jc w:val="right"/>
              <w:ind w:right="803"/>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29.9</w:t>
            </w:r>
          </w:p>
        </w:tc>
        <w:tc>
          <w:tcPr>
            <w:tcW w:w="46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61.8</w:t>
            </w:r>
          </w:p>
        </w:tc>
        <w:tc>
          <w:tcPr>
            <w:tcW w:w="4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w:t>
            </w:r>
          </w:p>
        </w:tc>
      </w:tr>
      <w:tr>
        <w:trPr>
          <w:trHeight w:val="219"/>
        </w:trPr>
        <w:tc>
          <w:tcPr>
            <w:tcW w:w="4860" w:type="dxa"/>
            <w:vAlign w:val="bottom"/>
          </w:tcPr>
          <w:p>
            <w:pPr>
              <w:ind w:left="20"/>
              <w:spacing w:after="0"/>
              <w:rPr>
                <w:sz w:val="20"/>
                <w:szCs w:val="20"/>
                <w:color w:val="auto"/>
              </w:rPr>
            </w:pPr>
            <w:r>
              <w:rPr>
                <w:rFonts w:ascii="Arial" w:cs="Arial" w:eastAsia="Arial" w:hAnsi="Arial"/>
                <w:sz w:val="17"/>
                <w:szCs w:val="17"/>
                <w:color w:val="auto"/>
              </w:rPr>
              <w:t>Realized gross gains on sales</w:t>
            </w:r>
          </w:p>
        </w:tc>
        <w:tc>
          <w:tcPr>
            <w:tcW w:w="980" w:type="dxa"/>
            <w:vAlign w:val="bottom"/>
          </w:tcPr>
          <w:p>
            <w:pPr>
              <w:spacing w:after="0"/>
              <w:rPr>
                <w:sz w:val="19"/>
                <w:szCs w:val="19"/>
                <w:color w:val="auto"/>
              </w:rPr>
            </w:pPr>
          </w:p>
        </w:tc>
        <w:tc>
          <w:tcPr>
            <w:tcW w:w="540" w:type="dxa"/>
            <w:vAlign w:val="bottom"/>
          </w:tcPr>
          <w:p>
            <w:pPr>
              <w:jc w:val="right"/>
              <w:ind w:right="34"/>
              <w:spacing w:after="0"/>
              <w:rPr>
                <w:sz w:val="20"/>
                <w:szCs w:val="20"/>
                <w:color w:val="auto"/>
              </w:rPr>
            </w:pPr>
            <w:r>
              <w:rPr>
                <w:rFonts w:ascii="Arial" w:cs="Arial" w:eastAsia="Arial" w:hAnsi="Arial"/>
                <w:sz w:val="17"/>
                <w:szCs w:val="17"/>
                <w:b w:val="1"/>
                <w:bCs w:val="1"/>
                <w:color w:val="auto"/>
              </w:rPr>
              <w:t>0.1</w:t>
            </w:r>
          </w:p>
        </w:tc>
        <w:tc>
          <w:tcPr>
            <w:tcW w:w="1100" w:type="dxa"/>
            <w:vAlign w:val="bottom"/>
          </w:tcPr>
          <w:p>
            <w:pPr>
              <w:spacing w:after="0"/>
              <w:rPr>
                <w:sz w:val="19"/>
                <w:szCs w:val="19"/>
                <w:color w:val="auto"/>
              </w:rPr>
            </w:pPr>
          </w:p>
        </w:tc>
        <w:tc>
          <w:tcPr>
            <w:tcW w:w="540" w:type="dxa"/>
            <w:vAlign w:val="bottom"/>
          </w:tcPr>
          <w:p>
            <w:pPr>
              <w:jc w:val="right"/>
              <w:ind w:right="34"/>
              <w:spacing w:after="0"/>
              <w:rPr>
                <w:sz w:val="20"/>
                <w:szCs w:val="20"/>
                <w:color w:val="auto"/>
              </w:rPr>
            </w:pPr>
            <w:r>
              <w:rPr>
                <w:rFonts w:ascii="Arial" w:cs="Arial" w:eastAsia="Arial" w:hAnsi="Arial"/>
                <w:sz w:val="17"/>
                <w:szCs w:val="17"/>
                <w:color w:val="auto"/>
              </w:rPr>
              <w:t>0.1</w:t>
            </w:r>
          </w:p>
        </w:tc>
        <w:tc>
          <w:tcPr>
            <w:tcW w:w="4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17"/>
                <w:szCs w:val="17"/>
                <w:b w:val="1"/>
                <w:bCs w:val="1"/>
                <w:color w:val="auto"/>
              </w:rPr>
              <w:t>0.3</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gross losses on sales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1.0</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0.7</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1.7</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bl>
    <w:p>
      <w:pPr>
        <w:spacing w:after="0" w:line="181"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color w:val="auto"/>
        </w:rPr>
        <w:t>Realized gains and losses on sales of available-for-sale investments are computed based upon specific identification of the initial cost adjusted for any other-than-temporary declines in fair value that were recorded in earnings.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i w:val="1"/>
          <w:iCs w:val="1"/>
          <w:u w:val="single" w:color="auto"/>
          <w:color w:val="auto"/>
        </w:rPr>
        <w:t>Fair Value of Investments</w:t>
      </w:r>
    </w:p>
    <w:p>
      <w:pPr>
        <w:spacing w:after="0" w:line="120" w:lineRule="exact"/>
        <w:rPr>
          <w:sz w:val="20"/>
          <w:szCs w:val="20"/>
          <w:color w:val="auto"/>
        </w:rPr>
      </w:pPr>
    </w:p>
    <w:p>
      <w:pPr>
        <w:ind w:right="440"/>
        <w:spacing w:after="0" w:line="280" w:lineRule="auto"/>
        <w:rPr>
          <w:sz w:val="20"/>
          <w:szCs w:val="20"/>
          <w:color w:val="auto"/>
        </w:rPr>
      </w:pPr>
      <w:r>
        <w:rPr>
          <w:rFonts w:ascii="Arial" w:cs="Arial" w:eastAsia="Arial" w:hAnsi="Arial"/>
          <w:sz w:val="17"/>
          <w:szCs w:val="17"/>
          <w:color w:val="auto"/>
        </w:rPr>
        <w:t>The following table summarizes certain fair value information at June 30, 2023 and December 31, 2022 for investment assets measured at fair value on a recurring basis, as well as the carrying amount and amortized cost of certain other investments: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5"/>
          </w:tcPr>
          <w:p>
            <w:pPr>
              <w:jc w:val="right"/>
              <w:ind w:right="784"/>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gridSpan w:val="2"/>
          </w:tcPr>
          <w:p>
            <w:pPr>
              <w:jc w:val="center"/>
              <w:spacing w:after="0" w:line="136" w:lineRule="exact"/>
              <w:rPr>
                <w:sz w:val="20"/>
                <w:szCs w:val="20"/>
                <w:color w:val="auto"/>
              </w:rPr>
            </w:pPr>
            <w:r>
              <w:rPr>
                <w:rFonts w:ascii="Arial" w:cs="Arial" w:eastAsia="Arial" w:hAnsi="Arial"/>
                <w:sz w:val="14"/>
                <w:szCs w:val="14"/>
                <w:b w:val="1"/>
                <w:bCs w:val="1"/>
                <w:color w:val="auto"/>
                <w:w w:val="96"/>
              </w:rPr>
              <w:t>Quoted Prices</w:t>
            </w:r>
          </w:p>
        </w:tc>
        <w:tc>
          <w:tcPr>
            <w:tcW w:w="200" w:type="dxa"/>
            <w:vAlign w:val="bottom"/>
          </w:tcPr>
          <w:p>
            <w:pPr>
              <w:spacing w:after="0"/>
              <w:rPr>
                <w:sz w:val="11"/>
                <w:szCs w:val="11"/>
                <w:color w:val="auto"/>
              </w:rPr>
            </w:pPr>
          </w:p>
        </w:tc>
        <w:tc>
          <w:tcPr>
            <w:tcW w:w="1000" w:type="dxa"/>
            <w:vAlign w:val="bottom"/>
          </w:tcPr>
          <w:p>
            <w:pPr>
              <w:jc w:val="center"/>
              <w:ind w:right="104"/>
              <w:spacing w:after="0" w:line="136" w:lineRule="exact"/>
              <w:rPr>
                <w:sz w:val="20"/>
                <w:szCs w:val="20"/>
                <w:color w:val="auto"/>
              </w:rPr>
            </w:pPr>
            <w:r>
              <w:rPr>
                <w:rFonts w:ascii="Arial" w:cs="Arial" w:eastAsia="Arial" w:hAnsi="Arial"/>
                <w:sz w:val="14"/>
                <w:szCs w:val="14"/>
                <w:b w:val="1"/>
                <w:bCs w:val="1"/>
                <w:color w:val="auto"/>
                <w:w w:val="97"/>
              </w:rPr>
              <w:t>Significant</w:t>
            </w:r>
          </w:p>
        </w:tc>
        <w:tc>
          <w:tcPr>
            <w:tcW w:w="240" w:type="dxa"/>
            <w:vAlign w:val="bottom"/>
          </w:tcPr>
          <w:p>
            <w:pPr>
              <w:spacing w:after="0"/>
              <w:rPr>
                <w:sz w:val="11"/>
                <w:szCs w:val="11"/>
                <w:color w:val="auto"/>
              </w:rPr>
            </w:pPr>
          </w:p>
        </w:tc>
        <w:tc>
          <w:tcPr>
            <w:tcW w:w="120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124"/>
              <w:spacing w:after="0" w:line="131" w:lineRule="exact"/>
              <w:rPr>
                <w:sz w:val="20"/>
                <w:szCs w:val="20"/>
                <w:color w:val="auto"/>
              </w:rPr>
            </w:pPr>
            <w:r>
              <w:rPr>
                <w:rFonts w:ascii="Arial" w:cs="Arial" w:eastAsia="Arial" w:hAnsi="Arial"/>
                <w:sz w:val="14"/>
                <w:szCs w:val="14"/>
                <w:b w:val="1"/>
                <w:bCs w:val="1"/>
                <w:color w:val="auto"/>
                <w:w w:val="95"/>
              </w:rPr>
              <w:t>in Active</w:t>
            </w:r>
          </w:p>
        </w:tc>
        <w:tc>
          <w:tcPr>
            <w:tcW w:w="200" w:type="dxa"/>
            <w:vAlign w:val="bottom"/>
          </w:tcPr>
          <w:p>
            <w:pPr>
              <w:spacing w:after="0"/>
              <w:rPr>
                <w:sz w:val="11"/>
                <w:szCs w:val="11"/>
                <w:color w:val="auto"/>
              </w:rPr>
            </w:pPr>
          </w:p>
        </w:tc>
        <w:tc>
          <w:tcPr>
            <w:tcW w:w="1000" w:type="dxa"/>
            <w:vAlign w:val="bottom"/>
          </w:tcPr>
          <w:p>
            <w:pPr>
              <w:jc w:val="center"/>
              <w:ind w:right="84"/>
              <w:spacing w:after="0" w:line="131"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44"/>
              <w:spacing w:after="0" w:line="142" w:lineRule="exact"/>
              <w:rPr>
                <w:sz w:val="20"/>
                <w:szCs w:val="20"/>
                <w:color w:val="auto"/>
              </w:rPr>
            </w:pPr>
            <w:r>
              <w:rPr>
                <w:rFonts w:ascii="Arial" w:cs="Arial" w:eastAsia="Arial" w:hAnsi="Arial"/>
                <w:sz w:val="14"/>
                <w:szCs w:val="14"/>
                <w:b w:val="1"/>
                <w:bCs w:val="1"/>
                <w:color w:val="auto"/>
                <w:w w:val="98"/>
              </w:rPr>
              <w:t>Markets for</w:t>
            </w:r>
          </w:p>
        </w:tc>
        <w:tc>
          <w:tcPr>
            <w:tcW w:w="200" w:type="dxa"/>
            <w:vAlign w:val="bottom"/>
          </w:tcPr>
          <w:p>
            <w:pPr>
              <w:spacing w:after="0"/>
              <w:rPr>
                <w:sz w:val="12"/>
                <w:szCs w:val="12"/>
                <w:color w:val="auto"/>
              </w:rPr>
            </w:pPr>
          </w:p>
        </w:tc>
        <w:tc>
          <w:tcPr>
            <w:tcW w:w="1000" w:type="dxa"/>
            <w:vAlign w:val="bottom"/>
          </w:tcPr>
          <w:p>
            <w:pPr>
              <w:jc w:val="center"/>
              <w:ind w:right="84"/>
              <w:spacing w:after="0" w:line="142" w:lineRule="exact"/>
              <w:rPr>
                <w:sz w:val="20"/>
                <w:szCs w:val="20"/>
                <w:color w:val="auto"/>
              </w:rPr>
            </w:pPr>
            <w:r>
              <w:rPr>
                <w:rFonts w:ascii="Arial" w:cs="Arial" w:eastAsia="Arial" w:hAnsi="Arial"/>
                <w:sz w:val="14"/>
                <w:szCs w:val="14"/>
                <w:b w:val="1"/>
                <w:bCs w:val="1"/>
                <w:color w:val="auto"/>
                <w:w w:val="99"/>
              </w:rPr>
              <w:t>Observable</w:t>
            </w:r>
          </w:p>
        </w:tc>
        <w:tc>
          <w:tcPr>
            <w:tcW w:w="240" w:type="dxa"/>
            <w:vAlign w:val="bottom"/>
          </w:tcPr>
          <w:p>
            <w:pPr>
              <w:spacing w:after="0"/>
              <w:rPr>
                <w:sz w:val="12"/>
                <w:szCs w:val="12"/>
                <w:color w:val="auto"/>
              </w:rPr>
            </w:pPr>
          </w:p>
        </w:tc>
        <w:tc>
          <w:tcPr>
            <w:tcW w:w="1200" w:type="dxa"/>
            <w:vAlign w:val="bottom"/>
          </w:tcPr>
          <w:p>
            <w:pPr>
              <w:jc w:val="center"/>
              <w:ind w:right="84"/>
              <w:spacing w:after="0" w:line="142" w:lineRule="exact"/>
              <w:rPr>
                <w:sz w:val="20"/>
                <w:szCs w:val="20"/>
                <w:color w:val="auto"/>
              </w:rPr>
            </w:pPr>
            <w:r>
              <w:rPr>
                <w:rFonts w:ascii="Arial" w:cs="Arial" w:eastAsia="Arial" w:hAnsi="Arial"/>
                <w:sz w:val="14"/>
                <w:szCs w:val="14"/>
                <w:b w:val="1"/>
                <w:bCs w:val="1"/>
                <w:color w:val="auto"/>
                <w:w w:val="99"/>
              </w:rPr>
              <w:t>Unobservable</w:t>
            </w:r>
          </w:p>
        </w:tc>
        <w:tc>
          <w:tcPr>
            <w:tcW w:w="340" w:type="dxa"/>
            <w:vAlign w:val="bottom"/>
          </w:tcPr>
          <w:p>
            <w:pPr>
              <w:spacing w:after="0"/>
              <w:rPr>
                <w:sz w:val="12"/>
                <w:szCs w:val="12"/>
                <w:color w:val="auto"/>
              </w:rPr>
            </w:pPr>
          </w:p>
        </w:tc>
        <w:tc>
          <w:tcPr>
            <w:tcW w:w="860" w:type="dxa"/>
            <w:vAlign w:val="bottom"/>
            <w:vMerge w:val="restart"/>
          </w:tcPr>
          <w:p>
            <w:pPr>
              <w:jc w:val="right"/>
              <w:ind w:right="36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1"/>
        </w:trPr>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63"/>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7"/>
                <w:szCs w:val="17"/>
                <w:b w:val="1"/>
                <w:bCs w:val="1"/>
                <w:color w:val="auto"/>
                <w:vertAlign w:val="superscript"/>
              </w:rPr>
              <w:t>(1)</w:t>
            </w:r>
          </w:p>
        </w:tc>
        <w:tc>
          <w:tcPr>
            <w:tcW w:w="116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auto"/>
              </w:rPr>
              <w:t>Identical Assets</w:t>
            </w:r>
          </w:p>
        </w:tc>
        <w:tc>
          <w:tcPr>
            <w:tcW w:w="200" w:type="dxa"/>
            <w:vAlign w:val="bottom"/>
          </w:tcPr>
          <w:p>
            <w:pPr>
              <w:spacing w:after="0"/>
              <w:rPr>
                <w:sz w:val="12"/>
                <w:szCs w:val="12"/>
                <w:color w:val="auto"/>
              </w:rPr>
            </w:pPr>
          </w:p>
        </w:tc>
        <w:tc>
          <w:tcPr>
            <w:tcW w:w="1000" w:type="dxa"/>
            <w:vAlign w:val="bottom"/>
          </w:tcPr>
          <w:p>
            <w:pPr>
              <w:jc w:val="center"/>
              <w:ind w:right="84"/>
              <w:spacing w:after="0" w:line="141"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200" w:type="dxa"/>
            <w:vAlign w:val="bottom"/>
          </w:tcPr>
          <w:p>
            <w:pPr>
              <w:jc w:val="center"/>
              <w:ind w:right="84"/>
              <w:spacing w:after="0" w:line="141"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8"/>
              </w:rPr>
              <w:t>(Level 1)</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8"/>
              </w:rPr>
              <w:t>(Level 2)</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8"/>
              </w:rPr>
              <w:t>(Level 3)</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9"/>
        </w:trPr>
        <w:tc>
          <w:tcPr>
            <w:tcW w:w="38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June 30, 2023</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6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5"/>
                <w:szCs w:val="15"/>
                <w:color w:val="auto"/>
              </w:rPr>
              <w:t>Cash equivalents</w:t>
            </w:r>
            <w:r>
              <w:rPr>
                <w:rFonts w:ascii="Arial" w:cs="Arial" w:eastAsia="Arial" w:hAnsi="Arial"/>
                <w:sz w:val="20"/>
                <w:szCs w:val="20"/>
                <w:color w:val="auto"/>
                <w:vertAlign w:val="superscript"/>
              </w:rPr>
              <w:t>(2)</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1,340.9</w:t>
            </w:r>
          </w:p>
        </w:tc>
        <w:tc>
          <w:tcPr>
            <w:tcW w:w="340" w:type="dxa"/>
            <w:vAlign w:val="bottom"/>
            <w:tcBorders>
              <w:bottom w:val="single" w:sz="8" w:color="CCEEFF"/>
            </w:tcBorders>
          </w:tcPr>
          <w:p>
            <w:pPr>
              <w:jc w:val="right"/>
              <w:ind w:right="43"/>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CCEEFF"/>
            </w:tcBorders>
          </w:tcPr>
          <w:p>
            <w:pPr>
              <w:jc w:val="right"/>
              <w:ind w:right="83"/>
              <w:spacing w:after="0"/>
              <w:rPr>
                <w:sz w:val="20"/>
                <w:szCs w:val="20"/>
                <w:color w:val="auto"/>
              </w:rPr>
            </w:pPr>
            <w:r>
              <w:rPr>
                <w:rFonts w:ascii="Arial" w:cs="Arial" w:eastAsia="Arial" w:hAnsi="Arial"/>
                <w:sz w:val="15"/>
                <w:szCs w:val="15"/>
                <w:b w:val="1"/>
                <w:bCs w:val="1"/>
                <w:color w:val="auto"/>
              </w:rPr>
              <w:t>1,340.9</w:t>
            </w:r>
          </w:p>
        </w:tc>
        <w:tc>
          <w:tcPr>
            <w:tcW w:w="1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CCEEFF"/>
            </w:tcBorders>
          </w:tcPr>
          <w:p>
            <w:pPr>
              <w:jc w:val="right"/>
              <w:ind w:right="44"/>
              <w:spacing w:after="0"/>
              <w:rPr>
                <w:sz w:val="20"/>
                <w:szCs w:val="20"/>
                <w:color w:val="auto"/>
              </w:rPr>
            </w:pPr>
            <w:r>
              <w:rPr>
                <w:rFonts w:ascii="Arial" w:cs="Arial" w:eastAsia="Arial" w:hAnsi="Arial"/>
                <w:sz w:val="15"/>
                <w:szCs w:val="15"/>
                <w:b w:val="1"/>
                <w:bCs w:val="1"/>
                <w:color w:val="auto"/>
              </w:rPr>
              <w:t>1,333.7</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CCEEFF"/>
            </w:tcBorders>
          </w:tcPr>
          <w:p>
            <w:pPr>
              <w:jc w:val="right"/>
              <w:ind w:right="24"/>
              <w:spacing w:after="0"/>
              <w:rPr>
                <w:sz w:val="20"/>
                <w:szCs w:val="20"/>
                <w:color w:val="auto"/>
              </w:rPr>
            </w:pPr>
            <w:r>
              <w:rPr>
                <w:rFonts w:ascii="Arial" w:cs="Arial" w:eastAsia="Arial" w:hAnsi="Arial"/>
                <w:sz w:val="15"/>
                <w:szCs w:val="15"/>
                <w:b w:val="1"/>
                <w:bCs w:val="1"/>
                <w:color w:val="auto"/>
              </w:rPr>
              <w:t>7.2</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CCEEFF"/>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CCEEFF"/>
            </w:tcBorders>
          </w:tcPr>
          <w:p>
            <w:pPr>
              <w:jc w:val="right"/>
              <w:ind w:right="63"/>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b w:val="1"/>
                <w:bCs w:val="1"/>
                <w:color w:val="auto"/>
              </w:rPr>
              <w:t>1,340.9</w:t>
            </w:r>
          </w:p>
        </w:tc>
        <w:tc>
          <w:tcPr>
            <w:tcW w:w="0" w:type="dxa"/>
            <w:vAlign w:val="bottom"/>
          </w:tcPr>
          <w:p>
            <w:pPr>
              <w:spacing w:after="0"/>
              <w:rPr>
                <w:sz w:val="1"/>
                <w:szCs w:val="1"/>
                <w:color w:val="auto"/>
              </w:rPr>
            </w:pPr>
          </w:p>
        </w:tc>
      </w:tr>
      <w:tr>
        <w:trPr>
          <w:trHeight w:val="90"/>
        </w:trPr>
        <w:tc>
          <w:tcPr>
            <w:tcW w:w="38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3860" w:type="dxa"/>
            <w:vAlign w:val="bottom"/>
          </w:tcPr>
          <w:p>
            <w:pPr>
              <w:ind w:left="20"/>
              <w:spacing w:after="0"/>
              <w:rPr>
                <w:sz w:val="20"/>
                <w:szCs w:val="20"/>
                <w:color w:val="auto"/>
              </w:rPr>
            </w:pPr>
            <w:r>
              <w:rPr>
                <w:rFonts w:ascii="Arial" w:cs="Arial" w:eastAsia="Arial" w:hAnsi="Arial"/>
                <w:sz w:val="15"/>
                <w:szCs w:val="15"/>
                <w:color w:val="auto"/>
              </w:rPr>
              <w:t>Short-term investments: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U.S. government and agency securities</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19.5</w:t>
            </w:r>
          </w:p>
        </w:tc>
        <w:tc>
          <w:tcPr>
            <w:tcW w:w="34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19.9</w:t>
            </w:r>
          </w:p>
        </w:tc>
        <w:tc>
          <w:tcPr>
            <w:tcW w:w="1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19.5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19.5</w:t>
            </w:r>
          </w:p>
        </w:tc>
        <w:tc>
          <w:tcPr>
            <w:tcW w:w="0" w:type="dxa"/>
            <w:vAlign w:val="bottom"/>
          </w:tcPr>
          <w:p>
            <w:pPr>
              <w:spacing w:after="0"/>
              <w:rPr>
                <w:sz w:val="1"/>
                <w:szCs w:val="1"/>
                <w:color w:val="auto"/>
              </w:rPr>
            </w:pPr>
          </w:p>
        </w:tc>
      </w:tr>
      <w:tr>
        <w:trPr>
          <w:trHeight w:val="207"/>
        </w:trPr>
        <w:tc>
          <w:tcPr>
            <w:tcW w:w="3860" w:type="dxa"/>
            <w:vAlign w:val="bottom"/>
          </w:tcPr>
          <w:p>
            <w:pPr>
              <w:ind w:left="140"/>
              <w:spacing w:after="0"/>
              <w:rPr>
                <w:sz w:val="20"/>
                <w:szCs w:val="20"/>
                <w:color w:val="auto"/>
              </w:rPr>
            </w:pPr>
            <w:r>
              <w:rPr>
                <w:rFonts w:ascii="Arial" w:cs="Arial" w:eastAsia="Arial" w:hAnsi="Arial"/>
                <w:sz w:val="15"/>
                <w:szCs w:val="15"/>
                <w:color w:val="auto"/>
              </w:rPr>
              <w:t>Corporate debt securities</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65.3</w:t>
            </w:r>
          </w:p>
        </w:tc>
        <w:tc>
          <w:tcPr>
            <w:tcW w:w="34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b w:val="1"/>
                <w:bCs w:val="1"/>
                <w:color w:val="auto"/>
              </w:rPr>
              <w:t>65.6</w:t>
            </w:r>
          </w:p>
        </w:tc>
        <w:tc>
          <w:tcPr>
            <w:tcW w:w="16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b w:val="1"/>
                <w:bCs w:val="1"/>
                <w:color w:val="auto"/>
              </w:rPr>
              <w:t>65.3</w:t>
            </w:r>
          </w:p>
        </w:tc>
        <w:tc>
          <w:tcPr>
            <w:tcW w:w="2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b w:val="1"/>
                <w:bCs w:val="1"/>
                <w:color w:val="auto"/>
              </w:rPr>
              <w:t>65.3</w:t>
            </w:r>
          </w:p>
        </w:tc>
        <w:tc>
          <w:tcPr>
            <w:tcW w:w="0" w:type="dxa"/>
            <w:vAlign w:val="bottom"/>
          </w:tcPr>
          <w:p>
            <w:pPr>
              <w:spacing w:after="0"/>
              <w:rPr>
                <w:sz w:val="1"/>
                <w:szCs w:val="1"/>
                <w:color w:val="auto"/>
              </w:rPr>
            </w:pPr>
          </w:p>
        </w:tc>
      </w:tr>
      <w:tr>
        <w:trPr>
          <w:trHeight w:val="207"/>
        </w:trPr>
        <w:tc>
          <w:tcPr>
            <w:tcW w:w="3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Asset-backed securities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1.3</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1.3</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1.3</w:t>
            </w:r>
          </w:p>
        </w:tc>
        <w:tc>
          <w:tcPr>
            <w:tcW w:w="0" w:type="dxa"/>
            <w:vAlign w:val="bottom"/>
          </w:tcPr>
          <w:p>
            <w:pPr>
              <w:spacing w:after="0"/>
              <w:rPr>
                <w:sz w:val="1"/>
                <w:szCs w:val="1"/>
                <w:color w:val="auto"/>
              </w:rPr>
            </w:pPr>
          </w:p>
        </w:tc>
      </w:tr>
      <w:tr>
        <w:trPr>
          <w:trHeight w:val="194"/>
        </w:trPr>
        <w:tc>
          <w:tcPr>
            <w:tcW w:w="3860" w:type="dxa"/>
            <w:vAlign w:val="bottom"/>
          </w:tcPr>
          <w:p>
            <w:pPr>
              <w:ind w:left="140"/>
              <w:spacing w:after="0"/>
              <w:rPr>
                <w:sz w:val="20"/>
                <w:szCs w:val="20"/>
                <w:color w:val="auto"/>
              </w:rPr>
            </w:pPr>
            <w:r>
              <w:rPr>
                <w:rFonts w:ascii="Arial" w:cs="Arial" w:eastAsia="Arial" w:hAnsi="Arial"/>
                <w:sz w:val="15"/>
                <w:szCs w:val="15"/>
                <w:color w:val="auto"/>
              </w:rPr>
              <w:t>Other securities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48.5</w:t>
            </w:r>
          </w:p>
        </w:tc>
        <w:tc>
          <w:tcPr>
            <w:tcW w:w="340" w:type="dxa"/>
            <w:vAlign w:val="bottom"/>
          </w:tcPr>
          <w:p>
            <w:pPr>
              <w:spacing w:after="0"/>
              <w:rPr>
                <w:sz w:val="16"/>
                <w:szCs w:val="16"/>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b w:val="1"/>
                <w:bCs w:val="1"/>
                <w:color w:val="auto"/>
              </w:rPr>
              <w:t>48.5</w:t>
            </w:r>
          </w:p>
        </w:tc>
        <w:tc>
          <w:tcPr>
            <w:tcW w:w="16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6"/>
                <w:szCs w:val="16"/>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b w:val="1"/>
                <w:bCs w:val="1"/>
                <w:color w:val="auto"/>
              </w:rPr>
              <w:t>23.5</w:t>
            </w:r>
          </w:p>
        </w:tc>
        <w:tc>
          <w:tcPr>
            <w:tcW w:w="240" w:type="dxa"/>
            <w:vAlign w:val="bottom"/>
          </w:tcPr>
          <w:p>
            <w:pPr>
              <w:spacing w:after="0"/>
              <w:rPr>
                <w:sz w:val="16"/>
                <w:szCs w:val="16"/>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b w:val="1"/>
                <w:bCs w:val="1"/>
                <w:color w:val="auto"/>
              </w:rPr>
              <w:t>25.0</w:t>
            </w:r>
          </w:p>
        </w:tc>
        <w:tc>
          <w:tcPr>
            <w:tcW w:w="340" w:type="dxa"/>
            <w:vAlign w:val="bottom"/>
          </w:tcPr>
          <w:p>
            <w:pPr>
              <w:spacing w:after="0"/>
              <w:rPr>
                <w:sz w:val="16"/>
                <w:szCs w:val="16"/>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b w:val="1"/>
                <w:bCs w:val="1"/>
                <w:color w:val="auto"/>
              </w:rPr>
              <w:t>48.5</w:t>
            </w:r>
          </w:p>
        </w:tc>
        <w:tc>
          <w:tcPr>
            <w:tcW w:w="0" w:type="dxa"/>
            <w:vAlign w:val="bottom"/>
          </w:tcPr>
          <w:p>
            <w:pPr>
              <w:spacing w:after="0"/>
              <w:rPr>
                <w:sz w:val="1"/>
                <w:szCs w:val="1"/>
                <w:color w:val="auto"/>
              </w:rPr>
            </w:pPr>
          </w:p>
        </w:tc>
      </w:tr>
      <w:tr>
        <w:trPr>
          <w:trHeight w:val="205"/>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Short-term investments</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134.6</w:t>
            </w:r>
          </w:p>
        </w:tc>
        <w:tc>
          <w:tcPr>
            <w:tcW w:w="3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3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3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investments: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60" w:type="dxa"/>
            <w:vAlign w:val="bottom"/>
          </w:tcPr>
          <w:p>
            <w:pPr>
              <w:ind w:left="140"/>
              <w:spacing w:after="0"/>
              <w:rPr>
                <w:sz w:val="20"/>
                <w:szCs w:val="20"/>
                <w:color w:val="auto"/>
              </w:rPr>
            </w:pPr>
            <w:r>
              <w:rPr>
                <w:rFonts w:ascii="Arial" w:cs="Arial" w:eastAsia="Arial" w:hAnsi="Arial"/>
                <w:sz w:val="15"/>
                <w:szCs w:val="15"/>
                <w:color w:val="auto"/>
              </w:rPr>
              <w:t>U.S. government and agency securities</w:t>
            </w: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150.2</w:t>
            </w:r>
          </w:p>
        </w:tc>
        <w:tc>
          <w:tcPr>
            <w:tcW w:w="340" w:type="dxa"/>
            <w:vAlign w:val="bottom"/>
          </w:tcPr>
          <w:p>
            <w:pPr>
              <w:jc w:val="right"/>
              <w:ind w:right="43"/>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ind w:right="83"/>
              <w:spacing w:after="0"/>
              <w:rPr>
                <w:sz w:val="20"/>
                <w:szCs w:val="20"/>
                <w:color w:val="auto"/>
              </w:rPr>
            </w:pPr>
            <w:r>
              <w:rPr>
                <w:rFonts w:ascii="Arial" w:cs="Arial" w:eastAsia="Arial" w:hAnsi="Arial"/>
                <w:sz w:val="15"/>
                <w:szCs w:val="15"/>
                <w:b w:val="1"/>
                <w:bCs w:val="1"/>
                <w:color w:val="auto"/>
              </w:rPr>
              <w:t>164.7</w:t>
            </w:r>
          </w:p>
        </w:tc>
        <w:tc>
          <w:tcPr>
            <w:tcW w:w="160" w:type="dxa"/>
            <w:vAlign w:val="bottom"/>
          </w:tcPr>
          <w:p>
            <w:pPr>
              <w:ind w:left="40"/>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rPr>
              <w:t>150.2</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24"/>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3"/>
              <w:spacing w:after="0"/>
              <w:rPr>
                <w:sz w:val="20"/>
                <w:szCs w:val="20"/>
                <w:color w:val="auto"/>
              </w:rPr>
            </w:pPr>
            <w:r>
              <w:rPr>
                <w:rFonts w:ascii="Arial" w:cs="Arial" w:eastAsia="Arial" w:hAnsi="Arial"/>
                <w:sz w:val="15"/>
                <w:szCs w:val="15"/>
                <w:b w:val="1"/>
                <w:bCs w:val="1"/>
                <w:color w:val="auto"/>
              </w:rPr>
              <w:t>150.2</w:t>
            </w:r>
          </w:p>
        </w:tc>
        <w:tc>
          <w:tcPr>
            <w:tcW w:w="0" w:type="dxa"/>
            <w:vAlign w:val="bottom"/>
          </w:tcPr>
          <w:p>
            <w:pPr>
              <w:spacing w:after="0"/>
              <w:rPr>
                <w:sz w:val="1"/>
                <w:szCs w:val="1"/>
                <w:color w:val="auto"/>
              </w:rPr>
            </w:pPr>
          </w:p>
        </w:tc>
      </w:tr>
      <w:tr>
        <w:trPr>
          <w:trHeight w:val="207"/>
        </w:trPr>
        <w:tc>
          <w:tcPr>
            <w:tcW w:w="3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Corporate debt securities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211.5</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230.7</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211.5</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211.5</w:t>
            </w:r>
          </w:p>
        </w:tc>
        <w:tc>
          <w:tcPr>
            <w:tcW w:w="0" w:type="dxa"/>
            <w:vAlign w:val="bottom"/>
          </w:tcPr>
          <w:p>
            <w:pPr>
              <w:spacing w:after="0"/>
              <w:rPr>
                <w:sz w:val="1"/>
                <w:szCs w:val="1"/>
                <w:color w:val="auto"/>
              </w:rPr>
            </w:pPr>
          </w:p>
        </w:tc>
      </w:tr>
      <w:tr>
        <w:trPr>
          <w:trHeight w:val="207"/>
        </w:trPr>
        <w:tc>
          <w:tcPr>
            <w:tcW w:w="3860" w:type="dxa"/>
            <w:vAlign w:val="bottom"/>
          </w:tcPr>
          <w:p>
            <w:pPr>
              <w:ind w:left="140"/>
              <w:spacing w:after="0"/>
              <w:rPr>
                <w:sz w:val="20"/>
                <w:szCs w:val="20"/>
                <w:color w:val="auto"/>
              </w:rPr>
            </w:pPr>
            <w:r>
              <w:rPr>
                <w:rFonts w:ascii="Arial" w:cs="Arial" w:eastAsia="Arial" w:hAnsi="Arial"/>
                <w:sz w:val="15"/>
                <w:szCs w:val="15"/>
                <w:color w:val="auto"/>
              </w:rPr>
              <w:t>Mortgage-backed securities</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158.3</w:t>
            </w:r>
          </w:p>
        </w:tc>
        <w:tc>
          <w:tcPr>
            <w:tcW w:w="34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b w:val="1"/>
                <w:bCs w:val="1"/>
                <w:color w:val="auto"/>
              </w:rPr>
              <w:t>170.8</w:t>
            </w:r>
          </w:p>
        </w:tc>
        <w:tc>
          <w:tcPr>
            <w:tcW w:w="16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b w:val="1"/>
                <w:bCs w:val="1"/>
                <w:color w:val="auto"/>
              </w:rPr>
              <w:t>158.3</w:t>
            </w:r>
          </w:p>
        </w:tc>
        <w:tc>
          <w:tcPr>
            <w:tcW w:w="2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b w:val="1"/>
                <w:bCs w:val="1"/>
                <w:color w:val="auto"/>
              </w:rPr>
              <w:t>158.3</w:t>
            </w:r>
          </w:p>
        </w:tc>
        <w:tc>
          <w:tcPr>
            <w:tcW w:w="0" w:type="dxa"/>
            <w:vAlign w:val="bottom"/>
          </w:tcPr>
          <w:p>
            <w:pPr>
              <w:spacing w:after="0"/>
              <w:rPr>
                <w:sz w:val="1"/>
                <w:szCs w:val="1"/>
                <w:color w:val="auto"/>
              </w:rPr>
            </w:pPr>
          </w:p>
        </w:tc>
      </w:tr>
      <w:tr>
        <w:trPr>
          <w:trHeight w:val="207"/>
        </w:trPr>
        <w:tc>
          <w:tcPr>
            <w:tcW w:w="3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Asset-backed securities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57.5</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59.2</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57.5</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57.5</w:t>
            </w:r>
          </w:p>
        </w:tc>
        <w:tc>
          <w:tcPr>
            <w:tcW w:w="0" w:type="dxa"/>
            <w:vAlign w:val="bottom"/>
          </w:tcPr>
          <w:p>
            <w:pPr>
              <w:spacing w:after="0"/>
              <w:rPr>
                <w:sz w:val="1"/>
                <w:szCs w:val="1"/>
                <w:color w:val="auto"/>
              </w:rPr>
            </w:pPr>
          </w:p>
        </w:tc>
      </w:tr>
      <w:tr>
        <w:trPr>
          <w:trHeight w:val="207"/>
        </w:trPr>
        <w:tc>
          <w:tcPr>
            <w:tcW w:w="3860" w:type="dxa"/>
            <w:vAlign w:val="bottom"/>
          </w:tcPr>
          <w:p>
            <w:pPr>
              <w:ind w:left="140"/>
              <w:spacing w:after="0"/>
              <w:rPr>
                <w:sz w:val="20"/>
                <w:szCs w:val="20"/>
                <w:color w:val="auto"/>
              </w:rPr>
            </w:pPr>
            <w:r>
              <w:rPr>
                <w:rFonts w:ascii="Arial" w:cs="Arial" w:eastAsia="Arial" w:hAnsi="Arial"/>
                <w:sz w:val="15"/>
                <w:szCs w:val="15"/>
                <w:color w:val="auto"/>
              </w:rPr>
              <w:t>Other securities</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166.2</w:t>
            </w:r>
          </w:p>
        </w:tc>
        <w:tc>
          <w:tcPr>
            <w:tcW w:w="34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b w:val="1"/>
                <w:bCs w:val="1"/>
                <w:color w:val="auto"/>
              </w:rPr>
              <w:t>69.5</w:t>
            </w:r>
          </w:p>
        </w:tc>
        <w:tc>
          <w:tcPr>
            <w:tcW w:w="16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b w:val="1"/>
                <w:bCs w:val="1"/>
                <w:color w:val="auto"/>
              </w:rPr>
              <w:t>6.2</w:t>
            </w:r>
          </w:p>
        </w:tc>
        <w:tc>
          <w:tcPr>
            <w:tcW w:w="2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b w:val="1"/>
                <w:bCs w:val="1"/>
                <w:color w:val="auto"/>
              </w:rPr>
              <w:t>160.0</w:t>
            </w:r>
          </w:p>
        </w:tc>
        <w:tc>
          <w:tcPr>
            <w:tcW w:w="3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b w:val="1"/>
                <w:bCs w:val="1"/>
                <w:color w:val="auto"/>
              </w:rPr>
              <w:t>166.2</w:t>
            </w:r>
          </w:p>
        </w:tc>
        <w:tc>
          <w:tcPr>
            <w:tcW w:w="0" w:type="dxa"/>
            <w:vAlign w:val="bottom"/>
          </w:tcPr>
          <w:p>
            <w:pPr>
              <w:spacing w:after="0"/>
              <w:rPr>
                <w:sz w:val="1"/>
                <w:szCs w:val="1"/>
                <w:color w:val="auto"/>
              </w:rPr>
            </w:pPr>
          </w:p>
        </w:tc>
      </w:tr>
      <w:tr>
        <w:trPr>
          <w:trHeight w:val="207"/>
        </w:trPr>
        <w:tc>
          <w:tcPr>
            <w:tcW w:w="3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Marketable equity securities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577.6</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460.6</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577.6</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577.6</w:t>
            </w:r>
          </w:p>
        </w:tc>
        <w:tc>
          <w:tcPr>
            <w:tcW w:w="0" w:type="dxa"/>
            <w:vAlign w:val="bottom"/>
          </w:tcPr>
          <w:p>
            <w:pPr>
              <w:spacing w:after="0"/>
              <w:rPr>
                <w:sz w:val="1"/>
                <w:szCs w:val="1"/>
                <w:color w:val="auto"/>
              </w:rPr>
            </w:pPr>
          </w:p>
        </w:tc>
      </w:tr>
      <w:tr>
        <w:trPr>
          <w:trHeight w:val="160"/>
        </w:trPr>
        <w:tc>
          <w:tcPr>
            <w:tcW w:w="3860" w:type="dxa"/>
            <w:vAlign w:val="bottom"/>
          </w:tcPr>
          <w:p>
            <w:pPr>
              <w:ind w:left="140"/>
              <w:spacing w:after="0" w:line="160" w:lineRule="exact"/>
              <w:rPr>
                <w:sz w:val="20"/>
                <w:szCs w:val="20"/>
                <w:color w:val="auto"/>
              </w:rPr>
            </w:pPr>
            <w:r>
              <w:rPr>
                <w:rFonts w:ascii="Arial" w:cs="Arial" w:eastAsia="Arial" w:hAnsi="Arial"/>
                <w:sz w:val="15"/>
                <w:szCs w:val="15"/>
                <w:color w:val="auto"/>
              </w:rPr>
              <w:t>Equity investments without readily determinable fair</w:t>
            </w:r>
          </w:p>
        </w:tc>
        <w:tc>
          <w:tcPr>
            <w:tcW w:w="1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535.4</w:t>
            </w: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40"/>
              <w:spacing w:after="0" w:line="202" w:lineRule="exact"/>
              <w:rPr>
                <w:sz w:val="20"/>
                <w:szCs w:val="20"/>
                <w:color w:val="auto"/>
              </w:rPr>
            </w:pPr>
            <w:r>
              <w:rPr>
                <w:rFonts w:ascii="Arial" w:cs="Arial" w:eastAsia="Arial" w:hAnsi="Arial"/>
                <w:sz w:val="15"/>
                <w:szCs w:val="15"/>
                <w:color w:val="auto"/>
              </w:rPr>
              <w:t>values</w:t>
            </w:r>
            <w:r>
              <w:rPr>
                <w:rFonts w:ascii="Arial" w:cs="Arial" w:eastAsia="Arial" w:hAnsi="Arial"/>
                <w:sz w:val="20"/>
                <w:szCs w:val="20"/>
                <w:color w:val="auto"/>
                <w:vertAlign w:val="superscript"/>
              </w:rPr>
              <w:t>(3)</w:t>
            </w:r>
          </w:p>
        </w:tc>
        <w:tc>
          <w:tcPr>
            <w:tcW w:w="1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60" w:type="dxa"/>
            <w:vAlign w:val="bottom"/>
            <w:tcBorders>
              <w:bottom w:val="single" w:sz="8" w:color="CCEEFF"/>
            </w:tcBorders>
            <w:shd w:val="clear" w:color="auto" w:fill="CCEEFF"/>
          </w:tcPr>
          <w:p>
            <w:pPr>
              <w:ind w:left="140"/>
              <w:spacing w:after="0" w:line="207" w:lineRule="exact"/>
              <w:rPr>
                <w:sz w:val="20"/>
                <w:szCs w:val="20"/>
                <w:color w:val="auto"/>
              </w:rPr>
            </w:pPr>
            <w:r>
              <w:rPr>
                <w:rFonts w:ascii="Arial" w:cs="Arial" w:eastAsia="Arial" w:hAnsi="Arial"/>
                <w:sz w:val="15"/>
                <w:szCs w:val="15"/>
                <w:color w:val="auto"/>
              </w:rPr>
              <w:t>Equity method investments</w:t>
            </w:r>
            <w:r>
              <w:rPr>
                <w:rFonts w:ascii="Arial" w:cs="Arial" w:eastAsia="Arial" w:hAnsi="Arial"/>
                <w:sz w:val="20"/>
                <w:szCs w:val="20"/>
                <w:color w:val="auto"/>
                <w:vertAlign w:val="superscript"/>
              </w:rPr>
              <w:t>(3)</w:t>
            </w: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888.4</w:t>
            </w:r>
          </w:p>
        </w:tc>
        <w:tc>
          <w:tcPr>
            <w:tcW w:w="3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Noncurrent investments</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2,745.1</w:t>
            </w:r>
          </w:p>
        </w:tc>
        <w:tc>
          <w:tcPr>
            <w:tcW w:w="3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38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3860" w:type="dxa"/>
            <w:vAlign w:val="bottom"/>
          </w:tcPr>
          <w:p>
            <w:pPr>
              <w:ind w:left="20"/>
              <w:spacing w:after="0"/>
              <w:rPr>
                <w:sz w:val="20"/>
                <w:szCs w:val="20"/>
                <w:color w:val="auto"/>
              </w:rPr>
            </w:pPr>
            <w:r>
              <w:rPr>
                <w:rFonts w:ascii="Arial" w:cs="Arial" w:eastAsia="Arial" w:hAnsi="Arial"/>
                <w:sz w:val="15"/>
                <w:szCs w:val="15"/>
                <w:b w:val="1"/>
                <w:bCs w:val="1"/>
                <w:color w:val="auto"/>
              </w:rPr>
              <w:t>December 31, 2022</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60" w:type="dxa"/>
            <w:vAlign w:val="bottom"/>
            <w:tcBorders>
              <w:bottom w:val="single" w:sz="8" w:color="CCEEFF"/>
            </w:tcBorders>
            <w:shd w:val="clear" w:color="auto" w:fill="CCEEFF"/>
          </w:tcPr>
          <w:p>
            <w:pPr>
              <w:ind w:left="20"/>
              <w:spacing w:after="0" w:line="207" w:lineRule="exact"/>
              <w:rPr>
                <w:sz w:val="20"/>
                <w:szCs w:val="20"/>
                <w:color w:val="auto"/>
              </w:rPr>
            </w:pPr>
            <w:r>
              <w:rPr>
                <w:rFonts w:ascii="Arial" w:cs="Arial" w:eastAsia="Arial" w:hAnsi="Arial"/>
                <w:sz w:val="15"/>
                <w:szCs w:val="15"/>
                <w:color w:val="auto"/>
              </w:rPr>
              <w:t>Cash equivalents</w:t>
            </w:r>
            <w:r>
              <w:rPr>
                <w:rFonts w:ascii="Arial" w:cs="Arial" w:eastAsia="Arial" w:hAnsi="Arial"/>
                <w:sz w:val="20"/>
                <w:szCs w:val="20"/>
                <w:color w:val="auto"/>
                <w:vertAlign w:val="superscript"/>
              </w:rPr>
              <w:t>(2)</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657.4</w:t>
            </w:r>
          </w:p>
        </w:tc>
        <w:tc>
          <w:tcPr>
            <w:tcW w:w="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657.4</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650.4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7.0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657.4</w:t>
            </w:r>
          </w:p>
        </w:tc>
        <w:tc>
          <w:tcPr>
            <w:tcW w:w="0" w:type="dxa"/>
            <w:vAlign w:val="bottom"/>
          </w:tcPr>
          <w:p>
            <w:pPr>
              <w:spacing w:after="0"/>
              <w:rPr>
                <w:sz w:val="1"/>
                <w:szCs w:val="1"/>
                <w:color w:val="auto"/>
              </w:rPr>
            </w:pPr>
          </w:p>
        </w:tc>
      </w:tr>
      <w:tr>
        <w:trPr>
          <w:trHeight w:val="90"/>
        </w:trPr>
        <w:tc>
          <w:tcPr>
            <w:tcW w:w="3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3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Short-term investments: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60" w:type="dxa"/>
            <w:vAlign w:val="bottom"/>
          </w:tcPr>
          <w:p>
            <w:pPr>
              <w:ind w:left="140"/>
              <w:spacing w:after="0"/>
              <w:rPr>
                <w:sz w:val="20"/>
                <w:szCs w:val="20"/>
                <w:color w:val="auto"/>
              </w:rPr>
            </w:pPr>
            <w:r>
              <w:rPr>
                <w:rFonts w:ascii="Arial" w:cs="Arial" w:eastAsia="Arial" w:hAnsi="Arial"/>
                <w:sz w:val="15"/>
                <w:szCs w:val="15"/>
                <w:color w:val="auto"/>
              </w:rPr>
              <w:t>U.S. government and agency securities</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30.8</w:t>
            </w:r>
          </w:p>
        </w:tc>
        <w:tc>
          <w:tcPr>
            <w:tcW w:w="3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31.1</w:t>
            </w:r>
          </w:p>
        </w:tc>
        <w:tc>
          <w:tcPr>
            <w:tcW w:w="160" w:type="dxa"/>
            <w:vAlign w:val="bottom"/>
          </w:tcPr>
          <w:p>
            <w:pPr>
              <w:ind w:left="4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30.8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30.8</w:t>
            </w: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Corporate debt securities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53.4</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53.5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53.4</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53.4</w:t>
            </w:r>
          </w:p>
        </w:tc>
        <w:tc>
          <w:tcPr>
            <w:tcW w:w="0" w:type="dxa"/>
            <w:vAlign w:val="bottom"/>
          </w:tcPr>
          <w:p>
            <w:pPr>
              <w:spacing w:after="0"/>
              <w:rPr>
                <w:sz w:val="1"/>
                <w:szCs w:val="1"/>
                <w:color w:val="auto"/>
              </w:rPr>
            </w:pPr>
          </w:p>
        </w:tc>
      </w:tr>
      <w:tr>
        <w:trPr>
          <w:trHeight w:val="204"/>
        </w:trPr>
        <w:tc>
          <w:tcPr>
            <w:tcW w:w="3860" w:type="dxa"/>
            <w:vAlign w:val="bottom"/>
          </w:tcPr>
          <w:p>
            <w:pPr>
              <w:ind w:left="140"/>
              <w:spacing w:after="0"/>
              <w:rPr>
                <w:sz w:val="20"/>
                <w:szCs w:val="20"/>
                <w:color w:val="auto"/>
              </w:rPr>
            </w:pPr>
            <w:r>
              <w:rPr>
                <w:rFonts w:ascii="Arial" w:cs="Arial" w:eastAsia="Arial" w:hAnsi="Arial"/>
                <w:sz w:val="15"/>
                <w:szCs w:val="15"/>
                <w:color w:val="auto"/>
              </w:rPr>
              <w:t>Asset-backed securities</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2.0</w:t>
            </w:r>
          </w:p>
        </w:tc>
        <w:tc>
          <w:tcPr>
            <w:tcW w:w="34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2.0</w:t>
            </w:r>
          </w:p>
        </w:tc>
        <w:tc>
          <w:tcPr>
            <w:tcW w:w="16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2.0</w:t>
            </w:r>
          </w:p>
        </w:tc>
        <w:tc>
          <w:tcPr>
            <w:tcW w:w="2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7"/>
        </w:trPr>
        <w:tc>
          <w:tcPr>
            <w:tcW w:w="3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securities</w:t>
            </w: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58.6</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58.6</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39.1</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19.5</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58.6</w:t>
            </w:r>
          </w:p>
        </w:tc>
        <w:tc>
          <w:tcPr>
            <w:tcW w:w="0" w:type="dxa"/>
            <w:vAlign w:val="bottom"/>
          </w:tcPr>
          <w:p>
            <w:pPr>
              <w:spacing w:after="0"/>
              <w:rPr>
                <w:sz w:val="1"/>
                <w:szCs w:val="1"/>
                <w:color w:val="auto"/>
              </w:rPr>
            </w:pPr>
          </w:p>
        </w:tc>
      </w:tr>
      <w:tr>
        <w:trPr>
          <w:trHeight w:val="208"/>
        </w:trPr>
        <w:tc>
          <w:tcPr>
            <w:tcW w:w="38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Short-term investments</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144.8</w:t>
            </w:r>
          </w:p>
        </w:tc>
        <w:tc>
          <w:tcPr>
            <w:tcW w:w="3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38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3860" w:type="dxa"/>
            <w:vAlign w:val="bottom"/>
          </w:tcPr>
          <w:p>
            <w:pPr>
              <w:ind w:left="20"/>
              <w:spacing w:after="0"/>
              <w:rPr>
                <w:sz w:val="20"/>
                <w:szCs w:val="20"/>
                <w:color w:val="auto"/>
              </w:rPr>
            </w:pPr>
            <w:r>
              <w:rPr>
                <w:rFonts w:ascii="Arial" w:cs="Arial" w:eastAsia="Arial" w:hAnsi="Arial"/>
                <w:sz w:val="15"/>
                <w:szCs w:val="15"/>
                <w:color w:val="auto"/>
              </w:rPr>
              <w:t>Noncurrent investments: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U.S. government and agency securities</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146.4</w:t>
            </w:r>
          </w:p>
        </w:tc>
        <w:tc>
          <w:tcPr>
            <w:tcW w:w="3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163.2</w:t>
            </w:r>
          </w:p>
        </w:tc>
        <w:tc>
          <w:tcPr>
            <w:tcW w:w="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146.4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146.4</w:t>
            </w:r>
          </w:p>
        </w:tc>
        <w:tc>
          <w:tcPr>
            <w:tcW w:w="0" w:type="dxa"/>
            <w:vAlign w:val="bottom"/>
          </w:tcPr>
          <w:p>
            <w:pPr>
              <w:spacing w:after="0"/>
              <w:rPr>
                <w:sz w:val="1"/>
                <w:szCs w:val="1"/>
                <w:color w:val="auto"/>
              </w:rPr>
            </w:pPr>
          </w:p>
        </w:tc>
      </w:tr>
      <w:tr>
        <w:trPr>
          <w:trHeight w:val="204"/>
        </w:trPr>
        <w:tc>
          <w:tcPr>
            <w:tcW w:w="3860" w:type="dxa"/>
            <w:vAlign w:val="bottom"/>
          </w:tcPr>
          <w:p>
            <w:pPr>
              <w:ind w:left="140"/>
              <w:spacing w:after="0"/>
              <w:rPr>
                <w:sz w:val="20"/>
                <w:szCs w:val="20"/>
                <w:color w:val="auto"/>
              </w:rPr>
            </w:pPr>
            <w:r>
              <w:rPr>
                <w:rFonts w:ascii="Arial" w:cs="Arial" w:eastAsia="Arial" w:hAnsi="Arial"/>
                <w:sz w:val="15"/>
                <w:szCs w:val="15"/>
                <w:color w:val="auto"/>
              </w:rPr>
              <w:t>Corporate debt securities</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213.9</w:t>
            </w:r>
          </w:p>
        </w:tc>
        <w:tc>
          <w:tcPr>
            <w:tcW w:w="34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235.8</w:t>
            </w:r>
          </w:p>
        </w:tc>
        <w:tc>
          <w:tcPr>
            <w:tcW w:w="16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213.9</w:t>
            </w:r>
          </w:p>
        </w:tc>
        <w:tc>
          <w:tcPr>
            <w:tcW w:w="2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213.9</w:t>
            </w: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Mortgage-backed securities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149.2</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161.5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149.2</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149.2</w:t>
            </w:r>
          </w:p>
        </w:tc>
        <w:tc>
          <w:tcPr>
            <w:tcW w:w="0" w:type="dxa"/>
            <w:vAlign w:val="bottom"/>
          </w:tcPr>
          <w:p>
            <w:pPr>
              <w:spacing w:after="0"/>
              <w:rPr>
                <w:sz w:val="1"/>
                <w:szCs w:val="1"/>
                <w:color w:val="auto"/>
              </w:rPr>
            </w:pPr>
          </w:p>
        </w:tc>
      </w:tr>
      <w:tr>
        <w:trPr>
          <w:trHeight w:val="204"/>
        </w:trPr>
        <w:tc>
          <w:tcPr>
            <w:tcW w:w="3860" w:type="dxa"/>
            <w:vAlign w:val="bottom"/>
          </w:tcPr>
          <w:p>
            <w:pPr>
              <w:ind w:left="140"/>
              <w:spacing w:after="0"/>
              <w:rPr>
                <w:sz w:val="20"/>
                <w:szCs w:val="20"/>
                <w:color w:val="auto"/>
              </w:rPr>
            </w:pPr>
            <w:r>
              <w:rPr>
                <w:rFonts w:ascii="Arial" w:cs="Arial" w:eastAsia="Arial" w:hAnsi="Arial"/>
                <w:sz w:val="15"/>
                <w:szCs w:val="15"/>
                <w:color w:val="auto"/>
              </w:rPr>
              <w:t>Asset-backed securities</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50.6</w:t>
            </w:r>
          </w:p>
        </w:tc>
        <w:tc>
          <w:tcPr>
            <w:tcW w:w="34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52.5</w:t>
            </w:r>
          </w:p>
        </w:tc>
        <w:tc>
          <w:tcPr>
            <w:tcW w:w="16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50.6</w:t>
            </w:r>
          </w:p>
        </w:tc>
        <w:tc>
          <w:tcPr>
            <w:tcW w:w="2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50.6</w:t>
            </w: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securities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398.6</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34.5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311.0</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87.6</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398.6</w:t>
            </w:r>
          </w:p>
        </w:tc>
        <w:tc>
          <w:tcPr>
            <w:tcW w:w="0" w:type="dxa"/>
            <w:vAlign w:val="bottom"/>
          </w:tcPr>
          <w:p>
            <w:pPr>
              <w:spacing w:after="0"/>
              <w:rPr>
                <w:sz w:val="1"/>
                <w:szCs w:val="1"/>
                <w:color w:val="auto"/>
              </w:rPr>
            </w:pPr>
          </w:p>
        </w:tc>
      </w:tr>
      <w:tr>
        <w:trPr>
          <w:trHeight w:val="204"/>
        </w:trPr>
        <w:tc>
          <w:tcPr>
            <w:tcW w:w="3860" w:type="dxa"/>
            <w:vAlign w:val="bottom"/>
          </w:tcPr>
          <w:p>
            <w:pPr>
              <w:ind w:left="140"/>
              <w:spacing w:after="0"/>
              <w:rPr>
                <w:sz w:val="20"/>
                <w:szCs w:val="20"/>
                <w:color w:val="auto"/>
              </w:rPr>
            </w:pPr>
            <w:r>
              <w:rPr>
                <w:rFonts w:ascii="Arial" w:cs="Arial" w:eastAsia="Arial" w:hAnsi="Arial"/>
                <w:sz w:val="15"/>
                <w:szCs w:val="15"/>
                <w:color w:val="auto"/>
              </w:rPr>
              <w:t>Marketable equity securities</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683.6</w:t>
            </w:r>
          </w:p>
        </w:tc>
        <w:tc>
          <w:tcPr>
            <w:tcW w:w="34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484.7</w:t>
            </w:r>
          </w:p>
        </w:tc>
        <w:tc>
          <w:tcPr>
            <w:tcW w:w="16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683.6</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683.6</w:t>
            </w: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Equity investments without readily determinable fair</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478.4</w:t>
            </w: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5"/>
                <w:szCs w:val="15"/>
                <w:color w:val="auto"/>
              </w:rPr>
              <w:t>values</w:t>
            </w:r>
            <w:r>
              <w:rPr>
                <w:rFonts w:ascii="Arial" w:cs="Arial" w:eastAsia="Arial" w:hAnsi="Arial"/>
                <w:sz w:val="20"/>
                <w:szCs w:val="20"/>
                <w:color w:val="auto"/>
                <w:vertAlign w:val="superscript"/>
              </w:rPr>
              <w:t>(3)</w:t>
            </w:r>
          </w:p>
        </w:tc>
        <w:tc>
          <w:tcPr>
            <w:tcW w:w="1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60" w:type="dxa"/>
            <w:vAlign w:val="bottom"/>
            <w:tcBorders>
              <w:bottom w:val="single" w:sz="8" w:color="CCEEFF"/>
            </w:tcBorders>
          </w:tcPr>
          <w:p>
            <w:pPr>
              <w:ind w:left="140"/>
              <w:spacing w:after="0" w:line="207" w:lineRule="exact"/>
              <w:rPr>
                <w:sz w:val="20"/>
                <w:szCs w:val="20"/>
                <w:color w:val="auto"/>
              </w:rPr>
            </w:pPr>
            <w:r>
              <w:rPr>
                <w:rFonts w:ascii="Arial" w:cs="Arial" w:eastAsia="Arial" w:hAnsi="Arial"/>
                <w:sz w:val="15"/>
                <w:szCs w:val="15"/>
                <w:color w:val="auto"/>
              </w:rPr>
              <w:t>Equity method investments</w:t>
            </w:r>
            <w:r>
              <w:rPr>
                <w:rFonts w:ascii="Arial" w:cs="Arial" w:eastAsia="Arial" w:hAnsi="Arial"/>
                <w:sz w:val="20"/>
                <w:szCs w:val="20"/>
                <w:color w:val="auto"/>
                <w:vertAlign w:val="superscript"/>
              </w:rPr>
              <w:t>(3)</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781.1</w:t>
            </w:r>
          </w:p>
        </w:tc>
        <w:tc>
          <w:tcPr>
            <w:tcW w:w="3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Noncurrent investments</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2,901.8</w:t>
            </w:r>
          </w:p>
        </w:tc>
        <w:tc>
          <w:tcPr>
            <w:tcW w:w="3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hanging="137"/>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For available-for-sale debt securities, amounts disclosed represent the securities' amortized cost.</w:t>
      </w:r>
    </w:p>
    <w:p>
      <w:pPr>
        <w:ind w:left="160" w:right="260" w:hanging="157"/>
        <w:spacing w:after="0" w:line="247" w:lineRule="auto"/>
        <w:tabs>
          <w:tab w:leader="none" w:pos="153" w:val="left"/>
        </w:tabs>
        <w:numPr>
          <w:ilvl w:val="0"/>
          <w:numId w:val="11"/>
        </w:numPr>
        <w:rPr>
          <w:rFonts w:ascii="Arial" w:cs="Arial" w:eastAsia="Arial" w:hAnsi="Arial"/>
          <w:sz w:val="9"/>
          <w:szCs w:val="9"/>
          <w:color w:val="auto"/>
        </w:rPr>
      </w:pPr>
      <w:r>
        <w:rPr>
          <w:rFonts w:ascii="Arial" w:cs="Arial" w:eastAsia="Arial" w:hAnsi="Arial"/>
          <w:sz w:val="14"/>
          <w:szCs w:val="14"/>
          <w:color w:val="auto"/>
        </w:rPr>
        <w:t>We consider all highly liquid investments with a maturity of three months or less from the date of purchase to be cash equivalents. The cost of these investments approximates fair value.</w:t>
      </w:r>
    </w:p>
    <w:p>
      <w:pPr>
        <w:ind w:left="160" w:hanging="157"/>
        <w:spacing w:after="0" w:line="194" w:lineRule="auto"/>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22" w:name="page23"/>
    <w:bookmarkEnd w:id="22"/>
    <w:p>
      <w:pPr>
        <w:ind w:right="180"/>
        <w:spacing w:after="0" w:line="262" w:lineRule="auto"/>
        <w:rPr>
          <w:sz w:val="20"/>
          <w:szCs w:val="20"/>
          <w:color w:val="auto"/>
        </w:rPr>
      </w:pPr>
      <w:r>
        <w:rPr>
          <w:rFonts w:ascii="Arial" w:cs="Arial" w:eastAsia="Arial" w:hAnsi="Arial"/>
          <w:sz w:val="17"/>
          <w:szCs w:val="17"/>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Fair values are not readily available for certain equity investments measured under the measurement alternative.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w:t>
      </w:r>
    </w:p>
    <w:p>
      <w:pPr>
        <w:spacing w:after="0" w:line="124"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In February 2023, we issued $750.0 million of 5.000 percent fixed-rate notes due in 2026, which are callable at par after one year, $1.00 billion of 4.700 percent fixed-rate notes due in 2033, $1.25 billion of 4.875 percent fixed-rate notes due in 2053, and $1.00 billion of 4.950 percent fixed-rate notes due in 2063, all with interest to be paid semi-annually. We used the net cash proceeds from the offering of $3.96 billion for general business purposes, including the repayment of outstanding commercial paper.</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Fair Value of Debt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certain fair value information at June 30, 2023 and December 31, 2022 for our short-term and long-term debt: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20" w:type="dxa"/>
            <w:vAlign w:val="bottom"/>
            <w:gridSpan w:val="2"/>
          </w:tcPr>
          <w:p>
            <w:pPr>
              <w:jc w:val="center"/>
              <w:spacing w:after="0" w:line="136" w:lineRule="exact"/>
              <w:rPr>
                <w:sz w:val="20"/>
                <w:szCs w:val="20"/>
                <w:color w:val="auto"/>
              </w:rPr>
            </w:pPr>
            <w:r>
              <w:rPr>
                <w:rFonts w:ascii="Arial" w:cs="Arial" w:eastAsia="Arial" w:hAnsi="Arial"/>
                <w:sz w:val="14"/>
                <w:szCs w:val="14"/>
                <w:b w:val="1"/>
                <w:bCs w:val="1"/>
                <w:color w:val="auto"/>
                <w:w w:val="98"/>
              </w:rPr>
              <w:t>Quoted Prices in</w:t>
            </w:r>
          </w:p>
        </w:tc>
        <w:tc>
          <w:tcPr>
            <w:tcW w:w="280" w:type="dxa"/>
            <w:vAlign w:val="bottom"/>
          </w:tcPr>
          <w:p>
            <w:pPr>
              <w:spacing w:after="0"/>
              <w:rPr>
                <w:sz w:val="11"/>
                <w:szCs w:val="11"/>
                <w:color w:val="auto"/>
              </w:rPr>
            </w:pPr>
          </w:p>
        </w:tc>
        <w:tc>
          <w:tcPr>
            <w:tcW w:w="1120" w:type="dxa"/>
            <w:vAlign w:val="bottom"/>
          </w:tcPr>
          <w:p>
            <w:pPr>
              <w:jc w:val="center"/>
              <w:ind w:right="181"/>
              <w:spacing w:after="0" w:line="136" w:lineRule="exact"/>
              <w:rPr>
                <w:sz w:val="20"/>
                <w:szCs w:val="20"/>
                <w:color w:val="auto"/>
              </w:rPr>
            </w:pPr>
            <w:r>
              <w:rPr>
                <w:rFonts w:ascii="Arial" w:cs="Arial" w:eastAsia="Arial" w:hAnsi="Arial"/>
                <w:sz w:val="14"/>
                <w:szCs w:val="14"/>
                <w:b w:val="1"/>
                <w:bCs w:val="1"/>
                <w:color w:val="auto"/>
                <w:w w:val="97"/>
              </w:rPr>
              <w:t>Significant</w:t>
            </w:r>
          </w:p>
        </w:tc>
        <w:tc>
          <w:tcPr>
            <w:tcW w:w="240" w:type="dxa"/>
            <w:vAlign w:val="bottom"/>
          </w:tcPr>
          <w:p>
            <w:pPr>
              <w:spacing w:after="0"/>
              <w:rPr>
                <w:sz w:val="11"/>
                <w:szCs w:val="11"/>
                <w:color w:val="auto"/>
              </w:rPr>
            </w:pPr>
          </w:p>
        </w:tc>
        <w:tc>
          <w:tcPr>
            <w:tcW w:w="1180" w:type="dxa"/>
            <w:vAlign w:val="bottom"/>
          </w:tcPr>
          <w:p>
            <w:pPr>
              <w:jc w:val="center"/>
              <w:ind w:right="103"/>
              <w:spacing w:after="0" w:line="136" w:lineRule="exact"/>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Carrying</w:t>
            </w:r>
          </w:p>
        </w:tc>
        <w:tc>
          <w:tcPr>
            <w:tcW w:w="132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8"/>
              </w:rPr>
              <w:t>Active Markets for</w:t>
            </w:r>
          </w:p>
        </w:tc>
        <w:tc>
          <w:tcPr>
            <w:tcW w:w="140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8"/>
              </w:rPr>
              <w:t>Other Observable</w:t>
            </w:r>
          </w:p>
        </w:tc>
        <w:tc>
          <w:tcPr>
            <w:tcW w:w="240" w:type="dxa"/>
            <w:vAlign w:val="bottom"/>
          </w:tcPr>
          <w:p>
            <w:pPr>
              <w:spacing w:after="0"/>
              <w:rPr>
                <w:sz w:val="11"/>
                <w:szCs w:val="11"/>
                <w:color w:val="auto"/>
              </w:rPr>
            </w:pPr>
          </w:p>
        </w:tc>
        <w:tc>
          <w:tcPr>
            <w:tcW w:w="1180" w:type="dxa"/>
            <w:vAlign w:val="bottom"/>
          </w:tcPr>
          <w:p>
            <w:pPr>
              <w:jc w:val="center"/>
              <w:ind w:right="103"/>
              <w:spacing w:after="0" w:line="131" w:lineRule="exact"/>
              <w:rPr>
                <w:sz w:val="20"/>
                <w:szCs w:val="20"/>
                <w:color w:val="auto"/>
              </w:rPr>
            </w:pPr>
            <w:r>
              <w:rPr>
                <w:rFonts w:ascii="Arial" w:cs="Arial" w:eastAsia="Arial" w:hAnsi="Arial"/>
                <w:sz w:val="14"/>
                <w:szCs w:val="14"/>
                <w:b w:val="1"/>
                <w:bCs w:val="1"/>
                <w:color w:val="auto"/>
                <w:w w:val="99"/>
              </w:rPr>
              <w:t>Unobservable</w:t>
            </w:r>
          </w:p>
        </w:tc>
        <w:tc>
          <w:tcPr>
            <w:tcW w:w="400" w:type="dxa"/>
            <w:vAlign w:val="bottom"/>
          </w:tcPr>
          <w:p>
            <w:pPr>
              <w:spacing w:after="0"/>
              <w:rPr>
                <w:sz w:val="11"/>
                <w:szCs w:val="11"/>
                <w:color w:val="auto"/>
              </w:rPr>
            </w:pPr>
          </w:p>
        </w:tc>
        <w:tc>
          <w:tcPr>
            <w:tcW w:w="98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81"/>
              <w:spacing w:after="0" w:line="142" w:lineRule="exact"/>
              <w:rPr>
                <w:sz w:val="20"/>
                <w:szCs w:val="20"/>
                <w:color w:val="auto"/>
              </w:rPr>
            </w:pPr>
            <w:r>
              <w:rPr>
                <w:rFonts w:ascii="Arial" w:cs="Arial" w:eastAsia="Arial" w:hAnsi="Arial"/>
                <w:sz w:val="14"/>
                <w:szCs w:val="14"/>
                <w:b w:val="1"/>
                <w:bCs w:val="1"/>
                <w:color w:val="auto"/>
                <w:w w:val="97"/>
              </w:rPr>
              <w:t>Identical Assets</w:t>
            </w:r>
          </w:p>
        </w:tc>
        <w:tc>
          <w:tcPr>
            <w:tcW w:w="280" w:type="dxa"/>
            <w:vAlign w:val="bottom"/>
          </w:tcPr>
          <w:p>
            <w:pPr>
              <w:spacing w:after="0"/>
              <w:rPr>
                <w:sz w:val="12"/>
                <w:szCs w:val="12"/>
                <w:color w:val="auto"/>
              </w:rPr>
            </w:pPr>
          </w:p>
        </w:tc>
        <w:tc>
          <w:tcPr>
            <w:tcW w:w="1120" w:type="dxa"/>
            <w:vAlign w:val="bottom"/>
          </w:tcPr>
          <w:p>
            <w:pPr>
              <w:jc w:val="center"/>
              <w:ind w:right="161"/>
              <w:spacing w:after="0" w:line="142"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180" w:type="dxa"/>
            <w:vAlign w:val="bottom"/>
          </w:tcPr>
          <w:p>
            <w:pPr>
              <w:jc w:val="center"/>
              <w:ind w:right="103"/>
              <w:spacing w:after="0" w:line="142"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7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(Level 1)</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8"/>
              </w:rPr>
              <w:t>(Level 2)</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8"/>
              </w:rPr>
              <w:t>(Level 3)</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5"/>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commercial paper borrowings</w:t>
            </w: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40" w:type="dxa"/>
            <w:vAlign w:val="bottom"/>
          </w:tcPr>
          <w:p>
            <w:pPr>
              <w:ind w:left="120"/>
              <w:spacing w:after="0"/>
              <w:rPr>
                <w:sz w:val="20"/>
                <w:szCs w:val="20"/>
                <w:color w:val="auto"/>
              </w:rPr>
            </w:pPr>
            <w:r>
              <w:rPr>
                <w:rFonts w:ascii="Arial" w:cs="Arial" w:eastAsia="Arial" w:hAnsi="Arial"/>
                <w:sz w:val="17"/>
                <w:szCs w:val="17"/>
                <w:color w:val="auto"/>
              </w:rPr>
              <w:t>June 30, 2023</w:t>
            </w:r>
          </w:p>
        </w:tc>
        <w:tc>
          <w:tcPr>
            <w:tcW w:w="820" w:type="dxa"/>
            <w:vAlign w:val="bottom"/>
          </w:tcPr>
          <w:p>
            <w:pPr>
              <w:jc w:val="right"/>
              <w:ind w:right="3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0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ind w:left="92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41"/>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ind w:left="92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December 31, 2022</w:t>
            </w: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(1,498.0)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(1,492.0)</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(1,492.0)</w:t>
            </w:r>
          </w:p>
        </w:tc>
        <w:tc>
          <w:tcPr>
            <w:tcW w:w="0" w:type="dxa"/>
            <w:vAlign w:val="bottom"/>
          </w:tcPr>
          <w:p>
            <w:pPr>
              <w:spacing w:after="0"/>
              <w:rPr>
                <w:sz w:val="1"/>
                <w:szCs w:val="1"/>
                <w:color w:val="auto"/>
              </w:rPr>
            </w:pPr>
          </w:p>
        </w:tc>
      </w:tr>
      <w:tr>
        <w:trPr>
          <w:trHeight w:val="225"/>
        </w:trPr>
        <w:tc>
          <w:tcPr>
            <w:tcW w:w="3740" w:type="dxa"/>
            <w:vAlign w:val="bottom"/>
          </w:tcPr>
          <w:p>
            <w:pPr>
              <w:ind w:left="20"/>
              <w:spacing w:after="0"/>
              <w:rPr>
                <w:sz w:val="20"/>
                <w:szCs w:val="20"/>
                <w:color w:val="auto"/>
              </w:rPr>
            </w:pPr>
            <w:r>
              <w:rPr>
                <w:rFonts w:ascii="Arial" w:cs="Arial" w:eastAsia="Arial" w:hAnsi="Arial"/>
                <w:sz w:val="17"/>
                <w:szCs w:val="17"/>
                <w:color w:val="auto"/>
              </w:rPr>
              <w:t>Long-term debt, including current portion</w:t>
            </w: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June 30, 2023</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(18,820.0)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(16,589.9)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7"/>
                <w:szCs w:val="17"/>
                <w:b w:val="1"/>
                <w:bCs w:val="1"/>
                <w:color w:val="auto"/>
              </w:rPr>
              <w:t>—</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(16,589.9)</w:t>
            </w:r>
          </w:p>
        </w:tc>
        <w:tc>
          <w:tcPr>
            <w:tcW w:w="0" w:type="dxa"/>
            <w:vAlign w:val="bottom"/>
          </w:tcPr>
          <w:p>
            <w:pPr>
              <w:spacing w:after="0"/>
              <w:rPr>
                <w:sz w:val="1"/>
                <w:szCs w:val="1"/>
                <w:color w:val="auto"/>
              </w:rPr>
            </w:pPr>
          </w:p>
        </w:tc>
      </w:tr>
      <w:tr>
        <w:trPr>
          <w:trHeight w:val="218"/>
        </w:trPr>
        <w:tc>
          <w:tcPr>
            <w:tcW w:w="3740" w:type="dxa"/>
            <w:vAlign w:val="bottom"/>
          </w:tcPr>
          <w:p>
            <w:pPr>
              <w:ind w:left="120"/>
              <w:spacing w:after="0"/>
              <w:rPr>
                <w:sz w:val="20"/>
                <w:szCs w:val="20"/>
                <w:color w:val="auto"/>
              </w:rPr>
            </w:pPr>
            <w:r>
              <w:rPr>
                <w:rFonts w:ascii="Arial" w:cs="Arial" w:eastAsia="Arial" w:hAnsi="Arial"/>
                <w:sz w:val="17"/>
                <w:szCs w:val="17"/>
                <w:color w:val="auto"/>
              </w:rPr>
              <w:t>December 31, 2022</w:t>
            </w:r>
          </w:p>
        </w:tc>
        <w:tc>
          <w:tcPr>
            <w:tcW w:w="82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7"/>
                <w:szCs w:val="17"/>
                <w:color w:val="auto"/>
              </w:rPr>
              <w:t>(14,740.6)</w:t>
            </w:r>
          </w:p>
        </w:tc>
        <w:tc>
          <w:tcPr>
            <w:tcW w:w="120" w:type="dxa"/>
            <w:vAlign w:val="bottom"/>
          </w:tcPr>
          <w:p>
            <w:pPr>
              <w:spacing w:after="0"/>
              <w:rPr>
                <w:sz w:val="18"/>
                <w:szCs w:val="18"/>
                <w:color w:val="auto"/>
              </w:rPr>
            </w:pPr>
          </w:p>
        </w:tc>
        <w:tc>
          <w:tcPr>
            <w:tcW w:w="1200" w:type="dxa"/>
            <w:vAlign w:val="bottom"/>
          </w:tcPr>
          <w:p>
            <w:pPr>
              <w:ind w:left="9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(12,329.3)</w:t>
            </w:r>
          </w:p>
        </w:tc>
        <w:tc>
          <w:tcPr>
            <w:tcW w:w="240" w:type="dxa"/>
            <w:vAlign w:val="bottom"/>
          </w:tcPr>
          <w:p>
            <w:pPr>
              <w:spacing w:after="0"/>
              <w:rPr>
                <w:sz w:val="18"/>
                <w:szCs w:val="18"/>
                <w:color w:val="auto"/>
              </w:rPr>
            </w:pPr>
          </w:p>
        </w:tc>
        <w:tc>
          <w:tcPr>
            <w:tcW w:w="1180" w:type="dxa"/>
            <w:vAlign w:val="bottom"/>
          </w:tcPr>
          <w:p>
            <w:pPr>
              <w:ind w:left="9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(12,329.3)</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 and Related Financial Instruments</w:t>
      </w:r>
    </w:p>
    <w:p>
      <w:pPr>
        <w:spacing w:after="0" w:line="12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Financial instruments that potentially subject us to credit risk consist principally of trade receivables and interest-bearing investments. Wholesale distributors of life science products account for a substantial portion of our trade receivables; collateral is generally not required. We seek to mitigate the risk associated with this concentration through our ongoing credit-review procedures and insurance. The majority of our cash is held by a few major financial institutions that have been identified as Global Systemically Important Banks (G-SIBs) by the Financial Stability Board. G-SIBs are subject to rigorous regulatory testing and oversight and must meet certain capital requirements. We monitor our exposures with these institutions and do not expect any of these institutions to fail to meet their obligations. In accordance with documented corporate risk-management policies, we monitor the amount of credit exposure to any one financial institution or corporate issuer based on credit rating of our counterparty. We are exposed to credit-related losses in the event of nonperformance by counterparties to risk-management instruments but do not expect significant counterparties to fail to meet their obligations given their investment grade credit ratings.</w:t>
      </w:r>
    </w:p>
    <w:p>
      <w:pPr>
        <w:spacing w:after="0" w:line="85"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$429.5 million and $422.1 million of accounts receivable as of June 30, 2023 and December 31, 2022, respectively, under these factoring arrangements. The costs of factoring such accounts receivable on our consolidated condensed results of operations for the three and six months ended June 30, 2023 and 2022 were not material.</w:t>
      </w:r>
    </w:p>
    <w:p>
      <w:pPr>
        <w:spacing w:after="0" w:line="81"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3" w:name="page24"/>
    <w:bookmarkEnd w:id="23"/>
    <w:p>
      <w:pPr>
        <w:jc w:val="both"/>
        <w:ind w:right="20"/>
        <w:spacing w:after="0" w:line="258" w:lineRule="auto"/>
        <w:rPr>
          <w:sz w:val="20"/>
          <w:szCs w:val="20"/>
          <w:color w:val="auto"/>
        </w:rPr>
      </w:pPr>
      <w:r>
        <w:rPr>
          <w:rFonts w:ascii="Arial" w:cs="Arial" w:eastAsia="Arial" w:hAnsi="Arial"/>
          <w:sz w:val="17"/>
          <w:szCs w:val="17"/>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income (loss)</w:t>
      </w:r>
    </w:p>
    <w:p>
      <w:pPr>
        <w:ind w:right="120"/>
        <w:spacing w:after="0" w:line="258" w:lineRule="auto"/>
        <w:rPr>
          <w:sz w:val="20"/>
          <w:szCs w:val="20"/>
          <w:color w:val="auto"/>
        </w:rPr>
      </w:pPr>
      <w:r>
        <w:rPr>
          <w:rFonts w:ascii="Arial" w:cs="Arial" w:eastAsia="Arial" w:hAnsi="Arial"/>
          <w:sz w:val="17"/>
          <w:szCs w:val="17"/>
          <w:color w:val="auto"/>
        </w:rPr>
        <w:t>(see Note 9)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income (loss) (see Note 9). Derivative contracts that are not designated as hedging instruments are recorded at fair value with the gain or loss recognized in earnings during the period of change.</w:t>
      </w:r>
    </w:p>
    <w:p>
      <w:pPr>
        <w:spacing w:after="0" w:line="78"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We may enter into foreign currency forward or option contracts to reduce the effect of fluctuating currency exchange rates (principally the euro, British pound, Chinese yuan, Japanese yen, and Swiss franc).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Forward contracts generally have maturities not exceeding 12 months. At June 30, 2023, we had outstanding foreign currency forward commitments as follows, all of which have settlement dates within 180 days: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2023</w:t>
      </w:r>
    </w:p>
    <w:p>
      <w:pPr>
        <w:spacing w:after="0" w:line="30" w:lineRule="exact"/>
        <w:rPr>
          <w:sz w:val="20"/>
          <w:szCs w:val="20"/>
          <w:color w:val="auto"/>
        </w:rPr>
      </w:pPr>
    </w:p>
    <w:tbl>
      <w:tblPr>
        <w:tblLayout w:type="fixed"/>
        <w:tblInd w:w="2500" w:type="dxa"/>
        <w:tblCellMar>
          <w:top w:w="0" w:type="dxa"/>
          <w:left w:w="0" w:type="dxa"/>
          <w:bottom w:w="0" w:type="dxa"/>
          <w:right w:w="0" w:type="dxa"/>
        </w:tblCellMar>
      </w:tblPr>
      <w:tr>
        <w:trPr>
          <w:trHeight w:val="175"/>
        </w:trPr>
        <w:tc>
          <w:tcPr>
            <w:tcW w:w="1160" w:type="dxa"/>
            <w:vAlign w:val="bottom"/>
            <w:tcBorders>
              <w:top w:val="single" w:sz="8" w:color="auto"/>
              <w:bottom w:val="single" w:sz="8" w:color="auto"/>
            </w:tcBorders>
          </w:tcPr>
          <w:p>
            <w:pPr>
              <w:spacing w:after="0"/>
              <w:rPr>
                <w:sz w:val="15"/>
                <w:szCs w:val="15"/>
                <w:color w:val="auto"/>
              </w:rPr>
            </w:pPr>
          </w:p>
        </w:tc>
        <w:tc>
          <w:tcPr>
            <w:tcW w:w="1900" w:type="dxa"/>
            <w:vAlign w:val="bottom"/>
            <w:tcBorders>
              <w:top w:val="single" w:sz="8" w:color="auto"/>
              <w:bottom w:val="single" w:sz="8" w:color="auto"/>
            </w:tcBorders>
          </w:tcPr>
          <w:p>
            <w:pPr>
              <w:jc w:val="right"/>
              <w:ind w:right="1141"/>
              <w:spacing w:after="0"/>
              <w:rPr>
                <w:sz w:val="20"/>
                <w:szCs w:val="20"/>
                <w:color w:val="auto"/>
              </w:rPr>
            </w:pPr>
            <w:r>
              <w:rPr>
                <w:rFonts w:ascii="Arial" w:cs="Arial" w:eastAsia="Arial" w:hAnsi="Arial"/>
                <w:sz w:val="14"/>
                <w:szCs w:val="14"/>
                <w:b w:val="1"/>
                <w:bCs w:val="1"/>
                <w:color w:val="auto"/>
              </w:rPr>
              <w:t>Purchase</w:t>
            </w: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spacing w:after="0"/>
              <w:rPr>
                <w:sz w:val="15"/>
                <w:szCs w:val="15"/>
                <w:color w:val="auto"/>
              </w:rPr>
            </w:pPr>
          </w:p>
        </w:tc>
        <w:tc>
          <w:tcPr>
            <w:tcW w:w="1800" w:type="dxa"/>
            <w:vAlign w:val="bottom"/>
            <w:tcBorders>
              <w:top w:val="single" w:sz="8" w:color="auto"/>
              <w:bottom w:val="single" w:sz="8" w:color="auto"/>
            </w:tcBorders>
          </w:tcPr>
          <w:p>
            <w:pPr>
              <w:jc w:val="right"/>
              <w:ind w:right="1321"/>
              <w:spacing w:after="0"/>
              <w:rPr>
                <w:sz w:val="20"/>
                <w:szCs w:val="20"/>
                <w:color w:val="auto"/>
              </w:rPr>
            </w:pPr>
            <w:r>
              <w:rPr>
                <w:rFonts w:ascii="Arial" w:cs="Arial" w:eastAsia="Arial" w:hAnsi="Arial"/>
                <w:sz w:val="14"/>
                <w:szCs w:val="14"/>
                <w:b w:val="1"/>
                <w:bCs w:val="1"/>
                <w:color w:val="auto"/>
              </w:rPr>
              <w:t>Sell</w:t>
            </w:r>
          </w:p>
        </w:tc>
        <w:tc>
          <w:tcPr>
            <w:tcW w:w="0" w:type="dxa"/>
            <w:vAlign w:val="bottom"/>
          </w:tcPr>
          <w:p>
            <w:pPr>
              <w:spacing w:after="0"/>
              <w:rPr>
                <w:sz w:val="1"/>
                <w:szCs w:val="1"/>
                <w:color w:val="auto"/>
              </w:rPr>
            </w:pPr>
          </w:p>
        </w:tc>
      </w:tr>
      <w:tr>
        <w:trPr>
          <w:trHeight w:val="136"/>
        </w:trPr>
        <w:tc>
          <w:tcPr>
            <w:tcW w:w="1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Currency</w:t>
            </w:r>
          </w:p>
        </w:tc>
        <w:tc>
          <w:tcPr>
            <w:tcW w:w="1900" w:type="dxa"/>
            <w:vAlign w:val="bottom"/>
          </w:tcPr>
          <w:p>
            <w:pPr>
              <w:jc w:val="right"/>
              <w:ind w:right="441"/>
              <w:spacing w:after="0" w:line="137"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1"/>
                <w:szCs w:val="11"/>
                <w:color w:val="auto"/>
              </w:rPr>
            </w:pPr>
          </w:p>
        </w:tc>
        <w:tc>
          <w:tcPr>
            <w:tcW w:w="12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Currency</w:t>
            </w:r>
          </w:p>
        </w:tc>
        <w:tc>
          <w:tcPr>
            <w:tcW w:w="1800" w:type="dxa"/>
            <w:vAlign w:val="bottom"/>
          </w:tcPr>
          <w:p>
            <w:pPr>
              <w:jc w:val="right"/>
              <w:ind w:right="421"/>
              <w:spacing w:after="0" w:line="137"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116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3"/>
        </w:trPr>
        <w:tc>
          <w:tcPr>
            <w:tcW w:w="1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Euro</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3,373.9</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dollars</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3,683.6</w:t>
            </w:r>
          </w:p>
        </w:tc>
        <w:tc>
          <w:tcPr>
            <w:tcW w:w="0" w:type="dxa"/>
            <w:vAlign w:val="bottom"/>
          </w:tcPr>
          <w:p>
            <w:pPr>
              <w:spacing w:after="0"/>
              <w:rPr>
                <w:sz w:val="1"/>
                <w:szCs w:val="1"/>
                <w:color w:val="auto"/>
              </w:rPr>
            </w:pPr>
          </w:p>
        </w:tc>
      </w:tr>
      <w:tr>
        <w:trPr>
          <w:trHeight w:val="219"/>
        </w:trPr>
        <w:tc>
          <w:tcPr>
            <w:tcW w:w="1160" w:type="dxa"/>
            <w:vAlign w:val="bottom"/>
          </w:tcPr>
          <w:p>
            <w:pPr>
              <w:ind w:left="20"/>
              <w:spacing w:after="0"/>
              <w:rPr>
                <w:sz w:val="20"/>
                <w:szCs w:val="20"/>
                <w:color w:val="auto"/>
              </w:rPr>
            </w:pPr>
            <w:r>
              <w:rPr>
                <w:rFonts w:ascii="Arial" w:cs="Arial" w:eastAsia="Arial" w:hAnsi="Arial"/>
                <w:sz w:val="17"/>
                <w:szCs w:val="17"/>
                <w:color w:val="auto"/>
              </w:rPr>
              <w:t>U.S. dollars</w:t>
            </w:r>
          </w:p>
        </w:tc>
        <w:tc>
          <w:tcPr>
            <w:tcW w:w="1900" w:type="dxa"/>
            <w:vAlign w:val="bottom"/>
          </w:tcPr>
          <w:p>
            <w:pPr>
              <w:jc w:val="right"/>
              <w:spacing w:after="0"/>
              <w:rPr>
                <w:sz w:val="20"/>
                <w:szCs w:val="20"/>
                <w:color w:val="auto"/>
              </w:rPr>
            </w:pPr>
            <w:r>
              <w:rPr>
                <w:rFonts w:ascii="Arial" w:cs="Arial" w:eastAsia="Arial" w:hAnsi="Arial"/>
                <w:sz w:val="17"/>
                <w:szCs w:val="17"/>
                <w:color w:val="auto"/>
              </w:rPr>
              <w:t>2,617.8</w:t>
            </w:r>
          </w:p>
        </w:tc>
        <w:tc>
          <w:tcPr>
            <w:tcW w:w="14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7"/>
                <w:szCs w:val="17"/>
                <w:color w:val="auto"/>
              </w:rPr>
              <w:t>Euro</w:t>
            </w:r>
          </w:p>
        </w:tc>
        <w:tc>
          <w:tcPr>
            <w:tcW w:w="1800" w:type="dxa"/>
            <w:vAlign w:val="bottom"/>
          </w:tcPr>
          <w:p>
            <w:pPr>
              <w:jc w:val="right"/>
              <w:spacing w:after="0"/>
              <w:rPr>
                <w:sz w:val="20"/>
                <w:szCs w:val="20"/>
                <w:color w:val="auto"/>
              </w:rPr>
            </w:pPr>
            <w:r>
              <w:rPr>
                <w:rFonts w:ascii="Arial" w:cs="Arial" w:eastAsia="Arial" w:hAnsi="Arial"/>
                <w:sz w:val="17"/>
                <w:szCs w:val="17"/>
                <w:color w:val="auto"/>
              </w:rPr>
              <w:t>2,394.7</w:t>
            </w:r>
          </w:p>
        </w:tc>
        <w:tc>
          <w:tcPr>
            <w:tcW w:w="0" w:type="dxa"/>
            <w:vAlign w:val="bottom"/>
          </w:tcPr>
          <w:p>
            <w:pPr>
              <w:spacing w:after="0"/>
              <w:rPr>
                <w:sz w:val="1"/>
                <w:szCs w:val="1"/>
                <w:color w:val="auto"/>
              </w:rPr>
            </w:pPr>
          </w:p>
        </w:tc>
      </w:tr>
      <w:tr>
        <w:trPr>
          <w:trHeight w:val="233"/>
        </w:trPr>
        <w:tc>
          <w:tcPr>
            <w:tcW w:w="1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British pounds</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182.9</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dollars</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234.4</w:t>
            </w:r>
          </w:p>
        </w:tc>
        <w:tc>
          <w:tcPr>
            <w:tcW w:w="0" w:type="dxa"/>
            <w:vAlign w:val="bottom"/>
          </w:tcPr>
          <w:p>
            <w:pPr>
              <w:spacing w:after="0"/>
              <w:rPr>
                <w:sz w:val="1"/>
                <w:szCs w:val="1"/>
                <w:color w:val="auto"/>
              </w:rPr>
            </w:pPr>
          </w:p>
        </w:tc>
      </w:tr>
      <w:tr>
        <w:trPr>
          <w:trHeight w:val="218"/>
        </w:trPr>
        <w:tc>
          <w:tcPr>
            <w:tcW w:w="1160" w:type="dxa"/>
            <w:vAlign w:val="bottom"/>
          </w:tcPr>
          <w:p>
            <w:pPr>
              <w:ind w:left="20"/>
              <w:spacing w:after="0"/>
              <w:rPr>
                <w:sz w:val="20"/>
                <w:szCs w:val="20"/>
                <w:color w:val="auto"/>
              </w:rPr>
            </w:pPr>
            <w:r>
              <w:rPr>
                <w:rFonts w:ascii="Arial" w:cs="Arial" w:eastAsia="Arial" w:hAnsi="Arial"/>
                <w:sz w:val="17"/>
                <w:szCs w:val="17"/>
                <w:color w:val="auto"/>
              </w:rPr>
              <w:t>U.S. dollars</w:t>
            </w:r>
          </w:p>
        </w:tc>
        <w:tc>
          <w:tcPr>
            <w:tcW w:w="1900" w:type="dxa"/>
            <w:vAlign w:val="bottom"/>
          </w:tcPr>
          <w:p>
            <w:pPr>
              <w:jc w:val="right"/>
              <w:spacing w:after="0"/>
              <w:rPr>
                <w:sz w:val="20"/>
                <w:szCs w:val="20"/>
                <w:color w:val="auto"/>
              </w:rPr>
            </w:pPr>
            <w:r>
              <w:rPr>
                <w:rFonts w:ascii="Arial" w:cs="Arial" w:eastAsia="Arial" w:hAnsi="Arial"/>
                <w:sz w:val="17"/>
                <w:szCs w:val="17"/>
                <w:color w:val="auto"/>
              </w:rPr>
              <w:t>151.4</w:t>
            </w:r>
          </w:p>
        </w:tc>
        <w:tc>
          <w:tcPr>
            <w:tcW w:w="140" w:type="dxa"/>
            <w:vAlign w:val="bottom"/>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7"/>
                <w:szCs w:val="17"/>
                <w:color w:val="auto"/>
              </w:rPr>
              <w:t>Chinese yuan</w:t>
            </w:r>
          </w:p>
        </w:tc>
        <w:tc>
          <w:tcPr>
            <w:tcW w:w="1800" w:type="dxa"/>
            <w:vAlign w:val="bottom"/>
          </w:tcPr>
          <w:p>
            <w:pPr>
              <w:jc w:val="right"/>
              <w:spacing w:after="0"/>
              <w:rPr>
                <w:sz w:val="20"/>
                <w:szCs w:val="20"/>
                <w:color w:val="auto"/>
              </w:rPr>
            </w:pPr>
            <w:r>
              <w:rPr>
                <w:rFonts w:ascii="Arial" w:cs="Arial" w:eastAsia="Arial" w:hAnsi="Arial"/>
                <w:sz w:val="17"/>
                <w:szCs w:val="17"/>
                <w:color w:val="auto"/>
              </w:rPr>
              <w:t>1,084.8</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Foreign currency exchange risk is also managed through the use of foreign currency debt, cross-currency interest rate swaps, and foreign currency forward contracts. Our foreign currency-denominated notes had carrying amounts of $6.95 billion and $6.83 billion as of June 30, 2023 and December 31, 2022, respectively, of which $5.57 billion and $5.45 billion have been designated as, and are effective as, economic hedges of net investments in certain of our foreign operations as of June 30, 2023 and December 31, 2022, respectively. At June 30, 2023, we had outstanding cross-currency swaps with notional amounts of $1.01 billion swapping U.S. dollars to euro and $1.00 billion swapping Swiss francs to U.S. dollars which have settlement dates ranging through 2028. Our cross-currency interest rate swaps, for which a majority convert a portion of our U.S. dollar-denominated fixed-rate debt to foreign-denominated fixed-rate debt, have also been designated as, and are effective as, economic hedges of net investments. At June 30, 2023, we had outstanding foreign currency forward contracts to sell 2.08 billion euro and to sell 1.80 billion Chinese yuan with settlement dates ranging through 2023, which have been designated as, and are effective as, economic hedges of net investments.</w:t>
      </w:r>
    </w:p>
    <w:p>
      <w:pPr>
        <w:spacing w:after="0" w:line="8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8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June 30, 2023, all of our total long-term debt is at a fixed rate. We have converted approximately 12 percent of our long-term fixed-rate notes to floating rates through the use of interest rate swaps.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4" w:name="page25"/>
    <w:bookmarkEnd w:id="24"/>
    <w:p>
      <w:pPr>
        <w:ind w:right="260"/>
        <w:spacing w:after="0" w:line="260" w:lineRule="auto"/>
        <w:rPr>
          <w:sz w:val="20"/>
          <w:szCs w:val="20"/>
          <w:color w:val="auto"/>
        </w:rPr>
      </w:pPr>
      <w:r>
        <w:rPr>
          <w:rFonts w:ascii="Arial" w:cs="Arial" w:eastAsia="Arial" w:hAnsi="Arial"/>
          <w:sz w:val="17"/>
          <w:szCs w:val="17"/>
          <w:color w:val="auto"/>
        </w:rPr>
        <w:t>We also may enter into forward-starting interest rate swaps, which we designate as cash flow hedges, as part of any anticipated future debt issuances in order to reduce the risk of cash flow volatility from future changes in interest rates. The change in fair value of these instruments is recorded as part of other comprehensive income (loss) (see Note 9) and, upon completion of a debt issuance and termination of the swap, is amortized to interest expense over the life of the underlying debt. As of June 30, 2023, the total notional amounts of forward-starting interest rate contracts in designated cash flow hedging instruments were $1.00 billion, which have settlement dates ranging through 2025.</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The Effect of Risk-Management Instruments on the Consolidated Condensed Statements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effects of risk-management instruments were recognized in other–net, (income) expense: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60" w:type="dxa"/>
            <w:vAlign w:val="bottom"/>
          </w:tcPr>
          <w:p>
            <w:pPr>
              <w:spacing w:after="0"/>
              <w:rPr>
                <w:sz w:val="16"/>
                <w:szCs w:val="16"/>
                <w:color w:val="auto"/>
              </w:rPr>
            </w:pP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4"/>
        </w:trPr>
        <w:tc>
          <w:tcPr>
            <w:tcW w:w="48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hedges: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tcPr>
          <w:p>
            <w:pPr>
              <w:ind w:left="180"/>
              <w:spacing w:after="0"/>
              <w:rPr>
                <w:sz w:val="20"/>
                <w:szCs w:val="20"/>
                <w:color w:val="auto"/>
              </w:rPr>
            </w:pPr>
            <w:r>
              <w:rPr>
                <w:rFonts w:ascii="Arial" w:cs="Arial" w:eastAsia="Arial" w:hAnsi="Arial"/>
                <w:sz w:val="17"/>
                <w:szCs w:val="17"/>
                <w:color w:val="auto"/>
              </w:rPr>
              <w:t>Effect from hedged fixed-rate debt</w:t>
            </w:r>
          </w:p>
        </w:tc>
        <w:tc>
          <w:tcPr>
            <w:tcW w:w="960" w:type="dxa"/>
            <w:vAlign w:val="bottom"/>
          </w:tcPr>
          <w:p>
            <w:pPr>
              <w:jc w:val="right"/>
              <w:ind w:right="783"/>
              <w:spacing w:after="0"/>
              <w:rPr>
                <w:sz w:val="20"/>
                <w:szCs w:val="20"/>
                <w:color w:val="auto"/>
              </w:rPr>
            </w:pPr>
            <w:r>
              <w:rPr>
                <w:rFonts w:ascii="Arial" w:cs="Arial" w:eastAsia="Arial" w:hAnsi="Arial"/>
                <w:sz w:val="17"/>
                <w:szCs w:val="17"/>
                <w:b w:val="1"/>
                <w:bCs w:val="1"/>
                <w:color w:val="auto"/>
                <w:w w:val="84"/>
              </w:rPr>
              <w:t>$</w:t>
            </w:r>
          </w:p>
        </w:tc>
        <w:tc>
          <w:tcPr>
            <w:tcW w:w="600" w:type="dxa"/>
            <w:vAlign w:val="bottom"/>
          </w:tcPr>
          <w:p>
            <w:pPr>
              <w:jc w:val="right"/>
              <w:ind w:right="14"/>
              <w:spacing w:after="0"/>
              <w:rPr>
                <w:sz w:val="20"/>
                <w:szCs w:val="20"/>
                <w:color w:val="auto"/>
              </w:rPr>
            </w:pPr>
            <w:r>
              <w:rPr>
                <w:rFonts w:ascii="Arial" w:cs="Arial" w:eastAsia="Arial" w:hAnsi="Arial"/>
                <w:sz w:val="17"/>
                <w:szCs w:val="17"/>
                <w:b w:val="1"/>
                <w:bCs w:val="1"/>
                <w:color w:val="auto"/>
              </w:rPr>
              <w:t>(34.4)</w:t>
            </w:r>
          </w:p>
        </w:tc>
        <w:tc>
          <w:tcPr>
            <w:tcW w:w="1020" w:type="dxa"/>
            <w:vAlign w:val="bottom"/>
          </w:tcPr>
          <w:p>
            <w:pPr>
              <w:jc w:val="right"/>
              <w:ind w:right="7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(58.2)</w:t>
            </w:r>
          </w:p>
        </w:tc>
        <w:tc>
          <w:tcPr>
            <w:tcW w:w="44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58"/>
              <w:spacing w:after="0"/>
              <w:rPr>
                <w:sz w:val="20"/>
                <w:szCs w:val="20"/>
                <w:color w:val="auto"/>
              </w:rPr>
            </w:pPr>
            <w:r>
              <w:rPr>
                <w:rFonts w:ascii="Arial" w:cs="Arial" w:eastAsia="Arial" w:hAnsi="Arial"/>
                <w:sz w:val="17"/>
                <w:szCs w:val="17"/>
                <w:b w:val="1"/>
                <w:bCs w:val="1"/>
                <w:color w:val="auto"/>
              </w:rPr>
              <w:t>0.9</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(152.8)</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Effect from interest rate contracts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34.4</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58.2</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(0.9)</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152.8</w:t>
            </w:r>
          </w:p>
        </w:tc>
        <w:tc>
          <w:tcPr>
            <w:tcW w:w="0" w:type="dxa"/>
            <w:vAlign w:val="bottom"/>
          </w:tcPr>
          <w:p>
            <w:pPr>
              <w:spacing w:after="0"/>
              <w:rPr>
                <w:sz w:val="1"/>
                <w:szCs w:val="1"/>
                <w:color w:val="auto"/>
              </w:rPr>
            </w:pPr>
          </w:p>
        </w:tc>
      </w:tr>
      <w:tr>
        <w:trPr>
          <w:trHeight w:val="225"/>
        </w:trPr>
        <w:tc>
          <w:tcPr>
            <w:tcW w:w="4860" w:type="dxa"/>
            <w:vAlign w:val="bottom"/>
          </w:tcPr>
          <w:p>
            <w:pPr>
              <w:ind w:left="20"/>
              <w:spacing w:after="0"/>
              <w:rPr>
                <w:sz w:val="20"/>
                <w:szCs w:val="20"/>
                <w:color w:val="auto"/>
              </w:rPr>
            </w:pPr>
            <w:r>
              <w:rPr>
                <w:rFonts w:ascii="Arial" w:cs="Arial" w:eastAsia="Arial" w:hAnsi="Arial"/>
                <w:sz w:val="17"/>
                <w:szCs w:val="17"/>
                <w:color w:val="auto"/>
              </w:rPr>
              <w:t>Cash flow hedges: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CEEFF"/>
          </w:tcPr>
          <w:p>
            <w:pPr>
              <w:ind w:left="180"/>
              <w:spacing w:after="0" w:line="176" w:lineRule="exact"/>
              <w:rPr>
                <w:sz w:val="20"/>
                <w:szCs w:val="20"/>
                <w:color w:val="auto"/>
              </w:rPr>
            </w:pPr>
            <w:r>
              <w:rPr>
                <w:rFonts w:ascii="Arial" w:cs="Arial" w:eastAsia="Arial" w:hAnsi="Arial"/>
                <w:sz w:val="17"/>
                <w:szCs w:val="17"/>
                <w:color w:val="auto"/>
              </w:rPr>
              <w:t>Effective portion of losses on interest rate contracts</w:t>
            </w:r>
          </w:p>
        </w:tc>
        <w:tc>
          <w:tcPr>
            <w:tcW w:w="9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3.3</w:t>
            </w:r>
          </w:p>
        </w:tc>
        <w:tc>
          <w:tcPr>
            <w:tcW w:w="10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4.1</w:t>
            </w:r>
          </w:p>
        </w:tc>
        <w:tc>
          <w:tcPr>
            <w:tcW w:w="4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7.1</w:t>
            </w:r>
          </w:p>
        </w:tc>
        <w:tc>
          <w:tcPr>
            <w:tcW w:w="4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reclassified from accumulated other comprehensive loss</w:t>
            </w:r>
          </w:p>
        </w:tc>
        <w:tc>
          <w:tcPr>
            <w:tcW w:w="9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860" w:type="dxa"/>
            <w:vAlign w:val="bottom"/>
          </w:tcPr>
          <w:p>
            <w:pPr>
              <w:ind w:left="180"/>
              <w:spacing w:after="0"/>
              <w:rPr>
                <w:sz w:val="20"/>
                <w:szCs w:val="20"/>
                <w:color w:val="auto"/>
              </w:rPr>
            </w:pPr>
            <w:r>
              <w:rPr>
                <w:rFonts w:ascii="Arial" w:cs="Arial" w:eastAsia="Arial" w:hAnsi="Arial"/>
                <w:sz w:val="17"/>
                <w:szCs w:val="17"/>
                <w:color w:val="auto"/>
              </w:rPr>
              <w:t>Cross-currency interest rate swaps</w:t>
            </w:r>
          </w:p>
        </w:tc>
        <w:tc>
          <w:tcPr>
            <w:tcW w:w="96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Arial" w:cs="Arial" w:eastAsia="Arial" w:hAnsi="Arial"/>
                <w:sz w:val="17"/>
                <w:szCs w:val="17"/>
                <w:b w:val="1"/>
                <w:bCs w:val="1"/>
                <w:color w:val="auto"/>
              </w:rPr>
              <w:t>(17.1)</w:t>
            </w:r>
          </w:p>
        </w:tc>
        <w:tc>
          <w:tcPr>
            <w:tcW w:w="1020" w:type="dxa"/>
            <w:vAlign w:val="bottom"/>
          </w:tcPr>
          <w:p>
            <w:pPr>
              <w:spacing w:after="0"/>
              <w:rPr>
                <w:sz w:val="20"/>
                <w:szCs w:val="20"/>
                <w:color w:val="auto"/>
              </w:rPr>
            </w:pPr>
          </w:p>
        </w:tc>
        <w:tc>
          <w:tcPr>
            <w:tcW w:w="600" w:type="dxa"/>
            <w:vAlign w:val="bottom"/>
          </w:tcPr>
          <w:p>
            <w:pPr>
              <w:jc w:val="right"/>
              <w:ind w:right="54"/>
              <w:spacing w:after="0"/>
              <w:rPr>
                <w:sz w:val="20"/>
                <w:szCs w:val="20"/>
                <w:color w:val="auto"/>
              </w:rPr>
            </w:pPr>
            <w:r>
              <w:rPr>
                <w:rFonts w:ascii="Arial" w:cs="Arial" w:eastAsia="Arial" w:hAnsi="Arial"/>
                <w:sz w:val="17"/>
                <w:szCs w:val="17"/>
                <w:color w:val="auto"/>
              </w:rPr>
              <w:t>33.6</w:t>
            </w:r>
          </w:p>
        </w:tc>
        <w:tc>
          <w:tcPr>
            <w:tcW w:w="440" w:type="dxa"/>
            <w:vAlign w:val="bottom"/>
          </w:tcPr>
          <w:p>
            <w:pPr>
              <w:spacing w:after="0"/>
              <w:rPr>
                <w:sz w:val="20"/>
                <w:szCs w:val="20"/>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b w:val="1"/>
                <w:bCs w:val="1"/>
                <w:color w:val="auto"/>
              </w:rPr>
              <w:t>(30.0)</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41.9</w:t>
            </w:r>
          </w:p>
        </w:tc>
        <w:tc>
          <w:tcPr>
            <w:tcW w:w="0" w:type="dxa"/>
            <w:vAlign w:val="bottom"/>
          </w:tcPr>
          <w:p>
            <w:pPr>
              <w:spacing w:after="0"/>
              <w:rPr>
                <w:sz w:val="1"/>
                <w:szCs w:val="1"/>
                <w:color w:val="auto"/>
              </w:rPr>
            </w:pPr>
          </w:p>
        </w:tc>
      </w:tr>
      <w:tr>
        <w:trPr>
          <w:trHeight w:val="168"/>
        </w:trPr>
        <w:tc>
          <w:tcPr>
            <w:tcW w:w="48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Net (gains) losses on foreign currency exchange contracts not</w:t>
            </w:r>
          </w:p>
        </w:tc>
        <w:tc>
          <w:tcPr>
            <w:tcW w:w="9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29.6</w:t>
            </w:r>
          </w:p>
        </w:tc>
        <w:tc>
          <w:tcPr>
            <w:tcW w:w="10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151.1</w:t>
            </w:r>
          </w:p>
        </w:tc>
        <w:tc>
          <w:tcPr>
            <w:tcW w:w="4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(23.2)</w:t>
            </w:r>
          </w:p>
        </w:tc>
        <w:tc>
          <w:tcPr>
            <w:tcW w:w="4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145.0</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designated as hedging instruments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60" w:type="dxa"/>
            <w:vAlign w:val="bottom"/>
          </w:tcPr>
          <w:p>
            <w:pPr>
              <w:ind w:left="20"/>
              <w:spacing w:after="0"/>
              <w:rPr>
                <w:sz w:val="20"/>
                <w:szCs w:val="20"/>
                <w:color w:val="auto"/>
              </w:rPr>
            </w:pPr>
            <w:r>
              <w:rPr>
                <w:rFonts w:ascii="Arial" w:cs="Arial" w:eastAsia="Arial" w:hAnsi="Arial"/>
                <w:sz w:val="17"/>
                <w:szCs w:val="17"/>
                <w:color w:val="auto"/>
              </w:rPr>
              <w:t>Total</w:t>
            </w: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7"/>
                <w:szCs w:val="17"/>
                <w:b w:val="1"/>
                <w:bCs w:val="1"/>
                <w:color w:val="auto"/>
                <w:w w:val="84"/>
              </w:rPr>
              <w:t>$</w:t>
            </w: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15.8</w:t>
            </w:r>
          </w:p>
        </w:tc>
        <w:tc>
          <w:tcPr>
            <w:tcW w:w="1020" w:type="dxa"/>
            <w:vAlign w:val="bottom"/>
            <w:tcBorders>
              <w:bottom w:val="single" w:sz="8" w:color="auto"/>
            </w:tcBorders>
          </w:tcPr>
          <w:p>
            <w:pPr>
              <w:jc w:val="right"/>
              <w:ind w:right="76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188.8</w:t>
            </w:r>
          </w:p>
        </w:tc>
        <w:tc>
          <w:tcPr>
            <w:tcW w:w="4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b w:val="1"/>
                <w:bCs w:val="1"/>
                <w:color w:val="auto"/>
              </w:rPr>
              <w:t>(46.1)</w:t>
            </w:r>
          </w:p>
        </w:tc>
        <w:tc>
          <w:tcPr>
            <w:tcW w:w="4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195.1</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color w:val="auto"/>
        </w:rPr>
        <w:t>During the three and six months ended June 30, 2023 and 2022, the amortization of losses related to the portion of our risk management hedging instruments, fair value hedges, and cash flow hedges that was excluded from the assessment of effectiveness was not material.</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The Effect of Risk-Management Instruments on Other Comprehensive Income (Loss)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effective portion of risk-management instruments that was recognized in other comprehensive income (loss)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860" w:type="dxa"/>
            <w:vAlign w:val="bottom"/>
          </w:tcPr>
          <w:p>
            <w:pPr>
              <w:spacing w:after="0"/>
              <w:rPr>
                <w:sz w:val="15"/>
                <w:szCs w:val="15"/>
                <w:color w:val="auto"/>
              </w:rPr>
            </w:pPr>
          </w:p>
        </w:tc>
        <w:tc>
          <w:tcPr>
            <w:tcW w:w="25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8"/>
              </w:rPr>
              <w:t>Three Months Ended June 30,</w:t>
            </w:r>
          </w:p>
        </w:tc>
        <w:tc>
          <w:tcPr>
            <w:tcW w:w="6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3"/>
          </w:tcPr>
          <w:p>
            <w:pPr>
              <w:jc w:val="right"/>
              <w:ind w:right="577"/>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48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r>
      <w:tr>
        <w:trPr>
          <w:trHeight w:val="213"/>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investment hedges: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2"/>
        </w:trPr>
        <w:tc>
          <w:tcPr>
            <w:tcW w:w="4860" w:type="dxa"/>
            <w:vAlign w:val="bottom"/>
          </w:tcPr>
          <w:p>
            <w:pPr>
              <w:ind w:left="180"/>
              <w:spacing w:after="0"/>
              <w:rPr>
                <w:sz w:val="20"/>
                <w:szCs w:val="20"/>
                <w:color w:val="auto"/>
              </w:rPr>
            </w:pPr>
            <w:r>
              <w:rPr>
                <w:rFonts w:ascii="Arial" w:cs="Arial" w:eastAsia="Arial" w:hAnsi="Arial"/>
                <w:sz w:val="17"/>
                <w:szCs w:val="17"/>
                <w:color w:val="auto"/>
              </w:rPr>
              <w:t>Foreign currency-denominated notes</w:t>
            </w:r>
          </w:p>
        </w:tc>
        <w:tc>
          <w:tcPr>
            <w:tcW w:w="980" w:type="dxa"/>
            <w:vAlign w:val="bottom"/>
          </w:tcPr>
          <w:p>
            <w:pPr>
              <w:jc w:val="right"/>
              <w:ind w:right="805"/>
              <w:spacing w:after="0"/>
              <w:rPr>
                <w:sz w:val="20"/>
                <w:szCs w:val="20"/>
                <w:color w:val="auto"/>
              </w:rPr>
            </w:pPr>
            <w:r>
              <w:rPr>
                <w:rFonts w:ascii="Arial" w:cs="Arial" w:eastAsia="Arial" w:hAnsi="Arial"/>
                <w:sz w:val="17"/>
                <w:szCs w:val="17"/>
                <w:b w:val="1"/>
                <w:bCs w:val="1"/>
                <w:color w:val="auto"/>
                <w:w w:val="84"/>
              </w:rPr>
              <w:t>$</w:t>
            </w:r>
          </w:p>
        </w:tc>
        <w:tc>
          <w:tcPr>
            <w:tcW w:w="560" w:type="dxa"/>
            <w:vAlign w:val="bottom"/>
          </w:tcPr>
          <w:p>
            <w:pPr>
              <w:jc w:val="right"/>
              <w:ind w:right="54"/>
              <w:spacing w:after="0"/>
              <w:rPr>
                <w:sz w:val="20"/>
                <w:szCs w:val="20"/>
                <w:color w:val="auto"/>
              </w:rPr>
            </w:pPr>
            <w:r>
              <w:rPr>
                <w:rFonts w:ascii="Arial" w:cs="Arial" w:eastAsia="Arial" w:hAnsi="Arial"/>
                <w:sz w:val="17"/>
                <w:szCs w:val="17"/>
                <w:b w:val="1"/>
                <w:bCs w:val="1"/>
                <w:color w:val="auto"/>
              </w:rPr>
              <w:t>10.6</w:t>
            </w:r>
          </w:p>
        </w:tc>
        <w:tc>
          <w:tcPr>
            <w:tcW w:w="1020" w:type="dxa"/>
            <w:vAlign w:val="bottom"/>
          </w:tcPr>
          <w:p>
            <w:pPr>
              <w:jc w:val="right"/>
              <w:ind w:right="743"/>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34"/>
              <w:spacing w:after="0"/>
              <w:rPr>
                <w:sz w:val="20"/>
                <w:szCs w:val="20"/>
                <w:color w:val="auto"/>
              </w:rPr>
            </w:pPr>
            <w:r>
              <w:rPr>
                <w:rFonts w:ascii="Arial" w:cs="Arial" w:eastAsia="Arial" w:hAnsi="Arial"/>
                <w:sz w:val="17"/>
                <w:szCs w:val="17"/>
                <w:color w:val="auto"/>
              </w:rPr>
              <w:t>333.3</w:t>
            </w:r>
          </w:p>
        </w:tc>
        <w:tc>
          <w:tcPr>
            <w:tcW w:w="4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b w:val="1"/>
                <w:bCs w:val="1"/>
                <w:color w:val="auto"/>
              </w:rPr>
              <w:t>(121.2)</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387.7</w:t>
            </w:r>
          </w:p>
        </w:tc>
      </w:tr>
      <w:tr>
        <w:trPr>
          <w:trHeight w:val="219"/>
        </w:trPr>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Cross-currency interest rate swaps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(7.8)</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68.5</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(19.6)</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w:t>
            </w:r>
          </w:p>
        </w:tc>
      </w:tr>
      <w:tr>
        <w:trPr>
          <w:trHeight w:val="219"/>
        </w:trPr>
        <w:tc>
          <w:tcPr>
            <w:tcW w:w="4860" w:type="dxa"/>
            <w:vAlign w:val="bottom"/>
          </w:tcPr>
          <w:p>
            <w:pPr>
              <w:ind w:left="180"/>
              <w:spacing w:after="0"/>
              <w:rPr>
                <w:sz w:val="20"/>
                <w:szCs w:val="20"/>
                <w:color w:val="auto"/>
              </w:rPr>
            </w:pPr>
            <w:r>
              <w:rPr>
                <w:rFonts w:ascii="Arial" w:cs="Arial" w:eastAsia="Arial" w:hAnsi="Arial"/>
                <w:sz w:val="17"/>
                <w:szCs w:val="17"/>
                <w:color w:val="auto"/>
              </w:rPr>
              <w:t>Foreign currency forward contracts</w:t>
            </w:r>
          </w:p>
        </w:tc>
        <w:tc>
          <w:tcPr>
            <w:tcW w:w="980" w:type="dxa"/>
            <w:vAlign w:val="bottom"/>
          </w:tcPr>
          <w:p>
            <w:pPr>
              <w:spacing w:after="0"/>
              <w:rPr>
                <w:sz w:val="19"/>
                <w:szCs w:val="19"/>
                <w:color w:val="auto"/>
              </w:rPr>
            </w:pPr>
          </w:p>
        </w:tc>
        <w:tc>
          <w:tcPr>
            <w:tcW w:w="560" w:type="dxa"/>
            <w:vAlign w:val="bottom"/>
          </w:tcPr>
          <w:p>
            <w:pPr>
              <w:jc w:val="right"/>
              <w:ind w:right="54"/>
              <w:spacing w:after="0"/>
              <w:rPr>
                <w:sz w:val="20"/>
                <w:szCs w:val="20"/>
                <w:color w:val="auto"/>
              </w:rPr>
            </w:pPr>
            <w:r>
              <w:rPr>
                <w:rFonts w:ascii="Arial" w:cs="Arial" w:eastAsia="Arial" w:hAnsi="Arial"/>
                <w:sz w:val="17"/>
                <w:szCs w:val="17"/>
                <w:b w:val="1"/>
                <w:bCs w:val="1"/>
                <w:color w:val="auto"/>
              </w:rPr>
              <w:t>27.7</w:t>
            </w:r>
          </w:p>
        </w:tc>
        <w:tc>
          <w:tcPr>
            <w:tcW w:w="102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7"/>
                <w:szCs w:val="17"/>
                <w:color w:val="auto"/>
              </w:rPr>
              <w:t>13.6</w:t>
            </w:r>
          </w:p>
        </w:tc>
        <w:tc>
          <w:tcPr>
            <w:tcW w:w="4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7"/>
                <w:szCs w:val="17"/>
                <w:b w:val="1"/>
                <w:bCs w:val="1"/>
                <w:color w:val="auto"/>
              </w:rPr>
              <w:t>(18.4)</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232"/>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 hedges:</w:t>
            </w: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9"/>
        </w:trPr>
        <w:tc>
          <w:tcPr>
            <w:tcW w:w="4860" w:type="dxa"/>
            <w:vAlign w:val="bottom"/>
          </w:tcPr>
          <w:p>
            <w:pPr>
              <w:ind w:left="180"/>
              <w:spacing w:after="0"/>
              <w:rPr>
                <w:sz w:val="20"/>
                <w:szCs w:val="20"/>
                <w:color w:val="auto"/>
              </w:rPr>
            </w:pPr>
            <w:r>
              <w:rPr>
                <w:rFonts w:ascii="Arial" w:cs="Arial" w:eastAsia="Arial" w:hAnsi="Arial"/>
                <w:sz w:val="17"/>
                <w:szCs w:val="17"/>
                <w:color w:val="auto"/>
              </w:rPr>
              <w:t>Forward-starting interest rate swaps</w:t>
            </w:r>
          </w:p>
        </w:tc>
        <w:tc>
          <w:tcPr>
            <w:tcW w:w="980" w:type="dxa"/>
            <w:vAlign w:val="bottom"/>
          </w:tcPr>
          <w:p>
            <w:pPr>
              <w:spacing w:after="0"/>
              <w:rPr>
                <w:sz w:val="19"/>
                <w:szCs w:val="19"/>
                <w:color w:val="auto"/>
              </w:rPr>
            </w:pPr>
          </w:p>
        </w:tc>
        <w:tc>
          <w:tcPr>
            <w:tcW w:w="560" w:type="dxa"/>
            <w:vAlign w:val="bottom"/>
          </w:tcPr>
          <w:p>
            <w:pPr>
              <w:jc w:val="right"/>
              <w:ind w:right="54"/>
              <w:spacing w:after="0"/>
              <w:rPr>
                <w:sz w:val="20"/>
                <w:szCs w:val="20"/>
                <w:color w:val="auto"/>
              </w:rPr>
            </w:pPr>
            <w:r>
              <w:rPr>
                <w:rFonts w:ascii="Arial" w:cs="Arial" w:eastAsia="Arial" w:hAnsi="Arial"/>
                <w:sz w:val="17"/>
                <w:szCs w:val="17"/>
                <w:b w:val="1"/>
                <w:bCs w:val="1"/>
                <w:color w:val="auto"/>
              </w:rPr>
              <w:t>33.3</w:t>
            </w:r>
          </w:p>
        </w:tc>
        <w:tc>
          <w:tcPr>
            <w:tcW w:w="102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7"/>
                <w:szCs w:val="17"/>
                <w:color w:val="auto"/>
              </w:rPr>
              <w:t>157.7</w:t>
            </w:r>
          </w:p>
        </w:tc>
        <w:tc>
          <w:tcPr>
            <w:tcW w:w="46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7"/>
                <w:szCs w:val="17"/>
                <w:b w:val="1"/>
                <w:bCs w:val="1"/>
                <w:color w:val="auto"/>
              </w:rPr>
              <w:t>57.1</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280.2</w:t>
            </w:r>
          </w:p>
        </w:tc>
      </w:tr>
      <w:tr>
        <w:trPr>
          <w:trHeight w:val="219"/>
        </w:trPr>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Cross-currency interest rate swaps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21.9</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1.4</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7"/>
                <w:szCs w:val="17"/>
                <w:b w:val="1"/>
                <w:bCs w:val="1"/>
                <w:color w:val="auto"/>
              </w:rPr>
              <w:t>14.1</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r>
    </w:tbl>
    <w:p>
      <w:pPr>
        <w:spacing w:after="0" w:line="181" w:lineRule="exact"/>
        <w:rPr>
          <w:sz w:val="20"/>
          <w:szCs w:val="20"/>
          <w:color w:val="auto"/>
        </w:rPr>
      </w:pPr>
    </w:p>
    <w:p>
      <w:pPr>
        <w:jc w:val="both"/>
        <w:ind w:right="120"/>
        <w:spacing w:after="0" w:line="267" w:lineRule="auto"/>
        <w:rPr>
          <w:sz w:val="20"/>
          <w:szCs w:val="20"/>
          <w:color w:val="auto"/>
        </w:rPr>
      </w:pPr>
      <w:r>
        <w:rPr>
          <w:rFonts w:ascii="Arial" w:cs="Arial" w:eastAsia="Arial" w:hAnsi="Arial"/>
          <w:sz w:val="17"/>
          <w:szCs w:val="17"/>
          <w:color w:val="auto"/>
        </w:rPr>
        <w:t>During the next 12 months, we expect to reclassify $13.1 million of pretax net losses on cash flow hedges from accumulated other comprehensive loss to other–net, (income) expense. During the three and six months ended June 30, 2023 and 2022, the amounts excluded from the assessment of hedge effectiveness recognized in other comprehensive income (loss)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i w:val="1"/>
          <w:iCs w:val="1"/>
          <w:u w:val="single" w:color="auto"/>
          <w:color w:val="auto"/>
        </w:rPr>
        <w:t>Fair Value of Risk-Management Instruments</w:t>
      </w:r>
    </w:p>
    <w:p>
      <w:pPr>
        <w:spacing w:after="0" w:line="120"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color w:val="auto"/>
        </w:rPr>
        <w:t>The following table summarizes certain fair value information at June 30, 2023 and December 31, 2022 for risk management assets and liabilities measured at fair value on a recurring basis: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5"/>
          </w:tcPr>
          <w:p>
            <w:pPr>
              <w:jc w:val="right"/>
              <w:ind w:right="964"/>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right="64"/>
              <w:spacing w:after="0" w:line="136" w:lineRule="exact"/>
              <w:rPr>
                <w:sz w:val="20"/>
                <w:szCs w:val="20"/>
                <w:color w:val="auto"/>
              </w:rPr>
            </w:pPr>
            <w:r>
              <w:rPr>
                <w:rFonts w:ascii="Arial" w:cs="Arial" w:eastAsia="Arial" w:hAnsi="Arial"/>
                <w:sz w:val="14"/>
                <w:szCs w:val="14"/>
                <w:b w:val="1"/>
                <w:bCs w:val="1"/>
                <w:color w:val="auto"/>
                <w:w w:val="98"/>
              </w:rPr>
              <w:t>Quoted Prices in</w:t>
            </w:r>
          </w:p>
        </w:tc>
        <w:tc>
          <w:tcPr>
            <w:tcW w:w="280" w:type="dxa"/>
            <w:vAlign w:val="bottom"/>
          </w:tcPr>
          <w:p>
            <w:pPr>
              <w:spacing w:after="0"/>
              <w:rPr>
                <w:sz w:val="11"/>
                <w:szCs w:val="11"/>
                <w:color w:val="auto"/>
              </w:rPr>
            </w:pPr>
          </w:p>
        </w:tc>
        <w:tc>
          <w:tcPr>
            <w:tcW w:w="1140" w:type="dxa"/>
            <w:vAlign w:val="bottom"/>
          </w:tcPr>
          <w:p>
            <w:pPr>
              <w:jc w:val="center"/>
              <w:ind w:right="164"/>
              <w:spacing w:after="0" w:line="136" w:lineRule="exact"/>
              <w:rPr>
                <w:sz w:val="20"/>
                <w:szCs w:val="20"/>
                <w:color w:val="auto"/>
              </w:rPr>
            </w:pPr>
            <w:r>
              <w:rPr>
                <w:rFonts w:ascii="Arial" w:cs="Arial" w:eastAsia="Arial" w:hAnsi="Arial"/>
                <w:sz w:val="14"/>
                <w:szCs w:val="14"/>
                <w:b w:val="1"/>
                <w:bCs w:val="1"/>
                <w:color w:val="auto"/>
                <w:w w:val="97"/>
              </w:rPr>
              <w:t>Significant</w:t>
            </w:r>
          </w:p>
        </w:tc>
        <w:tc>
          <w:tcPr>
            <w:tcW w:w="220" w:type="dxa"/>
            <w:vAlign w:val="bottom"/>
          </w:tcPr>
          <w:p>
            <w:pPr>
              <w:spacing w:after="0"/>
              <w:rPr>
                <w:sz w:val="11"/>
                <w:szCs w:val="11"/>
                <w:color w:val="auto"/>
              </w:rPr>
            </w:pPr>
          </w:p>
        </w:tc>
        <w:tc>
          <w:tcPr>
            <w:tcW w:w="1580" w:type="dxa"/>
            <w:vAlign w:val="bottom"/>
            <w:gridSpan w:val="2"/>
          </w:tcPr>
          <w:p>
            <w:pPr>
              <w:jc w:val="center"/>
              <w:ind w:right="540"/>
              <w:spacing w:after="0" w:line="136" w:lineRule="exact"/>
              <w:rPr>
                <w:sz w:val="20"/>
                <w:szCs w:val="20"/>
                <w:color w:val="auto"/>
              </w:rPr>
            </w:pPr>
            <w:r>
              <w:rPr>
                <w:rFonts w:ascii="Arial" w:cs="Arial" w:eastAsia="Arial" w:hAnsi="Arial"/>
                <w:sz w:val="14"/>
                <w:szCs w:val="14"/>
                <w:b w:val="1"/>
                <w:bCs w:val="1"/>
                <w:color w:val="auto"/>
              </w:rPr>
              <w:t>Significant</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Carrying</w:t>
            </w:r>
          </w:p>
        </w:tc>
        <w:tc>
          <w:tcPr>
            <w:tcW w:w="134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7"/>
              </w:rPr>
              <w:t>Active Markets for</w:t>
            </w:r>
          </w:p>
        </w:tc>
        <w:tc>
          <w:tcPr>
            <w:tcW w:w="142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8"/>
              </w:rPr>
              <w:t>Other Observable</w:t>
            </w:r>
          </w:p>
        </w:tc>
        <w:tc>
          <w:tcPr>
            <w:tcW w:w="220" w:type="dxa"/>
            <w:vAlign w:val="bottom"/>
          </w:tcPr>
          <w:p>
            <w:pPr>
              <w:spacing w:after="0"/>
              <w:rPr>
                <w:sz w:val="11"/>
                <w:szCs w:val="11"/>
                <w:color w:val="auto"/>
              </w:rPr>
            </w:pPr>
          </w:p>
        </w:tc>
        <w:tc>
          <w:tcPr>
            <w:tcW w:w="1580" w:type="dxa"/>
            <w:vAlign w:val="bottom"/>
            <w:gridSpan w:val="2"/>
          </w:tcPr>
          <w:p>
            <w:pPr>
              <w:jc w:val="center"/>
              <w:ind w:right="540"/>
              <w:spacing w:after="0" w:line="131" w:lineRule="exact"/>
              <w:rPr>
                <w:sz w:val="20"/>
                <w:szCs w:val="20"/>
                <w:color w:val="auto"/>
              </w:rPr>
            </w:pPr>
            <w:r>
              <w:rPr>
                <w:rFonts w:ascii="Arial" w:cs="Arial" w:eastAsia="Arial" w:hAnsi="Arial"/>
                <w:sz w:val="14"/>
                <w:szCs w:val="14"/>
                <w:b w:val="1"/>
                <w:bCs w:val="1"/>
                <w:color w:val="auto"/>
                <w:w w:val="99"/>
              </w:rPr>
              <w:t>Unobservable</w:t>
            </w:r>
          </w:p>
        </w:tc>
        <w:tc>
          <w:tcPr>
            <w:tcW w:w="1000" w:type="dxa"/>
            <w:vAlign w:val="bottom"/>
            <w:vMerge w:val="restart"/>
          </w:tcPr>
          <w:p>
            <w:pPr>
              <w:jc w:val="right"/>
              <w:ind w:right="44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64"/>
              <w:spacing w:after="0" w:line="142" w:lineRule="exact"/>
              <w:rPr>
                <w:sz w:val="20"/>
                <w:szCs w:val="20"/>
                <w:color w:val="auto"/>
              </w:rPr>
            </w:pPr>
            <w:r>
              <w:rPr>
                <w:rFonts w:ascii="Arial" w:cs="Arial" w:eastAsia="Arial" w:hAnsi="Arial"/>
                <w:sz w:val="14"/>
                <w:szCs w:val="14"/>
                <w:b w:val="1"/>
                <w:bCs w:val="1"/>
                <w:color w:val="auto"/>
                <w:w w:val="99"/>
              </w:rPr>
              <w:t>Identical Assets</w:t>
            </w:r>
          </w:p>
        </w:tc>
        <w:tc>
          <w:tcPr>
            <w:tcW w:w="280" w:type="dxa"/>
            <w:vAlign w:val="bottom"/>
          </w:tcPr>
          <w:p>
            <w:pPr>
              <w:spacing w:after="0"/>
              <w:rPr>
                <w:sz w:val="12"/>
                <w:szCs w:val="12"/>
                <w:color w:val="auto"/>
              </w:rPr>
            </w:pPr>
          </w:p>
        </w:tc>
        <w:tc>
          <w:tcPr>
            <w:tcW w:w="1140" w:type="dxa"/>
            <w:vAlign w:val="bottom"/>
          </w:tcPr>
          <w:p>
            <w:pPr>
              <w:jc w:val="center"/>
              <w:ind w:right="184"/>
              <w:spacing w:after="0" w:line="142"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580" w:type="dxa"/>
            <w:vAlign w:val="bottom"/>
            <w:gridSpan w:val="2"/>
          </w:tcPr>
          <w:p>
            <w:pPr>
              <w:jc w:val="center"/>
              <w:ind w:right="540"/>
              <w:spacing w:after="0" w:line="142" w:lineRule="exact"/>
              <w:rPr>
                <w:sz w:val="20"/>
                <w:szCs w:val="20"/>
                <w:color w:val="auto"/>
              </w:rPr>
            </w:pPr>
            <w:r>
              <w:rPr>
                <w:rFonts w:ascii="Arial" w:cs="Arial" w:eastAsia="Arial" w:hAnsi="Arial"/>
                <w:sz w:val="14"/>
                <w:szCs w:val="14"/>
                <w:b w:val="1"/>
                <w:bCs w:val="1"/>
                <w:color w:val="auto"/>
                <w:w w:val="95"/>
              </w:rPr>
              <w:t>Inputs</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4"/>
              </w:rPr>
              <w:t>(Level 1)</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8"/>
              </w:rPr>
              <w:t>(Level 2)</w:t>
            </w: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8"/>
              </w:rPr>
              <w:t>(Level 3)</w:t>
            </w:r>
          </w:p>
        </w:tc>
        <w:tc>
          <w:tcPr>
            <w:tcW w:w="10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9"/>
        </w:trPr>
        <w:tc>
          <w:tcPr>
            <w:tcW w:w="42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June 30, 2023</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00" w:type="dxa"/>
            <w:vAlign w:val="bottom"/>
          </w:tcPr>
          <w:p>
            <w:pPr>
              <w:ind w:left="20"/>
              <w:spacing w:after="0"/>
              <w:rPr>
                <w:sz w:val="20"/>
                <w:szCs w:val="20"/>
                <w:color w:val="auto"/>
              </w:rPr>
            </w:pPr>
            <w:r>
              <w:rPr>
                <w:rFonts w:ascii="Arial" w:cs="Arial" w:eastAsia="Arial" w:hAnsi="Arial"/>
                <w:sz w:val="15"/>
                <w:szCs w:val="15"/>
                <w:color w:val="auto"/>
              </w:rPr>
              <w:t>Risk-management instruments: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Interest rate contracts designated as fair value hedges: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0" w:type="dxa"/>
            <w:vAlign w:val="bottom"/>
          </w:tcPr>
          <w:p>
            <w:pPr>
              <w:ind w:left="340"/>
              <w:spacing w:after="0"/>
              <w:rPr>
                <w:sz w:val="20"/>
                <w:szCs w:val="20"/>
                <w:color w:val="auto"/>
              </w:rPr>
            </w:pPr>
            <w:r>
              <w:rPr>
                <w:rFonts w:ascii="Arial" w:cs="Arial" w:eastAsia="Arial" w:hAnsi="Arial"/>
                <w:sz w:val="15"/>
                <w:szCs w:val="15"/>
                <w:color w:val="auto"/>
              </w:rPr>
              <w:t>Other current liabilities</w:t>
            </w:r>
          </w:p>
        </w:tc>
        <w:tc>
          <w:tcPr>
            <w:tcW w:w="260" w:type="dxa"/>
            <w:vAlign w:val="bottom"/>
          </w:tcPr>
          <w:p>
            <w:pPr>
              <w:jc w:val="right"/>
              <w:ind w:right="43"/>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64"/>
              <w:spacing w:after="0"/>
              <w:rPr>
                <w:sz w:val="20"/>
                <w:szCs w:val="20"/>
                <w:color w:val="auto"/>
              </w:rPr>
            </w:pPr>
            <w:r>
              <w:rPr>
                <w:rFonts w:ascii="Arial" w:cs="Arial" w:eastAsia="Arial" w:hAnsi="Arial"/>
                <w:sz w:val="15"/>
                <w:szCs w:val="15"/>
                <w:b w:val="1"/>
                <w:bCs w:val="1"/>
                <w:color w:val="auto"/>
              </w:rPr>
              <w:t>(8.7)</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(8.7)</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580" w:type="dxa"/>
            <w:vAlign w:val="bottom"/>
            <w:gridSpan w:val="2"/>
          </w:tcPr>
          <w:p>
            <w:pPr>
              <w:ind w:left="960"/>
              <w:spacing w:after="0"/>
              <w:rPr>
                <w:sz w:val="20"/>
                <w:szCs w:val="20"/>
                <w:color w:val="auto"/>
              </w:rPr>
            </w:pPr>
            <w:r>
              <w:rPr>
                <w:rFonts w:ascii="Arial" w:cs="Arial" w:eastAsia="Arial" w:hAnsi="Arial"/>
                <w:sz w:val="15"/>
                <w:szCs w:val="15"/>
                <w:b w:val="1"/>
                <w:bCs w:val="1"/>
                <w:color w:val="auto"/>
              </w:rPr>
              <w:t>—  $</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(8.7)</w:t>
            </w: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noncurrent liabilities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(124.8)</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(124.8)</w:t>
            </w:r>
          </w:p>
        </w:tc>
        <w:tc>
          <w:tcPr>
            <w:tcW w:w="2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(124.8)</w:t>
            </w:r>
          </w:p>
        </w:tc>
        <w:tc>
          <w:tcPr>
            <w:tcW w:w="0" w:type="dxa"/>
            <w:vAlign w:val="bottom"/>
          </w:tcPr>
          <w:p>
            <w:pPr>
              <w:spacing w:after="0"/>
              <w:rPr>
                <w:sz w:val="1"/>
                <w:szCs w:val="1"/>
                <w:color w:val="auto"/>
              </w:rPr>
            </w:pPr>
          </w:p>
        </w:tc>
      </w:tr>
      <w:tr>
        <w:trPr>
          <w:trHeight w:val="204"/>
        </w:trPr>
        <w:tc>
          <w:tcPr>
            <w:tcW w:w="4200" w:type="dxa"/>
            <w:vAlign w:val="bottom"/>
          </w:tcPr>
          <w:p>
            <w:pPr>
              <w:ind w:left="200"/>
              <w:spacing w:after="0"/>
              <w:rPr>
                <w:sz w:val="20"/>
                <w:szCs w:val="20"/>
                <w:color w:val="auto"/>
              </w:rPr>
            </w:pPr>
            <w:r>
              <w:rPr>
                <w:rFonts w:ascii="Arial" w:cs="Arial" w:eastAsia="Arial" w:hAnsi="Arial"/>
                <w:sz w:val="15"/>
                <w:szCs w:val="15"/>
                <w:color w:val="auto"/>
              </w:rPr>
              <w:t>Interest rate contracts designated as cash flow hedges: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noncurrent 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261.9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261.9</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261.9</w:t>
            </w:r>
          </w:p>
        </w:tc>
        <w:tc>
          <w:tcPr>
            <w:tcW w:w="0" w:type="dxa"/>
            <w:vAlign w:val="bottom"/>
          </w:tcPr>
          <w:p>
            <w:pPr>
              <w:spacing w:after="0"/>
              <w:rPr>
                <w:sz w:val="1"/>
                <w:szCs w:val="1"/>
                <w:color w:val="auto"/>
              </w:rPr>
            </w:pPr>
          </w:p>
        </w:tc>
      </w:tr>
      <w:tr>
        <w:trPr>
          <w:trHeight w:val="160"/>
        </w:trPr>
        <w:tc>
          <w:tcPr>
            <w:tcW w:w="4200" w:type="dxa"/>
            <w:vAlign w:val="bottom"/>
          </w:tcPr>
          <w:p>
            <w:pPr>
              <w:ind w:left="200"/>
              <w:spacing w:after="0" w:line="160" w:lineRule="exact"/>
              <w:rPr>
                <w:sz w:val="20"/>
                <w:szCs w:val="20"/>
                <w:color w:val="auto"/>
              </w:rPr>
            </w:pPr>
            <w:r>
              <w:rPr>
                <w:rFonts w:ascii="Arial" w:cs="Arial" w:eastAsia="Arial" w:hAnsi="Arial"/>
                <w:sz w:val="15"/>
                <w:szCs w:val="15"/>
                <w:color w:val="auto"/>
              </w:rPr>
              <w:t>Cross-currency interest rate contracts designated as net</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200" w:type="dxa"/>
            <w:vAlign w:val="bottom"/>
          </w:tcPr>
          <w:p>
            <w:pPr>
              <w:ind w:left="200"/>
              <w:spacing w:after="0"/>
              <w:rPr>
                <w:sz w:val="20"/>
                <w:szCs w:val="20"/>
                <w:color w:val="auto"/>
              </w:rPr>
            </w:pPr>
            <w:r>
              <w:rPr>
                <w:rFonts w:ascii="Arial" w:cs="Arial" w:eastAsia="Arial" w:hAnsi="Arial"/>
                <w:sz w:val="15"/>
                <w:szCs w:val="15"/>
                <w:color w:val="auto"/>
              </w:rPr>
              <w:t>investment hedges: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receivables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42.7</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42.7</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42.7</w:t>
            </w:r>
          </w:p>
        </w:tc>
        <w:tc>
          <w:tcPr>
            <w:tcW w:w="0" w:type="dxa"/>
            <w:vAlign w:val="bottom"/>
          </w:tcPr>
          <w:p>
            <w:pPr>
              <w:spacing w:after="0"/>
              <w:rPr>
                <w:sz w:val="1"/>
                <w:szCs w:val="1"/>
                <w:color w:val="auto"/>
              </w:rPr>
            </w:pPr>
          </w:p>
        </w:tc>
      </w:tr>
      <w:tr>
        <w:trPr>
          <w:trHeight w:val="160"/>
        </w:trPr>
        <w:tc>
          <w:tcPr>
            <w:tcW w:w="4200" w:type="dxa"/>
            <w:vAlign w:val="bottom"/>
          </w:tcPr>
          <w:p>
            <w:pPr>
              <w:ind w:left="200"/>
              <w:spacing w:after="0" w:line="160" w:lineRule="exact"/>
              <w:rPr>
                <w:sz w:val="20"/>
                <w:szCs w:val="20"/>
                <w:color w:val="auto"/>
              </w:rPr>
            </w:pPr>
            <w:r>
              <w:rPr>
                <w:rFonts w:ascii="Arial" w:cs="Arial" w:eastAsia="Arial" w:hAnsi="Arial"/>
                <w:sz w:val="15"/>
                <w:szCs w:val="15"/>
                <w:color w:val="auto"/>
              </w:rPr>
              <w:t>Cross-currency interest rate contracts designated as cash</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200" w:type="dxa"/>
            <w:vAlign w:val="bottom"/>
          </w:tcPr>
          <w:p>
            <w:pPr>
              <w:ind w:left="200"/>
              <w:spacing w:after="0"/>
              <w:rPr>
                <w:sz w:val="20"/>
                <w:szCs w:val="20"/>
                <w:color w:val="auto"/>
              </w:rPr>
            </w:pPr>
            <w:r>
              <w:rPr>
                <w:rFonts w:ascii="Arial" w:cs="Arial" w:eastAsia="Arial" w:hAnsi="Arial"/>
                <w:sz w:val="15"/>
                <w:szCs w:val="15"/>
                <w:color w:val="auto"/>
              </w:rPr>
              <w:t>flow hedges: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receivables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69.5</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69.5</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69.5</w:t>
            </w:r>
          </w:p>
        </w:tc>
        <w:tc>
          <w:tcPr>
            <w:tcW w:w="0" w:type="dxa"/>
            <w:vAlign w:val="bottom"/>
          </w:tcPr>
          <w:p>
            <w:pPr>
              <w:spacing w:after="0"/>
              <w:rPr>
                <w:sz w:val="1"/>
                <w:szCs w:val="1"/>
                <w:color w:val="auto"/>
              </w:rPr>
            </w:pPr>
          </w:p>
        </w:tc>
      </w:tr>
      <w:tr>
        <w:trPr>
          <w:trHeight w:val="207"/>
        </w:trPr>
        <w:tc>
          <w:tcPr>
            <w:tcW w:w="4200" w:type="dxa"/>
            <w:vAlign w:val="bottom"/>
          </w:tcPr>
          <w:p>
            <w:pPr>
              <w:ind w:left="340"/>
              <w:spacing w:after="0"/>
              <w:rPr>
                <w:sz w:val="20"/>
                <w:szCs w:val="20"/>
                <w:color w:val="auto"/>
              </w:rPr>
            </w:pPr>
            <w:r>
              <w:rPr>
                <w:rFonts w:ascii="Arial" w:cs="Arial" w:eastAsia="Arial" w:hAnsi="Arial"/>
                <w:sz w:val="15"/>
                <w:szCs w:val="15"/>
                <w:color w:val="auto"/>
              </w:rPr>
              <w:t>Other noncurrent assets</w:t>
            </w:r>
          </w:p>
        </w:tc>
        <w:tc>
          <w:tcPr>
            <w:tcW w:w="260" w:type="dxa"/>
            <w:vAlign w:val="bottom"/>
          </w:tcPr>
          <w:p>
            <w:pPr>
              <w:spacing w:after="0"/>
              <w:rPr>
                <w:sz w:val="17"/>
                <w:szCs w:val="17"/>
                <w:color w:val="auto"/>
              </w:rPr>
            </w:pPr>
          </w:p>
        </w:tc>
        <w:tc>
          <w:tcPr>
            <w:tcW w:w="1160" w:type="dxa"/>
            <w:vAlign w:val="bottom"/>
          </w:tcPr>
          <w:p>
            <w:pPr>
              <w:jc w:val="right"/>
              <w:ind w:right="104"/>
              <w:spacing w:after="0"/>
              <w:rPr>
                <w:sz w:val="20"/>
                <w:szCs w:val="20"/>
                <w:color w:val="auto"/>
              </w:rPr>
            </w:pPr>
            <w:r>
              <w:rPr>
                <w:rFonts w:ascii="Arial" w:cs="Arial" w:eastAsia="Arial" w:hAnsi="Arial"/>
                <w:sz w:val="15"/>
                <w:szCs w:val="15"/>
                <w:b w:val="1"/>
                <w:bCs w:val="1"/>
                <w:color w:val="auto"/>
              </w:rPr>
              <w:t>27.6</w:t>
            </w:r>
          </w:p>
        </w:tc>
        <w:tc>
          <w:tcPr>
            <w:tcW w:w="100" w:type="dxa"/>
            <w:vAlign w:val="bottom"/>
          </w:tcPr>
          <w:p>
            <w:pPr>
              <w:spacing w:after="0"/>
              <w:rPr>
                <w:sz w:val="17"/>
                <w:szCs w:val="17"/>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b w:val="1"/>
                <w:bCs w:val="1"/>
                <w:color w:val="auto"/>
              </w:rPr>
              <w:t>27.6</w:t>
            </w:r>
          </w:p>
        </w:tc>
        <w:tc>
          <w:tcPr>
            <w:tcW w:w="220" w:type="dxa"/>
            <w:vAlign w:val="bottom"/>
          </w:tcPr>
          <w:p>
            <w:pPr>
              <w:spacing w:after="0"/>
              <w:rPr>
                <w:sz w:val="17"/>
                <w:szCs w:val="17"/>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b w:val="1"/>
                <w:bCs w:val="1"/>
                <w:color w:val="auto"/>
              </w:rPr>
              <w:t>27.6</w:t>
            </w:r>
          </w:p>
        </w:tc>
        <w:tc>
          <w:tcPr>
            <w:tcW w:w="0" w:type="dxa"/>
            <w:vAlign w:val="bottom"/>
          </w:tcPr>
          <w:p>
            <w:pPr>
              <w:spacing w:after="0"/>
              <w:rPr>
                <w:sz w:val="1"/>
                <w:szCs w:val="1"/>
                <w:color w:val="auto"/>
              </w:rPr>
            </w:pPr>
          </w:p>
        </w:tc>
      </w:tr>
      <w:tr>
        <w:trPr>
          <w:trHeight w:val="160"/>
        </w:trPr>
        <w:tc>
          <w:tcPr>
            <w:tcW w:w="4200" w:type="dxa"/>
            <w:vAlign w:val="bottom"/>
            <w:shd w:val="clear" w:color="auto" w:fill="CCEEFF"/>
          </w:tcPr>
          <w:p>
            <w:pPr>
              <w:ind w:left="200"/>
              <w:spacing w:after="0" w:line="160" w:lineRule="exact"/>
              <w:rPr>
                <w:sz w:val="20"/>
                <w:szCs w:val="20"/>
                <w:color w:val="auto"/>
              </w:rPr>
            </w:pPr>
            <w:r>
              <w:rPr>
                <w:rFonts w:ascii="Arial" w:cs="Arial" w:eastAsia="Arial" w:hAnsi="Arial"/>
                <w:sz w:val="15"/>
                <w:szCs w:val="15"/>
                <w:color w:val="auto"/>
              </w:rPr>
              <w:t>Foreign exchange contracts designated as net investment</w:t>
            </w: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hedges: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200" w:type="dxa"/>
            <w:vAlign w:val="bottom"/>
          </w:tcPr>
          <w:p>
            <w:pPr>
              <w:ind w:left="340"/>
              <w:spacing w:after="0"/>
              <w:rPr>
                <w:sz w:val="20"/>
                <w:szCs w:val="20"/>
                <w:color w:val="auto"/>
              </w:rPr>
            </w:pPr>
            <w:r>
              <w:rPr>
                <w:rFonts w:ascii="Arial" w:cs="Arial" w:eastAsia="Arial" w:hAnsi="Arial"/>
                <w:sz w:val="15"/>
                <w:szCs w:val="15"/>
                <w:color w:val="auto"/>
              </w:rPr>
              <w:t>Other receivables</w:t>
            </w:r>
          </w:p>
        </w:tc>
        <w:tc>
          <w:tcPr>
            <w:tcW w:w="260" w:type="dxa"/>
            <w:vAlign w:val="bottom"/>
          </w:tcPr>
          <w:p>
            <w:pPr>
              <w:spacing w:after="0"/>
              <w:rPr>
                <w:sz w:val="20"/>
                <w:szCs w:val="20"/>
                <w:color w:val="auto"/>
              </w:rPr>
            </w:pPr>
          </w:p>
        </w:tc>
        <w:tc>
          <w:tcPr>
            <w:tcW w:w="1160" w:type="dxa"/>
            <w:vAlign w:val="bottom"/>
          </w:tcPr>
          <w:p>
            <w:pPr>
              <w:jc w:val="right"/>
              <w:ind w:right="104"/>
              <w:spacing w:after="0"/>
              <w:rPr>
                <w:sz w:val="20"/>
                <w:szCs w:val="20"/>
                <w:color w:val="auto"/>
              </w:rPr>
            </w:pPr>
            <w:r>
              <w:rPr>
                <w:rFonts w:ascii="Arial" w:cs="Arial" w:eastAsia="Arial" w:hAnsi="Arial"/>
                <w:sz w:val="15"/>
                <w:szCs w:val="15"/>
                <w:b w:val="1"/>
                <w:bCs w:val="1"/>
                <w:color w:val="auto"/>
              </w:rPr>
              <w:t>17.3</w:t>
            </w:r>
          </w:p>
        </w:tc>
        <w:tc>
          <w:tcPr>
            <w:tcW w:w="100" w:type="dxa"/>
            <w:vAlign w:val="bottom"/>
          </w:tcPr>
          <w:p>
            <w:pPr>
              <w:spacing w:after="0"/>
              <w:rPr>
                <w:sz w:val="20"/>
                <w:szCs w:val="20"/>
                <w:color w:val="auto"/>
              </w:rPr>
            </w:pPr>
          </w:p>
        </w:tc>
        <w:tc>
          <w:tcPr>
            <w:tcW w:w="1240" w:type="dxa"/>
            <w:vAlign w:val="bottom"/>
          </w:tcPr>
          <w:p>
            <w:pPr>
              <w:jc w:val="right"/>
              <w:ind w:right="44"/>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20"/>
                <w:szCs w:val="20"/>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b w:val="1"/>
                <w:bCs w:val="1"/>
                <w:color w:val="auto"/>
              </w:rPr>
              <w:t>17.3</w:t>
            </w:r>
          </w:p>
        </w:tc>
        <w:tc>
          <w:tcPr>
            <w:tcW w:w="220" w:type="dxa"/>
            <w:vAlign w:val="bottom"/>
          </w:tcPr>
          <w:p>
            <w:pPr>
              <w:spacing w:after="0"/>
              <w:rPr>
                <w:sz w:val="20"/>
                <w:szCs w:val="20"/>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b w:val="1"/>
                <w:bCs w:val="1"/>
                <w:color w:val="auto"/>
              </w:rPr>
              <w:t>17.3</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current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(15.2)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(15.2)</w:t>
            </w: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(15.2)</w:t>
            </w:r>
          </w:p>
        </w:tc>
        <w:tc>
          <w:tcPr>
            <w:tcW w:w="0" w:type="dxa"/>
            <w:vAlign w:val="bottom"/>
          </w:tcPr>
          <w:p>
            <w:pPr>
              <w:spacing w:after="0"/>
              <w:rPr>
                <w:sz w:val="1"/>
                <w:szCs w:val="1"/>
                <w:color w:val="auto"/>
              </w:rPr>
            </w:pPr>
          </w:p>
        </w:tc>
      </w:tr>
      <w:tr>
        <w:trPr>
          <w:trHeight w:val="160"/>
        </w:trPr>
        <w:tc>
          <w:tcPr>
            <w:tcW w:w="4200" w:type="dxa"/>
            <w:vAlign w:val="bottom"/>
          </w:tcPr>
          <w:p>
            <w:pPr>
              <w:ind w:left="200"/>
              <w:spacing w:after="0" w:line="160" w:lineRule="exact"/>
              <w:rPr>
                <w:sz w:val="20"/>
                <w:szCs w:val="20"/>
                <w:color w:val="auto"/>
              </w:rPr>
            </w:pPr>
            <w:r>
              <w:rPr>
                <w:rFonts w:ascii="Arial" w:cs="Arial" w:eastAsia="Arial" w:hAnsi="Arial"/>
                <w:sz w:val="15"/>
                <w:szCs w:val="15"/>
                <w:color w:val="auto"/>
              </w:rPr>
              <w:t>Foreign exchange contracts not designated as hedging</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200" w:type="dxa"/>
            <w:vAlign w:val="bottom"/>
          </w:tcPr>
          <w:p>
            <w:pPr>
              <w:ind w:left="200"/>
              <w:spacing w:after="0"/>
              <w:rPr>
                <w:sz w:val="20"/>
                <w:szCs w:val="20"/>
                <w:color w:val="auto"/>
              </w:rPr>
            </w:pPr>
            <w:r>
              <w:rPr>
                <w:rFonts w:ascii="Arial" w:cs="Arial" w:eastAsia="Arial" w:hAnsi="Arial"/>
                <w:sz w:val="15"/>
                <w:szCs w:val="15"/>
                <w:color w:val="auto"/>
              </w:rPr>
              <w:t>instruments: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receivables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15.3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15.3</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15.3</w:t>
            </w:r>
          </w:p>
        </w:tc>
        <w:tc>
          <w:tcPr>
            <w:tcW w:w="0" w:type="dxa"/>
            <w:vAlign w:val="bottom"/>
          </w:tcPr>
          <w:p>
            <w:pPr>
              <w:spacing w:after="0"/>
              <w:rPr>
                <w:sz w:val="1"/>
                <w:szCs w:val="1"/>
                <w:color w:val="auto"/>
              </w:rPr>
            </w:pPr>
          </w:p>
        </w:tc>
      </w:tr>
      <w:tr>
        <w:trPr>
          <w:trHeight w:val="207"/>
        </w:trPr>
        <w:tc>
          <w:tcPr>
            <w:tcW w:w="4200" w:type="dxa"/>
            <w:vAlign w:val="bottom"/>
          </w:tcPr>
          <w:p>
            <w:pPr>
              <w:ind w:left="340"/>
              <w:spacing w:after="0"/>
              <w:rPr>
                <w:sz w:val="20"/>
                <w:szCs w:val="20"/>
                <w:color w:val="auto"/>
              </w:rPr>
            </w:pPr>
            <w:r>
              <w:rPr>
                <w:rFonts w:ascii="Arial" w:cs="Arial" w:eastAsia="Arial" w:hAnsi="Arial"/>
                <w:sz w:val="15"/>
                <w:szCs w:val="15"/>
                <w:color w:val="auto"/>
              </w:rPr>
              <w:t>Other current liabilities</w:t>
            </w:r>
          </w:p>
        </w:tc>
        <w:tc>
          <w:tcPr>
            <w:tcW w:w="260" w:type="dxa"/>
            <w:vAlign w:val="bottom"/>
          </w:tcPr>
          <w:p>
            <w:pPr>
              <w:spacing w:after="0"/>
              <w:rPr>
                <w:sz w:val="17"/>
                <w:szCs w:val="17"/>
                <w:color w:val="auto"/>
              </w:rPr>
            </w:pPr>
          </w:p>
        </w:tc>
        <w:tc>
          <w:tcPr>
            <w:tcW w:w="1160" w:type="dxa"/>
            <w:vAlign w:val="bottom"/>
          </w:tcPr>
          <w:p>
            <w:pPr>
              <w:jc w:val="right"/>
              <w:ind w:right="64"/>
              <w:spacing w:after="0"/>
              <w:rPr>
                <w:sz w:val="20"/>
                <w:szCs w:val="20"/>
                <w:color w:val="auto"/>
              </w:rPr>
            </w:pPr>
            <w:r>
              <w:rPr>
                <w:rFonts w:ascii="Arial" w:cs="Arial" w:eastAsia="Arial" w:hAnsi="Arial"/>
                <w:sz w:val="15"/>
                <w:szCs w:val="15"/>
                <w:b w:val="1"/>
                <w:bCs w:val="1"/>
                <w:color w:val="auto"/>
              </w:rPr>
              <w:t>(17.8)</w:t>
            </w:r>
          </w:p>
        </w:tc>
        <w:tc>
          <w:tcPr>
            <w:tcW w:w="100" w:type="dxa"/>
            <w:vAlign w:val="bottom"/>
          </w:tcPr>
          <w:p>
            <w:pPr>
              <w:spacing w:after="0"/>
              <w:rPr>
                <w:sz w:val="17"/>
                <w:szCs w:val="17"/>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(17.8)</w:t>
            </w:r>
          </w:p>
        </w:tc>
        <w:tc>
          <w:tcPr>
            <w:tcW w:w="220" w:type="dxa"/>
            <w:vAlign w:val="bottom"/>
          </w:tcPr>
          <w:p>
            <w:pPr>
              <w:spacing w:after="0"/>
              <w:rPr>
                <w:sz w:val="17"/>
                <w:szCs w:val="17"/>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(17.8)</w:t>
            </w: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Contingent consideration liabilities: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00" w:type="dxa"/>
            <w:vAlign w:val="bottom"/>
          </w:tcPr>
          <w:p>
            <w:pPr>
              <w:ind w:left="340"/>
              <w:spacing w:after="0"/>
              <w:rPr>
                <w:sz w:val="20"/>
                <w:szCs w:val="20"/>
                <w:color w:val="auto"/>
              </w:rPr>
            </w:pPr>
            <w:r>
              <w:rPr>
                <w:rFonts w:ascii="Arial" w:cs="Arial" w:eastAsia="Arial" w:hAnsi="Arial"/>
                <w:sz w:val="15"/>
                <w:szCs w:val="15"/>
                <w:color w:val="auto"/>
              </w:rPr>
              <w:t>Other current liabilities</w:t>
            </w:r>
          </w:p>
        </w:tc>
        <w:tc>
          <w:tcPr>
            <w:tcW w:w="260" w:type="dxa"/>
            <w:vAlign w:val="bottom"/>
          </w:tcPr>
          <w:p>
            <w:pPr>
              <w:spacing w:after="0"/>
              <w:rPr>
                <w:sz w:val="17"/>
                <w:szCs w:val="17"/>
                <w:color w:val="auto"/>
              </w:rPr>
            </w:pPr>
          </w:p>
        </w:tc>
        <w:tc>
          <w:tcPr>
            <w:tcW w:w="1160" w:type="dxa"/>
            <w:vAlign w:val="bottom"/>
          </w:tcPr>
          <w:p>
            <w:pPr>
              <w:jc w:val="right"/>
              <w:ind w:right="64"/>
              <w:spacing w:after="0"/>
              <w:rPr>
                <w:sz w:val="20"/>
                <w:szCs w:val="20"/>
                <w:color w:val="auto"/>
              </w:rPr>
            </w:pPr>
            <w:r>
              <w:rPr>
                <w:rFonts w:ascii="Arial" w:cs="Arial" w:eastAsia="Arial" w:hAnsi="Arial"/>
                <w:sz w:val="15"/>
                <w:szCs w:val="15"/>
                <w:b w:val="1"/>
                <w:bCs w:val="1"/>
                <w:color w:val="auto"/>
              </w:rPr>
              <w:t>(38.9)</w:t>
            </w:r>
          </w:p>
        </w:tc>
        <w:tc>
          <w:tcPr>
            <w:tcW w:w="100" w:type="dxa"/>
            <w:vAlign w:val="bottom"/>
          </w:tcPr>
          <w:p>
            <w:pPr>
              <w:spacing w:after="0"/>
              <w:rPr>
                <w:sz w:val="17"/>
                <w:szCs w:val="17"/>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(38.9)</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(38.9)</w:t>
            </w: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noncurrent liabilities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(72.3)</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(72.3)</w:t>
            </w: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960" w:right="3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1"/>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5"/>
          </w:tcPr>
          <w:p>
            <w:pPr>
              <w:jc w:val="right"/>
              <w:ind w:right="964"/>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right="64"/>
              <w:spacing w:after="0" w:line="136" w:lineRule="exact"/>
              <w:rPr>
                <w:sz w:val="20"/>
                <w:szCs w:val="20"/>
                <w:color w:val="auto"/>
              </w:rPr>
            </w:pPr>
            <w:r>
              <w:rPr>
                <w:rFonts w:ascii="Arial" w:cs="Arial" w:eastAsia="Arial" w:hAnsi="Arial"/>
                <w:sz w:val="14"/>
                <w:szCs w:val="14"/>
                <w:b w:val="1"/>
                <w:bCs w:val="1"/>
                <w:color w:val="auto"/>
                <w:w w:val="97"/>
              </w:rPr>
              <w:t>Quoted Prices in</w:t>
            </w:r>
          </w:p>
        </w:tc>
        <w:tc>
          <w:tcPr>
            <w:tcW w:w="280" w:type="dxa"/>
            <w:vAlign w:val="bottom"/>
          </w:tcPr>
          <w:p>
            <w:pPr>
              <w:spacing w:after="0"/>
              <w:rPr>
                <w:sz w:val="11"/>
                <w:szCs w:val="11"/>
                <w:color w:val="auto"/>
              </w:rPr>
            </w:pPr>
          </w:p>
        </w:tc>
        <w:tc>
          <w:tcPr>
            <w:tcW w:w="1140" w:type="dxa"/>
            <w:vAlign w:val="bottom"/>
          </w:tcPr>
          <w:p>
            <w:pPr>
              <w:jc w:val="center"/>
              <w:ind w:right="165"/>
              <w:spacing w:after="0" w:line="136" w:lineRule="exact"/>
              <w:rPr>
                <w:sz w:val="20"/>
                <w:szCs w:val="20"/>
                <w:color w:val="auto"/>
              </w:rPr>
            </w:pPr>
            <w:r>
              <w:rPr>
                <w:rFonts w:ascii="Arial" w:cs="Arial" w:eastAsia="Arial" w:hAnsi="Arial"/>
                <w:sz w:val="14"/>
                <w:szCs w:val="14"/>
                <w:b w:val="1"/>
                <w:bCs w:val="1"/>
                <w:color w:val="auto"/>
                <w:w w:val="97"/>
              </w:rPr>
              <w:t>Significant</w:t>
            </w:r>
          </w:p>
        </w:tc>
        <w:tc>
          <w:tcPr>
            <w:tcW w:w="220" w:type="dxa"/>
            <w:vAlign w:val="bottom"/>
          </w:tcPr>
          <w:p>
            <w:pPr>
              <w:spacing w:after="0"/>
              <w:rPr>
                <w:sz w:val="11"/>
                <w:szCs w:val="11"/>
                <w:color w:val="auto"/>
              </w:rPr>
            </w:pPr>
          </w:p>
        </w:tc>
        <w:tc>
          <w:tcPr>
            <w:tcW w:w="1580" w:type="dxa"/>
            <w:vAlign w:val="bottom"/>
            <w:gridSpan w:val="2"/>
          </w:tcPr>
          <w:p>
            <w:pPr>
              <w:jc w:val="center"/>
              <w:ind w:right="560"/>
              <w:spacing w:after="0" w:line="136" w:lineRule="exact"/>
              <w:rPr>
                <w:sz w:val="20"/>
                <w:szCs w:val="20"/>
                <w:color w:val="auto"/>
              </w:rPr>
            </w:pPr>
            <w:r>
              <w:rPr>
                <w:rFonts w:ascii="Arial" w:cs="Arial" w:eastAsia="Arial" w:hAnsi="Arial"/>
                <w:sz w:val="14"/>
                <w:szCs w:val="14"/>
                <w:b w:val="1"/>
                <w:bCs w:val="1"/>
                <w:color w:val="auto"/>
                <w:w w:val="97"/>
              </w:rPr>
              <w:t>Significant</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Carrying</w:t>
            </w:r>
          </w:p>
        </w:tc>
        <w:tc>
          <w:tcPr>
            <w:tcW w:w="132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8"/>
              </w:rPr>
              <w:t>Active Markets for</w:t>
            </w:r>
          </w:p>
        </w:tc>
        <w:tc>
          <w:tcPr>
            <w:tcW w:w="142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8"/>
              </w:rPr>
              <w:t>Other Observable</w:t>
            </w:r>
          </w:p>
        </w:tc>
        <w:tc>
          <w:tcPr>
            <w:tcW w:w="220" w:type="dxa"/>
            <w:vAlign w:val="bottom"/>
          </w:tcPr>
          <w:p>
            <w:pPr>
              <w:spacing w:after="0"/>
              <w:rPr>
                <w:sz w:val="11"/>
                <w:szCs w:val="11"/>
                <w:color w:val="auto"/>
              </w:rPr>
            </w:pPr>
          </w:p>
        </w:tc>
        <w:tc>
          <w:tcPr>
            <w:tcW w:w="1580" w:type="dxa"/>
            <w:vAlign w:val="bottom"/>
            <w:gridSpan w:val="2"/>
          </w:tcPr>
          <w:p>
            <w:pPr>
              <w:jc w:val="center"/>
              <w:ind w:right="560"/>
              <w:spacing w:after="0" w:line="131" w:lineRule="exact"/>
              <w:rPr>
                <w:sz w:val="20"/>
                <w:szCs w:val="20"/>
                <w:color w:val="auto"/>
              </w:rPr>
            </w:pPr>
            <w:r>
              <w:rPr>
                <w:rFonts w:ascii="Arial" w:cs="Arial" w:eastAsia="Arial" w:hAnsi="Arial"/>
                <w:sz w:val="14"/>
                <w:szCs w:val="14"/>
                <w:b w:val="1"/>
                <w:bCs w:val="1"/>
                <w:color w:val="auto"/>
                <w:w w:val="97"/>
              </w:rPr>
              <w:t>Unobservable</w:t>
            </w:r>
          </w:p>
        </w:tc>
        <w:tc>
          <w:tcPr>
            <w:tcW w:w="1000" w:type="dxa"/>
            <w:vAlign w:val="bottom"/>
            <w:vMerge w:val="restart"/>
          </w:tcPr>
          <w:p>
            <w:pPr>
              <w:jc w:val="right"/>
              <w:ind w:right="44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64"/>
              <w:spacing w:after="0" w:line="142" w:lineRule="exact"/>
              <w:rPr>
                <w:sz w:val="20"/>
                <w:szCs w:val="20"/>
                <w:color w:val="auto"/>
              </w:rPr>
            </w:pPr>
            <w:r>
              <w:rPr>
                <w:rFonts w:ascii="Arial" w:cs="Arial" w:eastAsia="Arial" w:hAnsi="Arial"/>
                <w:sz w:val="14"/>
                <w:szCs w:val="14"/>
                <w:b w:val="1"/>
                <w:bCs w:val="1"/>
                <w:color w:val="auto"/>
                <w:w w:val="97"/>
              </w:rPr>
              <w:t>Identical Assets</w:t>
            </w:r>
          </w:p>
        </w:tc>
        <w:tc>
          <w:tcPr>
            <w:tcW w:w="280" w:type="dxa"/>
            <w:vAlign w:val="bottom"/>
          </w:tcPr>
          <w:p>
            <w:pPr>
              <w:spacing w:after="0"/>
              <w:rPr>
                <w:sz w:val="12"/>
                <w:szCs w:val="12"/>
                <w:color w:val="auto"/>
              </w:rPr>
            </w:pPr>
          </w:p>
        </w:tc>
        <w:tc>
          <w:tcPr>
            <w:tcW w:w="1140" w:type="dxa"/>
            <w:vAlign w:val="bottom"/>
          </w:tcPr>
          <w:p>
            <w:pPr>
              <w:jc w:val="center"/>
              <w:ind w:right="185"/>
              <w:spacing w:after="0" w:line="142"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580" w:type="dxa"/>
            <w:vAlign w:val="bottom"/>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w w:val="99"/>
              </w:rPr>
              <w:t>Inputs</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8"/>
              </w:rPr>
              <w:t>(Level 1)</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w w:val="98"/>
              </w:rPr>
              <w:t>(Level 2)</w:t>
            </w: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8"/>
              </w:rPr>
              <w:t>(Level 3)</w:t>
            </w:r>
          </w:p>
        </w:tc>
        <w:tc>
          <w:tcPr>
            <w:tcW w:w="10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9"/>
        </w:trPr>
        <w:tc>
          <w:tcPr>
            <w:tcW w:w="4200" w:type="dxa"/>
            <w:vAlign w:val="bottom"/>
          </w:tcPr>
          <w:p>
            <w:pPr>
              <w:ind w:left="20"/>
              <w:spacing w:after="0"/>
              <w:rPr>
                <w:sz w:val="20"/>
                <w:szCs w:val="20"/>
                <w:color w:val="auto"/>
              </w:rPr>
            </w:pPr>
            <w:r>
              <w:rPr>
                <w:rFonts w:ascii="Arial" w:cs="Arial" w:eastAsia="Arial" w:hAnsi="Arial"/>
                <w:sz w:val="15"/>
                <w:szCs w:val="15"/>
                <w:b w:val="1"/>
                <w:bCs w:val="1"/>
                <w:color w:val="auto"/>
              </w:rPr>
              <w:t>December 31, 2022</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Risk-management instruments: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00" w:type="dxa"/>
            <w:vAlign w:val="bottom"/>
          </w:tcPr>
          <w:p>
            <w:pPr>
              <w:ind w:left="200"/>
              <w:spacing w:after="0"/>
              <w:rPr>
                <w:sz w:val="20"/>
                <w:szCs w:val="20"/>
                <w:color w:val="auto"/>
              </w:rPr>
            </w:pPr>
            <w:r>
              <w:rPr>
                <w:rFonts w:ascii="Arial" w:cs="Arial" w:eastAsia="Arial" w:hAnsi="Arial"/>
                <w:sz w:val="15"/>
                <w:szCs w:val="15"/>
                <w:color w:val="auto"/>
              </w:rPr>
              <w:t>Interest rate contracts designated as fair value hedges: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noncurrent liabilities</w:t>
            </w:r>
          </w:p>
        </w:tc>
        <w:tc>
          <w:tcPr>
            <w:tcW w:w="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(134.3)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(134.3)</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8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(134.3)</w:t>
            </w:r>
          </w:p>
        </w:tc>
        <w:tc>
          <w:tcPr>
            <w:tcW w:w="0" w:type="dxa"/>
            <w:vAlign w:val="bottom"/>
          </w:tcPr>
          <w:p>
            <w:pPr>
              <w:spacing w:after="0"/>
              <w:rPr>
                <w:sz w:val="1"/>
                <w:szCs w:val="1"/>
                <w:color w:val="auto"/>
              </w:rPr>
            </w:pPr>
          </w:p>
        </w:tc>
      </w:tr>
      <w:tr>
        <w:trPr>
          <w:trHeight w:val="204"/>
        </w:trPr>
        <w:tc>
          <w:tcPr>
            <w:tcW w:w="4200" w:type="dxa"/>
            <w:vAlign w:val="bottom"/>
          </w:tcPr>
          <w:p>
            <w:pPr>
              <w:ind w:left="200"/>
              <w:spacing w:after="0"/>
              <w:rPr>
                <w:sz w:val="20"/>
                <w:szCs w:val="20"/>
                <w:color w:val="auto"/>
              </w:rPr>
            </w:pPr>
            <w:r>
              <w:rPr>
                <w:rFonts w:ascii="Arial" w:cs="Arial" w:eastAsia="Arial" w:hAnsi="Arial"/>
                <w:sz w:val="15"/>
                <w:szCs w:val="15"/>
                <w:color w:val="auto"/>
              </w:rPr>
              <w:t>Interest rate contracts designated as cash flow hedges: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receivables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162.9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162.9</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162.9</w:t>
            </w:r>
          </w:p>
        </w:tc>
        <w:tc>
          <w:tcPr>
            <w:tcW w:w="0" w:type="dxa"/>
            <w:vAlign w:val="bottom"/>
          </w:tcPr>
          <w:p>
            <w:pPr>
              <w:spacing w:after="0"/>
              <w:rPr>
                <w:sz w:val="1"/>
                <w:szCs w:val="1"/>
                <w:color w:val="auto"/>
              </w:rPr>
            </w:pPr>
          </w:p>
        </w:tc>
      </w:tr>
      <w:tr>
        <w:trPr>
          <w:trHeight w:val="204"/>
        </w:trPr>
        <w:tc>
          <w:tcPr>
            <w:tcW w:w="4200" w:type="dxa"/>
            <w:vAlign w:val="bottom"/>
          </w:tcPr>
          <w:p>
            <w:pPr>
              <w:ind w:left="340"/>
              <w:spacing w:after="0"/>
              <w:rPr>
                <w:sz w:val="20"/>
                <w:szCs w:val="20"/>
                <w:color w:val="auto"/>
              </w:rPr>
            </w:pPr>
            <w:r>
              <w:rPr>
                <w:rFonts w:ascii="Arial" w:cs="Arial" w:eastAsia="Arial" w:hAnsi="Arial"/>
                <w:sz w:val="15"/>
                <w:szCs w:val="15"/>
                <w:color w:val="auto"/>
              </w:rPr>
              <w:t>Other noncurrent assets</w:t>
            </w:r>
          </w:p>
        </w:tc>
        <w:tc>
          <w:tcPr>
            <w:tcW w:w="260" w:type="dxa"/>
            <w:vAlign w:val="bottom"/>
          </w:tcPr>
          <w:p>
            <w:pPr>
              <w:spacing w:after="0"/>
              <w:rPr>
                <w:sz w:val="17"/>
                <w:szCs w:val="17"/>
                <w:color w:val="auto"/>
              </w:rPr>
            </w:pP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246.0</w:t>
            </w:r>
          </w:p>
        </w:tc>
        <w:tc>
          <w:tcPr>
            <w:tcW w:w="100" w:type="dxa"/>
            <w:vAlign w:val="bottom"/>
          </w:tcPr>
          <w:p>
            <w:pPr>
              <w:spacing w:after="0"/>
              <w:rPr>
                <w:sz w:val="17"/>
                <w:szCs w:val="17"/>
                <w:color w:val="auto"/>
              </w:rPr>
            </w:pP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246.0</w:t>
            </w:r>
          </w:p>
        </w:tc>
        <w:tc>
          <w:tcPr>
            <w:tcW w:w="220" w:type="dxa"/>
            <w:vAlign w:val="bottom"/>
          </w:tcPr>
          <w:p>
            <w:pPr>
              <w:spacing w:after="0"/>
              <w:rPr>
                <w:sz w:val="17"/>
                <w:szCs w:val="17"/>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246.0</w:t>
            </w:r>
          </w:p>
        </w:tc>
        <w:tc>
          <w:tcPr>
            <w:tcW w:w="0" w:type="dxa"/>
            <w:vAlign w:val="bottom"/>
          </w:tcPr>
          <w:p>
            <w:pPr>
              <w:spacing w:after="0"/>
              <w:rPr>
                <w:sz w:val="1"/>
                <w:szCs w:val="1"/>
                <w:color w:val="auto"/>
              </w:rPr>
            </w:pPr>
          </w:p>
        </w:tc>
      </w:tr>
      <w:tr>
        <w:trPr>
          <w:trHeight w:val="162"/>
        </w:trPr>
        <w:tc>
          <w:tcPr>
            <w:tcW w:w="42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Cross-currency interest rate contracts designated as net</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investment hedges: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00" w:type="dxa"/>
            <w:vAlign w:val="bottom"/>
          </w:tcPr>
          <w:p>
            <w:pPr>
              <w:ind w:left="340"/>
              <w:spacing w:after="0"/>
              <w:rPr>
                <w:sz w:val="20"/>
                <w:szCs w:val="20"/>
                <w:color w:val="auto"/>
              </w:rPr>
            </w:pPr>
            <w:r>
              <w:rPr>
                <w:rFonts w:ascii="Arial" w:cs="Arial" w:eastAsia="Arial" w:hAnsi="Arial"/>
                <w:sz w:val="15"/>
                <w:szCs w:val="15"/>
                <w:color w:val="auto"/>
              </w:rPr>
              <w:t>Other receivables</w:t>
            </w:r>
          </w:p>
        </w:tc>
        <w:tc>
          <w:tcPr>
            <w:tcW w:w="260" w:type="dxa"/>
            <w:vAlign w:val="bottom"/>
          </w:tcPr>
          <w:p>
            <w:pPr>
              <w:spacing w:after="0"/>
              <w:rPr>
                <w:sz w:val="17"/>
                <w:szCs w:val="17"/>
                <w:color w:val="auto"/>
              </w:rPr>
            </w:pP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67.6</w:t>
            </w:r>
          </w:p>
        </w:tc>
        <w:tc>
          <w:tcPr>
            <w:tcW w:w="100" w:type="dxa"/>
            <w:vAlign w:val="bottom"/>
          </w:tcPr>
          <w:p>
            <w:pPr>
              <w:spacing w:after="0"/>
              <w:rPr>
                <w:sz w:val="17"/>
                <w:szCs w:val="17"/>
                <w:color w:val="auto"/>
              </w:rPr>
            </w:pP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67.6</w:t>
            </w:r>
          </w:p>
        </w:tc>
        <w:tc>
          <w:tcPr>
            <w:tcW w:w="220" w:type="dxa"/>
            <w:vAlign w:val="bottom"/>
          </w:tcPr>
          <w:p>
            <w:pPr>
              <w:spacing w:after="0"/>
              <w:rPr>
                <w:sz w:val="17"/>
                <w:szCs w:val="17"/>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67.6</w:t>
            </w:r>
          </w:p>
        </w:tc>
        <w:tc>
          <w:tcPr>
            <w:tcW w:w="0" w:type="dxa"/>
            <w:vAlign w:val="bottom"/>
          </w:tcPr>
          <w:p>
            <w:pPr>
              <w:spacing w:after="0"/>
              <w:rPr>
                <w:sz w:val="1"/>
                <w:szCs w:val="1"/>
                <w:color w:val="auto"/>
              </w:rPr>
            </w:pPr>
          </w:p>
        </w:tc>
      </w:tr>
      <w:tr>
        <w:trPr>
          <w:trHeight w:val="162"/>
        </w:trPr>
        <w:tc>
          <w:tcPr>
            <w:tcW w:w="42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Cross-currency interest rate contracts designated as cash</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flow hedges: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00" w:type="dxa"/>
            <w:vAlign w:val="bottom"/>
          </w:tcPr>
          <w:p>
            <w:pPr>
              <w:ind w:left="340"/>
              <w:spacing w:after="0"/>
              <w:rPr>
                <w:sz w:val="20"/>
                <w:szCs w:val="20"/>
                <w:color w:val="auto"/>
              </w:rPr>
            </w:pPr>
            <w:r>
              <w:rPr>
                <w:rFonts w:ascii="Arial" w:cs="Arial" w:eastAsia="Arial" w:hAnsi="Arial"/>
                <w:sz w:val="15"/>
                <w:szCs w:val="15"/>
                <w:color w:val="auto"/>
              </w:rPr>
              <w:t>Other noncurrent assets</w:t>
            </w:r>
          </w:p>
        </w:tc>
        <w:tc>
          <w:tcPr>
            <w:tcW w:w="260" w:type="dxa"/>
            <w:vAlign w:val="bottom"/>
          </w:tcPr>
          <w:p>
            <w:pPr>
              <w:spacing w:after="0"/>
              <w:rPr>
                <w:sz w:val="17"/>
                <w:szCs w:val="17"/>
                <w:color w:val="auto"/>
              </w:rPr>
            </w:pP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53.1</w:t>
            </w:r>
          </w:p>
        </w:tc>
        <w:tc>
          <w:tcPr>
            <w:tcW w:w="100" w:type="dxa"/>
            <w:vAlign w:val="bottom"/>
          </w:tcPr>
          <w:p>
            <w:pPr>
              <w:spacing w:after="0"/>
              <w:rPr>
                <w:sz w:val="17"/>
                <w:szCs w:val="17"/>
                <w:color w:val="auto"/>
              </w:rPr>
            </w:pP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53.1</w:t>
            </w:r>
          </w:p>
        </w:tc>
        <w:tc>
          <w:tcPr>
            <w:tcW w:w="220" w:type="dxa"/>
            <w:vAlign w:val="bottom"/>
          </w:tcPr>
          <w:p>
            <w:pPr>
              <w:spacing w:after="0"/>
              <w:rPr>
                <w:sz w:val="17"/>
                <w:szCs w:val="17"/>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53.1</w:t>
            </w:r>
          </w:p>
        </w:tc>
        <w:tc>
          <w:tcPr>
            <w:tcW w:w="0" w:type="dxa"/>
            <w:vAlign w:val="bottom"/>
          </w:tcPr>
          <w:p>
            <w:pPr>
              <w:spacing w:after="0"/>
              <w:rPr>
                <w:sz w:val="1"/>
                <w:szCs w:val="1"/>
                <w:color w:val="auto"/>
              </w:rPr>
            </w:pPr>
          </w:p>
        </w:tc>
      </w:tr>
      <w:tr>
        <w:trPr>
          <w:trHeight w:val="162"/>
        </w:trPr>
        <w:tc>
          <w:tcPr>
            <w:tcW w:w="42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Foreign exchange contracts designated as hedging</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instruments: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340"/>
              <w:spacing w:after="0"/>
              <w:rPr>
                <w:sz w:val="20"/>
                <w:szCs w:val="20"/>
                <w:color w:val="auto"/>
              </w:rPr>
            </w:pPr>
            <w:r>
              <w:rPr>
                <w:rFonts w:ascii="Arial" w:cs="Arial" w:eastAsia="Arial" w:hAnsi="Arial"/>
                <w:sz w:val="15"/>
                <w:szCs w:val="15"/>
                <w:color w:val="auto"/>
              </w:rPr>
              <w:t>Other current liabilities</w:t>
            </w:r>
          </w:p>
        </w:tc>
        <w:tc>
          <w:tcPr>
            <w:tcW w:w="260" w:type="dxa"/>
            <w:vAlign w:val="bottom"/>
          </w:tcPr>
          <w:p>
            <w:pPr>
              <w:spacing w:after="0"/>
              <w:rPr>
                <w:sz w:val="19"/>
                <w:szCs w:val="19"/>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(38.3)</w:t>
            </w:r>
          </w:p>
        </w:tc>
        <w:tc>
          <w:tcPr>
            <w:tcW w:w="100" w:type="dxa"/>
            <w:vAlign w:val="bottom"/>
          </w:tcPr>
          <w:p>
            <w:pPr>
              <w:spacing w:after="0"/>
              <w:rPr>
                <w:sz w:val="19"/>
                <w:szCs w:val="19"/>
                <w:color w:val="auto"/>
              </w:rPr>
            </w:pPr>
          </w:p>
        </w:tc>
        <w:tc>
          <w:tcPr>
            <w:tcW w:w="1220" w:type="dxa"/>
            <w:vAlign w:val="bottom"/>
          </w:tcPr>
          <w:p>
            <w:pPr>
              <w:jc w:val="right"/>
              <w:ind w:right="44"/>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(38.3)</w:t>
            </w:r>
          </w:p>
        </w:tc>
        <w:tc>
          <w:tcPr>
            <w:tcW w:w="220" w:type="dxa"/>
            <w:vAlign w:val="bottom"/>
          </w:tcPr>
          <w:p>
            <w:pPr>
              <w:spacing w:after="0"/>
              <w:rPr>
                <w:sz w:val="19"/>
                <w:szCs w:val="19"/>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(38.3)</w:t>
            </w:r>
          </w:p>
        </w:tc>
        <w:tc>
          <w:tcPr>
            <w:tcW w:w="0" w:type="dxa"/>
            <w:vAlign w:val="bottom"/>
          </w:tcPr>
          <w:p>
            <w:pPr>
              <w:spacing w:after="0"/>
              <w:rPr>
                <w:sz w:val="1"/>
                <w:szCs w:val="1"/>
                <w:color w:val="auto"/>
              </w:rPr>
            </w:pPr>
          </w:p>
        </w:tc>
      </w:tr>
      <w:tr>
        <w:trPr>
          <w:trHeight w:val="162"/>
        </w:trPr>
        <w:tc>
          <w:tcPr>
            <w:tcW w:w="42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Foreign exchange contracts not designated as hedging</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instruments: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00" w:type="dxa"/>
            <w:vAlign w:val="bottom"/>
          </w:tcPr>
          <w:p>
            <w:pPr>
              <w:ind w:left="340"/>
              <w:spacing w:after="0"/>
              <w:rPr>
                <w:sz w:val="20"/>
                <w:szCs w:val="20"/>
                <w:color w:val="auto"/>
              </w:rPr>
            </w:pPr>
            <w:r>
              <w:rPr>
                <w:rFonts w:ascii="Arial" w:cs="Arial" w:eastAsia="Arial" w:hAnsi="Arial"/>
                <w:sz w:val="15"/>
                <w:szCs w:val="15"/>
                <w:color w:val="auto"/>
              </w:rPr>
              <w:t>Other receivables</w:t>
            </w:r>
          </w:p>
        </w:tc>
        <w:tc>
          <w:tcPr>
            <w:tcW w:w="260" w:type="dxa"/>
            <w:vAlign w:val="bottom"/>
          </w:tcPr>
          <w:p>
            <w:pPr>
              <w:spacing w:after="0"/>
              <w:rPr>
                <w:sz w:val="17"/>
                <w:szCs w:val="17"/>
                <w:color w:val="auto"/>
              </w:rPr>
            </w:pP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26.6</w:t>
            </w:r>
          </w:p>
        </w:tc>
        <w:tc>
          <w:tcPr>
            <w:tcW w:w="100" w:type="dxa"/>
            <w:vAlign w:val="bottom"/>
          </w:tcPr>
          <w:p>
            <w:pPr>
              <w:spacing w:after="0"/>
              <w:rPr>
                <w:sz w:val="17"/>
                <w:szCs w:val="17"/>
                <w:color w:val="auto"/>
              </w:rPr>
            </w:pP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26.6</w:t>
            </w:r>
          </w:p>
        </w:tc>
        <w:tc>
          <w:tcPr>
            <w:tcW w:w="220" w:type="dxa"/>
            <w:vAlign w:val="bottom"/>
          </w:tcPr>
          <w:p>
            <w:pPr>
              <w:spacing w:after="0"/>
              <w:rPr>
                <w:sz w:val="17"/>
                <w:szCs w:val="17"/>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26.6</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(21.5)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(21.5)</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204"/>
        </w:trPr>
        <w:tc>
          <w:tcPr>
            <w:tcW w:w="4200" w:type="dxa"/>
            <w:vAlign w:val="bottom"/>
          </w:tcPr>
          <w:p>
            <w:pPr>
              <w:ind w:left="200"/>
              <w:spacing w:after="0"/>
              <w:rPr>
                <w:sz w:val="20"/>
                <w:szCs w:val="20"/>
                <w:color w:val="auto"/>
              </w:rPr>
            </w:pPr>
            <w:r>
              <w:rPr>
                <w:rFonts w:ascii="Arial" w:cs="Arial" w:eastAsia="Arial" w:hAnsi="Arial"/>
                <w:sz w:val="15"/>
                <w:szCs w:val="15"/>
                <w:color w:val="auto"/>
              </w:rPr>
              <w:t>Contingent consideration liabilities: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(39.5)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w:t>
            </w:r>
          </w:p>
        </w:tc>
        <w:tc>
          <w:tcPr>
            <w:tcW w:w="0" w:type="dxa"/>
            <w:vAlign w:val="bottom"/>
          </w:tcPr>
          <w:p>
            <w:pPr>
              <w:spacing w:after="0"/>
              <w:rPr>
                <w:sz w:val="1"/>
                <w:szCs w:val="1"/>
                <w:color w:val="auto"/>
              </w:rPr>
            </w:pPr>
          </w:p>
        </w:tc>
      </w:tr>
      <w:tr>
        <w:trPr>
          <w:trHeight w:val="201"/>
        </w:trPr>
        <w:tc>
          <w:tcPr>
            <w:tcW w:w="4200" w:type="dxa"/>
            <w:vAlign w:val="bottom"/>
          </w:tcPr>
          <w:p>
            <w:pPr>
              <w:ind w:left="340"/>
              <w:spacing w:after="0"/>
              <w:rPr>
                <w:sz w:val="20"/>
                <w:szCs w:val="20"/>
                <w:color w:val="auto"/>
              </w:rPr>
            </w:pPr>
            <w:r>
              <w:rPr>
                <w:rFonts w:ascii="Arial" w:cs="Arial" w:eastAsia="Arial" w:hAnsi="Arial"/>
                <w:sz w:val="15"/>
                <w:szCs w:val="15"/>
                <w:color w:val="auto"/>
              </w:rPr>
              <w:t>Other noncurrent liabilities</w:t>
            </w:r>
          </w:p>
        </w:tc>
        <w:tc>
          <w:tcPr>
            <w:tcW w:w="260" w:type="dxa"/>
            <w:vAlign w:val="bottom"/>
          </w:tcPr>
          <w:p>
            <w:pPr>
              <w:spacing w:after="0"/>
              <w:rPr>
                <w:sz w:val="17"/>
                <w:szCs w:val="17"/>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(70.6)</w:t>
            </w:r>
          </w:p>
        </w:tc>
        <w:tc>
          <w:tcPr>
            <w:tcW w:w="100" w:type="dxa"/>
            <w:vAlign w:val="bottom"/>
          </w:tcPr>
          <w:p>
            <w:pPr>
              <w:spacing w:after="0"/>
              <w:rPr>
                <w:sz w:val="17"/>
                <w:szCs w:val="17"/>
                <w:color w:val="auto"/>
              </w:rPr>
            </w:pP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(70.6)</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(70.6)</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right="400"/>
        <w:spacing w:after="0" w:line="262" w:lineRule="auto"/>
        <w:rPr>
          <w:sz w:val="20"/>
          <w:szCs w:val="20"/>
          <w:color w:val="auto"/>
        </w:rPr>
      </w:pPr>
      <w:r>
        <w:rPr>
          <w:rFonts w:ascii="Arial" w:cs="Arial" w:eastAsia="Arial" w:hAnsi="Arial"/>
          <w:sz w:val="17"/>
          <w:szCs w:val="17"/>
          <w:color w:val="auto"/>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76" w:lineRule="exact"/>
        <w:rPr>
          <w:sz w:val="20"/>
          <w:szCs w:val="20"/>
          <w:color w:val="auto"/>
        </w:rPr>
      </w:pPr>
    </w:p>
    <w:p>
      <w:pPr>
        <w:jc w:val="both"/>
        <w:ind w:right="60"/>
        <w:spacing w:after="0" w:line="262" w:lineRule="auto"/>
        <w:rPr>
          <w:sz w:val="20"/>
          <w:szCs w:val="20"/>
          <w:color w:val="auto"/>
        </w:rPr>
      </w:pPr>
      <w:r>
        <w:rPr>
          <w:rFonts w:ascii="Arial" w:cs="Arial" w:eastAsia="Arial" w:hAnsi="Arial"/>
          <w:sz w:val="17"/>
          <w:szCs w:val="17"/>
          <w:color w:val="auto"/>
        </w:rPr>
        <w:t>Contingent consideration liabilities relate to our liabilities arising in connection with the CVRs issued as a result of acquisitions of businesses. The fair values of the CVR liabilities were estimated using a discounted cash flow analysis and Level 3 inputs,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Income Taxes</w:t>
      </w:r>
    </w:p>
    <w:p>
      <w:pPr>
        <w:spacing w:after="0" w:line="12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effective tax rates were 15.6 percent and 14.1 percent for the three and six months ended June 30, 2023, respectively, reflecting the tax impacts of the new Puerto Rico tax regime and the sale of rights for Baqsimi. The effective tax rates were 12.7 percent and 9.2 percent for the three and six months ended June 30, 2022, respectively, reflecting the favorable tax impact of net investment losses on equity securities, partially offset by the tax impact of non-deductible acquired IPR&amp;D charges.</w:t>
      </w:r>
    </w:p>
    <w:p>
      <w:pPr>
        <w:spacing w:after="0" w:line="76" w:lineRule="exact"/>
        <w:rPr>
          <w:sz w:val="20"/>
          <w:szCs w:val="20"/>
          <w:color w:val="auto"/>
        </w:rPr>
      </w:pPr>
    </w:p>
    <w:p>
      <w:pPr>
        <w:ind w:right="420"/>
        <w:spacing w:after="0" w:line="262" w:lineRule="auto"/>
        <w:rPr>
          <w:sz w:val="20"/>
          <w:szCs w:val="20"/>
          <w:color w:val="auto"/>
        </w:rPr>
      </w:pPr>
      <w:r>
        <w:rPr>
          <w:rFonts w:ascii="Arial" w:cs="Arial" w:eastAsia="Arial" w:hAnsi="Arial"/>
          <w:sz w:val="17"/>
          <w:szCs w:val="17"/>
          <w:color w:val="auto"/>
        </w:rPr>
        <w:t>The U.S. examination of tax years 2016-2018 began in 2019 and remains ongoing. While it is reasonably possible that the Internal Revenue Service examination of these tax years could conclude within the next 12 months, final resolution of certain matters is dependent upon several factors, including the potential for formal administrative proceedings. As a result, an estimate of the range of reasonably possible changes in unrecognized tax benefits cannot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83" w:right="35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Note 7: Retirement Benefits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Net pension and retiree health (benefit) cost included the following components: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558"/>
              <w:spacing w:after="0"/>
              <w:rPr>
                <w:sz w:val="20"/>
                <w:szCs w:val="20"/>
                <w:color w:val="auto"/>
              </w:rPr>
            </w:pPr>
            <w:r>
              <w:rPr>
                <w:rFonts w:ascii="Arial" w:cs="Arial" w:eastAsia="Arial" w:hAnsi="Arial"/>
                <w:sz w:val="14"/>
                <w:szCs w:val="14"/>
                <w:b w:val="1"/>
                <w:bCs w:val="1"/>
                <w:color w:val="auto"/>
              </w:rPr>
              <w:t>Defined Benefit Pension Plans</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74"/>
        </w:trPr>
        <w:tc>
          <w:tcPr>
            <w:tcW w:w="48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Six Months Ended June 30,</w:t>
            </w:r>
          </w:p>
        </w:tc>
      </w:tr>
      <w:tr>
        <w:trPr>
          <w:trHeight w:val="212"/>
        </w:trPr>
        <w:tc>
          <w:tcPr>
            <w:tcW w:w="48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Components of net periodic cost:</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2"/>
        </w:trPr>
        <w:tc>
          <w:tcPr>
            <w:tcW w:w="4840" w:type="dxa"/>
            <w:vAlign w:val="bottom"/>
          </w:tcPr>
          <w:p>
            <w:pPr>
              <w:ind w:left="220"/>
              <w:spacing w:after="0"/>
              <w:rPr>
                <w:sz w:val="20"/>
                <w:szCs w:val="20"/>
                <w:color w:val="auto"/>
              </w:rPr>
            </w:pPr>
            <w:r>
              <w:rPr>
                <w:rFonts w:ascii="Arial" w:cs="Arial" w:eastAsia="Arial" w:hAnsi="Arial"/>
                <w:sz w:val="17"/>
                <w:szCs w:val="17"/>
                <w:color w:val="auto"/>
              </w:rPr>
              <w:t>Service cost</w:t>
            </w:r>
          </w:p>
        </w:tc>
        <w:tc>
          <w:tcPr>
            <w:tcW w:w="920" w:type="dxa"/>
            <w:vAlign w:val="bottom"/>
            <w:gridSpan w:val="2"/>
          </w:tcPr>
          <w:p>
            <w:pPr>
              <w:jc w:val="right"/>
              <w:ind w:right="725"/>
              <w:spacing w:after="0"/>
              <w:rPr>
                <w:sz w:val="20"/>
                <w:szCs w:val="20"/>
                <w:color w:val="auto"/>
              </w:rPr>
            </w:pPr>
            <w:r>
              <w:rPr>
                <w:rFonts w:ascii="Arial" w:cs="Arial" w:eastAsia="Arial" w:hAnsi="Arial"/>
                <w:sz w:val="17"/>
                <w:szCs w:val="17"/>
                <w:b w:val="1"/>
                <w:bCs w:val="1"/>
                <w:color w:val="auto"/>
              </w:rPr>
              <w:t>$</w:t>
            </w:r>
          </w:p>
        </w:tc>
        <w:tc>
          <w:tcPr>
            <w:tcW w:w="660" w:type="dxa"/>
            <w:vAlign w:val="bottom"/>
          </w:tcPr>
          <w:p>
            <w:pPr>
              <w:jc w:val="right"/>
              <w:ind w:right="74"/>
              <w:spacing w:after="0"/>
              <w:rPr>
                <w:sz w:val="20"/>
                <w:szCs w:val="20"/>
                <w:color w:val="auto"/>
              </w:rPr>
            </w:pPr>
            <w:r>
              <w:rPr>
                <w:rFonts w:ascii="Arial" w:cs="Arial" w:eastAsia="Arial" w:hAnsi="Arial"/>
                <w:sz w:val="17"/>
                <w:szCs w:val="17"/>
                <w:b w:val="1"/>
                <w:bCs w:val="1"/>
                <w:color w:val="auto"/>
              </w:rPr>
              <w:t>74.9</w:t>
            </w:r>
          </w:p>
        </w:tc>
        <w:tc>
          <w:tcPr>
            <w:tcW w:w="40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58"/>
              <w:spacing w:after="0"/>
              <w:rPr>
                <w:sz w:val="20"/>
                <w:szCs w:val="20"/>
                <w:color w:val="auto"/>
              </w:rPr>
            </w:pPr>
            <w:r>
              <w:rPr>
                <w:rFonts w:ascii="Arial" w:cs="Arial" w:eastAsia="Arial" w:hAnsi="Arial"/>
                <w:sz w:val="17"/>
                <w:szCs w:val="17"/>
                <w:color w:val="auto"/>
              </w:rPr>
              <w:t>88.2</w:t>
            </w:r>
          </w:p>
        </w:tc>
        <w:tc>
          <w:tcPr>
            <w:tcW w:w="44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58"/>
              <w:spacing w:after="0"/>
              <w:rPr>
                <w:sz w:val="20"/>
                <w:szCs w:val="20"/>
                <w:color w:val="auto"/>
              </w:rPr>
            </w:pPr>
            <w:r>
              <w:rPr>
                <w:rFonts w:ascii="Arial" w:cs="Arial" w:eastAsia="Arial" w:hAnsi="Arial"/>
                <w:sz w:val="17"/>
                <w:szCs w:val="17"/>
                <w:b w:val="1"/>
                <w:bCs w:val="1"/>
                <w:color w:val="auto"/>
              </w:rPr>
              <w:t>145.3</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177.3</w:t>
            </w:r>
          </w:p>
        </w:tc>
      </w:tr>
      <w:tr>
        <w:trPr>
          <w:trHeight w:val="219"/>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cost</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162.6</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99.6</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323.7</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200.1</w:t>
            </w:r>
          </w:p>
        </w:tc>
      </w:tr>
      <w:tr>
        <w:trPr>
          <w:trHeight w:val="219"/>
        </w:trPr>
        <w:tc>
          <w:tcPr>
            <w:tcW w:w="4840" w:type="dxa"/>
            <w:vAlign w:val="bottom"/>
          </w:tcPr>
          <w:p>
            <w:pPr>
              <w:ind w:left="220"/>
              <w:spacing w:after="0"/>
              <w:rPr>
                <w:sz w:val="20"/>
                <w:szCs w:val="20"/>
                <w:color w:val="auto"/>
              </w:rPr>
            </w:pPr>
            <w:r>
              <w:rPr>
                <w:rFonts w:ascii="Arial" w:cs="Arial" w:eastAsia="Arial" w:hAnsi="Arial"/>
                <w:sz w:val="17"/>
                <w:szCs w:val="17"/>
                <w:color w:val="auto"/>
              </w:rPr>
              <w:t>Expected return on plan assets</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ind w:right="14"/>
              <w:spacing w:after="0"/>
              <w:rPr>
                <w:sz w:val="20"/>
                <w:szCs w:val="20"/>
                <w:color w:val="auto"/>
              </w:rPr>
            </w:pPr>
            <w:r>
              <w:rPr>
                <w:rFonts w:ascii="Arial" w:cs="Arial" w:eastAsia="Arial" w:hAnsi="Arial"/>
                <w:sz w:val="17"/>
                <w:szCs w:val="17"/>
                <w:b w:val="1"/>
                <w:bCs w:val="1"/>
                <w:color w:val="auto"/>
              </w:rPr>
              <w:t>(264.2)</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(237.0)</w:t>
            </w:r>
          </w:p>
        </w:tc>
        <w:tc>
          <w:tcPr>
            <w:tcW w:w="44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b w:val="1"/>
                <w:bCs w:val="1"/>
                <w:color w:val="auto"/>
              </w:rPr>
              <w:t>(527.5)</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(476.5)</w:t>
            </w:r>
          </w:p>
        </w:tc>
      </w:tr>
      <w:tr>
        <w:trPr>
          <w:trHeight w:val="232"/>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prior service cost</w:t>
            </w: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0.6</w:t>
            </w: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0.6</w:t>
            </w:r>
          </w:p>
        </w:tc>
        <w:tc>
          <w:tcPr>
            <w:tcW w:w="4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1.2</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9"/>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Recognized actuarial loss</w:t>
            </w: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30.9</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84.5</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b w:val="1"/>
                <w:bCs w:val="1"/>
                <w:color w:val="auto"/>
              </w:rPr>
              <w:t>60.9</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171.5</w:t>
            </w:r>
          </w:p>
        </w:tc>
      </w:tr>
      <w:tr>
        <w:trPr>
          <w:trHeight w:val="218"/>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periodic cost</w:t>
            </w:r>
          </w:p>
        </w:tc>
        <w:tc>
          <w:tcPr>
            <w:tcW w:w="920" w:type="dxa"/>
            <w:vAlign w:val="bottom"/>
            <w:tcBorders>
              <w:bottom w:val="single" w:sz="8" w:color="auto"/>
            </w:tcBorders>
            <w:gridSpan w:val="2"/>
            <w:shd w:val="clear" w:color="auto" w:fill="CCEEFF"/>
          </w:tcPr>
          <w:p>
            <w:pPr>
              <w:jc w:val="right"/>
              <w:ind w:right="725"/>
              <w:spacing w:after="0"/>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4.8</w:t>
            </w:r>
          </w:p>
        </w:tc>
        <w:tc>
          <w:tcPr>
            <w:tcW w:w="4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35.9</w:t>
            </w:r>
          </w:p>
        </w:tc>
        <w:tc>
          <w:tcPr>
            <w:tcW w:w="4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3.6</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73.7</w:t>
            </w:r>
          </w:p>
        </w:tc>
      </w:tr>
      <w:tr>
        <w:trPr>
          <w:trHeight w:val="400"/>
        </w:trPr>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right"/>
              <w:ind w:right="638"/>
              <w:spacing w:after="0"/>
              <w:rPr>
                <w:sz w:val="20"/>
                <w:szCs w:val="20"/>
                <w:color w:val="auto"/>
              </w:rPr>
            </w:pPr>
            <w:r>
              <w:rPr>
                <w:rFonts w:ascii="Arial" w:cs="Arial" w:eastAsia="Arial" w:hAnsi="Arial"/>
                <w:sz w:val="14"/>
                <w:szCs w:val="14"/>
                <w:b w:val="1"/>
                <w:bCs w:val="1"/>
                <w:color w:val="auto"/>
              </w:rPr>
              <w:t>Retiree Health Benefit Plans</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86"/>
        </w:trPr>
        <w:tc>
          <w:tcPr>
            <w:tcW w:w="4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Six Months Ended June 30,</w:t>
            </w:r>
          </w:p>
        </w:tc>
      </w:tr>
      <w:tr>
        <w:trPr>
          <w:trHeight w:val="212"/>
        </w:trPr>
        <w:tc>
          <w:tcPr>
            <w:tcW w:w="48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Components of net periodic benefit:</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9"/>
        </w:trPr>
        <w:tc>
          <w:tcPr>
            <w:tcW w:w="4840" w:type="dxa"/>
            <w:vAlign w:val="bottom"/>
          </w:tcPr>
          <w:p>
            <w:pPr>
              <w:ind w:left="220"/>
              <w:spacing w:after="0"/>
              <w:rPr>
                <w:sz w:val="20"/>
                <w:szCs w:val="20"/>
                <w:color w:val="auto"/>
              </w:rPr>
            </w:pPr>
            <w:r>
              <w:rPr>
                <w:rFonts w:ascii="Arial" w:cs="Arial" w:eastAsia="Arial" w:hAnsi="Arial"/>
                <w:sz w:val="17"/>
                <w:szCs w:val="17"/>
                <w:color w:val="auto"/>
              </w:rPr>
              <w:t>Service cost</w:t>
            </w:r>
          </w:p>
        </w:tc>
        <w:tc>
          <w:tcPr>
            <w:tcW w:w="920" w:type="dxa"/>
            <w:vAlign w:val="bottom"/>
            <w:gridSpan w:val="2"/>
          </w:tcPr>
          <w:p>
            <w:pPr>
              <w:jc w:val="right"/>
              <w:ind w:right="725"/>
              <w:spacing w:after="0"/>
              <w:rPr>
                <w:sz w:val="20"/>
                <w:szCs w:val="20"/>
                <w:color w:val="auto"/>
              </w:rPr>
            </w:pPr>
            <w:r>
              <w:rPr>
                <w:rFonts w:ascii="Arial" w:cs="Arial" w:eastAsia="Arial" w:hAnsi="Arial"/>
                <w:sz w:val="17"/>
                <w:szCs w:val="17"/>
                <w:b w:val="1"/>
                <w:bCs w:val="1"/>
                <w:color w:val="auto"/>
              </w:rPr>
              <w:t>$</w:t>
            </w:r>
          </w:p>
        </w:tc>
        <w:tc>
          <w:tcPr>
            <w:tcW w:w="660" w:type="dxa"/>
            <w:vAlign w:val="bottom"/>
          </w:tcPr>
          <w:p>
            <w:pPr>
              <w:jc w:val="right"/>
              <w:ind w:right="54"/>
              <w:spacing w:after="0"/>
              <w:rPr>
                <w:sz w:val="20"/>
                <w:szCs w:val="20"/>
                <w:color w:val="auto"/>
              </w:rPr>
            </w:pPr>
            <w:r>
              <w:rPr>
                <w:rFonts w:ascii="Arial" w:cs="Arial" w:eastAsia="Arial" w:hAnsi="Arial"/>
                <w:sz w:val="17"/>
                <w:szCs w:val="17"/>
                <w:b w:val="1"/>
                <w:bCs w:val="1"/>
                <w:color w:val="auto"/>
              </w:rPr>
              <w:t>8.2</w:t>
            </w:r>
          </w:p>
        </w:tc>
        <w:tc>
          <w:tcPr>
            <w:tcW w:w="40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58"/>
              <w:spacing w:after="0"/>
              <w:rPr>
                <w:sz w:val="20"/>
                <w:szCs w:val="20"/>
                <w:color w:val="auto"/>
              </w:rPr>
            </w:pPr>
            <w:r>
              <w:rPr>
                <w:rFonts w:ascii="Arial" w:cs="Arial" w:eastAsia="Arial" w:hAnsi="Arial"/>
                <w:sz w:val="17"/>
                <w:szCs w:val="17"/>
                <w:color w:val="auto"/>
              </w:rPr>
              <w:t>12.1</w:t>
            </w:r>
          </w:p>
        </w:tc>
        <w:tc>
          <w:tcPr>
            <w:tcW w:w="44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58"/>
              <w:spacing w:after="0"/>
              <w:rPr>
                <w:sz w:val="20"/>
                <w:szCs w:val="20"/>
                <w:color w:val="auto"/>
              </w:rPr>
            </w:pPr>
            <w:r>
              <w:rPr>
                <w:rFonts w:ascii="Arial" w:cs="Arial" w:eastAsia="Arial" w:hAnsi="Arial"/>
                <w:sz w:val="17"/>
                <w:szCs w:val="17"/>
                <w:b w:val="1"/>
                <w:bCs w:val="1"/>
                <w:color w:val="auto"/>
              </w:rPr>
              <w:t>15.9</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23.3</w:t>
            </w:r>
          </w:p>
        </w:tc>
      </w:tr>
      <w:tr>
        <w:trPr>
          <w:trHeight w:val="232"/>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cost</w:t>
            </w: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15.3</w:t>
            </w: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9.6</w:t>
            </w:r>
          </w:p>
        </w:tc>
        <w:tc>
          <w:tcPr>
            <w:tcW w:w="4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30.7</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r>
      <w:tr>
        <w:trPr>
          <w:trHeight w:val="219"/>
        </w:trPr>
        <w:tc>
          <w:tcPr>
            <w:tcW w:w="4840" w:type="dxa"/>
            <w:vAlign w:val="bottom"/>
          </w:tcPr>
          <w:p>
            <w:pPr>
              <w:ind w:left="220"/>
              <w:spacing w:after="0"/>
              <w:rPr>
                <w:sz w:val="20"/>
                <w:szCs w:val="20"/>
                <w:color w:val="auto"/>
              </w:rPr>
            </w:pPr>
            <w:r>
              <w:rPr>
                <w:rFonts w:ascii="Arial" w:cs="Arial" w:eastAsia="Arial" w:hAnsi="Arial"/>
                <w:sz w:val="17"/>
                <w:szCs w:val="17"/>
                <w:color w:val="auto"/>
              </w:rPr>
              <w:t>Expected return on plan assets</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ind w:right="14"/>
              <w:spacing w:after="0"/>
              <w:rPr>
                <w:sz w:val="20"/>
                <w:szCs w:val="20"/>
                <w:color w:val="auto"/>
              </w:rPr>
            </w:pPr>
            <w:r>
              <w:rPr>
                <w:rFonts w:ascii="Arial" w:cs="Arial" w:eastAsia="Arial" w:hAnsi="Arial"/>
                <w:sz w:val="17"/>
                <w:szCs w:val="17"/>
                <w:b w:val="1"/>
                <w:bCs w:val="1"/>
                <w:color w:val="auto"/>
              </w:rPr>
              <w:t>(45.6)</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(38.2)</w:t>
            </w:r>
          </w:p>
        </w:tc>
        <w:tc>
          <w:tcPr>
            <w:tcW w:w="44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b w:val="1"/>
                <w:bCs w:val="1"/>
                <w:color w:val="auto"/>
              </w:rPr>
              <w:t>(91.1)</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(76.1)</w:t>
            </w:r>
          </w:p>
        </w:tc>
      </w:tr>
      <w:tr>
        <w:trPr>
          <w:trHeight w:val="219"/>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prior service benefit</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(13.2)</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(26.4)</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r>
      <w:tr>
        <w:trPr>
          <w:trHeight w:val="219"/>
        </w:trPr>
        <w:tc>
          <w:tcPr>
            <w:tcW w:w="4840" w:type="dxa"/>
            <w:vAlign w:val="bottom"/>
          </w:tcPr>
          <w:p>
            <w:pPr>
              <w:ind w:left="220"/>
              <w:spacing w:after="0"/>
              <w:rPr>
                <w:sz w:val="20"/>
                <w:szCs w:val="20"/>
                <w:color w:val="auto"/>
              </w:rPr>
            </w:pPr>
            <w:r>
              <w:rPr>
                <w:rFonts w:ascii="Arial" w:cs="Arial" w:eastAsia="Arial" w:hAnsi="Arial"/>
                <w:sz w:val="17"/>
                <w:szCs w:val="17"/>
                <w:color w:val="auto"/>
              </w:rPr>
              <w:t>Recognized actuarial (gain) loss</w:t>
            </w:r>
          </w:p>
        </w:tc>
        <w:tc>
          <w:tcPr>
            <w:tcW w:w="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0.3</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b w:val="1"/>
                <w:bCs w:val="1"/>
                <w:color w:val="auto"/>
              </w:rPr>
              <w:t>(2.9)</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31"/>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periodic benefit</w:t>
            </w:r>
          </w:p>
        </w:tc>
        <w:tc>
          <w:tcPr>
            <w:tcW w:w="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25"/>
              <w:spacing w:after="0"/>
              <w:rPr>
                <w:sz w:val="20"/>
                <w:szCs w:val="20"/>
                <w:color w:val="auto"/>
              </w:rPr>
            </w:pPr>
            <w:r>
              <w:rPr>
                <w:rFonts w:ascii="Arial" w:cs="Arial" w:eastAsia="Arial" w:hAnsi="Arial"/>
                <w:sz w:val="17"/>
                <w:szCs w:val="17"/>
                <w:b w:val="1"/>
                <w:bCs w:val="1"/>
                <w:color w:val="auto"/>
                <w:w w:val="84"/>
              </w:rPr>
              <w:t>$</w:t>
            </w: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(37.3)</w:t>
            </w:r>
          </w:p>
        </w:tc>
        <w:tc>
          <w:tcPr>
            <w:tcW w:w="4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4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(73.8)</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(60.7)</w:t>
            </w: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Contingencies</w:t>
      </w:r>
    </w:p>
    <w:p>
      <w:pPr>
        <w:spacing w:after="0" w:line="124"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We are involved in various lawsuits, claims, government investigations and other legal proceedings that arise in the ordinary course of business. These claims or proceedings can involve various types of parties, including governments, competitors, customers, suppliers, service providers, licensees, employees, or shareholders, among others. These matters may involve patent infringement, antitrust, securities, pricing, sales and marketing practices, environmental, commercial, contractual rights, licensing obligations, health and safety matters, consumer fraud, employment matters, product liability and insurance coverage, among others. The resolution of these matters often develops over a long period of time and expectations can change as a result of new findings, rulings, appeals or settlement arrangements. Legal proceedings that are significant or that we believe could become significant or material are described below.</w:t>
      </w:r>
    </w:p>
    <w:p>
      <w:pPr>
        <w:spacing w:after="0" w:line="78"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We believe the legal proceedings in which we are named as defendants are without merit and we are defending against them vigorously. It is not possible to determine the final outcome of these matters, and we cannot reasonably estimate the maximum potential exposure or the range of possible loss in excess of amounts accrued for any of these matters; however, we believe that the resolution of all such matters will not have a material adverse effect on our consolidated financial position or liquidity, but could possibly be material to our consolidated results of operations in any one accounting period.</w:t>
      </w:r>
    </w:p>
    <w:p>
      <w:pPr>
        <w:spacing w:after="0" w:line="77"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Litigation accruals, environmental liabilities, and the related estimated insurance recoverables are reflected on a gross basis as liabilities and assets, respectively, on our consolidated balance sheets. With respect to the product liability claims currently asserted against us, we have accrued for our estimated exposures to the extent they are both probable and reasonably estimable based on the information available to us. We accrue for certain product liability claims incurred but not filed to the extent we can formulate a reasonable estimate of their costs. We estimate these expenses based primarily on historical claims experience and data regarding product usage. Legal defense costs expected to be incurred in connection with significant product liability loss contingencies are accrued when both probable and reasonably estimable.</w:t>
      </w:r>
    </w:p>
    <w:p>
      <w:pPr>
        <w:spacing w:after="0" w:line="81"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Because of the nature of pharmaceutical products, it is possible that we could become subject to large numbers of additional product liability and related claims in the future. Due to a very restrictive market for litigation liability insurance, we are self-insured for litigation liability losses for all our currently and previously marketed products.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Patent Litigation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Alimta European Patent Litigation</w:t>
      </w:r>
    </w:p>
    <w:p>
      <w:pPr>
        <w:spacing w:after="0" w:line="120" w:lineRule="exact"/>
        <w:rPr>
          <w:sz w:val="20"/>
          <w:szCs w:val="20"/>
          <w:color w:val="auto"/>
        </w:rPr>
      </w:pPr>
    </w:p>
    <w:p>
      <w:pPr>
        <w:ind w:right="380"/>
        <w:spacing w:after="0" w:line="280" w:lineRule="auto"/>
        <w:rPr>
          <w:sz w:val="20"/>
          <w:szCs w:val="20"/>
          <w:color w:val="auto"/>
        </w:rPr>
      </w:pPr>
      <w:r>
        <w:rPr>
          <w:rFonts w:ascii="Arial" w:cs="Arial" w:eastAsia="Arial" w:hAnsi="Arial"/>
          <w:sz w:val="17"/>
          <w:szCs w:val="17"/>
          <w:color w:val="auto"/>
        </w:rPr>
        <w:t>In Europe, Alimta (pemetrexed) was protected by a patent through June 2021. A number of legal proceedings that were initiated prior to patent expiration are ongoing.</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Emgality Patent Litigation</w:t>
      </w:r>
    </w:p>
    <w:p>
      <w:pPr>
        <w:spacing w:after="0" w:line="120" w:lineRule="exact"/>
        <w:rPr>
          <w:sz w:val="20"/>
          <w:szCs w:val="20"/>
          <w:color w:val="auto"/>
        </w:rPr>
      </w:pPr>
    </w:p>
    <w:p>
      <w:pPr>
        <w:jc w:val="both"/>
        <w:ind w:right="80"/>
        <w:spacing w:after="0" w:line="267" w:lineRule="auto"/>
        <w:rPr>
          <w:sz w:val="20"/>
          <w:szCs w:val="20"/>
          <w:color w:val="auto"/>
        </w:rPr>
      </w:pPr>
      <w:r>
        <w:rPr>
          <w:rFonts w:ascii="Arial" w:cs="Arial" w:eastAsia="Arial" w:hAnsi="Arial"/>
          <w:sz w:val="17"/>
          <w:szCs w:val="17"/>
          <w:color w:val="auto"/>
        </w:rPr>
        <w:t>We are a named defendant in litigation filed by Teva Pharmaceuticals International GMBH and Teva Pharmaceuticals USA, Inc. (collectively, Teva) in the U.S. District Court for the District of Massachusetts seeking a ruling that various claims in three different Teva patents would be infringed by our launch and continued sales of Emgality for the prevention of migraine in adults.</w:t>
      </w:r>
    </w:p>
    <w:p>
      <w:pPr>
        <w:spacing w:after="0" w:line="7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Following a trial, in November 2022, a jury returned a verdict in favor of Teva. The parties have filed post-trial motions on which the court will rule and then enter final judgment in the case. We intend to appeal the jury verdict if necessary. Pursuant to agreement by the parties, the award, if any, will not become due until completion of the appeal process. This matter is ongoing.</w:t>
      </w:r>
    </w:p>
    <w:p>
      <w:pPr>
        <w:spacing w:after="0" w:line="70"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In June 2021, we were named as a defendant in a second litigation filed by Teva in the U.S. District Court for the District of Massachusetts seeking a ruling that two of Teva's patents, which are directed toward use of the active ingredient in Emgality to treat migraine, would be infringed by our continued sales of Emgality. We challenged these two patents by filing requests for Inter Partes Review with the Patent Trial and Appeal Board (PTAB) and in October 2022, the PTAB granted our requests. The corresponding district court litigation is stayed while this PTAB proceeding is ongoing.</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Jardiance Patent Litigation</w:t>
      </w:r>
    </w:p>
    <w:p>
      <w:pPr>
        <w:spacing w:after="0" w:line="12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November 2018, Boehringer Ingelheim, our partner in marketing and development of Jardiance, initiated U.S. patent litigation in the U.S. District Court for the District of Delaware alleging infringement arising from submissions of Abbreviated New Drug Applications (ANDA) by a number of generic companies seeking approval to market generic versions of Jardiance, Glyxambi, and Synjardy in accordance with the procedures set out in the Drug Price Competition and Patent Term Restoration Act of 1984 (the Hatch-Waxman Act). Particularly with respect to Jardiance, the generic companies' ANDAs seek approval to market generic versions of Jardiance prior to the expiration of the relevant patents, and allege that certain patents are invalid or would not be infringed. We are not a party to this litigation. This matter is ongoing.</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Zyprexa Canada Patent Litigation</w:t>
      </w:r>
    </w:p>
    <w:p>
      <w:pPr>
        <w:spacing w:after="0" w:line="12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Beginning in the mid-2000s, several generic companies in Canada challenged the validity of our Zyprexa compound patent. In 2012, the Canadian Federal Court of Appeals denied our appeal of a lower court's decision that certain patent claims were invalid for lack of utility. In 2013, Apotex Inc. and Apotex Pharmachem Inc. (collectively, Apotex) brought claims against us in the Ontario Superior Court of Justice in Toronto for damages related to our enforcement of the Zyprexa compound patent under Canadian regulations governing patented drugs. Apotex seeks compensation based on novel legal theories under the Statute of Monopolies, Trademark Act, and common law. In March 2021, the Ontario Superior Court granted our motion for summary judgment, thereby dismissing Apotex's case. Apotex appealed that ruling to the Court of Appeal for Ontario in April 2021. In August 2022, the Court dismissed the appeal and in October 2022, Apotex appealed the decision to the Supreme Court of Canada (SCC). In April 2023, the SCC denied Apotex's appeal petition and this matter is now closed.</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Liability Litigation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Actos</w:t>
      </w:r>
      <w:r>
        <w:rPr>
          <w:rFonts w:ascii="Arial" w:cs="Arial" w:eastAsia="Arial" w:hAnsi="Arial"/>
          <w:sz w:val="22"/>
          <w:szCs w:val="22"/>
          <w:i w:val="1"/>
          <w:iCs w:val="1"/>
          <w:u w:val="single" w:color="auto"/>
          <w:color w:val="auto"/>
          <w:vertAlign w:val="superscript"/>
        </w:rPr>
        <w:t>®</w:t>
      </w:r>
      <w:r>
        <w:rPr>
          <w:rFonts w:ascii="Arial" w:cs="Arial" w:eastAsia="Arial" w:hAnsi="Arial"/>
          <w:sz w:val="17"/>
          <w:szCs w:val="17"/>
          <w:i w:val="1"/>
          <w:iCs w:val="1"/>
          <w:u w:val="single" w:color="auto"/>
          <w:color w:val="auto"/>
        </w:rPr>
        <w:t xml:space="preserve"> Litigation</w:t>
      </w:r>
    </w:p>
    <w:p>
      <w:pPr>
        <w:spacing w:after="0" w:line="67"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We are named along with Takeda Chemical Industries, Ltd. and Takeda affiliates (collectively, Takeda) in a third party payor class action in the U.S. District Court for the Central District of California (</w:t>
      </w:r>
      <w:r>
        <w:rPr>
          <w:rFonts w:ascii="Arial" w:cs="Arial" w:eastAsia="Arial" w:hAnsi="Arial"/>
          <w:sz w:val="17"/>
          <w:szCs w:val="17"/>
          <w:i w:val="1"/>
          <w:iCs w:val="1"/>
          <w:color w:val="auto"/>
        </w:rPr>
        <w:t>Painters et al. v. Takeda et al.</w:t>
      </w:r>
      <w:r>
        <w:rPr>
          <w:rFonts w:ascii="Arial" w:cs="Arial" w:eastAsia="Arial" w:hAnsi="Arial"/>
          <w:sz w:val="17"/>
          <w:szCs w:val="17"/>
          <w:color w:val="auto"/>
        </w:rPr>
        <w:t>). Plaintiffs claim that they and similarly situated class members are entitled to recover money paid for or to reimburse Actos prescriptions because of alleged concealment of bladder cancer risk. Our agreement with Takeda calls for Takeda to defend and indemnify us against our losses and expenses with respect to U.S. litigation arising out of the manufacture, use, or sale of Actos and other related expenses in accordance with the terms of the agreement. In June 2023, we and Takeda filed a petition for permission to appeal the class certification order. This matter is ongoing. Actos is a registered trademark of Takeda Pharmaceutical Company Limited.</w:t>
      </w: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956" w:right="39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Environmental Proceedings</w:t>
      </w:r>
    </w:p>
    <w:p>
      <w:pPr>
        <w:spacing w:after="0" w:line="124"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Matters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340B Litigation and Investigations</w:t>
      </w:r>
    </w:p>
    <w:p>
      <w:pPr>
        <w:spacing w:after="0" w:line="12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are the plaintiff in a lawsuit filed in January 2021 in the U.S. District Court for the Southern District of Indiana against the U.S. Department of Health and Human Services (HHS), the Secretary of HHS, the Health Resources and Services Administration (HRSA), and the Administrator of HRSA. The lawsuit challenges HHS's December 30, 2020 advisory opinion stating that drug manufacturers are required to deliver discounts under the 340B program to all contract pharmacies and HHS's Administrative Dispute Resolution regulations. We seek a declaratory judgment that the defendants violated the Administrative Procedure Act and the U.S. Constitution, a preliminary injunction enjoining implementation of the administrative dispute resolution process created by defendants and, with it, their application of the advisory opinion, and other related relief. In March 2021, the court entered an order preliminarily enjoining the government's enforcement of the administrative dispute resolution process against us. In May 2021, HRSA sent us an enforcement letter notifying us that it determined that our policy was contrary to the 340B statute. In response, in May 2021, we amended our complaint to bring claims related to HRSA's determination and filed a motion for preliminary injunction and temporary restraining order requesting that the U.S. District Court for the Southern District of Indiana enjoin defendants from taking any action against us relating to the 340B drug pricing program until after the court issues a final judgment on the aforementioned litigation. In May 2021, the court denied our motion for a temporary restraining order but deferred resolution of our motion for preliminary injunction. In June 2021, the defendants withdrew the HHS December 30, 2020 advisory opinion. In July 2021, the court held oral argument on the parties' cross motions for summary judgment, the defendants' motion to dismiss, and our motion for preliminary injunction related to HRSA's May 2021 enforcement letter. In October 2021, the court denied the defendants' motion to dismiss, and granted in part and denied in part the parties' cross motions for summary judgment. Both parties filed notices of appeal related to the court's summary judgment order. In October 2022, the U.S. Court of Appeals for the Seventh Circuit held oral argument. This matter is ongoing.</w:t>
      </w:r>
    </w:p>
    <w:p>
      <w:pPr>
        <w:spacing w:after="0" w:line="8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In January 2021, we, along with other pharmaceutical manufacturers, were named as a defendant in a petition currently pending before the HHS Administrative Dispute Resolution Panel. Petitioner seeks declaratory and other injunctive relief related to the 340B program. As described above, the U.S. District Court for the Southern District of Indiana has entered a preliminary injunction enjoining the government's enforcement of this administrative dispute resolution process against us.</w:t>
      </w:r>
    </w:p>
    <w:p>
      <w:pPr>
        <w:spacing w:after="0" w:line="76"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In July 2021, we, along with Sanofi-Aventis U.S., LLC (Sanofi), Novo Nordisk Inc. (Novo Nordisk), and AstraZeneca Pharmaceuticals LP (AstraZeneca), were named as a defendant in a purported class action lawsuit filed in the U.S. District Court for the Western District of New York by Mosaic Health, Inc. alleging antitrust and unjust enrichment claims related to the defendants' 340B distribution programs. We, with Sanofi, Novo Nordisk, and AstraZeneca, filed a motion to dismiss the lawsuit, which was granted in September 2022. In October 2022, the plaintiffs filed a motion for leave to amend their complaint. This matter is ongoing.</w:t>
      </w:r>
    </w:p>
    <w:p>
      <w:pPr>
        <w:spacing w:after="0" w:line="77"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color w:val="auto"/>
        </w:rPr>
        <w:t>We received a civil investigative subpoena in February 2021 from the Office of the Attorney General for the State of Vermont relating to the sale of pharmaceutical products to Vermont covered entities under the 340B program. We are cooperating with this subpoena.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Branchburg Manufacturing Facility</w:t>
      </w:r>
    </w:p>
    <w:p>
      <w:pPr>
        <w:spacing w:after="0" w:line="120" w:lineRule="exact"/>
        <w:rPr>
          <w:sz w:val="20"/>
          <w:szCs w:val="20"/>
          <w:color w:val="auto"/>
        </w:rPr>
      </w:pPr>
    </w:p>
    <w:p>
      <w:pPr>
        <w:ind w:right="800"/>
        <w:spacing w:after="0" w:line="280" w:lineRule="auto"/>
        <w:rPr>
          <w:sz w:val="20"/>
          <w:szCs w:val="20"/>
          <w:color w:val="auto"/>
        </w:rPr>
      </w:pPr>
      <w:r>
        <w:rPr>
          <w:rFonts w:ascii="Arial" w:cs="Arial" w:eastAsia="Arial" w:hAnsi="Arial"/>
          <w:sz w:val="17"/>
          <w:szCs w:val="17"/>
          <w:color w:val="auto"/>
        </w:rPr>
        <w:t>In May 2021, we received a subpoena from the U.S. Department of Justice requesting the production of certain documents relating to our manufacturing site in Branchburg, New Jersey. We are cooperating with the subpoena.</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56"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i w:val="1"/>
          <w:iCs w:val="1"/>
          <w:u w:val="single" w:color="auto"/>
          <w:color w:val="auto"/>
        </w:rPr>
        <w:t>Brazil Litigation – Cosmopolis Facility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Labor Attorney Litigation</w:t>
      </w:r>
    </w:p>
    <w:p>
      <w:pPr>
        <w:spacing w:after="0" w:line="120"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First initiated in 2008, our subsidiary in Brazil, Eli Lilly do Brasil Limitada (Lilly Brasil), is named in a Public Civil Action brought by the Labor Public Attorney (LPA) for the 15th Region in the Labor Court of Paulinia, State of Sao Paulo, Brazil, (the Labor Court) alleging possible harm to employees and former employees caused by alleged exposure to soil and groundwater contaminants at a former Lilly Brasil manufacturing facility in Cosmopolis, Brazil, operated by the company between 1977 and 2003. In May 2014, the Labor Court judge ruled against Lilly Brasil, ordering it to undertake several remedial and compensatory actions including health coverage for a class of individuals and certain of their children. In July 2018, the appeals court (TRT) generally affirmed our appeal of the Labor Court's ruling, which included a liquidated award of 300 million Brazilian reais, which, when adjusted for inflation and the addition of pre and post judgment interest using the current Central Bank of Brazil's special system of clearance and custody rate, is approximately 1.15 billion Brazilian reais (approximately $238 million as of June 30, 2023). In August 2019, Lilly Brasil filed an appeal to the superior labor court (TST) and in June 2021, the TRT published its decision on the admissibility of Lilly Brasil's appeal, allowing the majority of the elements, which were allowed to proceed in June 2021; elements not proceeding are subject to an interlocutory appeal to the TST that was filed in June 2021. In September 2019, the TRT stayed a number of elements of its trial court decision pending the determination of Lilly Brasil's appeal to the TST. A mediation hearing is scheduled for August 2023.</w:t>
      </w:r>
    </w:p>
    <w:p>
      <w:pPr>
        <w:spacing w:after="0" w:line="79"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In June 2019 and September 2020, the LPA filed applications in the Labor Court for enforcement of certain remedies granted by the TRT in its July 2018 decision, requested restrictions on Lilly Brasil’s assets in Brazil, and required Lilly Brasil and Antibióticos do Brasil Ltda. (ABL) to submit a list of potential beneficiaries of the Public Civil Action. In July 2019, the Labor Court issued a ruling requiring a freeze of Lilly Brasil’s immovable property or, alternatively, a security deposit or lien of 500 million Brazilian reais, which ruling in June 2021 was limited in scope and the security was reduced to 100 million Brazilian reais (approximately $21 million as of June 30, 2023). ABL and LPA appealed the June 2021 Labor Court ruling to the TST, which appeal is under review. The Labor Court is currently assessing the status of Lilly Brasil’s and ABL’s compliance with such portion of the July 2018 TRT decision and an inspection in the industrial plant is expected. These matters are ongoing.</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Individual Former Employee Litigation</w:t>
      </w:r>
    </w:p>
    <w:p>
      <w:pPr>
        <w:spacing w:after="0" w:line="120"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Lilly Brasil is also named in various pending lawsuits filed in the Labor Court by individual former employees making related claims. These individual lawsuits are at various stages in the litigation process.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Puerto Rico Tax Matter</w:t>
      </w:r>
    </w:p>
    <w:p>
      <w:pPr>
        <w:spacing w:after="0" w:line="12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May 2013, the Municipality of Carolina in Puerto Rico (Municipality) filed a lawsuit against us alleging noncompliance with respect to a contract with the Municipality and seeking a declaratory judgment. In December 2020, the Puerto Rico Appellate Court (AP) reversed the summary judgment previously granted by the Court of First Instance (CFI) in our favor, dismissing the Municipality's complaint in its entirety. The AP remanded the case to the CFI for trial on the merits. The trial began in May 2022; however, the Municipality filed a new motion requesting the CFI to execute an alleged judgment. The request was denied by the CFI in our favor and the Municipality filed for revision at the AP, which we opposed, staying the case. The AP denied the Municipality's motion for revision. This matter is ongoing.</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Average Manufacturer Price Litigation</w:t>
      </w:r>
    </w:p>
    <w:p>
      <w:pPr>
        <w:spacing w:after="0" w:line="11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 xml:space="preserve">In November 2014, we, along with another pharmaceutical manufacturer, were named as co-defendants in </w:t>
      </w:r>
      <w:r>
        <w:rPr>
          <w:rFonts w:ascii="Arial" w:cs="Arial" w:eastAsia="Arial" w:hAnsi="Arial"/>
          <w:sz w:val="17"/>
          <w:szCs w:val="17"/>
          <w:i w:val="1"/>
          <w:iCs w:val="1"/>
          <w:color w:val="auto"/>
        </w:rPr>
        <w:t>United States et al. ex rel. Streck v.</w:t>
      </w:r>
      <w:r>
        <w:rPr>
          <w:rFonts w:ascii="Arial" w:cs="Arial" w:eastAsia="Arial" w:hAnsi="Arial"/>
          <w:sz w:val="17"/>
          <w:szCs w:val="17"/>
          <w:color w:val="auto"/>
        </w:rPr>
        <w:t xml:space="preserve"> </w:t>
      </w:r>
      <w:r>
        <w:rPr>
          <w:rFonts w:ascii="Arial" w:cs="Arial" w:eastAsia="Arial" w:hAnsi="Arial"/>
          <w:sz w:val="17"/>
          <w:szCs w:val="17"/>
          <w:i w:val="1"/>
          <w:iCs w:val="1"/>
          <w:color w:val="auto"/>
        </w:rPr>
        <w:t>Takeda Pharm. Am., Inc., et al.</w:t>
      </w:r>
      <w:r>
        <w:rPr>
          <w:rFonts w:ascii="Arial" w:cs="Arial" w:eastAsia="Arial" w:hAnsi="Arial"/>
          <w:sz w:val="17"/>
          <w:szCs w:val="17"/>
          <w:color w:val="auto"/>
        </w:rPr>
        <w:t>, which was filed in November 2014 and unsealed in the U.S. District Court for the Northern District of Illinois.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complaint alleges that the defendants should have treated certain credits from distributors as retroactive price increases and included such increases in calculating average manufacturer prices. Following a trial in August 2022, the jury returned a verdict in favor of the plaintiff. Lilly filed its notice of appeal to the Seventh Circuit in June 2023, and briefing is currently suspended. This matter is ongoing.</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Health Choice Alliance</w:t>
      </w:r>
    </w:p>
    <w:p>
      <w:pPr>
        <w:spacing w:after="0" w:line="120" w:lineRule="exact"/>
        <w:rPr>
          <w:sz w:val="20"/>
          <w:szCs w:val="20"/>
          <w:color w:val="auto"/>
        </w:rPr>
      </w:pPr>
    </w:p>
    <w:p>
      <w:pPr>
        <w:ind w:right="420"/>
        <w:spacing w:after="0" w:line="262" w:lineRule="auto"/>
        <w:rPr>
          <w:sz w:val="20"/>
          <w:szCs w:val="20"/>
          <w:color w:val="auto"/>
        </w:rPr>
      </w:pPr>
      <w:r>
        <w:rPr>
          <w:rFonts w:ascii="Arial" w:cs="Arial" w:eastAsia="Arial" w:hAnsi="Arial"/>
          <w:sz w:val="17"/>
          <w:szCs w:val="17"/>
          <w:color w:val="auto"/>
        </w:rPr>
        <w:t>We are named as a defendant in two lawsuits filed in Texas and New Jersey state courts in October 2019 seeking damages under the Texas Medicaid Fraud Prevention Act and New Jersey Medicaid False Claims Act, respectively, for certain patient support programs related to our products Humalog, Humulin, and Forteo. The Texas state court action has been stayed. The New Jersey state court action was dismissed with prejudice pending an ongoing appeal before the Appellate Division of the New Jersey Superior Court. This matter is ongoing.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i w:val="1"/>
          <w:iCs w:val="1"/>
          <w:u w:val="single" w:color="auto"/>
          <w:color w:val="auto"/>
        </w:rPr>
        <w:t>Pricing Litigation</w:t>
      </w:r>
    </w:p>
    <w:p>
      <w:pPr>
        <w:spacing w:after="0" w:line="12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We, along with Sanofi, Novo Nordisk, and in some matters certain pharmacy benefit managers, have been named in lawsuits related to insulin pricing that assert various theories, including consumer protection, fraud, false advertising, unjust enrichment, civil conspiracy, federal and state RICO statutes, deceptive trade practices, antitrust, and unfair competition claims. These lawsuits include In re. Insulin Pricing Litigation, a putative consumer class action (U.S. District Court for the District of New Jersey, 2017); </w:t>
      </w:r>
      <w:r>
        <w:rPr>
          <w:rFonts w:ascii="Arial" w:cs="Arial" w:eastAsia="Arial" w:hAnsi="Arial"/>
          <w:sz w:val="17"/>
          <w:szCs w:val="17"/>
          <w:i w:val="1"/>
          <w:iCs w:val="1"/>
          <w:color w:val="auto"/>
        </w:rPr>
        <w:t>MSP Recovery Claims, Series, LLC et al. v. Sanofi Aventis U.S. LLC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et al. </w:t>
      </w:r>
      <w:r>
        <w:rPr>
          <w:rFonts w:ascii="Arial" w:cs="Arial" w:eastAsia="Arial" w:hAnsi="Arial"/>
          <w:sz w:val="17"/>
          <w:szCs w:val="17"/>
          <w:color w:val="auto"/>
        </w:rPr>
        <w:t>(U.S. District Court for the District of New Jersey, 2018);</w:t>
      </w:r>
      <w:r>
        <w:rPr>
          <w:rFonts w:ascii="Arial" w:cs="Arial" w:eastAsia="Arial" w:hAnsi="Arial"/>
          <w:sz w:val="17"/>
          <w:szCs w:val="17"/>
          <w:i w:val="1"/>
          <w:iCs w:val="1"/>
          <w:color w:val="auto"/>
        </w:rPr>
        <w:t xml:space="preserve"> FWK Holdings, LLC v. Novo Nordisk Inc., et al.</w:t>
      </w:r>
      <w:r>
        <w:rPr>
          <w:rFonts w:ascii="Arial" w:cs="Arial" w:eastAsia="Arial" w:hAnsi="Arial"/>
          <w:sz w:val="17"/>
          <w:szCs w:val="17"/>
          <w:color w:val="auto"/>
        </w:rPr>
        <w:t>, a putative class action brought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direct purchasers of insulin (U.S. District Court for the District of New Jersey, 2020), </w:t>
      </w:r>
      <w:r>
        <w:rPr>
          <w:rFonts w:ascii="Arial" w:cs="Arial" w:eastAsia="Arial" w:hAnsi="Arial"/>
          <w:sz w:val="17"/>
          <w:szCs w:val="17"/>
          <w:i w:val="1"/>
          <w:iCs w:val="1"/>
          <w:color w:val="auto"/>
        </w:rPr>
        <w:t>Sistema Integrado De Salud Del Oeste, LLC et al. v. Eli Lilly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Company et al. </w:t>
      </w:r>
      <w:r>
        <w:rPr>
          <w:rFonts w:ascii="Arial" w:cs="Arial" w:eastAsia="Arial" w:hAnsi="Arial"/>
          <w:sz w:val="17"/>
          <w:szCs w:val="17"/>
          <w:color w:val="auto"/>
        </w:rPr>
        <w:t>(U.S. District Court for the District of Puerto Rico, 2023) and suits brought by the State of Minnesota (U.S. District Court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District of New Jersey, 2018), State of Kentucky (Franklin County Circuit Court, 2019), State of Mississippi (U.S. District Court for the Southern District of Mississippi, 2021), State of Arkansas (U.S. District Court for the Eastern District of Arkansas, 2022), County of Albany, New York (U.S. District Court for the Northern District of New York, 2022), State of Montana (U.S. District Court for the District of Montana, 2022), State of Kansas (U.S. District Court for the District of Kansas, 2022), State of Illinois (U.S. District Court for the Northern District of Illinois, 2022), State of California (Los Angeles County Superior Court, 2023), Jackson County, Missouri in a putative class action on behalf of Missouri counties and municipalities (U.S. District Court for the Western District of Missouri), the Government of Puerto Rico (Court of First Instance Superior Court, San Juan, 2023), Lake County, Illinois (U.S. District Court for the Northern District of Illinois, 2023), County of Monmouth, New Jersey (U.S. District Court for the District of New Jersey, 2023), City of Cleveland, Ohio (U.S. District Court for the Northern District of Ohio, 2023), and Bossier Parish, Louisiana (U.S. District Court for Middle District of Louisiana, 2023). These lawsuits are at various stages in the litigation process. A settlement has been reached in the </w:t>
      </w:r>
      <w:r>
        <w:rPr>
          <w:rFonts w:ascii="Arial" w:cs="Arial" w:eastAsia="Arial" w:hAnsi="Arial"/>
          <w:sz w:val="17"/>
          <w:szCs w:val="17"/>
          <w:i w:val="1"/>
          <w:iCs w:val="1"/>
          <w:color w:val="auto"/>
        </w:rPr>
        <w:t>In re Insulin Pricing Litigation</w:t>
      </w:r>
      <w:r>
        <w:rPr>
          <w:rFonts w:ascii="Arial" w:cs="Arial" w:eastAsia="Arial" w:hAnsi="Arial"/>
          <w:sz w:val="17"/>
          <w:szCs w:val="17"/>
          <w:color w:val="auto"/>
        </w:rPr>
        <w:t xml:space="preserve"> consumer class action and a motion for preliminary approval of the settlement is pending. In August 2023, the Arkansas, Illinois, Kansas, Mississippi, and Montana cases were transferred to the District of New Jersey for coordinated or consolidated pre-trial proceedings by the Judicial Panel for Multi-District Litigation.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Investigations, Subpoenas, and Inquiries</w:t>
      </w:r>
    </w:p>
    <w:p>
      <w:pPr>
        <w:spacing w:after="0" w:line="120"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In connection with the pricing and sale of our insulin and other products, we have been subject to various investigations and received subpoenas, civil investigative demand requests, information requests, interrogatories, and other inquiries from various governmental entities. These include subpoenas from the New York and Vermont Attorney General Offices, civil investigative demands from the Washington, New Mexico, Colorado, Louisiana, Texas and Ohio Attorney General Offices, the U.S. Department of Justice, and the U.S. Federal Trade Commission, as well as information requests from the Mississippi, Washington D.C., California, Florida, Hawaii, and Nevada Attorney General Offices. In May 2023, Lilly entered into a non-monetary settlement agreement with the New York Attorney General's office that resolved all matters related to New York's insulin pricing subpoena.</w:t>
      </w:r>
    </w:p>
    <w:p>
      <w:pPr>
        <w:spacing w:after="0" w:line="78"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In January 2022, the Michigan Attorney General filed a petition in Michigan state court seeking authorization to investigate Lilly for potential violations of the Michigan Consumer Protection Act (MCPA), and a complaint seeking a declaratory judgment that the Attorney General has authority to investigate Lilly's sale of insulin under the MCPA. The court authorized the proposed investigation and the issuance of civil investigative subpoenas. In April 2022, the parties entered into a stipulation providing that the State of Michigan will not issue any civil investigative subpoena to us under the MCPA until the declaratory judgment action is resolved. In July 2022, the court dismissed the case in its entirety. In June 2023, the Michigan Court of Appeals affirmed the judgment in our favor. In August 2023, the Michigan Attorney General filed an application for leave to appeal to the Michigan Supreme Court.</w:t>
      </w:r>
    </w:p>
    <w:p>
      <w:pPr>
        <w:spacing w:after="0" w:line="78"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We received a request in January 2019 from the House of Representatives' Committee on Oversight and Reform seeking commercial information and business records related to the pricing of insulin products, among other issues. We also received similar requests from the Senate Finance Committee and the Senate Committee on Health, Education, Labor, and Pensions, and separate requests from the House Committee on Energy and Commerce majority and minority members. In January 2021, the Senate Finance Committee released a report summarizing the findings of its investigation. In December 2021, the House of Representatives' Committee on Oversight and Reform majority and minority staffs released separate reports with findings from their investigations into drug pricing, including of insulin products.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We are cooperating with all of the aforementioned investigations, subpoenas, and inquiries.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i w:val="1"/>
          <w:iCs w:val="1"/>
          <w:u w:val="single" w:color="auto"/>
          <w:color w:val="auto"/>
        </w:rPr>
        <w:t>Research Corporation Technologies, Inc.</w:t>
      </w:r>
    </w:p>
    <w:p>
      <w:pPr>
        <w:spacing w:after="0" w:line="120"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In April 2016, we were named as a defendant in litigation filed by Research Corporation Technologies, Inc. (RCT) in the U.S. District Court for the District of Arizona. RCT is seeking damages for breach of contract, unjust enrichment, and conversion related to processes used to manufacture certain products, including Humalog and Humulin. In October 2021, the court issued a summary judgment decision in favor of RCT on certain issues, including with respect to a disputed royalty. Both parties filed motions for reconsideration, which were denied. We filed supplemental summary judgment motions. A temporary stay on the proceedings was lifted in April 2023, but a trial date has not been set. Potential damages payable under the litigation, if finally awarded after an appeal, could be material but are not currently reasonably estimable. This matter is ongoing.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Other Comprehensive Income (Loss)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activity related to each component of other comprehensive income (loss) during the three months ended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June 30, 2023 and 2022: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center"/>
              <w:ind w:right="103"/>
              <w:spacing w:after="0"/>
              <w:rPr>
                <w:sz w:val="20"/>
                <w:szCs w:val="20"/>
                <w:color w:val="auto"/>
              </w:rPr>
            </w:pPr>
            <w:r>
              <w:rPr>
                <w:rFonts w:ascii="Arial" w:cs="Arial" w:eastAsia="Arial" w:hAnsi="Arial"/>
                <w:sz w:val="12"/>
                <w:szCs w:val="12"/>
                <w:b w:val="1"/>
                <w:bCs w:val="1"/>
                <w:color w:val="auto"/>
                <w:w w:val="99"/>
              </w:rPr>
              <w:t>Foreign Currency</w:t>
            </w:r>
          </w:p>
        </w:tc>
        <w:tc>
          <w:tcPr>
            <w:tcW w:w="1380" w:type="dxa"/>
            <w:vAlign w:val="bottom"/>
            <w:gridSpan w:val="2"/>
          </w:tcPr>
          <w:p>
            <w:pPr>
              <w:ind w:left="100"/>
              <w:spacing w:after="0"/>
              <w:rPr>
                <w:sz w:val="20"/>
                <w:szCs w:val="20"/>
                <w:color w:val="auto"/>
              </w:rPr>
            </w:pPr>
            <w:r>
              <w:rPr>
                <w:rFonts w:ascii="Arial" w:cs="Arial" w:eastAsia="Arial" w:hAnsi="Arial"/>
                <w:sz w:val="12"/>
                <w:szCs w:val="12"/>
                <w:b w:val="1"/>
                <w:bCs w:val="1"/>
                <w:color w:val="auto"/>
              </w:rPr>
              <w:t>Net Unrealized Gains</w:t>
            </w:r>
          </w:p>
        </w:tc>
        <w:tc>
          <w:tcPr>
            <w:tcW w:w="200" w:type="dxa"/>
            <w:vAlign w:val="bottom"/>
          </w:tcPr>
          <w:p>
            <w:pPr>
              <w:spacing w:after="0"/>
              <w:rPr>
                <w:sz w:val="12"/>
                <w:szCs w:val="12"/>
                <w:color w:val="auto"/>
              </w:rPr>
            </w:pPr>
          </w:p>
        </w:tc>
        <w:tc>
          <w:tcPr>
            <w:tcW w:w="1160" w:type="dxa"/>
            <w:vAlign w:val="bottom"/>
          </w:tcPr>
          <w:p>
            <w:pPr>
              <w:jc w:val="center"/>
              <w:ind w:right="125"/>
              <w:spacing w:after="0"/>
              <w:rPr>
                <w:sz w:val="20"/>
                <w:szCs w:val="20"/>
                <w:color w:val="auto"/>
              </w:rPr>
            </w:pPr>
            <w:r>
              <w:rPr>
                <w:rFonts w:ascii="Arial" w:cs="Arial" w:eastAsia="Arial" w:hAnsi="Arial"/>
                <w:sz w:val="12"/>
                <w:szCs w:val="12"/>
                <w:b w:val="1"/>
                <w:bCs w:val="1"/>
                <w:color w:val="auto"/>
                <w:w w:val="99"/>
              </w:rPr>
              <w:t>Defined Benefit</w:t>
            </w:r>
          </w:p>
        </w:tc>
        <w:tc>
          <w:tcPr>
            <w:tcW w:w="200" w:type="dxa"/>
            <w:vAlign w:val="bottom"/>
          </w:tcPr>
          <w:p>
            <w:pPr>
              <w:spacing w:after="0"/>
              <w:rPr>
                <w:sz w:val="12"/>
                <w:szCs w:val="12"/>
                <w:color w:val="auto"/>
              </w:rPr>
            </w:pPr>
          </w:p>
        </w:tc>
        <w:tc>
          <w:tcPr>
            <w:tcW w:w="1080" w:type="dxa"/>
            <w:vAlign w:val="bottom"/>
            <w:vMerge w:val="restart"/>
          </w:tcPr>
          <w:p>
            <w:pPr>
              <w:jc w:val="center"/>
              <w:ind w:right="118"/>
              <w:spacing w:after="0"/>
              <w:rPr>
                <w:sz w:val="20"/>
                <w:szCs w:val="20"/>
                <w:color w:val="auto"/>
              </w:rPr>
            </w:pPr>
            <w:r>
              <w:rPr>
                <w:rFonts w:ascii="Arial" w:cs="Arial" w:eastAsia="Arial" w:hAnsi="Arial"/>
                <w:sz w:val="12"/>
                <w:szCs w:val="12"/>
                <w:b w:val="1"/>
                <w:bCs w:val="1"/>
                <w:color w:val="auto"/>
              </w:rPr>
              <w:t>Net Unrealized</w:t>
            </w: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ind w:right="124"/>
              <w:spacing w:after="0" w:line="122" w:lineRule="exact"/>
              <w:rPr>
                <w:sz w:val="20"/>
                <w:szCs w:val="20"/>
                <w:color w:val="auto"/>
              </w:rPr>
            </w:pPr>
            <w:r>
              <w:rPr>
                <w:rFonts w:ascii="Arial" w:cs="Arial" w:eastAsia="Arial" w:hAnsi="Arial"/>
                <w:sz w:val="12"/>
                <w:szCs w:val="12"/>
                <w:b w:val="1"/>
                <w:bCs w:val="1"/>
                <w:color w:val="auto"/>
              </w:rPr>
              <w:t>(Losses) on</w:t>
            </w:r>
          </w:p>
        </w:tc>
        <w:tc>
          <w:tcPr>
            <w:tcW w:w="200" w:type="dxa"/>
            <w:vAlign w:val="bottom"/>
          </w:tcPr>
          <w:p>
            <w:pPr>
              <w:spacing w:after="0"/>
              <w:rPr>
                <w:sz w:val="10"/>
                <w:szCs w:val="10"/>
                <w:color w:val="auto"/>
              </w:rPr>
            </w:pPr>
          </w:p>
        </w:tc>
        <w:tc>
          <w:tcPr>
            <w:tcW w:w="1160" w:type="dxa"/>
            <w:vAlign w:val="bottom"/>
          </w:tcPr>
          <w:p>
            <w:pPr>
              <w:jc w:val="center"/>
              <w:ind w:right="125"/>
              <w:spacing w:after="0" w:line="122" w:lineRule="exact"/>
              <w:rPr>
                <w:sz w:val="20"/>
                <w:szCs w:val="20"/>
                <w:color w:val="auto"/>
              </w:rPr>
            </w:pPr>
            <w:r>
              <w:rPr>
                <w:rFonts w:ascii="Arial" w:cs="Arial" w:eastAsia="Arial" w:hAnsi="Arial"/>
                <w:sz w:val="12"/>
                <w:szCs w:val="12"/>
                <w:b w:val="1"/>
                <w:bCs w:val="1"/>
                <w:color w:val="auto"/>
              </w:rPr>
              <w:t>Pension and</w:t>
            </w:r>
          </w:p>
        </w:tc>
        <w:tc>
          <w:tcPr>
            <w:tcW w:w="2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38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rPr>
              <w:t>Accumulated Other</w:t>
            </w:r>
          </w:p>
        </w:tc>
        <w:tc>
          <w:tcPr>
            <w:tcW w:w="0" w:type="dxa"/>
            <w:vAlign w:val="bottom"/>
          </w:tcPr>
          <w:p>
            <w:pPr>
              <w:spacing w:after="0"/>
              <w:rPr>
                <w:sz w:val="1"/>
                <w:szCs w:val="1"/>
                <w:color w:val="auto"/>
              </w:rPr>
            </w:pPr>
          </w:p>
        </w:tc>
      </w:tr>
      <w:tr>
        <w:trPr>
          <w:trHeight w:val="123"/>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20" w:type="dxa"/>
            <w:vAlign w:val="bottom"/>
          </w:tcPr>
          <w:p>
            <w:pPr>
              <w:spacing w:after="0"/>
              <w:rPr>
                <w:sz w:val="10"/>
                <w:szCs w:val="10"/>
                <w:color w:val="auto"/>
              </w:rPr>
            </w:pPr>
          </w:p>
        </w:tc>
        <w:tc>
          <w:tcPr>
            <w:tcW w:w="1180" w:type="dxa"/>
            <w:vAlign w:val="bottom"/>
          </w:tcPr>
          <w:p>
            <w:pPr>
              <w:jc w:val="center"/>
              <w:ind w:right="103"/>
              <w:spacing w:after="0" w:line="123" w:lineRule="exact"/>
              <w:rPr>
                <w:sz w:val="20"/>
                <w:szCs w:val="20"/>
                <w:color w:val="auto"/>
              </w:rPr>
            </w:pPr>
            <w:r>
              <w:rPr>
                <w:rFonts w:ascii="Arial" w:cs="Arial" w:eastAsia="Arial" w:hAnsi="Arial"/>
                <w:sz w:val="12"/>
                <w:szCs w:val="12"/>
                <w:b w:val="1"/>
                <w:bCs w:val="1"/>
                <w:color w:val="auto"/>
                <w:w w:val="98"/>
              </w:rPr>
              <w:t>Translation</w:t>
            </w:r>
          </w:p>
        </w:tc>
        <w:tc>
          <w:tcPr>
            <w:tcW w:w="220" w:type="dxa"/>
            <w:vAlign w:val="bottom"/>
          </w:tcPr>
          <w:p>
            <w:pPr>
              <w:spacing w:after="0"/>
              <w:rPr>
                <w:sz w:val="10"/>
                <w:szCs w:val="10"/>
                <w:color w:val="auto"/>
              </w:rPr>
            </w:pPr>
          </w:p>
        </w:tc>
        <w:tc>
          <w:tcPr>
            <w:tcW w:w="1160" w:type="dxa"/>
            <w:vAlign w:val="bottom"/>
          </w:tcPr>
          <w:p>
            <w:pPr>
              <w:jc w:val="center"/>
              <w:ind w:right="124"/>
              <w:spacing w:after="0" w:line="123" w:lineRule="exact"/>
              <w:rPr>
                <w:sz w:val="20"/>
                <w:szCs w:val="20"/>
                <w:color w:val="auto"/>
              </w:rPr>
            </w:pPr>
            <w:r>
              <w:rPr>
                <w:rFonts w:ascii="Arial" w:cs="Arial" w:eastAsia="Arial" w:hAnsi="Arial"/>
                <w:sz w:val="12"/>
                <w:szCs w:val="12"/>
                <w:b w:val="1"/>
                <w:bCs w:val="1"/>
                <w:color w:val="auto"/>
                <w:w w:val="99"/>
              </w:rPr>
              <w:t>Available-For-</w:t>
            </w:r>
          </w:p>
        </w:tc>
        <w:tc>
          <w:tcPr>
            <w:tcW w:w="200" w:type="dxa"/>
            <w:vAlign w:val="bottom"/>
          </w:tcPr>
          <w:p>
            <w:pPr>
              <w:spacing w:after="0"/>
              <w:rPr>
                <w:sz w:val="10"/>
                <w:szCs w:val="10"/>
                <w:color w:val="auto"/>
              </w:rPr>
            </w:pPr>
          </w:p>
        </w:tc>
        <w:tc>
          <w:tcPr>
            <w:tcW w:w="1160" w:type="dxa"/>
            <w:vAlign w:val="bottom"/>
          </w:tcPr>
          <w:p>
            <w:pPr>
              <w:jc w:val="center"/>
              <w:ind w:right="105"/>
              <w:spacing w:after="0" w:line="123" w:lineRule="exact"/>
              <w:rPr>
                <w:sz w:val="20"/>
                <w:szCs w:val="20"/>
                <w:color w:val="auto"/>
              </w:rPr>
            </w:pPr>
            <w:r>
              <w:rPr>
                <w:rFonts w:ascii="Arial" w:cs="Arial" w:eastAsia="Arial" w:hAnsi="Arial"/>
                <w:sz w:val="12"/>
                <w:szCs w:val="12"/>
                <w:b w:val="1"/>
                <w:bCs w:val="1"/>
                <w:color w:val="auto"/>
              </w:rPr>
              <w:t>Retiree Health</w:t>
            </w:r>
          </w:p>
        </w:tc>
        <w:tc>
          <w:tcPr>
            <w:tcW w:w="1280" w:type="dxa"/>
            <w:vAlign w:val="bottom"/>
            <w:gridSpan w:val="2"/>
          </w:tcPr>
          <w:p>
            <w:pPr>
              <w:jc w:val="center"/>
              <w:spacing w:after="0" w:line="123" w:lineRule="exact"/>
              <w:rPr>
                <w:sz w:val="20"/>
                <w:szCs w:val="20"/>
                <w:color w:val="auto"/>
              </w:rPr>
            </w:pPr>
            <w:r>
              <w:rPr>
                <w:rFonts w:ascii="Arial" w:cs="Arial" w:eastAsia="Arial" w:hAnsi="Arial"/>
                <w:sz w:val="12"/>
                <w:szCs w:val="12"/>
                <w:b w:val="1"/>
                <w:bCs w:val="1"/>
                <w:color w:val="auto"/>
                <w:w w:val="99"/>
              </w:rPr>
              <w:t>Gains (Losses) on</w:t>
            </w: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5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03"/>
              <w:spacing w:after="0"/>
              <w:rPr>
                <w:sz w:val="20"/>
                <w:szCs w:val="20"/>
                <w:color w:val="auto"/>
              </w:rPr>
            </w:pPr>
            <w:r>
              <w:rPr>
                <w:rFonts w:ascii="Arial" w:cs="Arial" w:eastAsia="Arial" w:hAnsi="Arial"/>
                <w:sz w:val="12"/>
                <w:szCs w:val="12"/>
                <w:b w:val="1"/>
                <w:bCs w:val="1"/>
                <w:color w:val="auto"/>
              </w:rPr>
              <w:t>Gains (Losses)</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44"/>
              <w:spacing w:after="0"/>
              <w:rPr>
                <w:sz w:val="20"/>
                <w:szCs w:val="20"/>
                <w:color w:val="auto"/>
              </w:rPr>
            </w:pPr>
            <w:r>
              <w:rPr>
                <w:rFonts w:ascii="Arial" w:cs="Arial" w:eastAsia="Arial" w:hAnsi="Arial"/>
                <w:sz w:val="12"/>
                <w:szCs w:val="12"/>
                <w:b w:val="1"/>
                <w:bCs w:val="1"/>
                <w:color w:val="auto"/>
              </w:rPr>
              <w:t>Sale Securities</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25"/>
              <w:spacing w:after="0"/>
              <w:rPr>
                <w:sz w:val="20"/>
                <w:szCs w:val="20"/>
                <w:color w:val="auto"/>
              </w:rPr>
            </w:pPr>
            <w:r>
              <w:rPr>
                <w:rFonts w:ascii="Arial" w:cs="Arial" w:eastAsia="Arial" w:hAnsi="Arial"/>
                <w:sz w:val="12"/>
                <w:szCs w:val="12"/>
                <w:b w:val="1"/>
                <w:bCs w:val="1"/>
                <w:color w:val="auto"/>
                <w:w w:val="99"/>
              </w:rPr>
              <w:t>Benefit Plans</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Cash Flow Hedges</w:t>
            </w:r>
          </w:p>
        </w:tc>
        <w:tc>
          <w:tcPr>
            <w:tcW w:w="1380" w:type="dxa"/>
            <w:vAlign w:val="bottom"/>
            <w:tcBorders>
              <w:bottom w:val="single" w:sz="8" w:color="auto"/>
            </w:tcBorders>
            <w:gridSpan w:val="2"/>
          </w:tcPr>
          <w:p>
            <w:pPr>
              <w:jc w:val="center"/>
              <w:ind w:left="7"/>
              <w:spacing w:after="0"/>
              <w:rPr>
                <w:sz w:val="20"/>
                <w:szCs w:val="20"/>
                <w:color w:val="auto"/>
              </w:rPr>
            </w:pPr>
            <w:r>
              <w:rPr>
                <w:rFonts w:ascii="Arial" w:cs="Arial" w:eastAsia="Arial" w:hAnsi="Arial"/>
                <w:sz w:val="12"/>
                <w:szCs w:val="12"/>
                <w:b w:val="1"/>
                <w:bCs w:val="1"/>
                <w:color w:val="auto"/>
              </w:rPr>
              <w:t>Comprehensive Loss</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April 1, 2023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7"/>
                <w:szCs w:val="17"/>
                <w:b w:val="1"/>
                <w:bCs w:val="1"/>
                <w:color w:val="auto"/>
              </w:rPr>
              <w:t>(1,826.6)</w:t>
            </w:r>
          </w:p>
        </w:tc>
        <w:tc>
          <w:tcPr>
            <w:tcW w:w="220" w:type="dxa"/>
            <w:vAlign w:val="bottom"/>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7"/>
                <w:szCs w:val="17"/>
                <w:b w:val="1"/>
                <w:bCs w:val="1"/>
                <w:color w:val="auto"/>
              </w:rPr>
              <w:t>(28.3)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7"/>
                <w:szCs w:val="17"/>
                <w:b w:val="1"/>
                <w:bCs w:val="1"/>
                <w:color w:val="auto"/>
              </w:rPr>
              <w:t>(2,066.1)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143.7</w:t>
            </w:r>
          </w:p>
        </w:tc>
        <w:tc>
          <w:tcPr>
            <w:tcW w:w="420" w:type="dxa"/>
            <w:vAlign w:val="bottom"/>
            <w:shd w:val="clear" w:color="auto" w:fill="CCEEFF"/>
          </w:tcPr>
          <w:p>
            <w:pPr>
              <w:jc w:val="right"/>
              <w:ind w:right="167"/>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(3,777.3)</w:t>
            </w:r>
          </w:p>
        </w:tc>
        <w:tc>
          <w:tcPr>
            <w:tcW w:w="0" w:type="dxa"/>
            <w:vAlign w:val="bottom"/>
          </w:tcPr>
          <w:p>
            <w:pPr>
              <w:spacing w:after="0"/>
              <w:rPr>
                <w:sz w:val="1"/>
                <w:szCs w:val="1"/>
                <w:color w:val="auto"/>
              </w:rPr>
            </w:pPr>
          </w:p>
        </w:tc>
      </w:tr>
      <w:tr>
        <w:trPr>
          <w:trHeight w:val="168"/>
        </w:trPr>
        <w:tc>
          <w:tcPr>
            <w:tcW w:w="4540" w:type="dxa"/>
            <w:vAlign w:val="bottom"/>
          </w:tcPr>
          <w:p>
            <w:pPr>
              <w:ind w:left="180"/>
              <w:spacing w:after="0" w:line="168" w:lineRule="exact"/>
              <w:rPr>
                <w:sz w:val="20"/>
                <w:szCs w:val="20"/>
                <w:color w:val="auto"/>
              </w:rPr>
            </w:pPr>
            <w:r>
              <w:rPr>
                <w:rFonts w:ascii="Arial" w:cs="Arial" w:eastAsia="Arial" w:hAnsi="Arial"/>
                <w:sz w:val="17"/>
                <w:szCs w:val="17"/>
                <w:color w:val="auto"/>
              </w:rPr>
              <w:t>Other comprehensive income (loss) before</w:t>
            </w:r>
          </w:p>
        </w:tc>
        <w:tc>
          <w:tcPr>
            <w:tcW w:w="120" w:type="dxa"/>
            <w:vAlign w:val="bottom"/>
          </w:tcPr>
          <w:p>
            <w:pPr>
              <w:spacing w:after="0"/>
              <w:rPr>
                <w:sz w:val="14"/>
                <w:szCs w:val="14"/>
                <w:color w:val="auto"/>
              </w:rPr>
            </w:pPr>
          </w:p>
        </w:tc>
        <w:tc>
          <w:tcPr>
            <w:tcW w:w="1180" w:type="dxa"/>
            <w:vAlign w:val="bottom"/>
            <w:vMerge w:val="restart"/>
          </w:tcPr>
          <w:p>
            <w:pPr>
              <w:jc w:val="right"/>
              <w:ind w:right="3"/>
              <w:spacing w:after="0"/>
              <w:rPr>
                <w:sz w:val="20"/>
                <w:szCs w:val="20"/>
                <w:color w:val="auto"/>
              </w:rPr>
            </w:pPr>
            <w:r>
              <w:rPr>
                <w:rFonts w:ascii="Arial" w:cs="Arial" w:eastAsia="Arial" w:hAnsi="Arial"/>
                <w:sz w:val="17"/>
                <w:szCs w:val="17"/>
                <w:b w:val="1"/>
                <w:bCs w:val="1"/>
                <w:color w:val="auto"/>
              </w:rPr>
              <w:t>(58.7)</w:t>
            </w:r>
          </w:p>
        </w:tc>
        <w:tc>
          <w:tcPr>
            <w:tcW w:w="220" w:type="dxa"/>
            <w:vAlign w:val="bottom"/>
          </w:tcPr>
          <w:p>
            <w:pPr>
              <w:spacing w:after="0"/>
              <w:rPr>
                <w:sz w:val="14"/>
                <w:szCs w:val="14"/>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7"/>
                <w:szCs w:val="17"/>
                <w:b w:val="1"/>
                <w:bCs w:val="1"/>
                <w:color w:val="auto"/>
              </w:rPr>
              <w:t>(5.9)</w:t>
            </w:r>
          </w:p>
        </w:tc>
        <w:tc>
          <w:tcPr>
            <w:tcW w:w="200" w:type="dxa"/>
            <w:vAlign w:val="bottom"/>
          </w:tcPr>
          <w:p>
            <w:pPr>
              <w:spacing w:after="0"/>
              <w:rPr>
                <w:sz w:val="14"/>
                <w:szCs w:val="14"/>
                <w:color w:val="auto"/>
              </w:rPr>
            </w:pPr>
          </w:p>
        </w:tc>
        <w:tc>
          <w:tcPr>
            <w:tcW w:w="1160" w:type="dxa"/>
            <w:vAlign w:val="bottom"/>
            <w:vMerge w:val="restart"/>
          </w:tcPr>
          <w:p>
            <w:pPr>
              <w:jc w:val="right"/>
              <w:ind w:right="5"/>
              <w:spacing w:after="0"/>
              <w:rPr>
                <w:sz w:val="20"/>
                <w:szCs w:val="20"/>
                <w:color w:val="auto"/>
              </w:rPr>
            </w:pPr>
            <w:r>
              <w:rPr>
                <w:rFonts w:ascii="Arial" w:cs="Arial" w:eastAsia="Arial" w:hAnsi="Arial"/>
                <w:sz w:val="17"/>
                <w:szCs w:val="17"/>
                <w:b w:val="1"/>
                <w:bCs w:val="1"/>
                <w:color w:val="auto"/>
              </w:rPr>
              <w:t>(5.6)</w:t>
            </w:r>
          </w:p>
        </w:tc>
        <w:tc>
          <w:tcPr>
            <w:tcW w:w="200" w:type="dxa"/>
            <w:vAlign w:val="bottom"/>
          </w:tcPr>
          <w:p>
            <w:pPr>
              <w:spacing w:after="0"/>
              <w:rPr>
                <w:sz w:val="14"/>
                <w:szCs w:val="14"/>
                <w:color w:val="auto"/>
              </w:rPr>
            </w:pPr>
          </w:p>
        </w:tc>
        <w:tc>
          <w:tcPr>
            <w:tcW w:w="1080" w:type="dxa"/>
            <w:vAlign w:val="bottom"/>
            <w:vMerge w:val="restart"/>
          </w:tcPr>
          <w:p>
            <w:pPr>
              <w:jc w:val="right"/>
              <w:ind w:right="38"/>
              <w:spacing w:after="0"/>
              <w:rPr>
                <w:sz w:val="20"/>
                <w:szCs w:val="20"/>
                <w:color w:val="auto"/>
              </w:rPr>
            </w:pPr>
            <w:r>
              <w:rPr>
                <w:rFonts w:ascii="Arial" w:cs="Arial" w:eastAsia="Arial" w:hAnsi="Arial"/>
                <w:sz w:val="17"/>
                <w:szCs w:val="17"/>
                <w:b w:val="1"/>
                <w:bCs w:val="1"/>
                <w:color w:val="auto"/>
              </w:rPr>
              <w:t>43.5</w:t>
            </w:r>
          </w:p>
        </w:tc>
        <w:tc>
          <w:tcPr>
            <w:tcW w:w="4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(26.7)</w:t>
            </w:r>
          </w:p>
        </w:tc>
        <w:tc>
          <w:tcPr>
            <w:tcW w:w="0" w:type="dxa"/>
            <w:vAlign w:val="bottom"/>
          </w:tcPr>
          <w:p>
            <w:pPr>
              <w:spacing w:after="0"/>
              <w:rPr>
                <w:sz w:val="1"/>
                <w:szCs w:val="1"/>
                <w:color w:val="auto"/>
              </w:rPr>
            </w:pPr>
          </w:p>
        </w:tc>
      </w:tr>
      <w:tr>
        <w:trPr>
          <w:trHeight w:val="219"/>
        </w:trPr>
        <w:tc>
          <w:tcPr>
            <w:tcW w:w="4540" w:type="dxa"/>
            <w:vAlign w:val="bottom"/>
          </w:tcPr>
          <w:p>
            <w:pPr>
              <w:ind w:left="180"/>
              <w:spacing w:after="0"/>
              <w:rPr>
                <w:sz w:val="20"/>
                <w:szCs w:val="20"/>
                <w:color w:val="auto"/>
              </w:rPr>
            </w:pPr>
            <w:r>
              <w:rPr>
                <w:rFonts w:ascii="Arial" w:cs="Arial" w:eastAsia="Arial" w:hAnsi="Arial"/>
                <w:sz w:val="17"/>
                <w:szCs w:val="17"/>
                <w:color w:val="auto"/>
              </w:rPr>
              <w:t>reclassifications</w:t>
            </w: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540" w:type="dxa"/>
            <w:vAlign w:val="bottom"/>
            <w:shd w:val="clear" w:color="auto" w:fill="CCEEFF"/>
          </w:tcPr>
          <w:p>
            <w:pPr>
              <w:ind w:left="180"/>
              <w:spacing w:after="0" w:line="180" w:lineRule="exact"/>
              <w:rPr>
                <w:sz w:val="20"/>
                <w:szCs w:val="20"/>
                <w:color w:val="auto"/>
              </w:rPr>
            </w:pPr>
            <w:r>
              <w:rPr>
                <w:rFonts w:ascii="Arial" w:cs="Arial" w:eastAsia="Arial" w:hAnsi="Arial"/>
                <w:sz w:val="17"/>
                <w:szCs w:val="17"/>
                <w:color w:val="auto"/>
              </w:rPr>
              <w:t>Net amount reclassified from accumulated other</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43"/>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4"/>
              <w:spacing w:after="0"/>
              <w:rPr>
                <w:sz w:val="20"/>
                <w:szCs w:val="20"/>
                <w:color w:val="auto"/>
              </w:rPr>
            </w:pPr>
            <w:r>
              <w:rPr>
                <w:rFonts w:ascii="Arial" w:cs="Arial" w:eastAsia="Arial" w:hAnsi="Arial"/>
                <w:sz w:val="17"/>
                <w:szCs w:val="17"/>
                <w:b w:val="1"/>
                <w:bCs w:val="1"/>
                <w:color w:val="auto"/>
              </w:rPr>
              <w:t>0.7</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5"/>
              <w:spacing w:after="0"/>
              <w:rPr>
                <w:sz w:val="20"/>
                <w:szCs w:val="20"/>
                <w:color w:val="auto"/>
              </w:rPr>
            </w:pPr>
            <w:r>
              <w:rPr>
                <w:rFonts w:ascii="Arial" w:cs="Arial" w:eastAsia="Arial" w:hAnsi="Arial"/>
                <w:sz w:val="17"/>
                <w:szCs w:val="17"/>
                <w:b w:val="1"/>
                <w:bCs w:val="1"/>
                <w:color w:val="auto"/>
              </w:rPr>
              <w:t>12.9</w:t>
            </w: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1.7</w:t>
            </w:r>
          </w:p>
        </w:tc>
        <w:tc>
          <w:tcPr>
            <w:tcW w:w="4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15.3</w:t>
            </w:r>
          </w:p>
        </w:tc>
        <w:tc>
          <w:tcPr>
            <w:tcW w:w="0" w:type="dxa"/>
            <w:vAlign w:val="bottom"/>
          </w:tcPr>
          <w:p>
            <w:pPr>
              <w:spacing w:after="0"/>
              <w:rPr>
                <w:sz w:val="1"/>
                <w:szCs w:val="1"/>
                <w:color w:val="auto"/>
              </w:rPr>
            </w:pPr>
          </w:p>
        </w:tc>
      </w:tr>
      <w:tr>
        <w:trPr>
          <w:trHeight w:val="206"/>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comprehensive loss</w:t>
            </w: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40" w:type="dxa"/>
            <w:vAlign w:val="bottom"/>
          </w:tcPr>
          <w:p>
            <w:pPr>
              <w:ind w:left="180"/>
              <w:spacing w:after="0"/>
              <w:rPr>
                <w:sz w:val="20"/>
                <w:szCs w:val="20"/>
                <w:color w:val="auto"/>
              </w:rPr>
            </w:pPr>
            <w:r>
              <w:rPr>
                <w:rFonts w:ascii="Arial" w:cs="Arial" w:eastAsia="Arial" w:hAnsi="Arial"/>
                <w:sz w:val="17"/>
                <w:szCs w:val="17"/>
                <w:color w:val="auto"/>
              </w:rPr>
              <w:t>Net other comprehensive income (loss)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b w:val="1"/>
                <w:bCs w:val="1"/>
                <w:color w:val="auto"/>
              </w:rPr>
              <w:t>(58.7)</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7"/>
                <w:szCs w:val="17"/>
                <w:b w:val="1"/>
                <w:bCs w:val="1"/>
                <w:color w:val="auto"/>
              </w:rPr>
              <w:t>(5.2)</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
              <w:spacing w:after="0"/>
              <w:rPr>
                <w:sz w:val="20"/>
                <w:szCs w:val="20"/>
                <w:color w:val="auto"/>
              </w:rPr>
            </w:pPr>
            <w:r>
              <w:rPr>
                <w:rFonts w:ascii="Arial" w:cs="Arial" w:eastAsia="Arial" w:hAnsi="Arial"/>
                <w:sz w:val="17"/>
                <w:szCs w:val="17"/>
                <w:b w:val="1"/>
                <w:bCs w:val="1"/>
                <w:color w:val="auto"/>
              </w:rPr>
              <w:t>7.3</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b w:val="1"/>
                <w:bCs w:val="1"/>
                <w:color w:val="auto"/>
              </w:rPr>
              <w:t>45.2</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(11.4)</w:t>
            </w:r>
          </w:p>
        </w:tc>
        <w:tc>
          <w:tcPr>
            <w:tcW w:w="0" w:type="dxa"/>
            <w:vAlign w:val="bottom"/>
          </w:tcPr>
          <w:p>
            <w:pPr>
              <w:spacing w:after="0"/>
              <w:rPr>
                <w:sz w:val="1"/>
                <w:szCs w:val="1"/>
                <w:color w:val="auto"/>
              </w:rPr>
            </w:pPr>
          </w:p>
        </w:tc>
      </w:tr>
      <w:tr>
        <w:trPr>
          <w:trHeight w:val="231"/>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June 30,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b w:val="1"/>
                <w:bCs w:val="1"/>
                <w:color w:val="auto"/>
              </w:rPr>
              <w:t>(1,885.3)</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7"/>
                <w:szCs w:val="17"/>
                <w:b w:val="1"/>
                <w:bCs w:val="1"/>
                <w:color w:val="auto"/>
              </w:rPr>
              <w:t>(33.5)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7"/>
                <w:szCs w:val="17"/>
                <w:b w:val="1"/>
                <w:bCs w:val="1"/>
                <w:color w:val="auto"/>
              </w:rPr>
              <w:t>(2,058.8)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188.9</w:t>
            </w:r>
          </w:p>
        </w:tc>
        <w:tc>
          <w:tcPr>
            <w:tcW w:w="4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(3,788.7)</w:t>
            </w:r>
          </w:p>
        </w:tc>
        <w:tc>
          <w:tcPr>
            <w:tcW w:w="0" w:type="dxa"/>
            <w:vAlign w:val="bottom"/>
          </w:tcPr>
          <w:p>
            <w:pPr>
              <w:spacing w:after="0"/>
              <w:rPr>
                <w:sz w:val="1"/>
                <w:szCs w:val="1"/>
                <w:color w:val="auto"/>
              </w:rPr>
            </w:pPr>
          </w:p>
        </w:tc>
      </w:tr>
      <w:tr>
        <w:trPr>
          <w:trHeight w:val="329"/>
        </w:trPr>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vMerge w:val="restart"/>
          </w:tcPr>
          <w:p>
            <w:pPr>
              <w:jc w:val="center"/>
              <w:ind w:right="103"/>
              <w:spacing w:after="0"/>
              <w:rPr>
                <w:sz w:val="20"/>
                <w:szCs w:val="20"/>
                <w:color w:val="auto"/>
              </w:rPr>
            </w:pPr>
            <w:r>
              <w:rPr>
                <w:rFonts w:ascii="Arial" w:cs="Arial" w:eastAsia="Arial" w:hAnsi="Arial"/>
                <w:sz w:val="12"/>
                <w:szCs w:val="12"/>
                <w:b w:val="1"/>
                <w:bCs w:val="1"/>
                <w:color w:val="auto"/>
                <w:w w:val="99"/>
              </w:rPr>
              <w:t>Foreign Currency</w:t>
            </w:r>
          </w:p>
        </w:tc>
        <w:tc>
          <w:tcPr>
            <w:tcW w:w="1380" w:type="dxa"/>
            <w:vAlign w:val="bottom"/>
            <w:gridSpan w:val="2"/>
          </w:tcPr>
          <w:p>
            <w:pPr>
              <w:ind w:left="100"/>
              <w:spacing w:after="0"/>
              <w:rPr>
                <w:sz w:val="20"/>
                <w:szCs w:val="20"/>
                <w:color w:val="auto"/>
              </w:rPr>
            </w:pPr>
            <w:r>
              <w:rPr>
                <w:rFonts w:ascii="Arial" w:cs="Arial" w:eastAsia="Arial" w:hAnsi="Arial"/>
                <w:sz w:val="12"/>
                <w:szCs w:val="12"/>
                <w:b w:val="1"/>
                <w:bCs w:val="1"/>
                <w:color w:val="auto"/>
              </w:rPr>
              <w:t>Net Unrealized Gains</w:t>
            </w:r>
          </w:p>
        </w:tc>
        <w:tc>
          <w:tcPr>
            <w:tcW w:w="200" w:type="dxa"/>
            <w:vAlign w:val="bottom"/>
          </w:tcPr>
          <w:p>
            <w:pPr>
              <w:spacing w:after="0"/>
              <w:rPr>
                <w:sz w:val="24"/>
                <w:szCs w:val="24"/>
                <w:color w:val="auto"/>
              </w:rPr>
            </w:pPr>
          </w:p>
        </w:tc>
        <w:tc>
          <w:tcPr>
            <w:tcW w:w="1160" w:type="dxa"/>
            <w:vAlign w:val="bottom"/>
          </w:tcPr>
          <w:p>
            <w:pPr>
              <w:jc w:val="center"/>
              <w:ind w:right="125"/>
              <w:spacing w:after="0"/>
              <w:rPr>
                <w:sz w:val="20"/>
                <w:szCs w:val="20"/>
                <w:color w:val="auto"/>
              </w:rPr>
            </w:pPr>
            <w:r>
              <w:rPr>
                <w:rFonts w:ascii="Arial" w:cs="Arial" w:eastAsia="Arial" w:hAnsi="Arial"/>
                <w:sz w:val="12"/>
                <w:szCs w:val="12"/>
                <w:b w:val="1"/>
                <w:bCs w:val="1"/>
                <w:color w:val="auto"/>
                <w:w w:val="99"/>
              </w:rPr>
              <w:t>Defined Benefit</w:t>
            </w:r>
          </w:p>
        </w:tc>
        <w:tc>
          <w:tcPr>
            <w:tcW w:w="200" w:type="dxa"/>
            <w:vAlign w:val="bottom"/>
          </w:tcPr>
          <w:p>
            <w:pPr>
              <w:spacing w:after="0"/>
              <w:rPr>
                <w:sz w:val="24"/>
                <w:szCs w:val="24"/>
                <w:color w:val="auto"/>
              </w:rPr>
            </w:pPr>
          </w:p>
        </w:tc>
        <w:tc>
          <w:tcPr>
            <w:tcW w:w="1080" w:type="dxa"/>
            <w:vAlign w:val="bottom"/>
            <w:vMerge w:val="restart"/>
          </w:tcPr>
          <w:p>
            <w:pPr>
              <w:jc w:val="center"/>
              <w:ind w:right="118"/>
              <w:spacing w:after="0"/>
              <w:rPr>
                <w:sz w:val="20"/>
                <w:szCs w:val="20"/>
                <w:color w:val="auto"/>
              </w:rPr>
            </w:pPr>
            <w:r>
              <w:rPr>
                <w:rFonts w:ascii="Arial" w:cs="Arial" w:eastAsia="Arial" w:hAnsi="Arial"/>
                <w:sz w:val="12"/>
                <w:szCs w:val="12"/>
                <w:b w:val="1"/>
                <w:bCs w:val="1"/>
                <w:color w:val="auto"/>
              </w:rPr>
              <w:t>Net Unrealized</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ind w:right="124"/>
              <w:spacing w:after="0" w:line="123" w:lineRule="exact"/>
              <w:rPr>
                <w:sz w:val="20"/>
                <w:szCs w:val="20"/>
                <w:color w:val="auto"/>
              </w:rPr>
            </w:pPr>
            <w:r>
              <w:rPr>
                <w:rFonts w:ascii="Arial" w:cs="Arial" w:eastAsia="Arial" w:hAnsi="Arial"/>
                <w:sz w:val="12"/>
                <w:szCs w:val="12"/>
                <w:b w:val="1"/>
                <w:bCs w:val="1"/>
                <w:color w:val="auto"/>
              </w:rPr>
              <w:t>(Losses) on</w:t>
            </w:r>
          </w:p>
        </w:tc>
        <w:tc>
          <w:tcPr>
            <w:tcW w:w="200" w:type="dxa"/>
            <w:vAlign w:val="bottom"/>
          </w:tcPr>
          <w:p>
            <w:pPr>
              <w:spacing w:after="0"/>
              <w:rPr>
                <w:sz w:val="10"/>
                <w:szCs w:val="10"/>
                <w:color w:val="auto"/>
              </w:rPr>
            </w:pPr>
          </w:p>
        </w:tc>
        <w:tc>
          <w:tcPr>
            <w:tcW w:w="1160" w:type="dxa"/>
            <w:vAlign w:val="bottom"/>
          </w:tcPr>
          <w:p>
            <w:pPr>
              <w:jc w:val="center"/>
              <w:ind w:right="125"/>
              <w:spacing w:after="0" w:line="123" w:lineRule="exact"/>
              <w:rPr>
                <w:sz w:val="20"/>
                <w:szCs w:val="20"/>
                <w:color w:val="auto"/>
              </w:rPr>
            </w:pPr>
            <w:r>
              <w:rPr>
                <w:rFonts w:ascii="Arial" w:cs="Arial" w:eastAsia="Arial" w:hAnsi="Arial"/>
                <w:sz w:val="12"/>
                <w:szCs w:val="12"/>
                <w:b w:val="1"/>
                <w:bCs w:val="1"/>
                <w:color w:val="auto"/>
              </w:rPr>
              <w:t>Pension and</w:t>
            </w:r>
          </w:p>
        </w:tc>
        <w:tc>
          <w:tcPr>
            <w:tcW w:w="2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38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rPr>
              <w:t>Accumulated Other</w:t>
            </w:r>
          </w:p>
        </w:tc>
        <w:tc>
          <w:tcPr>
            <w:tcW w:w="0" w:type="dxa"/>
            <w:vAlign w:val="bottom"/>
          </w:tcPr>
          <w:p>
            <w:pPr>
              <w:spacing w:after="0"/>
              <w:rPr>
                <w:sz w:val="1"/>
                <w:szCs w:val="1"/>
                <w:color w:val="auto"/>
              </w:rPr>
            </w:pPr>
          </w:p>
        </w:tc>
      </w:tr>
      <w:tr>
        <w:trPr>
          <w:trHeight w:val="116"/>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20" w:type="dxa"/>
            <w:vAlign w:val="bottom"/>
          </w:tcPr>
          <w:p>
            <w:pPr>
              <w:spacing w:after="0"/>
              <w:rPr>
                <w:sz w:val="10"/>
                <w:szCs w:val="10"/>
                <w:color w:val="auto"/>
              </w:rPr>
            </w:pPr>
          </w:p>
        </w:tc>
        <w:tc>
          <w:tcPr>
            <w:tcW w:w="1180" w:type="dxa"/>
            <w:vAlign w:val="bottom"/>
          </w:tcPr>
          <w:p>
            <w:pPr>
              <w:jc w:val="center"/>
              <w:ind w:right="103"/>
              <w:spacing w:after="0" w:line="117" w:lineRule="exact"/>
              <w:rPr>
                <w:sz w:val="20"/>
                <w:szCs w:val="20"/>
                <w:color w:val="auto"/>
              </w:rPr>
            </w:pPr>
            <w:r>
              <w:rPr>
                <w:rFonts w:ascii="Arial" w:cs="Arial" w:eastAsia="Arial" w:hAnsi="Arial"/>
                <w:sz w:val="12"/>
                <w:szCs w:val="12"/>
                <w:b w:val="1"/>
                <w:bCs w:val="1"/>
                <w:color w:val="auto"/>
                <w:w w:val="98"/>
              </w:rPr>
              <w:t>Translation</w:t>
            </w:r>
          </w:p>
        </w:tc>
        <w:tc>
          <w:tcPr>
            <w:tcW w:w="220" w:type="dxa"/>
            <w:vAlign w:val="bottom"/>
          </w:tcPr>
          <w:p>
            <w:pPr>
              <w:spacing w:after="0"/>
              <w:rPr>
                <w:sz w:val="10"/>
                <w:szCs w:val="10"/>
                <w:color w:val="auto"/>
              </w:rPr>
            </w:pPr>
          </w:p>
        </w:tc>
        <w:tc>
          <w:tcPr>
            <w:tcW w:w="1160" w:type="dxa"/>
            <w:vAlign w:val="bottom"/>
          </w:tcPr>
          <w:p>
            <w:pPr>
              <w:jc w:val="center"/>
              <w:ind w:right="124"/>
              <w:spacing w:after="0" w:line="117" w:lineRule="exact"/>
              <w:rPr>
                <w:sz w:val="20"/>
                <w:szCs w:val="20"/>
                <w:color w:val="auto"/>
              </w:rPr>
            </w:pPr>
            <w:r>
              <w:rPr>
                <w:rFonts w:ascii="Arial" w:cs="Arial" w:eastAsia="Arial" w:hAnsi="Arial"/>
                <w:sz w:val="12"/>
                <w:szCs w:val="12"/>
                <w:b w:val="1"/>
                <w:bCs w:val="1"/>
                <w:color w:val="auto"/>
                <w:w w:val="99"/>
              </w:rPr>
              <w:t>Available-For-</w:t>
            </w:r>
          </w:p>
        </w:tc>
        <w:tc>
          <w:tcPr>
            <w:tcW w:w="200" w:type="dxa"/>
            <w:vAlign w:val="bottom"/>
          </w:tcPr>
          <w:p>
            <w:pPr>
              <w:spacing w:after="0"/>
              <w:rPr>
                <w:sz w:val="10"/>
                <w:szCs w:val="10"/>
                <w:color w:val="auto"/>
              </w:rPr>
            </w:pPr>
          </w:p>
        </w:tc>
        <w:tc>
          <w:tcPr>
            <w:tcW w:w="1160" w:type="dxa"/>
            <w:vAlign w:val="bottom"/>
          </w:tcPr>
          <w:p>
            <w:pPr>
              <w:jc w:val="center"/>
              <w:ind w:right="105"/>
              <w:spacing w:after="0" w:line="117" w:lineRule="exact"/>
              <w:rPr>
                <w:sz w:val="20"/>
                <w:szCs w:val="20"/>
                <w:color w:val="auto"/>
              </w:rPr>
            </w:pPr>
            <w:r>
              <w:rPr>
                <w:rFonts w:ascii="Arial" w:cs="Arial" w:eastAsia="Arial" w:hAnsi="Arial"/>
                <w:sz w:val="12"/>
                <w:szCs w:val="12"/>
                <w:b w:val="1"/>
                <w:bCs w:val="1"/>
                <w:color w:val="auto"/>
              </w:rPr>
              <w:t>Retiree Health</w:t>
            </w:r>
          </w:p>
        </w:tc>
        <w:tc>
          <w:tcPr>
            <w:tcW w:w="1280" w:type="dxa"/>
            <w:vAlign w:val="bottom"/>
            <w:gridSpan w:val="2"/>
          </w:tcPr>
          <w:p>
            <w:pPr>
              <w:jc w:val="center"/>
              <w:spacing w:after="0" w:line="117" w:lineRule="exact"/>
              <w:rPr>
                <w:sz w:val="20"/>
                <w:szCs w:val="20"/>
                <w:color w:val="auto"/>
              </w:rPr>
            </w:pPr>
            <w:r>
              <w:rPr>
                <w:rFonts w:ascii="Arial" w:cs="Arial" w:eastAsia="Arial" w:hAnsi="Arial"/>
                <w:sz w:val="12"/>
                <w:szCs w:val="12"/>
                <w:b w:val="1"/>
                <w:bCs w:val="1"/>
                <w:color w:val="auto"/>
                <w:w w:val="99"/>
              </w:rPr>
              <w:t>Gains (Losses) on</w:t>
            </w: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5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83"/>
              <w:spacing w:after="0"/>
              <w:rPr>
                <w:sz w:val="20"/>
                <w:szCs w:val="20"/>
                <w:color w:val="auto"/>
              </w:rPr>
            </w:pPr>
            <w:r>
              <w:rPr>
                <w:rFonts w:ascii="Arial" w:cs="Arial" w:eastAsia="Arial" w:hAnsi="Arial"/>
                <w:sz w:val="12"/>
                <w:szCs w:val="12"/>
                <w:b w:val="1"/>
                <w:bCs w:val="1"/>
                <w:color w:val="auto"/>
                <w:w w:val="99"/>
              </w:rPr>
              <w:t>Gains (Losses)</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44"/>
              <w:spacing w:after="0"/>
              <w:rPr>
                <w:sz w:val="20"/>
                <w:szCs w:val="20"/>
                <w:color w:val="auto"/>
              </w:rPr>
            </w:pPr>
            <w:r>
              <w:rPr>
                <w:rFonts w:ascii="Arial" w:cs="Arial" w:eastAsia="Arial" w:hAnsi="Arial"/>
                <w:sz w:val="12"/>
                <w:szCs w:val="12"/>
                <w:b w:val="1"/>
                <w:bCs w:val="1"/>
                <w:color w:val="auto"/>
              </w:rPr>
              <w:t>Sale Securities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25"/>
              <w:spacing w:after="0"/>
              <w:rPr>
                <w:sz w:val="20"/>
                <w:szCs w:val="20"/>
                <w:color w:val="auto"/>
              </w:rPr>
            </w:pPr>
            <w:r>
              <w:rPr>
                <w:rFonts w:ascii="Arial" w:cs="Arial" w:eastAsia="Arial" w:hAnsi="Arial"/>
                <w:sz w:val="12"/>
                <w:szCs w:val="12"/>
                <w:b w:val="1"/>
                <w:bCs w:val="1"/>
                <w:color w:val="auto"/>
                <w:w w:val="99"/>
              </w:rPr>
              <w:t>Benefit Plans</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Cash Flow Hedges</w:t>
            </w:r>
          </w:p>
        </w:tc>
        <w:tc>
          <w:tcPr>
            <w:tcW w:w="1380" w:type="dxa"/>
            <w:vAlign w:val="bottom"/>
            <w:tcBorders>
              <w:bottom w:val="single" w:sz="8" w:color="auto"/>
            </w:tcBorders>
            <w:gridSpan w:val="2"/>
          </w:tcPr>
          <w:p>
            <w:pPr>
              <w:jc w:val="center"/>
              <w:ind w:left="7"/>
              <w:spacing w:after="0"/>
              <w:rPr>
                <w:sz w:val="20"/>
                <w:szCs w:val="20"/>
                <w:color w:val="auto"/>
              </w:rPr>
            </w:pPr>
            <w:r>
              <w:rPr>
                <w:rFonts w:ascii="Arial" w:cs="Arial" w:eastAsia="Arial" w:hAnsi="Arial"/>
                <w:sz w:val="12"/>
                <w:szCs w:val="12"/>
                <w:b w:val="1"/>
                <w:bCs w:val="1"/>
                <w:color w:val="auto"/>
              </w:rPr>
              <w:t>Comprehensive Loss</w:t>
            </w:r>
          </w:p>
        </w:tc>
        <w:tc>
          <w:tcPr>
            <w:tcW w:w="0" w:type="dxa"/>
            <w:vAlign w:val="bottom"/>
          </w:tcPr>
          <w:p>
            <w:pPr>
              <w:spacing w:after="0"/>
              <w:rPr>
                <w:sz w:val="1"/>
                <w:szCs w:val="1"/>
                <w:color w:val="auto"/>
              </w:rPr>
            </w:pPr>
          </w:p>
        </w:tc>
      </w:tr>
      <w:tr>
        <w:trPr>
          <w:trHeight w:val="213"/>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April 1, 2022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(1,575.2)</w:t>
            </w:r>
          </w:p>
        </w:tc>
        <w:tc>
          <w:tcPr>
            <w:tcW w:w="22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(18.1)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(2,531.6)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w:t>
            </w:r>
          </w:p>
        </w:tc>
        <w:tc>
          <w:tcPr>
            <w:tcW w:w="420" w:type="dxa"/>
            <w:vAlign w:val="bottom"/>
            <w:shd w:val="clear" w:color="auto" w:fill="CCEEFF"/>
          </w:tcPr>
          <w:p>
            <w:pPr>
              <w:jc w:val="right"/>
              <w:ind w:right="167"/>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(4,225.3)</w:t>
            </w:r>
          </w:p>
        </w:tc>
        <w:tc>
          <w:tcPr>
            <w:tcW w:w="0" w:type="dxa"/>
            <w:vAlign w:val="bottom"/>
          </w:tcPr>
          <w:p>
            <w:pPr>
              <w:spacing w:after="0"/>
              <w:rPr>
                <w:sz w:val="1"/>
                <w:szCs w:val="1"/>
                <w:color w:val="auto"/>
              </w:rPr>
            </w:pPr>
          </w:p>
        </w:tc>
      </w:tr>
      <w:tr>
        <w:trPr>
          <w:trHeight w:val="168"/>
        </w:trPr>
        <w:tc>
          <w:tcPr>
            <w:tcW w:w="4540" w:type="dxa"/>
            <w:vAlign w:val="bottom"/>
          </w:tcPr>
          <w:p>
            <w:pPr>
              <w:ind w:left="180"/>
              <w:spacing w:after="0" w:line="168" w:lineRule="exact"/>
              <w:rPr>
                <w:sz w:val="20"/>
                <w:szCs w:val="20"/>
                <w:color w:val="auto"/>
              </w:rPr>
            </w:pPr>
            <w:r>
              <w:rPr>
                <w:rFonts w:ascii="Arial" w:cs="Arial" w:eastAsia="Arial" w:hAnsi="Arial"/>
                <w:sz w:val="17"/>
                <w:szCs w:val="17"/>
                <w:color w:val="auto"/>
              </w:rPr>
              <w:t>Other comprehensive income (loss) before</w:t>
            </w:r>
          </w:p>
        </w:tc>
        <w:tc>
          <w:tcPr>
            <w:tcW w:w="120" w:type="dxa"/>
            <w:vAlign w:val="bottom"/>
          </w:tcPr>
          <w:p>
            <w:pPr>
              <w:spacing w:after="0"/>
              <w:rPr>
                <w:sz w:val="14"/>
                <w:szCs w:val="14"/>
                <w:color w:val="auto"/>
              </w:rPr>
            </w:pPr>
          </w:p>
        </w:tc>
        <w:tc>
          <w:tcPr>
            <w:tcW w:w="1180" w:type="dxa"/>
            <w:vAlign w:val="bottom"/>
            <w:vMerge w:val="restart"/>
          </w:tcPr>
          <w:p>
            <w:pPr>
              <w:jc w:val="right"/>
              <w:ind w:right="3"/>
              <w:spacing w:after="0"/>
              <w:rPr>
                <w:sz w:val="20"/>
                <w:szCs w:val="20"/>
                <w:color w:val="auto"/>
              </w:rPr>
            </w:pPr>
            <w:r>
              <w:rPr>
                <w:rFonts w:ascii="Arial" w:cs="Arial" w:eastAsia="Arial" w:hAnsi="Arial"/>
                <w:sz w:val="17"/>
                <w:szCs w:val="17"/>
                <w:color w:val="auto"/>
              </w:rPr>
              <w:t>(269.6)</w:t>
            </w:r>
          </w:p>
        </w:tc>
        <w:tc>
          <w:tcPr>
            <w:tcW w:w="220" w:type="dxa"/>
            <w:vAlign w:val="bottom"/>
          </w:tcPr>
          <w:p>
            <w:pPr>
              <w:spacing w:after="0"/>
              <w:rPr>
                <w:sz w:val="14"/>
                <w:szCs w:val="14"/>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7"/>
                <w:szCs w:val="17"/>
                <w:color w:val="auto"/>
              </w:rPr>
              <w:t>(9.3)</w:t>
            </w:r>
          </w:p>
        </w:tc>
        <w:tc>
          <w:tcPr>
            <w:tcW w:w="200" w:type="dxa"/>
            <w:vAlign w:val="bottom"/>
          </w:tcPr>
          <w:p>
            <w:pPr>
              <w:spacing w:after="0"/>
              <w:rPr>
                <w:sz w:val="14"/>
                <w:szCs w:val="14"/>
                <w:color w:val="auto"/>
              </w:rPr>
            </w:pPr>
          </w:p>
        </w:tc>
        <w:tc>
          <w:tcPr>
            <w:tcW w:w="1160" w:type="dxa"/>
            <w:vAlign w:val="bottom"/>
            <w:vMerge w:val="restart"/>
          </w:tcPr>
          <w:p>
            <w:pPr>
              <w:jc w:val="right"/>
              <w:ind w:right="45"/>
              <w:spacing w:after="0"/>
              <w:rPr>
                <w:sz w:val="20"/>
                <w:szCs w:val="20"/>
                <w:color w:val="auto"/>
              </w:rPr>
            </w:pPr>
            <w:r>
              <w:rPr>
                <w:rFonts w:ascii="Arial" w:cs="Arial" w:eastAsia="Arial" w:hAnsi="Arial"/>
                <w:sz w:val="17"/>
                <w:szCs w:val="17"/>
                <w:color w:val="auto"/>
              </w:rPr>
              <w:t>31.7</w:t>
            </w:r>
          </w:p>
        </w:tc>
        <w:tc>
          <w:tcPr>
            <w:tcW w:w="200" w:type="dxa"/>
            <w:vAlign w:val="bottom"/>
          </w:tcPr>
          <w:p>
            <w:pPr>
              <w:spacing w:after="0"/>
              <w:rPr>
                <w:sz w:val="14"/>
                <w:szCs w:val="14"/>
                <w:color w:val="auto"/>
              </w:rPr>
            </w:pPr>
          </w:p>
        </w:tc>
        <w:tc>
          <w:tcPr>
            <w:tcW w:w="1080" w:type="dxa"/>
            <w:vAlign w:val="bottom"/>
            <w:vMerge w:val="restart"/>
          </w:tcPr>
          <w:p>
            <w:pPr>
              <w:jc w:val="right"/>
              <w:ind w:right="38"/>
              <w:spacing w:after="0"/>
              <w:rPr>
                <w:sz w:val="20"/>
                <w:szCs w:val="20"/>
                <w:color w:val="auto"/>
              </w:rPr>
            </w:pPr>
            <w:r>
              <w:rPr>
                <w:rFonts w:ascii="Arial" w:cs="Arial" w:eastAsia="Arial" w:hAnsi="Arial"/>
                <w:sz w:val="17"/>
                <w:szCs w:val="17"/>
                <w:color w:val="auto"/>
              </w:rPr>
              <w:t>124.8</w:t>
            </w:r>
          </w:p>
        </w:tc>
        <w:tc>
          <w:tcPr>
            <w:tcW w:w="4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(122.4)</w:t>
            </w:r>
          </w:p>
        </w:tc>
        <w:tc>
          <w:tcPr>
            <w:tcW w:w="0" w:type="dxa"/>
            <w:vAlign w:val="bottom"/>
          </w:tcPr>
          <w:p>
            <w:pPr>
              <w:spacing w:after="0"/>
              <w:rPr>
                <w:sz w:val="1"/>
                <w:szCs w:val="1"/>
                <w:color w:val="auto"/>
              </w:rPr>
            </w:pPr>
          </w:p>
        </w:tc>
      </w:tr>
      <w:tr>
        <w:trPr>
          <w:trHeight w:val="225"/>
        </w:trPr>
        <w:tc>
          <w:tcPr>
            <w:tcW w:w="4540" w:type="dxa"/>
            <w:vAlign w:val="bottom"/>
          </w:tcPr>
          <w:p>
            <w:pPr>
              <w:ind w:left="180"/>
              <w:spacing w:after="0"/>
              <w:rPr>
                <w:sz w:val="20"/>
                <w:szCs w:val="20"/>
                <w:color w:val="auto"/>
              </w:rPr>
            </w:pPr>
            <w:r>
              <w:rPr>
                <w:rFonts w:ascii="Arial" w:cs="Arial" w:eastAsia="Arial" w:hAnsi="Arial"/>
                <w:sz w:val="17"/>
                <w:szCs w:val="17"/>
                <w:color w:val="auto"/>
              </w:rPr>
              <w:t>reclassifications</w:t>
            </w: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CEEFF"/>
          </w:tcPr>
          <w:p>
            <w:pPr>
              <w:ind w:left="180"/>
              <w:spacing w:after="0" w:line="176" w:lineRule="exact"/>
              <w:rPr>
                <w:sz w:val="20"/>
                <w:szCs w:val="20"/>
                <w:color w:val="auto"/>
              </w:rPr>
            </w:pPr>
            <w:r>
              <w:rPr>
                <w:rFonts w:ascii="Arial" w:cs="Arial" w:eastAsia="Arial" w:hAnsi="Arial"/>
                <w:sz w:val="17"/>
                <w:szCs w:val="17"/>
                <w:color w:val="auto"/>
              </w:rPr>
              <w:t>Net amount reclassified from accumulated other</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43"/>
              <w:spacing w:after="0"/>
              <w:rPr>
                <w:sz w:val="20"/>
                <w:szCs w:val="20"/>
                <w:color w:val="auto"/>
              </w:rPr>
            </w:pPr>
            <w:r>
              <w:rPr>
                <w:rFonts w:ascii="Arial" w:cs="Arial" w:eastAsia="Arial" w:hAnsi="Arial"/>
                <w:sz w:val="17"/>
                <w:szCs w:val="17"/>
                <w:color w:val="auto"/>
              </w:rPr>
              <w:t>0.6</w:t>
            </w: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
              <w:spacing w:after="0"/>
              <w:rPr>
                <w:sz w:val="20"/>
                <w:szCs w:val="20"/>
                <w:color w:val="auto"/>
              </w:rPr>
            </w:pPr>
            <w:r>
              <w:rPr>
                <w:rFonts w:ascii="Arial" w:cs="Arial" w:eastAsia="Arial" w:hAnsi="Arial"/>
                <w:sz w:val="17"/>
                <w:szCs w:val="17"/>
                <w:color w:val="auto"/>
              </w:rPr>
              <w:t>(0.5)</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5"/>
              <w:spacing w:after="0"/>
              <w:rPr>
                <w:sz w:val="20"/>
                <w:szCs w:val="20"/>
                <w:color w:val="auto"/>
              </w:rPr>
            </w:pPr>
            <w:r>
              <w:rPr>
                <w:rFonts w:ascii="Arial" w:cs="Arial" w:eastAsia="Arial" w:hAnsi="Arial"/>
                <w:sz w:val="17"/>
                <w:szCs w:val="17"/>
                <w:color w:val="auto"/>
              </w:rPr>
              <w:t>56.7</w:t>
            </w: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8"/>
              <w:spacing w:after="0"/>
              <w:rPr>
                <w:sz w:val="20"/>
                <w:szCs w:val="20"/>
                <w:color w:val="auto"/>
              </w:rPr>
            </w:pPr>
            <w:r>
              <w:rPr>
                <w:rFonts w:ascii="Arial" w:cs="Arial" w:eastAsia="Arial" w:hAnsi="Arial"/>
                <w:sz w:val="17"/>
                <w:szCs w:val="17"/>
                <w:color w:val="auto"/>
              </w:rPr>
              <w:t>3.2</w:t>
            </w:r>
          </w:p>
        </w:tc>
        <w:tc>
          <w:tcPr>
            <w:tcW w:w="4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comprehensive loss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Net other comprehensive income (loss)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(269.0)</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7"/>
                <w:szCs w:val="17"/>
                <w:color w:val="auto"/>
              </w:rPr>
              <w:t>(9.8)</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
              <w:spacing w:after="0"/>
              <w:rPr>
                <w:sz w:val="20"/>
                <w:szCs w:val="20"/>
                <w:color w:val="auto"/>
              </w:rPr>
            </w:pPr>
            <w:r>
              <w:rPr>
                <w:rFonts w:ascii="Arial" w:cs="Arial" w:eastAsia="Arial" w:hAnsi="Arial"/>
                <w:sz w:val="17"/>
                <w:szCs w:val="17"/>
                <w:color w:val="auto"/>
              </w:rPr>
              <w:t>88.4</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128.0</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(62.4)</w:t>
            </w:r>
          </w:p>
        </w:tc>
        <w:tc>
          <w:tcPr>
            <w:tcW w:w="0" w:type="dxa"/>
            <w:vAlign w:val="bottom"/>
          </w:tcPr>
          <w:p>
            <w:pPr>
              <w:spacing w:after="0"/>
              <w:rPr>
                <w:sz w:val="1"/>
                <w:szCs w:val="1"/>
                <w:color w:val="auto"/>
              </w:rPr>
            </w:pPr>
          </w:p>
        </w:tc>
      </w:tr>
      <w:tr>
        <w:trPr>
          <w:trHeight w:val="219"/>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June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(1,844.2)</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(27.9)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(2,443.2)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27.6</w:t>
            </w:r>
          </w:p>
        </w:tc>
        <w:tc>
          <w:tcPr>
            <w:tcW w:w="4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(4,287.7)</w:t>
            </w:r>
          </w:p>
        </w:tc>
        <w:tc>
          <w:tcPr>
            <w:tcW w:w="0" w:type="dxa"/>
            <w:vAlign w:val="bottom"/>
          </w:tcPr>
          <w:p>
            <w:pPr>
              <w:spacing w:after="0"/>
              <w:rPr>
                <w:sz w:val="1"/>
                <w:szCs w:val="1"/>
                <w:color w:val="auto"/>
              </w:rPr>
            </w:pPr>
          </w:p>
        </w:tc>
      </w:tr>
      <w:tr>
        <w:trPr>
          <w:trHeight w:val="824"/>
        </w:trPr>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ind w:right="43"/>
              <w:spacing w:after="0"/>
              <w:rPr>
                <w:sz w:val="20"/>
                <w:szCs w:val="20"/>
                <w:color w:val="auto"/>
              </w:rPr>
            </w:pPr>
            <w:r>
              <w:rPr>
                <w:rFonts w:ascii="Arial" w:cs="Arial" w:eastAsia="Arial" w:hAnsi="Arial"/>
                <w:sz w:val="17"/>
                <w:szCs w:val="17"/>
                <w:color w:val="auto"/>
              </w:rPr>
              <w:t>33</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33" w:name="page34"/>
    <w:bookmarkEnd w:id="33"/>
    <w:p>
      <w:pPr>
        <w:ind w:right="40"/>
        <w:spacing w:after="0" w:line="280" w:lineRule="auto"/>
        <w:rPr>
          <w:sz w:val="20"/>
          <w:szCs w:val="20"/>
          <w:color w:val="auto"/>
        </w:rPr>
      </w:pPr>
      <w:r>
        <w:rPr>
          <w:rFonts w:ascii="Arial" w:cs="Arial" w:eastAsia="Arial" w:hAnsi="Arial"/>
          <w:sz w:val="17"/>
          <w:szCs w:val="17"/>
          <w:color w:val="auto"/>
        </w:rPr>
        <w:t>The following tables summarize the activity related to each component of other comprehensive income (loss) during the six months ended June 30, 2023 and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83"/>
              <w:spacing w:after="0"/>
              <w:rPr>
                <w:sz w:val="20"/>
                <w:szCs w:val="20"/>
                <w:color w:val="auto"/>
              </w:rPr>
            </w:pPr>
            <w:r>
              <w:rPr>
                <w:rFonts w:ascii="Arial" w:cs="Arial" w:eastAsia="Arial" w:hAnsi="Arial"/>
                <w:sz w:val="12"/>
                <w:szCs w:val="12"/>
                <w:b w:val="1"/>
                <w:bCs w:val="1"/>
                <w:color w:val="auto"/>
                <w:w w:val="99"/>
              </w:rPr>
              <w:t>Foreign Currency</w:t>
            </w:r>
          </w:p>
        </w:tc>
        <w:tc>
          <w:tcPr>
            <w:tcW w:w="1400" w:type="dxa"/>
            <w:vAlign w:val="bottom"/>
            <w:gridSpan w:val="2"/>
          </w:tcPr>
          <w:p>
            <w:pPr>
              <w:jc w:val="right"/>
              <w:spacing w:after="0"/>
              <w:rPr>
                <w:sz w:val="20"/>
                <w:szCs w:val="20"/>
                <w:color w:val="auto"/>
              </w:rPr>
            </w:pPr>
            <w:r>
              <w:rPr>
                <w:rFonts w:ascii="Arial" w:cs="Arial" w:eastAsia="Arial" w:hAnsi="Arial"/>
                <w:sz w:val="12"/>
                <w:szCs w:val="12"/>
                <w:b w:val="1"/>
                <w:bCs w:val="1"/>
                <w:color w:val="auto"/>
              </w:rPr>
              <w:t>Net Unrealized Gains</w:t>
            </w:r>
          </w:p>
        </w:tc>
        <w:tc>
          <w:tcPr>
            <w:tcW w:w="180" w:type="dxa"/>
            <w:vAlign w:val="bottom"/>
          </w:tcPr>
          <w:p>
            <w:pPr>
              <w:spacing w:after="0"/>
              <w:rPr>
                <w:sz w:val="12"/>
                <w:szCs w:val="12"/>
                <w:color w:val="auto"/>
              </w:rPr>
            </w:pPr>
          </w:p>
        </w:tc>
        <w:tc>
          <w:tcPr>
            <w:tcW w:w="1180" w:type="dxa"/>
            <w:vAlign w:val="bottom"/>
            <w:gridSpan w:val="2"/>
          </w:tcPr>
          <w:p>
            <w:pPr>
              <w:jc w:val="center"/>
              <w:ind w:right="94"/>
              <w:spacing w:after="0"/>
              <w:rPr>
                <w:sz w:val="20"/>
                <w:szCs w:val="20"/>
                <w:color w:val="auto"/>
              </w:rPr>
            </w:pPr>
            <w:r>
              <w:rPr>
                <w:rFonts w:ascii="Arial" w:cs="Arial" w:eastAsia="Arial" w:hAnsi="Arial"/>
                <w:sz w:val="12"/>
                <w:szCs w:val="12"/>
                <w:b w:val="1"/>
                <w:bCs w:val="1"/>
                <w:color w:val="auto"/>
                <w:w w:val="99"/>
              </w:rPr>
              <w:t>Defined Benefit</w:t>
            </w:r>
          </w:p>
        </w:tc>
        <w:tc>
          <w:tcPr>
            <w:tcW w:w="200" w:type="dxa"/>
            <w:vAlign w:val="bottom"/>
          </w:tcPr>
          <w:p>
            <w:pPr>
              <w:spacing w:after="0"/>
              <w:rPr>
                <w:sz w:val="12"/>
                <w:szCs w:val="12"/>
                <w:color w:val="auto"/>
              </w:rPr>
            </w:pPr>
          </w:p>
        </w:tc>
        <w:tc>
          <w:tcPr>
            <w:tcW w:w="980" w:type="dxa"/>
            <w:vAlign w:val="bottom"/>
            <w:vMerge w:val="restart"/>
          </w:tcPr>
          <w:p>
            <w:pPr>
              <w:jc w:val="center"/>
              <w:ind w:right="18"/>
              <w:spacing w:after="0"/>
              <w:rPr>
                <w:sz w:val="20"/>
                <w:szCs w:val="20"/>
                <w:color w:val="auto"/>
              </w:rPr>
            </w:pPr>
            <w:r>
              <w:rPr>
                <w:rFonts w:ascii="Arial" w:cs="Arial" w:eastAsia="Arial" w:hAnsi="Arial"/>
                <w:sz w:val="12"/>
                <w:szCs w:val="12"/>
                <w:b w:val="1"/>
                <w:bCs w:val="1"/>
                <w:color w:val="auto"/>
              </w:rPr>
              <w:t>Net Unrealized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400" w:type="dxa"/>
            <w:vAlign w:val="bottom"/>
            <w:gridSpan w:val="2"/>
          </w:tcPr>
          <w:p>
            <w:pPr>
              <w:jc w:val="center"/>
              <w:spacing w:after="0" w:line="122" w:lineRule="exact"/>
              <w:rPr>
                <w:sz w:val="20"/>
                <w:szCs w:val="20"/>
                <w:color w:val="auto"/>
              </w:rPr>
            </w:pPr>
            <w:r>
              <w:rPr>
                <w:rFonts w:ascii="Arial" w:cs="Arial" w:eastAsia="Arial" w:hAnsi="Arial"/>
                <w:sz w:val="12"/>
                <w:szCs w:val="12"/>
                <w:b w:val="1"/>
                <w:bCs w:val="1"/>
                <w:color w:val="auto"/>
              </w:rPr>
              <w:t>(Losses) on</w:t>
            </w:r>
          </w:p>
        </w:tc>
        <w:tc>
          <w:tcPr>
            <w:tcW w:w="180" w:type="dxa"/>
            <w:vAlign w:val="bottom"/>
          </w:tcPr>
          <w:p>
            <w:pPr>
              <w:spacing w:after="0"/>
              <w:rPr>
                <w:sz w:val="10"/>
                <w:szCs w:val="10"/>
                <w:color w:val="auto"/>
              </w:rPr>
            </w:pPr>
          </w:p>
        </w:tc>
        <w:tc>
          <w:tcPr>
            <w:tcW w:w="1180" w:type="dxa"/>
            <w:vAlign w:val="bottom"/>
            <w:gridSpan w:val="2"/>
          </w:tcPr>
          <w:p>
            <w:pPr>
              <w:jc w:val="center"/>
              <w:ind w:right="94"/>
              <w:spacing w:after="0" w:line="122" w:lineRule="exact"/>
              <w:rPr>
                <w:sz w:val="20"/>
                <w:szCs w:val="20"/>
                <w:color w:val="auto"/>
              </w:rPr>
            </w:pPr>
            <w:r>
              <w:rPr>
                <w:rFonts w:ascii="Arial" w:cs="Arial" w:eastAsia="Arial" w:hAnsi="Arial"/>
                <w:sz w:val="12"/>
                <w:szCs w:val="12"/>
                <w:b w:val="1"/>
                <w:bCs w:val="1"/>
                <w:color w:val="auto"/>
              </w:rPr>
              <w:t>Pension and</w:t>
            </w:r>
          </w:p>
        </w:tc>
        <w:tc>
          <w:tcPr>
            <w:tcW w:w="2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rPr>
              <w:t>Accumulated Other</w:t>
            </w:r>
          </w:p>
        </w:tc>
        <w:tc>
          <w:tcPr>
            <w:tcW w:w="0" w:type="dxa"/>
            <w:vAlign w:val="bottom"/>
          </w:tcPr>
          <w:p>
            <w:pPr>
              <w:spacing w:after="0"/>
              <w:rPr>
                <w:sz w:val="1"/>
                <w:szCs w:val="1"/>
                <w:color w:val="auto"/>
              </w:rPr>
            </w:pPr>
          </w:p>
        </w:tc>
      </w:tr>
      <w:tr>
        <w:trPr>
          <w:trHeight w:val="123"/>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20" w:type="dxa"/>
            <w:vAlign w:val="bottom"/>
          </w:tcPr>
          <w:p>
            <w:pPr>
              <w:spacing w:after="0"/>
              <w:rPr>
                <w:sz w:val="10"/>
                <w:szCs w:val="10"/>
                <w:color w:val="auto"/>
              </w:rPr>
            </w:pPr>
          </w:p>
        </w:tc>
        <w:tc>
          <w:tcPr>
            <w:tcW w:w="1160" w:type="dxa"/>
            <w:vAlign w:val="bottom"/>
            <w:gridSpan w:val="2"/>
          </w:tcPr>
          <w:p>
            <w:pPr>
              <w:jc w:val="center"/>
              <w:ind w:right="83"/>
              <w:spacing w:after="0" w:line="123" w:lineRule="exact"/>
              <w:rPr>
                <w:sz w:val="20"/>
                <w:szCs w:val="20"/>
                <w:color w:val="auto"/>
              </w:rPr>
            </w:pPr>
            <w:r>
              <w:rPr>
                <w:rFonts w:ascii="Arial" w:cs="Arial" w:eastAsia="Arial" w:hAnsi="Arial"/>
                <w:sz w:val="12"/>
                <w:szCs w:val="12"/>
                <w:b w:val="1"/>
                <w:bCs w:val="1"/>
                <w:color w:val="auto"/>
                <w:w w:val="98"/>
              </w:rPr>
              <w:t>Translation</w:t>
            </w:r>
          </w:p>
        </w:tc>
        <w:tc>
          <w:tcPr>
            <w:tcW w:w="1400" w:type="dxa"/>
            <w:vAlign w:val="bottom"/>
            <w:gridSpan w:val="2"/>
          </w:tcPr>
          <w:p>
            <w:pPr>
              <w:jc w:val="center"/>
              <w:spacing w:after="0" w:line="123" w:lineRule="exact"/>
              <w:rPr>
                <w:sz w:val="20"/>
                <w:szCs w:val="20"/>
                <w:color w:val="auto"/>
              </w:rPr>
            </w:pPr>
            <w:r>
              <w:rPr>
                <w:rFonts w:ascii="Arial" w:cs="Arial" w:eastAsia="Arial" w:hAnsi="Arial"/>
                <w:sz w:val="12"/>
                <w:szCs w:val="12"/>
                <w:b w:val="1"/>
                <w:bCs w:val="1"/>
                <w:color w:val="auto"/>
                <w:w w:val="99"/>
              </w:rPr>
              <w:t>Available-For-</w:t>
            </w:r>
          </w:p>
        </w:tc>
        <w:tc>
          <w:tcPr>
            <w:tcW w:w="180" w:type="dxa"/>
            <w:vAlign w:val="bottom"/>
          </w:tcPr>
          <w:p>
            <w:pPr>
              <w:spacing w:after="0"/>
              <w:rPr>
                <w:sz w:val="10"/>
                <w:szCs w:val="10"/>
                <w:color w:val="auto"/>
              </w:rPr>
            </w:pPr>
          </w:p>
        </w:tc>
        <w:tc>
          <w:tcPr>
            <w:tcW w:w="1180" w:type="dxa"/>
            <w:vAlign w:val="bottom"/>
            <w:gridSpan w:val="2"/>
          </w:tcPr>
          <w:p>
            <w:pPr>
              <w:jc w:val="center"/>
              <w:ind w:right="74"/>
              <w:spacing w:after="0" w:line="123" w:lineRule="exact"/>
              <w:rPr>
                <w:sz w:val="20"/>
                <w:szCs w:val="20"/>
                <w:color w:val="auto"/>
              </w:rPr>
            </w:pPr>
            <w:r>
              <w:rPr>
                <w:rFonts w:ascii="Arial" w:cs="Arial" w:eastAsia="Arial" w:hAnsi="Arial"/>
                <w:sz w:val="12"/>
                <w:szCs w:val="12"/>
                <w:b w:val="1"/>
                <w:bCs w:val="1"/>
                <w:color w:val="auto"/>
              </w:rPr>
              <w:t>Retiree Health</w:t>
            </w:r>
          </w:p>
        </w:tc>
        <w:tc>
          <w:tcPr>
            <w:tcW w:w="1180" w:type="dxa"/>
            <w:vAlign w:val="bottom"/>
            <w:gridSpan w:val="2"/>
          </w:tcPr>
          <w:p>
            <w:pPr>
              <w:jc w:val="center"/>
              <w:ind w:left="27"/>
              <w:spacing w:after="0" w:line="123" w:lineRule="exact"/>
              <w:rPr>
                <w:sz w:val="20"/>
                <w:szCs w:val="20"/>
                <w:color w:val="auto"/>
              </w:rPr>
            </w:pPr>
            <w:r>
              <w:rPr>
                <w:rFonts w:ascii="Arial" w:cs="Arial" w:eastAsia="Arial" w:hAnsi="Arial"/>
                <w:sz w:val="12"/>
                <w:szCs w:val="12"/>
                <w:b w:val="1"/>
                <w:bCs w:val="1"/>
                <w:color w:val="auto"/>
                <w:w w:val="99"/>
              </w:rPr>
              <w:t>Gains (Losses) on</w:t>
            </w:r>
          </w:p>
        </w:tc>
        <w:tc>
          <w:tcPr>
            <w:tcW w:w="14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5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83"/>
              <w:spacing w:after="0"/>
              <w:rPr>
                <w:sz w:val="20"/>
                <w:szCs w:val="20"/>
                <w:color w:val="auto"/>
              </w:rPr>
            </w:pPr>
            <w:r>
              <w:rPr>
                <w:rFonts w:ascii="Arial" w:cs="Arial" w:eastAsia="Arial" w:hAnsi="Arial"/>
                <w:sz w:val="12"/>
                <w:szCs w:val="12"/>
                <w:b w:val="1"/>
                <w:bCs w:val="1"/>
                <w:color w:val="auto"/>
              </w:rPr>
              <w:t>Gains (Losses)</w:t>
            </w: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Sale Securities</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94"/>
              <w:spacing w:after="0"/>
              <w:rPr>
                <w:sz w:val="20"/>
                <w:szCs w:val="20"/>
                <w:color w:val="auto"/>
              </w:rPr>
            </w:pPr>
            <w:r>
              <w:rPr>
                <w:rFonts w:ascii="Arial" w:cs="Arial" w:eastAsia="Arial" w:hAnsi="Arial"/>
                <w:sz w:val="12"/>
                <w:szCs w:val="12"/>
                <w:b w:val="1"/>
                <w:bCs w:val="1"/>
                <w:color w:val="auto"/>
                <w:w w:val="99"/>
              </w:rPr>
              <w:t>Benefit Plans</w:t>
            </w:r>
          </w:p>
        </w:tc>
        <w:tc>
          <w:tcPr>
            <w:tcW w:w="1180" w:type="dxa"/>
            <w:vAlign w:val="bottom"/>
            <w:tcBorders>
              <w:bottom w:val="single" w:sz="8" w:color="auto"/>
            </w:tcBorders>
            <w:gridSpan w:val="2"/>
          </w:tcPr>
          <w:p>
            <w:pPr>
              <w:jc w:val="center"/>
              <w:ind w:left="27"/>
              <w:spacing w:after="0"/>
              <w:rPr>
                <w:sz w:val="20"/>
                <w:szCs w:val="20"/>
                <w:color w:val="auto"/>
              </w:rPr>
            </w:pPr>
            <w:r>
              <w:rPr>
                <w:rFonts w:ascii="Arial" w:cs="Arial" w:eastAsia="Arial" w:hAnsi="Arial"/>
                <w:sz w:val="12"/>
                <w:szCs w:val="12"/>
                <w:b w:val="1"/>
                <w:bCs w:val="1"/>
                <w:color w:val="auto"/>
              </w:rPr>
              <w:t>Cash Flow Hedges</w:t>
            </w: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Comprehensive Loss</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1, 2023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(1,874.2)</w:t>
            </w:r>
          </w:p>
        </w:tc>
        <w:tc>
          <w:tcPr>
            <w:tcW w:w="580" w:type="dxa"/>
            <w:vAlign w:val="bottom"/>
            <w:shd w:val="clear" w:color="auto" w:fill="CCEEFF"/>
          </w:tcPr>
          <w:p>
            <w:pPr>
              <w:jc w:val="right"/>
              <w:ind w:right="306"/>
              <w:spacing w:after="0"/>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(2,062.3)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129.0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67"/>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(3,844.6)</w:t>
            </w:r>
          </w:p>
        </w:tc>
        <w:tc>
          <w:tcPr>
            <w:tcW w:w="0" w:type="dxa"/>
            <w:vAlign w:val="bottom"/>
          </w:tcPr>
          <w:p>
            <w:pPr>
              <w:spacing w:after="0"/>
              <w:rPr>
                <w:sz w:val="1"/>
                <w:szCs w:val="1"/>
                <w:color w:val="auto"/>
              </w:rPr>
            </w:pPr>
          </w:p>
        </w:tc>
      </w:tr>
      <w:tr>
        <w:trPr>
          <w:trHeight w:val="168"/>
        </w:trPr>
        <w:tc>
          <w:tcPr>
            <w:tcW w:w="4540" w:type="dxa"/>
            <w:vAlign w:val="bottom"/>
          </w:tcPr>
          <w:p>
            <w:pPr>
              <w:ind w:left="180"/>
              <w:spacing w:after="0" w:line="168" w:lineRule="exact"/>
              <w:rPr>
                <w:sz w:val="20"/>
                <w:szCs w:val="20"/>
                <w:color w:val="auto"/>
              </w:rPr>
            </w:pPr>
            <w:r>
              <w:rPr>
                <w:rFonts w:ascii="Arial" w:cs="Arial" w:eastAsia="Arial" w:hAnsi="Arial"/>
                <w:sz w:val="17"/>
                <w:szCs w:val="17"/>
                <w:color w:val="auto"/>
              </w:rPr>
              <w:t>Other comprehensive income (loss) before</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23"/>
              <w:spacing w:after="0"/>
              <w:rPr>
                <w:sz w:val="20"/>
                <w:szCs w:val="20"/>
                <w:color w:val="auto"/>
              </w:rPr>
            </w:pPr>
            <w:r>
              <w:rPr>
                <w:rFonts w:ascii="Arial" w:cs="Arial" w:eastAsia="Arial" w:hAnsi="Arial"/>
                <w:sz w:val="17"/>
                <w:szCs w:val="17"/>
                <w:b w:val="1"/>
                <w:bCs w:val="1"/>
                <w:color w:val="auto"/>
              </w:rPr>
              <w:t>14.1</w:t>
            </w:r>
          </w:p>
        </w:tc>
        <w:tc>
          <w:tcPr>
            <w:tcW w:w="580" w:type="dxa"/>
            <w:vAlign w:val="bottom"/>
          </w:tcPr>
          <w:p>
            <w:pPr>
              <w:spacing w:after="0"/>
              <w:rPr>
                <w:sz w:val="14"/>
                <w:szCs w:val="14"/>
                <w:color w:val="auto"/>
              </w:rPr>
            </w:pPr>
          </w:p>
        </w:tc>
        <w:tc>
          <w:tcPr>
            <w:tcW w:w="82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2.2</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(22.4)</w:t>
            </w: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56.2</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50.1</w:t>
            </w:r>
          </w:p>
        </w:tc>
        <w:tc>
          <w:tcPr>
            <w:tcW w:w="0" w:type="dxa"/>
            <w:vAlign w:val="bottom"/>
          </w:tcPr>
          <w:p>
            <w:pPr>
              <w:spacing w:after="0"/>
              <w:rPr>
                <w:sz w:val="1"/>
                <w:szCs w:val="1"/>
                <w:color w:val="auto"/>
              </w:rPr>
            </w:pPr>
          </w:p>
        </w:tc>
      </w:tr>
      <w:tr>
        <w:trPr>
          <w:trHeight w:val="219"/>
        </w:trPr>
        <w:tc>
          <w:tcPr>
            <w:tcW w:w="4540" w:type="dxa"/>
            <w:vAlign w:val="bottom"/>
          </w:tcPr>
          <w:p>
            <w:pPr>
              <w:ind w:left="180"/>
              <w:spacing w:after="0"/>
              <w:rPr>
                <w:sz w:val="20"/>
                <w:szCs w:val="20"/>
                <w:color w:val="auto"/>
              </w:rPr>
            </w:pPr>
            <w:r>
              <w:rPr>
                <w:rFonts w:ascii="Arial" w:cs="Arial" w:eastAsia="Arial" w:hAnsi="Arial"/>
                <w:sz w:val="17"/>
                <w:szCs w:val="17"/>
                <w:color w:val="auto"/>
              </w:rPr>
              <w:t>reclassifications</w:t>
            </w:r>
          </w:p>
        </w:tc>
        <w:tc>
          <w:tcPr>
            <w:tcW w:w="1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540" w:type="dxa"/>
            <w:vAlign w:val="bottom"/>
            <w:shd w:val="clear" w:color="auto" w:fill="CCEEFF"/>
          </w:tcPr>
          <w:p>
            <w:pPr>
              <w:ind w:left="180"/>
              <w:spacing w:after="0" w:line="180" w:lineRule="exact"/>
              <w:rPr>
                <w:sz w:val="20"/>
                <w:szCs w:val="20"/>
                <w:color w:val="auto"/>
              </w:rPr>
            </w:pPr>
            <w:r>
              <w:rPr>
                <w:rFonts w:ascii="Arial" w:cs="Arial" w:eastAsia="Arial" w:hAnsi="Arial"/>
                <w:sz w:val="17"/>
                <w:szCs w:val="17"/>
                <w:color w:val="auto"/>
              </w:rPr>
              <w:t>Net amount reclassified from accumulated other</w:t>
            </w:r>
          </w:p>
        </w:tc>
        <w:tc>
          <w:tcPr>
            <w:tcW w:w="12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(25.2)</w:t>
            </w:r>
          </w:p>
        </w:tc>
        <w:tc>
          <w:tcPr>
            <w:tcW w:w="5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1.4</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25.9</w:t>
            </w: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3.7</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5.8</w:t>
            </w:r>
          </w:p>
        </w:tc>
        <w:tc>
          <w:tcPr>
            <w:tcW w:w="0" w:type="dxa"/>
            <w:vAlign w:val="bottom"/>
          </w:tcPr>
          <w:p>
            <w:pPr>
              <w:spacing w:after="0"/>
              <w:rPr>
                <w:sz w:val="1"/>
                <w:szCs w:val="1"/>
                <w:color w:val="auto"/>
              </w:rPr>
            </w:pPr>
          </w:p>
        </w:tc>
      </w:tr>
      <w:tr>
        <w:trPr>
          <w:trHeight w:val="206"/>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comprehensive loss</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gridSpan w:val="2"/>
            <w:vMerge w:val="continue"/>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40" w:type="dxa"/>
            <w:vAlign w:val="bottom"/>
          </w:tcPr>
          <w:p>
            <w:pPr>
              <w:ind w:left="180"/>
              <w:spacing w:after="0"/>
              <w:rPr>
                <w:sz w:val="20"/>
                <w:szCs w:val="20"/>
                <w:color w:val="auto"/>
              </w:rPr>
            </w:pPr>
            <w:r>
              <w:rPr>
                <w:rFonts w:ascii="Arial" w:cs="Arial" w:eastAsia="Arial" w:hAnsi="Arial"/>
                <w:sz w:val="17"/>
                <w:szCs w:val="17"/>
                <w:color w:val="auto"/>
              </w:rPr>
              <w:t>Net other comprehensive income (loss)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(11.1)</w:t>
            </w:r>
          </w:p>
        </w:tc>
        <w:tc>
          <w:tcPr>
            <w:tcW w:w="5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3.6</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3.5</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59.9</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55.9</w:t>
            </w:r>
          </w:p>
        </w:tc>
        <w:tc>
          <w:tcPr>
            <w:tcW w:w="0" w:type="dxa"/>
            <w:vAlign w:val="bottom"/>
          </w:tcPr>
          <w:p>
            <w:pPr>
              <w:spacing w:after="0"/>
              <w:rPr>
                <w:sz w:val="1"/>
                <w:szCs w:val="1"/>
                <w:color w:val="auto"/>
              </w:rPr>
            </w:pPr>
          </w:p>
        </w:tc>
      </w:tr>
      <w:tr>
        <w:trPr>
          <w:trHeight w:val="231"/>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June 30,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(1,885.3)</w:t>
            </w:r>
          </w:p>
        </w:tc>
        <w:tc>
          <w:tcPr>
            <w:tcW w:w="58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(2,058.8)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188.9</w:t>
            </w:r>
          </w:p>
        </w:tc>
        <w:tc>
          <w:tcPr>
            <w:tcW w:w="1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(3,788.7)</w:t>
            </w:r>
          </w:p>
        </w:tc>
        <w:tc>
          <w:tcPr>
            <w:tcW w:w="0" w:type="dxa"/>
            <w:vAlign w:val="bottom"/>
          </w:tcPr>
          <w:p>
            <w:pPr>
              <w:spacing w:after="0"/>
              <w:rPr>
                <w:sz w:val="1"/>
                <w:szCs w:val="1"/>
                <w:color w:val="auto"/>
              </w:rPr>
            </w:pPr>
          </w:p>
        </w:tc>
      </w:tr>
      <w:tr>
        <w:trPr>
          <w:trHeight w:val="329"/>
        </w:trPr>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vMerge w:val="restart"/>
          </w:tcPr>
          <w:p>
            <w:pPr>
              <w:jc w:val="center"/>
              <w:ind w:right="83"/>
              <w:spacing w:after="0"/>
              <w:rPr>
                <w:sz w:val="20"/>
                <w:szCs w:val="20"/>
                <w:color w:val="auto"/>
              </w:rPr>
            </w:pPr>
            <w:r>
              <w:rPr>
                <w:rFonts w:ascii="Arial" w:cs="Arial" w:eastAsia="Arial" w:hAnsi="Arial"/>
                <w:sz w:val="12"/>
                <w:szCs w:val="12"/>
                <w:b w:val="1"/>
                <w:bCs w:val="1"/>
                <w:color w:val="auto"/>
                <w:w w:val="99"/>
              </w:rPr>
              <w:t>Foreign Currency</w:t>
            </w:r>
          </w:p>
        </w:tc>
        <w:tc>
          <w:tcPr>
            <w:tcW w:w="14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Net Unrealized Gains</w:t>
            </w:r>
          </w:p>
        </w:tc>
        <w:tc>
          <w:tcPr>
            <w:tcW w:w="180" w:type="dxa"/>
            <w:vAlign w:val="bottom"/>
          </w:tcPr>
          <w:p>
            <w:pPr>
              <w:spacing w:after="0"/>
              <w:rPr>
                <w:sz w:val="24"/>
                <w:szCs w:val="24"/>
                <w:color w:val="auto"/>
              </w:rPr>
            </w:pPr>
          </w:p>
        </w:tc>
        <w:tc>
          <w:tcPr>
            <w:tcW w:w="1180" w:type="dxa"/>
            <w:vAlign w:val="bottom"/>
            <w:gridSpan w:val="2"/>
          </w:tcPr>
          <w:p>
            <w:pPr>
              <w:jc w:val="center"/>
              <w:ind w:right="94"/>
              <w:spacing w:after="0"/>
              <w:rPr>
                <w:sz w:val="20"/>
                <w:szCs w:val="20"/>
                <w:color w:val="auto"/>
              </w:rPr>
            </w:pPr>
            <w:r>
              <w:rPr>
                <w:rFonts w:ascii="Arial" w:cs="Arial" w:eastAsia="Arial" w:hAnsi="Arial"/>
                <w:sz w:val="12"/>
                <w:szCs w:val="12"/>
                <w:b w:val="1"/>
                <w:bCs w:val="1"/>
                <w:color w:val="auto"/>
                <w:w w:val="99"/>
              </w:rPr>
              <w:t>Defined Benefit</w:t>
            </w:r>
          </w:p>
        </w:tc>
        <w:tc>
          <w:tcPr>
            <w:tcW w:w="200" w:type="dxa"/>
            <w:vAlign w:val="bottom"/>
          </w:tcPr>
          <w:p>
            <w:pPr>
              <w:spacing w:after="0"/>
              <w:rPr>
                <w:sz w:val="24"/>
                <w:szCs w:val="24"/>
                <w:color w:val="auto"/>
              </w:rPr>
            </w:pPr>
          </w:p>
        </w:tc>
        <w:tc>
          <w:tcPr>
            <w:tcW w:w="980" w:type="dxa"/>
            <w:vAlign w:val="bottom"/>
            <w:vMerge w:val="restart"/>
          </w:tcPr>
          <w:p>
            <w:pPr>
              <w:jc w:val="center"/>
              <w:ind w:right="18"/>
              <w:spacing w:after="0"/>
              <w:rPr>
                <w:sz w:val="20"/>
                <w:szCs w:val="20"/>
                <w:color w:val="auto"/>
              </w:rPr>
            </w:pPr>
            <w:r>
              <w:rPr>
                <w:rFonts w:ascii="Arial" w:cs="Arial" w:eastAsia="Arial" w:hAnsi="Arial"/>
                <w:sz w:val="12"/>
                <w:szCs w:val="12"/>
                <w:b w:val="1"/>
                <w:bCs w:val="1"/>
                <w:color w:val="auto"/>
              </w:rPr>
              <w:t>Net Unrealized</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400" w:type="dxa"/>
            <w:vAlign w:val="bottom"/>
            <w:gridSpan w:val="2"/>
          </w:tcPr>
          <w:p>
            <w:pPr>
              <w:jc w:val="center"/>
              <w:spacing w:after="0" w:line="123" w:lineRule="exact"/>
              <w:rPr>
                <w:sz w:val="20"/>
                <w:szCs w:val="20"/>
                <w:color w:val="auto"/>
              </w:rPr>
            </w:pPr>
            <w:r>
              <w:rPr>
                <w:rFonts w:ascii="Arial" w:cs="Arial" w:eastAsia="Arial" w:hAnsi="Arial"/>
                <w:sz w:val="12"/>
                <w:szCs w:val="12"/>
                <w:b w:val="1"/>
                <w:bCs w:val="1"/>
                <w:color w:val="auto"/>
              </w:rPr>
              <w:t>(Losses) on</w:t>
            </w:r>
          </w:p>
        </w:tc>
        <w:tc>
          <w:tcPr>
            <w:tcW w:w="180" w:type="dxa"/>
            <w:vAlign w:val="bottom"/>
          </w:tcPr>
          <w:p>
            <w:pPr>
              <w:spacing w:after="0"/>
              <w:rPr>
                <w:sz w:val="10"/>
                <w:szCs w:val="10"/>
                <w:color w:val="auto"/>
              </w:rPr>
            </w:pPr>
          </w:p>
        </w:tc>
        <w:tc>
          <w:tcPr>
            <w:tcW w:w="1180" w:type="dxa"/>
            <w:vAlign w:val="bottom"/>
            <w:gridSpan w:val="2"/>
          </w:tcPr>
          <w:p>
            <w:pPr>
              <w:jc w:val="center"/>
              <w:ind w:right="94"/>
              <w:spacing w:after="0" w:line="123" w:lineRule="exact"/>
              <w:rPr>
                <w:sz w:val="20"/>
                <w:szCs w:val="20"/>
                <w:color w:val="auto"/>
              </w:rPr>
            </w:pPr>
            <w:r>
              <w:rPr>
                <w:rFonts w:ascii="Arial" w:cs="Arial" w:eastAsia="Arial" w:hAnsi="Arial"/>
                <w:sz w:val="12"/>
                <w:szCs w:val="12"/>
                <w:b w:val="1"/>
                <w:bCs w:val="1"/>
                <w:color w:val="auto"/>
              </w:rPr>
              <w:t>Pension and</w:t>
            </w:r>
          </w:p>
        </w:tc>
        <w:tc>
          <w:tcPr>
            <w:tcW w:w="2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rPr>
              <w:t>Accumulated Other</w:t>
            </w:r>
          </w:p>
        </w:tc>
        <w:tc>
          <w:tcPr>
            <w:tcW w:w="0" w:type="dxa"/>
            <w:vAlign w:val="bottom"/>
          </w:tcPr>
          <w:p>
            <w:pPr>
              <w:spacing w:after="0"/>
              <w:rPr>
                <w:sz w:val="1"/>
                <w:szCs w:val="1"/>
                <w:color w:val="auto"/>
              </w:rPr>
            </w:pPr>
          </w:p>
        </w:tc>
      </w:tr>
      <w:tr>
        <w:trPr>
          <w:trHeight w:val="116"/>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20" w:type="dxa"/>
            <w:vAlign w:val="bottom"/>
          </w:tcPr>
          <w:p>
            <w:pPr>
              <w:spacing w:after="0"/>
              <w:rPr>
                <w:sz w:val="10"/>
                <w:szCs w:val="10"/>
                <w:color w:val="auto"/>
              </w:rPr>
            </w:pPr>
          </w:p>
        </w:tc>
        <w:tc>
          <w:tcPr>
            <w:tcW w:w="1160" w:type="dxa"/>
            <w:vAlign w:val="bottom"/>
            <w:gridSpan w:val="2"/>
          </w:tcPr>
          <w:p>
            <w:pPr>
              <w:jc w:val="center"/>
              <w:ind w:right="83"/>
              <w:spacing w:after="0" w:line="117" w:lineRule="exact"/>
              <w:rPr>
                <w:sz w:val="20"/>
                <w:szCs w:val="20"/>
                <w:color w:val="auto"/>
              </w:rPr>
            </w:pPr>
            <w:r>
              <w:rPr>
                <w:rFonts w:ascii="Arial" w:cs="Arial" w:eastAsia="Arial" w:hAnsi="Arial"/>
                <w:sz w:val="12"/>
                <w:szCs w:val="12"/>
                <w:b w:val="1"/>
                <w:bCs w:val="1"/>
                <w:color w:val="auto"/>
                <w:w w:val="98"/>
              </w:rPr>
              <w:t>Translation</w:t>
            </w:r>
          </w:p>
        </w:tc>
        <w:tc>
          <w:tcPr>
            <w:tcW w:w="1400" w:type="dxa"/>
            <w:vAlign w:val="bottom"/>
            <w:gridSpan w:val="2"/>
          </w:tcPr>
          <w:p>
            <w:pPr>
              <w:jc w:val="center"/>
              <w:spacing w:after="0" w:line="117" w:lineRule="exact"/>
              <w:rPr>
                <w:sz w:val="20"/>
                <w:szCs w:val="20"/>
                <w:color w:val="auto"/>
              </w:rPr>
            </w:pPr>
            <w:r>
              <w:rPr>
                <w:rFonts w:ascii="Arial" w:cs="Arial" w:eastAsia="Arial" w:hAnsi="Arial"/>
                <w:sz w:val="12"/>
                <w:szCs w:val="12"/>
                <w:b w:val="1"/>
                <w:bCs w:val="1"/>
                <w:color w:val="auto"/>
                <w:w w:val="99"/>
              </w:rPr>
              <w:t>Available-For-</w:t>
            </w:r>
          </w:p>
        </w:tc>
        <w:tc>
          <w:tcPr>
            <w:tcW w:w="180" w:type="dxa"/>
            <w:vAlign w:val="bottom"/>
          </w:tcPr>
          <w:p>
            <w:pPr>
              <w:spacing w:after="0"/>
              <w:rPr>
                <w:sz w:val="10"/>
                <w:szCs w:val="10"/>
                <w:color w:val="auto"/>
              </w:rPr>
            </w:pPr>
          </w:p>
        </w:tc>
        <w:tc>
          <w:tcPr>
            <w:tcW w:w="1180" w:type="dxa"/>
            <w:vAlign w:val="bottom"/>
            <w:gridSpan w:val="2"/>
          </w:tcPr>
          <w:p>
            <w:pPr>
              <w:jc w:val="center"/>
              <w:ind w:right="74"/>
              <w:spacing w:after="0" w:line="117" w:lineRule="exact"/>
              <w:rPr>
                <w:sz w:val="20"/>
                <w:szCs w:val="20"/>
                <w:color w:val="auto"/>
              </w:rPr>
            </w:pPr>
            <w:r>
              <w:rPr>
                <w:rFonts w:ascii="Arial" w:cs="Arial" w:eastAsia="Arial" w:hAnsi="Arial"/>
                <w:sz w:val="12"/>
                <w:szCs w:val="12"/>
                <w:b w:val="1"/>
                <w:bCs w:val="1"/>
                <w:color w:val="auto"/>
              </w:rPr>
              <w:t>Retiree Health</w:t>
            </w:r>
          </w:p>
        </w:tc>
        <w:tc>
          <w:tcPr>
            <w:tcW w:w="1180" w:type="dxa"/>
            <w:vAlign w:val="bottom"/>
            <w:gridSpan w:val="2"/>
          </w:tcPr>
          <w:p>
            <w:pPr>
              <w:jc w:val="center"/>
              <w:ind w:left="27"/>
              <w:spacing w:after="0" w:line="117" w:lineRule="exact"/>
              <w:rPr>
                <w:sz w:val="20"/>
                <w:szCs w:val="20"/>
                <w:color w:val="auto"/>
              </w:rPr>
            </w:pPr>
            <w:r>
              <w:rPr>
                <w:rFonts w:ascii="Arial" w:cs="Arial" w:eastAsia="Arial" w:hAnsi="Arial"/>
                <w:sz w:val="12"/>
                <w:szCs w:val="12"/>
                <w:b w:val="1"/>
                <w:bCs w:val="1"/>
                <w:color w:val="auto"/>
                <w:w w:val="99"/>
              </w:rPr>
              <w:t>Gains (Losses) on</w:t>
            </w:r>
          </w:p>
        </w:tc>
        <w:tc>
          <w:tcPr>
            <w:tcW w:w="14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5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63"/>
              <w:spacing w:after="0"/>
              <w:rPr>
                <w:sz w:val="20"/>
                <w:szCs w:val="20"/>
                <w:color w:val="auto"/>
              </w:rPr>
            </w:pPr>
            <w:r>
              <w:rPr>
                <w:rFonts w:ascii="Arial" w:cs="Arial" w:eastAsia="Arial" w:hAnsi="Arial"/>
                <w:sz w:val="12"/>
                <w:szCs w:val="12"/>
                <w:b w:val="1"/>
                <w:bCs w:val="1"/>
                <w:color w:val="auto"/>
                <w:w w:val="99"/>
              </w:rPr>
              <w:t>Gains (Losses)</w:t>
            </w: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Sale Securities</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94"/>
              <w:spacing w:after="0"/>
              <w:rPr>
                <w:sz w:val="20"/>
                <w:szCs w:val="20"/>
                <w:color w:val="auto"/>
              </w:rPr>
            </w:pPr>
            <w:r>
              <w:rPr>
                <w:rFonts w:ascii="Arial" w:cs="Arial" w:eastAsia="Arial" w:hAnsi="Arial"/>
                <w:sz w:val="12"/>
                <w:szCs w:val="12"/>
                <w:b w:val="1"/>
                <w:bCs w:val="1"/>
                <w:color w:val="auto"/>
                <w:w w:val="99"/>
              </w:rPr>
              <w:t>Benefit Plans</w:t>
            </w:r>
          </w:p>
        </w:tc>
        <w:tc>
          <w:tcPr>
            <w:tcW w:w="1180" w:type="dxa"/>
            <w:vAlign w:val="bottom"/>
            <w:tcBorders>
              <w:bottom w:val="single" w:sz="8" w:color="auto"/>
            </w:tcBorders>
            <w:gridSpan w:val="2"/>
          </w:tcPr>
          <w:p>
            <w:pPr>
              <w:jc w:val="center"/>
              <w:ind w:left="27"/>
              <w:spacing w:after="0"/>
              <w:rPr>
                <w:sz w:val="20"/>
                <w:szCs w:val="20"/>
                <w:color w:val="auto"/>
              </w:rPr>
            </w:pPr>
            <w:r>
              <w:rPr>
                <w:rFonts w:ascii="Arial" w:cs="Arial" w:eastAsia="Arial" w:hAnsi="Arial"/>
                <w:sz w:val="12"/>
                <w:szCs w:val="12"/>
                <w:b w:val="1"/>
                <w:bCs w:val="1"/>
                <w:color w:val="auto"/>
              </w:rPr>
              <w:t>Cash Flow Hedges</w:t>
            </w: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Comprehensive Loss</w:t>
            </w:r>
          </w:p>
        </w:tc>
        <w:tc>
          <w:tcPr>
            <w:tcW w:w="0" w:type="dxa"/>
            <w:vAlign w:val="bottom"/>
          </w:tcPr>
          <w:p>
            <w:pPr>
              <w:spacing w:after="0"/>
              <w:rPr>
                <w:sz w:val="1"/>
                <w:szCs w:val="1"/>
                <w:color w:val="auto"/>
              </w:rPr>
            </w:pPr>
          </w:p>
        </w:tc>
      </w:tr>
      <w:tr>
        <w:trPr>
          <w:trHeight w:val="213"/>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1, 2022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(1,550.2)</w:t>
            </w:r>
          </w:p>
        </w:tc>
        <w:tc>
          <w:tcPr>
            <w:tcW w:w="580" w:type="dxa"/>
            <w:vAlign w:val="bottom"/>
            <w:shd w:val="clear" w:color="auto" w:fill="CCEEFF"/>
          </w:tcPr>
          <w:p>
            <w:pPr>
              <w:jc w:val="right"/>
              <w:ind w:right="306"/>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(2,583.6)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(213.0)</w:t>
            </w:r>
          </w:p>
        </w:tc>
        <w:tc>
          <w:tcPr>
            <w:tcW w:w="280" w:type="dxa"/>
            <w:vAlign w:val="bottom"/>
            <w:shd w:val="clear" w:color="auto" w:fill="CCEEFF"/>
          </w:tcPr>
          <w:p>
            <w:pPr>
              <w:jc w:val="right"/>
              <w:ind w:right="6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(4,343.1)</w:t>
            </w:r>
          </w:p>
        </w:tc>
        <w:tc>
          <w:tcPr>
            <w:tcW w:w="0" w:type="dxa"/>
            <w:vAlign w:val="bottom"/>
          </w:tcPr>
          <w:p>
            <w:pPr>
              <w:spacing w:after="0"/>
              <w:rPr>
                <w:sz w:val="1"/>
                <w:szCs w:val="1"/>
                <w:color w:val="auto"/>
              </w:rPr>
            </w:pPr>
          </w:p>
        </w:tc>
      </w:tr>
      <w:tr>
        <w:trPr>
          <w:trHeight w:val="168"/>
        </w:trPr>
        <w:tc>
          <w:tcPr>
            <w:tcW w:w="4540" w:type="dxa"/>
            <w:vAlign w:val="bottom"/>
          </w:tcPr>
          <w:p>
            <w:pPr>
              <w:ind w:left="180"/>
              <w:spacing w:after="0" w:line="168" w:lineRule="exact"/>
              <w:rPr>
                <w:sz w:val="20"/>
                <w:szCs w:val="20"/>
                <w:color w:val="auto"/>
              </w:rPr>
            </w:pPr>
            <w:r>
              <w:rPr>
                <w:rFonts w:ascii="Arial" w:cs="Arial" w:eastAsia="Arial" w:hAnsi="Arial"/>
                <w:sz w:val="17"/>
                <w:szCs w:val="17"/>
                <w:color w:val="auto"/>
              </w:rPr>
              <w:t>Other comprehensive income (loss) before</w:t>
            </w:r>
          </w:p>
        </w:tc>
        <w:tc>
          <w:tcPr>
            <w:tcW w:w="120" w:type="dxa"/>
            <w:vAlign w:val="bottom"/>
          </w:tcPr>
          <w:p>
            <w:pPr>
              <w:spacing w:after="0"/>
              <w:rPr>
                <w:sz w:val="14"/>
                <w:szCs w:val="14"/>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7"/>
                <w:szCs w:val="17"/>
                <w:color w:val="auto"/>
              </w:rPr>
              <w:t>(294.6)</w:t>
            </w:r>
          </w:p>
        </w:tc>
        <w:tc>
          <w:tcPr>
            <w:tcW w:w="5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(30.6)</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vMerge w:val="restart"/>
          </w:tcPr>
          <w:p>
            <w:pPr>
              <w:jc w:val="right"/>
              <w:ind w:right="34"/>
              <w:spacing w:after="0"/>
              <w:rPr>
                <w:sz w:val="20"/>
                <w:szCs w:val="20"/>
                <w:color w:val="auto"/>
              </w:rPr>
            </w:pPr>
            <w:r>
              <w:rPr>
                <w:rFonts w:ascii="Arial" w:cs="Arial" w:eastAsia="Arial" w:hAnsi="Arial"/>
                <w:sz w:val="17"/>
                <w:szCs w:val="17"/>
                <w:color w:val="auto"/>
              </w:rPr>
              <w:t>25.1</w:t>
            </w: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234.2</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(65.9)</w:t>
            </w:r>
          </w:p>
        </w:tc>
        <w:tc>
          <w:tcPr>
            <w:tcW w:w="0" w:type="dxa"/>
            <w:vAlign w:val="bottom"/>
          </w:tcPr>
          <w:p>
            <w:pPr>
              <w:spacing w:after="0"/>
              <w:rPr>
                <w:sz w:val="1"/>
                <w:szCs w:val="1"/>
                <w:color w:val="auto"/>
              </w:rPr>
            </w:pPr>
          </w:p>
        </w:tc>
      </w:tr>
      <w:tr>
        <w:trPr>
          <w:trHeight w:val="225"/>
        </w:trPr>
        <w:tc>
          <w:tcPr>
            <w:tcW w:w="4540" w:type="dxa"/>
            <w:vAlign w:val="bottom"/>
          </w:tcPr>
          <w:p>
            <w:pPr>
              <w:ind w:left="180"/>
              <w:spacing w:after="0"/>
              <w:rPr>
                <w:sz w:val="20"/>
                <w:szCs w:val="20"/>
                <w:color w:val="auto"/>
              </w:rPr>
            </w:pPr>
            <w:r>
              <w:rPr>
                <w:rFonts w:ascii="Arial" w:cs="Arial" w:eastAsia="Arial" w:hAnsi="Arial"/>
                <w:sz w:val="17"/>
                <w:szCs w:val="17"/>
                <w:color w:val="auto"/>
              </w:rPr>
              <w:t>reclassifications</w:t>
            </w:r>
          </w:p>
        </w:tc>
        <w:tc>
          <w:tcPr>
            <w:tcW w:w="1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CEEFF"/>
          </w:tcPr>
          <w:p>
            <w:pPr>
              <w:ind w:left="180"/>
              <w:spacing w:after="0" w:line="176" w:lineRule="exact"/>
              <w:rPr>
                <w:sz w:val="20"/>
                <w:szCs w:val="20"/>
                <w:color w:val="auto"/>
              </w:rPr>
            </w:pPr>
            <w:r>
              <w:rPr>
                <w:rFonts w:ascii="Arial" w:cs="Arial" w:eastAsia="Arial" w:hAnsi="Arial"/>
                <w:sz w:val="17"/>
                <w:szCs w:val="17"/>
                <w:color w:val="auto"/>
              </w:rPr>
              <w:t>Net amount reclassified from accumulated other</w:t>
            </w:r>
          </w:p>
        </w:tc>
        <w:tc>
          <w:tcPr>
            <w:tcW w:w="12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23"/>
              <w:spacing w:after="0"/>
              <w:rPr>
                <w:sz w:val="20"/>
                <w:szCs w:val="20"/>
                <w:color w:val="auto"/>
              </w:rPr>
            </w:pPr>
            <w:r>
              <w:rPr>
                <w:rFonts w:ascii="Arial" w:cs="Arial" w:eastAsia="Arial" w:hAnsi="Arial"/>
                <w:sz w:val="17"/>
                <w:szCs w:val="17"/>
                <w:color w:val="auto"/>
              </w:rPr>
              <w:t>0.6</w:t>
            </w:r>
          </w:p>
        </w:tc>
        <w:tc>
          <w:tcPr>
            <w:tcW w:w="5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115.3</w:t>
            </w: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121.3</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comprehensive loss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vMerge w:val="continue"/>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Net other comprehensive income (loss)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(294.0)</w:t>
            </w:r>
          </w:p>
        </w:tc>
        <w:tc>
          <w:tcPr>
            <w:tcW w:w="5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140.4</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240.6</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w:t>
            </w:r>
          </w:p>
        </w:tc>
        <w:tc>
          <w:tcPr>
            <w:tcW w:w="0" w:type="dxa"/>
            <w:vAlign w:val="bottom"/>
          </w:tcPr>
          <w:p>
            <w:pPr>
              <w:spacing w:after="0"/>
              <w:rPr>
                <w:sz w:val="1"/>
                <w:szCs w:val="1"/>
                <w:color w:val="auto"/>
              </w:rPr>
            </w:pPr>
          </w:p>
        </w:tc>
      </w:tr>
      <w:tr>
        <w:trPr>
          <w:trHeight w:val="219"/>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June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(1,844.2)</w:t>
            </w:r>
          </w:p>
        </w:tc>
        <w:tc>
          <w:tcPr>
            <w:tcW w:w="58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(2,443.2)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(4,287.7)</w:t>
            </w:r>
          </w:p>
        </w:tc>
        <w:tc>
          <w:tcPr>
            <w:tcW w:w="0" w:type="dxa"/>
            <w:vAlign w:val="bottom"/>
          </w:tcPr>
          <w:p>
            <w:pPr>
              <w:spacing w:after="0"/>
              <w:rPr>
                <w:sz w:val="1"/>
                <w:szCs w:val="1"/>
                <w:color w:val="auto"/>
              </w:rPr>
            </w:pPr>
          </w:p>
        </w:tc>
      </w:tr>
      <w:tr>
        <w:trPr>
          <w:trHeight w:val="398"/>
        </w:trPr>
        <w:tc>
          <w:tcPr>
            <w:tcW w:w="8780" w:type="dxa"/>
            <w:vAlign w:val="bottom"/>
            <w:gridSpan w:val="10"/>
          </w:tcPr>
          <w:p>
            <w:pPr>
              <w:spacing w:after="0"/>
              <w:rPr>
                <w:sz w:val="20"/>
                <w:szCs w:val="20"/>
                <w:color w:val="auto"/>
              </w:rPr>
            </w:pPr>
            <w:r>
              <w:rPr>
                <w:rFonts w:ascii="Arial" w:cs="Arial" w:eastAsia="Arial" w:hAnsi="Arial"/>
                <w:sz w:val="17"/>
                <w:szCs w:val="17"/>
                <w:color w:val="auto"/>
              </w:rPr>
              <w:t>The tax effects on the net activity related to each component of other comprehensive income (loss) were as follows: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86"/>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Tax benefit (expense)</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658"/>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3"/>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translation gains/losses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83"/>
              <w:spacing w:after="0"/>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7"/>
                <w:szCs w:val="17"/>
                <w:b w:val="1"/>
                <w:bCs w:val="1"/>
                <w:color w:val="auto"/>
              </w:rPr>
              <w:t>(6.4)</w:t>
            </w:r>
          </w:p>
        </w:tc>
        <w:tc>
          <w:tcPr>
            <w:tcW w:w="820" w:type="dxa"/>
            <w:vAlign w:val="bottom"/>
            <w:shd w:val="clear" w:color="auto" w:fill="CCEEFF"/>
          </w:tcPr>
          <w:p>
            <w:pPr>
              <w:jc w:val="center"/>
              <w:ind w:right="435"/>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w:t>
            </w:r>
          </w:p>
        </w:tc>
        <w:tc>
          <w:tcPr>
            <w:tcW w:w="600" w:type="dxa"/>
            <w:vAlign w:val="bottom"/>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8"/>
              <w:spacing w:after="0"/>
              <w:rPr>
                <w:sz w:val="20"/>
                <w:szCs w:val="20"/>
                <w:color w:val="auto"/>
              </w:rPr>
            </w:pPr>
            <w:r>
              <w:rPr>
                <w:rFonts w:ascii="Arial" w:cs="Arial" w:eastAsia="Arial" w:hAnsi="Arial"/>
                <w:sz w:val="17"/>
                <w:szCs w:val="17"/>
                <w:b w:val="1"/>
                <w:bCs w:val="1"/>
                <w:color w:val="auto"/>
              </w:rPr>
              <w:t>40.1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w:t>
            </w:r>
          </w:p>
        </w:tc>
        <w:tc>
          <w:tcPr>
            <w:tcW w:w="0" w:type="dxa"/>
            <w:vAlign w:val="bottom"/>
          </w:tcPr>
          <w:p>
            <w:pPr>
              <w:spacing w:after="0"/>
              <w:rPr>
                <w:sz w:val="1"/>
                <w:szCs w:val="1"/>
                <w:color w:val="auto"/>
              </w:rPr>
            </w:pPr>
          </w:p>
        </w:tc>
      </w:tr>
      <w:tr>
        <w:trPr>
          <w:trHeight w:val="232"/>
        </w:trPr>
        <w:tc>
          <w:tcPr>
            <w:tcW w:w="4540" w:type="dxa"/>
            <w:vAlign w:val="bottom"/>
          </w:tcPr>
          <w:p>
            <w:pPr>
              <w:ind w:left="20"/>
              <w:spacing w:after="0"/>
              <w:rPr>
                <w:sz w:val="20"/>
                <w:szCs w:val="20"/>
                <w:color w:val="auto"/>
              </w:rPr>
            </w:pPr>
            <w:r>
              <w:rPr>
                <w:rFonts w:ascii="Arial" w:cs="Arial" w:eastAsia="Arial" w:hAnsi="Arial"/>
                <w:sz w:val="17"/>
                <w:szCs w:val="17"/>
                <w:color w:val="auto"/>
              </w:rPr>
              <w:t>Net unrealized gains/losses on available-for-sale securities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ind w:right="66"/>
              <w:spacing w:after="0"/>
              <w:rPr>
                <w:sz w:val="20"/>
                <w:szCs w:val="20"/>
                <w:color w:val="auto"/>
              </w:rPr>
            </w:pPr>
            <w:r>
              <w:rPr>
                <w:rFonts w:ascii="Arial" w:cs="Arial" w:eastAsia="Arial" w:hAnsi="Arial"/>
                <w:sz w:val="17"/>
                <w:szCs w:val="17"/>
                <w:b w:val="1"/>
                <w:bCs w:val="1"/>
                <w:color w:val="auto"/>
              </w:rPr>
              <w:t>1.6</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ind w:right="6"/>
              <w:spacing w:after="0"/>
              <w:rPr>
                <w:sz w:val="20"/>
                <w:szCs w:val="20"/>
                <w:color w:val="auto"/>
              </w:rPr>
            </w:pPr>
            <w:r>
              <w:rPr>
                <w:rFonts w:ascii="Arial" w:cs="Arial" w:eastAsia="Arial" w:hAnsi="Arial"/>
                <w:sz w:val="17"/>
                <w:szCs w:val="17"/>
                <w:color w:val="auto"/>
              </w:rPr>
              <w:t>3.0</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98"/>
              <w:spacing w:after="0"/>
              <w:rPr>
                <w:sz w:val="20"/>
                <w:szCs w:val="20"/>
                <w:color w:val="auto"/>
              </w:rPr>
            </w:pPr>
            <w:r>
              <w:rPr>
                <w:rFonts w:ascii="Arial" w:cs="Arial" w:eastAsia="Arial" w:hAnsi="Arial"/>
                <w:sz w:val="17"/>
                <w:szCs w:val="17"/>
                <w:b w:val="1"/>
                <w:bCs w:val="1"/>
                <w:color w:val="auto"/>
              </w:rPr>
              <w:t>(1.0)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Defined benefit pension and retiree health benefit plans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7"/>
                <w:szCs w:val="17"/>
                <w:b w:val="1"/>
                <w:bCs w:val="1"/>
                <w:color w:val="auto"/>
              </w:rPr>
              <w:t>(3.0)</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8"/>
              <w:spacing w:after="0"/>
              <w:rPr>
                <w:sz w:val="20"/>
                <w:szCs w:val="20"/>
                <w:color w:val="auto"/>
              </w:rPr>
            </w:pPr>
            <w:r>
              <w:rPr>
                <w:rFonts w:ascii="Arial" w:cs="Arial" w:eastAsia="Arial" w:hAnsi="Arial"/>
                <w:sz w:val="17"/>
                <w:szCs w:val="17"/>
                <w:b w:val="1"/>
                <w:bCs w:val="1"/>
                <w:color w:val="auto"/>
              </w:rPr>
              <w:t>(7.0)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0" w:type="dxa"/>
            <w:vAlign w:val="bottom"/>
          </w:tcPr>
          <w:p>
            <w:pPr>
              <w:spacing w:after="0"/>
              <w:rPr>
                <w:sz w:val="1"/>
                <w:szCs w:val="1"/>
                <w:color w:val="auto"/>
              </w:rPr>
            </w:pPr>
          </w:p>
        </w:tc>
      </w:tr>
      <w:tr>
        <w:trPr>
          <w:trHeight w:val="219"/>
        </w:trPr>
        <w:tc>
          <w:tcPr>
            <w:tcW w:w="4540" w:type="dxa"/>
            <w:vAlign w:val="bottom"/>
          </w:tcPr>
          <w:p>
            <w:pPr>
              <w:ind w:left="20"/>
              <w:spacing w:after="0"/>
              <w:rPr>
                <w:sz w:val="20"/>
                <w:szCs w:val="20"/>
                <w:color w:val="auto"/>
              </w:rPr>
            </w:pPr>
            <w:r>
              <w:rPr>
                <w:rFonts w:ascii="Arial" w:cs="Arial" w:eastAsia="Arial" w:hAnsi="Arial"/>
                <w:sz w:val="17"/>
                <w:szCs w:val="17"/>
                <w:color w:val="auto"/>
              </w:rPr>
              <w:t>Net unrealized gains/losses on cash flow hedges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7"/>
                <w:szCs w:val="17"/>
                <w:b w:val="1"/>
                <w:bCs w:val="1"/>
                <w:color w:val="auto"/>
              </w:rPr>
              <w:t>(12.0)</w:t>
            </w: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w:t>
            </w: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b w:val="1"/>
                <w:bCs w:val="1"/>
                <w:color w:val="auto"/>
              </w:rPr>
              <w:t>(15.9)</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w:t>
            </w:r>
          </w:p>
        </w:tc>
        <w:tc>
          <w:tcPr>
            <w:tcW w:w="0" w:type="dxa"/>
            <w:vAlign w:val="bottom"/>
          </w:tcPr>
          <w:p>
            <w:pPr>
              <w:spacing w:after="0"/>
              <w:rPr>
                <w:sz w:val="1"/>
                <w:szCs w:val="1"/>
                <w:color w:val="auto"/>
              </w:rPr>
            </w:pPr>
          </w:p>
        </w:tc>
      </w:tr>
      <w:tr>
        <w:trPr>
          <w:trHeight w:val="161"/>
        </w:trPr>
        <w:tc>
          <w:tcPr>
            <w:tcW w:w="454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rPr>
              <w:t>Benefit (expense) for income taxes allocated to other</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spacing w:after="0"/>
              <w:rPr>
                <w:sz w:val="13"/>
                <w:szCs w:val="13"/>
                <w:color w:val="auto"/>
              </w:rPr>
            </w:pPr>
          </w:p>
        </w:tc>
        <w:tc>
          <w:tcPr>
            <w:tcW w:w="960" w:type="dxa"/>
            <w:vAlign w:val="bottom"/>
            <w:vMerge w:val="restart"/>
            <w:shd w:val="clear" w:color="auto" w:fill="CCEEFF"/>
          </w:tcPr>
          <w:p>
            <w:pPr>
              <w:jc w:val="right"/>
              <w:ind w:right="783"/>
              <w:spacing w:after="0"/>
              <w:rPr>
                <w:sz w:val="20"/>
                <w:szCs w:val="20"/>
                <w:color w:val="auto"/>
              </w:rPr>
            </w:pPr>
            <w:r>
              <w:rPr>
                <w:rFonts w:ascii="Arial" w:cs="Arial" w:eastAsia="Arial" w:hAnsi="Arial"/>
                <w:sz w:val="17"/>
                <w:szCs w:val="17"/>
                <w:b w:val="1"/>
                <w:bCs w:val="1"/>
                <w:color w:val="auto"/>
                <w:w w:val="84"/>
              </w:rPr>
              <w:t>$</w:t>
            </w: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7"/>
                <w:szCs w:val="17"/>
                <w:b w:val="1"/>
                <w:bCs w:val="1"/>
                <w:color w:val="auto"/>
              </w:rPr>
              <w:t>(19.8)</w:t>
            </w:r>
          </w:p>
        </w:tc>
        <w:tc>
          <w:tcPr>
            <w:tcW w:w="820" w:type="dxa"/>
            <w:vAlign w:val="bottom"/>
            <w:vMerge w:val="restart"/>
            <w:shd w:val="clear" w:color="auto" w:fill="CCEEFF"/>
          </w:tcPr>
          <w:p>
            <w:pPr>
              <w:jc w:val="center"/>
              <w:ind w:right="435"/>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(140.6)</w:t>
            </w:r>
          </w:p>
        </w:tc>
        <w:tc>
          <w:tcPr>
            <w:tcW w:w="600" w:type="dxa"/>
            <w:vAlign w:val="bottom"/>
            <w:vMerge w:val="restart"/>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38"/>
              <w:spacing w:after="0"/>
              <w:rPr>
                <w:sz w:val="20"/>
                <w:szCs w:val="20"/>
                <w:color w:val="auto"/>
              </w:rPr>
            </w:pPr>
            <w:r>
              <w:rPr>
                <w:rFonts w:ascii="Arial" w:cs="Arial" w:eastAsia="Arial" w:hAnsi="Arial"/>
                <w:sz w:val="17"/>
                <w:szCs w:val="17"/>
                <w:b w:val="1"/>
                <w:bCs w:val="1"/>
                <w:color w:val="auto"/>
              </w:rPr>
              <w:t>16.2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(205.9)</w:t>
            </w:r>
          </w:p>
        </w:tc>
        <w:tc>
          <w:tcPr>
            <w:tcW w:w="0" w:type="dxa"/>
            <w:vAlign w:val="bottom"/>
          </w:tcPr>
          <w:p>
            <w:pPr>
              <w:spacing w:after="0"/>
              <w:rPr>
                <w:sz w:val="1"/>
                <w:szCs w:val="1"/>
                <w:color w:val="auto"/>
              </w:rPr>
            </w:pPr>
          </w:p>
        </w:tc>
      </w:tr>
      <w:tr>
        <w:trPr>
          <w:trHeight w:val="212"/>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 (loss) items</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Except for the tax effects of foreign currency translation gains and losses related to our foreign currency-denominated notes, cross-currency interest rate swaps, and other foreign currency exchange contracts designated as net investment hedges (see Note 5),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Reclassifications out of accumulated other comprehensive loss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ind w:left="320"/>
              <w:spacing w:after="0"/>
              <w:rPr>
                <w:sz w:val="20"/>
                <w:szCs w:val="20"/>
                <w:color w:val="auto"/>
              </w:rPr>
            </w:pPr>
            <w:r>
              <w:rPr>
                <w:rFonts w:ascii="Arial" w:cs="Arial" w:eastAsia="Arial" w:hAnsi="Arial"/>
                <w:sz w:val="14"/>
                <w:szCs w:val="14"/>
                <w:b w:val="1"/>
                <w:bCs w:val="1"/>
                <w:color w:val="auto"/>
              </w:rPr>
              <w:t>Details about Accumulated Other</w:t>
            </w: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Six Months Ended June 30,</w:t>
            </w:r>
          </w:p>
        </w:tc>
        <w:tc>
          <w:tcPr>
            <w:tcW w:w="2820" w:type="dxa"/>
            <w:vAlign w:val="bottom"/>
          </w:tcPr>
          <w:p>
            <w:pPr>
              <w:ind w:left="160"/>
              <w:spacing w:after="0"/>
              <w:rPr>
                <w:sz w:val="20"/>
                <w:szCs w:val="20"/>
                <w:color w:val="auto"/>
              </w:rPr>
            </w:pPr>
            <w:r>
              <w:rPr>
                <w:rFonts w:ascii="Arial" w:cs="Arial" w:eastAsia="Arial" w:hAnsi="Arial"/>
                <w:sz w:val="14"/>
                <w:szCs w:val="14"/>
                <w:b w:val="1"/>
                <w:bCs w:val="1"/>
                <w:color w:val="auto"/>
              </w:rPr>
              <w:t>Affected Line Item in the Consolidated</w:t>
            </w:r>
          </w:p>
        </w:tc>
      </w:tr>
      <w:tr>
        <w:trPr>
          <w:trHeight w:val="186"/>
        </w:trPr>
        <w:tc>
          <w:tcPr>
            <w:tcW w:w="28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Comprehensive Loss Components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2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Condensed Statements of Operations</w:t>
            </w:r>
          </w:p>
        </w:tc>
      </w:tr>
      <w:tr>
        <w:trPr>
          <w:trHeight w:val="162"/>
        </w:trPr>
        <w:tc>
          <w:tcPr>
            <w:tcW w:w="282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Amortization of retirement benefit</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items: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r>
      <w:tr>
        <w:trPr>
          <w:trHeight w:val="219"/>
        </w:trPr>
        <w:tc>
          <w:tcPr>
            <w:tcW w:w="2820" w:type="dxa"/>
            <w:vAlign w:val="bottom"/>
          </w:tcPr>
          <w:p>
            <w:pPr>
              <w:ind w:left="180"/>
              <w:spacing w:after="0"/>
              <w:rPr>
                <w:sz w:val="20"/>
                <w:szCs w:val="20"/>
                <w:color w:val="auto"/>
              </w:rPr>
            </w:pPr>
            <w:r>
              <w:rPr>
                <w:rFonts w:ascii="Arial" w:cs="Arial" w:eastAsia="Arial" w:hAnsi="Arial"/>
                <w:sz w:val="17"/>
                <w:szCs w:val="17"/>
                <w:color w:val="auto"/>
              </w:rPr>
              <w:t>Prior service benefits, net</w:t>
            </w:r>
          </w:p>
        </w:tc>
        <w:tc>
          <w:tcPr>
            <w:tcW w:w="26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auto"/>
              </w:rPr>
              <w:t>(12.6)</w:t>
            </w:r>
          </w:p>
        </w:tc>
        <w:tc>
          <w:tcPr>
            <w:tcW w:w="38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(13.1)</w:t>
            </w:r>
          </w:p>
        </w:tc>
        <w:tc>
          <w:tcPr>
            <w:tcW w:w="36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b w:val="1"/>
                <w:bCs w:val="1"/>
                <w:color w:val="auto"/>
              </w:rPr>
              <w:t>(25.2)</w:t>
            </w:r>
          </w:p>
        </w:tc>
        <w:tc>
          <w:tcPr>
            <w:tcW w:w="38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(26.1)</w:t>
            </w:r>
          </w:p>
        </w:tc>
        <w:tc>
          <w:tcPr>
            <w:tcW w:w="2820" w:type="dxa"/>
            <w:vAlign w:val="bottom"/>
          </w:tcPr>
          <w:p>
            <w:pPr>
              <w:ind w:left="100"/>
              <w:spacing w:after="0"/>
              <w:rPr>
                <w:sz w:val="20"/>
                <w:szCs w:val="20"/>
                <w:color w:val="auto"/>
              </w:rPr>
            </w:pPr>
            <w:r>
              <w:rPr>
                <w:rFonts w:ascii="Arial" w:cs="Arial" w:eastAsia="Arial" w:hAnsi="Arial"/>
                <w:sz w:val="17"/>
                <w:szCs w:val="17"/>
                <w:color w:val="auto"/>
              </w:rPr>
              <w:t>Other–net, (income) expense</w:t>
            </w:r>
          </w:p>
        </w:tc>
      </w:tr>
      <w:tr>
        <w:trPr>
          <w:trHeight w:val="232"/>
        </w:trPr>
        <w:tc>
          <w:tcPr>
            <w:tcW w:w="2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Actuarial losses, net</w:t>
            </w: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28.9</w:t>
            </w:r>
          </w:p>
        </w:tc>
        <w:tc>
          <w:tcPr>
            <w:tcW w:w="3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84.8</w:t>
            </w:r>
          </w:p>
        </w:tc>
        <w:tc>
          <w:tcPr>
            <w:tcW w:w="3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58.0</w:t>
            </w: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172.0</w:t>
            </w:r>
          </w:p>
        </w:tc>
        <w:tc>
          <w:tcPr>
            <w:tcW w:w="2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Other–net, (income) expense</w:t>
            </w:r>
          </w:p>
        </w:tc>
      </w:tr>
      <w:tr>
        <w:trPr>
          <w:trHeight w:val="212"/>
        </w:trPr>
        <w:tc>
          <w:tcPr>
            <w:tcW w:w="2820" w:type="dxa"/>
            <w:vAlign w:val="bottom"/>
          </w:tcPr>
          <w:p>
            <w:pPr>
              <w:ind w:left="180"/>
              <w:spacing w:after="0"/>
              <w:rPr>
                <w:sz w:val="20"/>
                <w:szCs w:val="20"/>
                <w:color w:val="auto"/>
              </w:rPr>
            </w:pPr>
            <w:r>
              <w:rPr>
                <w:rFonts w:ascii="Arial" w:cs="Arial" w:eastAsia="Arial" w:hAnsi="Arial"/>
                <w:sz w:val="17"/>
                <w:szCs w:val="17"/>
                <w:color w:val="auto"/>
              </w:rPr>
              <w:t>Total before tax</w:t>
            </w:r>
          </w:p>
        </w:tc>
        <w:tc>
          <w:tcPr>
            <w:tcW w:w="260" w:type="dxa"/>
            <w:vAlign w:val="bottom"/>
          </w:tcPr>
          <w:p>
            <w:pPr>
              <w:spacing w:after="0"/>
              <w:rPr>
                <w:sz w:val="18"/>
                <w:szCs w:val="18"/>
                <w:color w:val="auto"/>
              </w:rPr>
            </w:pPr>
          </w:p>
        </w:tc>
        <w:tc>
          <w:tcPr>
            <w:tcW w:w="1100" w:type="dxa"/>
            <w:vAlign w:val="bottom"/>
          </w:tcPr>
          <w:p>
            <w:pPr>
              <w:jc w:val="right"/>
              <w:ind w:right="58"/>
              <w:spacing w:after="0"/>
              <w:rPr>
                <w:sz w:val="20"/>
                <w:szCs w:val="20"/>
                <w:color w:val="auto"/>
              </w:rPr>
            </w:pPr>
            <w:r>
              <w:rPr>
                <w:rFonts w:ascii="Arial" w:cs="Arial" w:eastAsia="Arial" w:hAnsi="Arial"/>
                <w:sz w:val="17"/>
                <w:szCs w:val="17"/>
                <w:b w:val="1"/>
                <w:bCs w:val="1"/>
                <w:color w:val="auto"/>
              </w:rPr>
              <w:t>16.3</w:t>
            </w:r>
          </w:p>
        </w:tc>
        <w:tc>
          <w:tcPr>
            <w:tcW w:w="38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71.7</w:t>
            </w:r>
          </w:p>
        </w:tc>
        <w:tc>
          <w:tcPr>
            <w:tcW w:w="360" w:type="dxa"/>
            <w:vAlign w:val="bottom"/>
          </w:tcPr>
          <w:p>
            <w:pPr>
              <w:spacing w:after="0"/>
              <w:rPr>
                <w:sz w:val="18"/>
                <w:szCs w:val="18"/>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b w:val="1"/>
                <w:bCs w:val="1"/>
                <w:color w:val="auto"/>
              </w:rPr>
              <w:t>32.8</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145.9</w:t>
            </w:r>
          </w:p>
        </w:tc>
        <w:tc>
          <w:tcPr>
            <w:tcW w:w="2820" w:type="dxa"/>
            <w:vAlign w:val="bottom"/>
          </w:tcPr>
          <w:p>
            <w:pPr>
              <w:spacing w:after="0"/>
              <w:rPr>
                <w:sz w:val="18"/>
                <w:szCs w:val="18"/>
                <w:color w:val="auto"/>
              </w:rPr>
            </w:pPr>
          </w:p>
        </w:tc>
      </w:tr>
      <w:tr>
        <w:trPr>
          <w:trHeight w:val="219"/>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benefit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(3.4)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(15.0)</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(6.9)</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2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Income taxes</w:t>
            </w:r>
          </w:p>
        </w:tc>
      </w:tr>
      <w:tr>
        <w:trPr>
          <w:trHeight w:val="225"/>
        </w:trPr>
        <w:tc>
          <w:tcPr>
            <w:tcW w:w="2820" w:type="dxa"/>
            <w:vAlign w:val="bottom"/>
          </w:tcPr>
          <w:p>
            <w:pPr>
              <w:ind w:left="180"/>
              <w:spacing w:after="0"/>
              <w:rPr>
                <w:sz w:val="20"/>
                <w:szCs w:val="20"/>
                <w:color w:val="auto"/>
              </w:rPr>
            </w:pPr>
            <w:r>
              <w:rPr>
                <w:rFonts w:ascii="Arial" w:cs="Arial" w:eastAsia="Arial" w:hAnsi="Arial"/>
                <w:sz w:val="17"/>
                <w:szCs w:val="17"/>
                <w:color w:val="auto"/>
              </w:rPr>
              <w:t>Net of tax</w:t>
            </w:r>
          </w:p>
        </w:tc>
        <w:tc>
          <w:tcPr>
            <w:tcW w:w="260" w:type="dxa"/>
            <w:vAlign w:val="bottom"/>
          </w:tcPr>
          <w:p>
            <w:pPr>
              <w:spacing w:after="0"/>
              <w:rPr>
                <w:sz w:val="19"/>
                <w:szCs w:val="19"/>
                <w:color w:val="auto"/>
              </w:rPr>
            </w:pPr>
          </w:p>
        </w:tc>
        <w:tc>
          <w:tcPr>
            <w:tcW w:w="1100" w:type="dxa"/>
            <w:vAlign w:val="bottom"/>
          </w:tcPr>
          <w:p>
            <w:pPr>
              <w:jc w:val="right"/>
              <w:ind w:right="58"/>
              <w:spacing w:after="0"/>
              <w:rPr>
                <w:sz w:val="20"/>
                <w:szCs w:val="20"/>
                <w:color w:val="auto"/>
              </w:rPr>
            </w:pPr>
            <w:r>
              <w:rPr>
                <w:rFonts w:ascii="Arial" w:cs="Arial" w:eastAsia="Arial" w:hAnsi="Arial"/>
                <w:sz w:val="17"/>
                <w:szCs w:val="17"/>
                <w:b w:val="1"/>
                <w:bCs w:val="1"/>
                <w:color w:val="auto"/>
              </w:rPr>
              <w:t>12.9</w:t>
            </w:r>
          </w:p>
        </w:tc>
        <w:tc>
          <w:tcPr>
            <w:tcW w:w="380" w:type="dxa"/>
            <w:vAlign w:val="bottom"/>
          </w:tcPr>
          <w:p>
            <w:pPr>
              <w:spacing w:after="0"/>
              <w:rPr>
                <w:sz w:val="19"/>
                <w:szCs w:val="19"/>
                <w:color w:val="auto"/>
              </w:rPr>
            </w:pP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56.7</w:t>
            </w:r>
          </w:p>
        </w:tc>
        <w:tc>
          <w:tcPr>
            <w:tcW w:w="360" w:type="dxa"/>
            <w:vAlign w:val="bottom"/>
          </w:tcPr>
          <w:p>
            <w:pPr>
              <w:spacing w:after="0"/>
              <w:rPr>
                <w:sz w:val="19"/>
                <w:szCs w:val="19"/>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b w:val="1"/>
                <w:bCs w:val="1"/>
                <w:color w:val="auto"/>
              </w:rPr>
              <w:t>25.9</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115.3</w:t>
            </w:r>
          </w:p>
        </w:tc>
        <w:tc>
          <w:tcPr>
            <w:tcW w:w="2820" w:type="dxa"/>
            <w:vAlign w:val="bottom"/>
          </w:tcPr>
          <w:p>
            <w:pPr>
              <w:spacing w:after="0"/>
              <w:rPr>
                <w:sz w:val="19"/>
                <w:szCs w:val="19"/>
                <w:color w:val="auto"/>
              </w:rPr>
            </w:pPr>
          </w:p>
        </w:tc>
      </w:tr>
      <w:tr>
        <w:trPr>
          <w:trHeight w:val="232"/>
        </w:trPr>
        <w:tc>
          <w:tcPr>
            <w:tcW w:w="2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r>
      <w:tr>
        <w:trPr>
          <w:trHeight w:val="219"/>
        </w:trPr>
        <w:tc>
          <w:tcPr>
            <w:tcW w:w="2820" w:type="dxa"/>
            <w:vAlign w:val="bottom"/>
          </w:tcPr>
          <w:p>
            <w:pPr>
              <w:ind w:left="20"/>
              <w:spacing w:after="0"/>
              <w:rPr>
                <w:sz w:val="20"/>
                <w:szCs w:val="20"/>
                <w:color w:val="auto"/>
              </w:rPr>
            </w:pPr>
            <w:r>
              <w:rPr>
                <w:rFonts w:ascii="Arial" w:cs="Arial" w:eastAsia="Arial" w:hAnsi="Arial"/>
                <w:sz w:val="17"/>
                <w:szCs w:val="17"/>
                <w:color w:val="auto"/>
              </w:rPr>
              <w:t>Other, net of tax</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b w:val="1"/>
                <w:bCs w:val="1"/>
                <w:color w:val="auto"/>
              </w:rPr>
              <w:t>2.4</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3.3</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b w:val="1"/>
                <w:bCs w:val="1"/>
                <w:color w:val="auto"/>
              </w:rPr>
              <w:t>(20.1)</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2820" w:type="dxa"/>
            <w:vAlign w:val="bottom"/>
          </w:tcPr>
          <w:p>
            <w:pPr>
              <w:ind w:left="100"/>
              <w:spacing w:after="0"/>
              <w:rPr>
                <w:sz w:val="20"/>
                <w:szCs w:val="20"/>
                <w:color w:val="auto"/>
              </w:rPr>
            </w:pPr>
            <w:r>
              <w:rPr>
                <w:rFonts w:ascii="Arial" w:cs="Arial" w:eastAsia="Arial" w:hAnsi="Arial"/>
                <w:sz w:val="17"/>
                <w:szCs w:val="17"/>
                <w:color w:val="auto"/>
              </w:rPr>
              <w:t>Other–net, (income) expense</w:t>
            </w:r>
          </w:p>
        </w:tc>
      </w:tr>
      <w:tr>
        <w:trPr>
          <w:trHeight w:val="231"/>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reclassifications, net of tax</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15.3</w:t>
            </w:r>
          </w:p>
        </w:tc>
        <w:tc>
          <w:tcPr>
            <w:tcW w:w="3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60.0</w:t>
            </w:r>
          </w:p>
        </w:tc>
        <w:tc>
          <w:tcPr>
            <w:tcW w:w="3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5.8</w:t>
            </w:r>
          </w:p>
        </w:tc>
        <w:tc>
          <w:tcPr>
            <w:tcW w:w="3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121.3</w:t>
            </w:r>
          </w:p>
        </w:tc>
        <w:tc>
          <w:tcPr>
            <w:tcW w:w="282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Other–Net, (Income) Expense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Other–net, (income) expense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40" w:type="dxa"/>
            <w:vAlign w:val="bottom"/>
          </w:tcPr>
          <w:p>
            <w:pPr>
              <w:spacing w:after="0"/>
              <w:rPr>
                <w:sz w:val="16"/>
                <w:szCs w:val="16"/>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Six Months Ended June 30,</w:t>
            </w:r>
          </w:p>
        </w:tc>
      </w:tr>
      <w:tr>
        <w:trPr>
          <w:trHeight w:val="212"/>
        </w:trPr>
        <w:tc>
          <w:tcPr>
            <w:tcW w:w="48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920" w:type="dxa"/>
            <w:vAlign w:val="bottom"/>
            <w:shd w:val="clear" w:color="auto" w:fill="CCEEFF"/>
          </w:tcPr>
          <w:p>
            <w:pPr>
              <w:jc w:val="right"/>
              <w:ind w:right="721"/>
              <w:spacing w:after="0"/>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120.3</w:t>
            </w:r>
          </w:p>
        </w:tc>
        <w:tc>
          <w:tcPr>
            <w:tcW w:w="1040" w:type="dxa"/>
            <w:vAlign w:val="bottom"/>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81.2</w:t>
            </w:r>
          </w:p>
        </w:tc>
        <w:tc>
          <w:tcPr>
            <w:tcW w:w="44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223.1</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166.1</w:t>
            </w:r>
          </w:p>
        </w:tc>
      </w:tr>
      <w:tr>
        <w:trPr>
          <w:trHeight w:val="219"/>
        </w:trPr>
        <w:tc>
          <w:tcPr>
            <w:tcW w:w="484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(46.0)</w:t>
            </w:r>
          </w:p>
        </w:tc>
        <w:tc>
          <w:tcPr>
            <w:tcW w:w="1040" w:type="dxa"/>
            <w:vAlign w:val="bottom"/>
          </w:tcPr>
          <w:p>
            <w:pPr>
              <w:spacing w:after="0"/>
              <w:rPr>
                <w:sz w:val="19"/>
                <w:szCs w:val="19"/>
                <w:color w:val="auto"/>
              </w:rPr>
            </w:pPr>
          </w:p>
        </w:tc>
        <w:tc>
          <w:tcPr>
            <w:tcW w:w="600" w:type="dxa"/>
            <w:vAlign w:val="bottom"/>
          </w:tcPr>
          <w:p>
            <w:pPr>
              <w:jc w:val="right"/>
              <w:ind w:right="14"/>
              <w:spacing w:after="0"/>
              <w:rPr>
                <w:sz w:val="20"/>
                <w:szCs w:val="20"/>
                <w:color w:val="auto"/>
              </w:rPr>
            </w:pPr>
            <w:r>
              <w:rPr>
                <w:rFonts w:ascii="Arial" w:cs="Arial" w:eastAsia="Arial" w:hAnsi="Arial"/>
                <w:sz w:val="17"/>
                <w:szCs w:val="17"/>
                <w:color w:val="auto"/>
              </w:rPr>
              <w:t>(10.2)</w:t>
            </w:r>
          </w:p>
        </w:tc>
        <w:tc>
          <w:tcPr>
            <w:tcW w:w="44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b w:val="1"/>
                <w:bCs w:val="1"/>
                <w:color w:val="auto"/>
              </w:rPr>
              <w:t>(80.2)</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(17.2)</w:t>
            </w:r>
          </w:p>
        </w:tc>
      </w:tr>
      <w:tr>
        <w:trPr>
          <w:trHeight w:val="232"/>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investment losses on equity securities (Note 5)</w:t>
            </w:r>
          </w:p>
        </w:tc>
        <w:tc>
          <w:tcPr>
            <w:tcW w:w="9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64.9</w:t>
            </w: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118.9</w:t>
            </w:r>
          </w:p>
        </w:tc>
        <w:tc>
          <w:tcPr>
            <w:tcW w:w="4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78.6</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544.3</w:t>
            </w:r>
          </w:p>
        </w:tc>
      </w:tr>
      <w:tr>
        <w:trPr>
          <w:trHeight w:val="219"/>
        </w:trPr>
        <w:tc>
          <w:tcPr>
            <w:tcW w:w="4840" w:type="dxa"/>
            <w:vAlign w:val="bottom"/>
          </w:tcPr>
          <w:p>
            <w:pPr>
              <w:ind w:left="20"/>
              <w:spacing w:after="0"/>
              <w:rPr>
                <w:sz w:val="20"/>
                <w:szCs w:val="20"/>
                <w:color w:val="auto"/>
              </w:rPr>
            </w:pPr>
            <w:r>
              <w:rPr>
                <w:rFonts w:ascii="Arial" w:cs="Arial" w:eastAsia="Arial" w:hAnsi="Arial"/>
                <w:sz w:val="17"/>
                <w:szCs w:val="17"/>
                <w:color w:val="auto"/>
              </w:rPr>
              <w:t>Retirement benefit plans</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(115.6)</w:t>
            </w:r>
          </w:p>
        </w:tc>
        <w:tc>
          <w:tcPr>
            <w:tcW w:w="1040" w:type="dxa"/>
            <w:vAlign w:val="bottom"/>
          </w:tcPr>
          <w:p>
            <w:pPr>
              <w:spacing w:after="0"/>
              <w:rPr>
                <w:sz w:val="19"/>
                <w:szCs w:val="19"/>
                <w:color w:val="auto"/>
              </w:rPr>
            </w:pPr>
          </w:p>
        </w:tc>
        <w:tc>
          <w:tcPr>
            <w:tcW w:w="600" w:type="dxa"/>
            <w:vAlign w:val="bottom"/>
          </w:tcPr>
          <w:p>
            <w:pPr>
              <w:jc w:val="right"/>
              <w:ind w:right="14"/>
              <w:spacing w:after="0"/>
              <w:rPr>
                <w:sz w:val="20"/>
                <w:szCs w:val="20"/>
                <w:color w:val="auto"/>
              </w:rPr>
            </w:pPr>
            <w:r>
              <w:rPr>
                <w:rFonts w:ascii="Arial" w:cs="Arial" w:eastAsia="Arial" w:hAnsi="Arial"/>
                <w:sz w:val="17"/>
                <w:szCs w:val="17"/>
                <w:color w:val="auto"/>
              </w:rPr>
              <w:t>(94.3)</w:t>
            </w:r>
          </w:p>
        </w:tc>
        <w:tc>
          <w:tcPr>
            <w:tcW w:w="44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b w:val="1"/>
                <w:bCs w:val="1"/>
                <w:color w:val="auto"/>
              </w:rPr>
              <w:t>(231.4)</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(187.6)</w:t>
            </w:r>
          </w:p>
        </w:tc>
      </w:tr>
      <w:tr>
        <w:trPr>
          <w:trHeight w:val="219"/>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13.2</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23.6</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11.0</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w:t>
            </w:r>
          </w:p>
        </w:tc>
      </w:tr>
      <w:tr>
        <w:trPr>
          <w:trHeight w:val="231"/>
        </w:trPr>
        <w:tc>
          <w:tcPr>
            <w:tcW w:w="4840" w:type="dxa"/>
            <w:vAlign w:val="bottom"/>
          </w:tcPr>
          <w:p>
            <w:pPr>
              <w:ind w:left="20"/>
              <w:spacing w:after="0"/>
              <w:rPr>
                <w:sz w:val="20"/>
                <w:szCs w:val="20"/>
                <w:color w:val="auto"/>
              </w:rPr>
            </w:pPr>
            <w:r>
              <w:rPr>
                <w:rFonts w:ascii="Arial" w:cs="Arial" w:eastAsia="Arial" w:hAnsi="Arial"/>
                <w:sz w:val="17"/>
                <w:szCs w:val="17"/>
                <w:color w:val="auto"/>
              </w:rPr>
              <w:t>Other–net, (income) expense</w:t>
            </w:r>
          </w:p>
        </w:tc>
        <w:tc>
          <w:tcPr>
            <w:tcW w:w="920" w:type="dxa"/>
            <w:vAlign w:val="bottom"/>
            <w:tcBorders>
              <w:bottom w:val="single" w:sz="8" w:color="auto"/>
            </w:tcBorders>
          </w:tcPr>
          <w:p>
            <w:pPr>
              <w:jc w:val="right"/>
              <w:ind w:right="721"/>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36.8</w:t>
            </w:r>
          </w:p>
        </w:tc>
        <w:tc>
          <w:tcPr>
            <w:tcW w:w="1040" w:type="dxa"/>
            <w:vAlign w:val="bottom"/>
            <w:tcBorders>
              <w:bottom w:val="single" w:sz="8" w:color="auto"/>
            </w:tcBorders>
          </w:tcPr>
          <w:p>
            <w:pPr>
              <w:jc w:val="right"/>
              <w:ind w:right="76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119.2</w:t>
            </w:r>
          </w:p>
        </w:tc>
        <w:tc>
          <w:tcPr>
            <w:tcW w:w="4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b w:val="1"/>
                <w:bCs w:val="1"/>
                <w:color w:val="auto"/>
              </w:rPr>
              <w:t>1.1</w:t>
            </w:r>
          </w:p>
        </w:tc>
        <w:tc>
          <w:tcPr>
            <w:tcW w:w="4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469.9</w:t>
            </w:r>
          </w:p>
        </w:tc>
      </w:tr>
      <w:tr>
        <w:trPr>
          <w:trHeight w:val="811"/>
        </w:trPr>
        <w:tc>
          <w:tcPr>
            <w:tcW w:w="48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w:t>
            </w: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1"/>
        </w:trPr>
        <w:tc>
          <w:tcPr>
            <w:tcW w:w="48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auto"/>
        </w:rPr>
        <w:t>Item 2. Management's Discussion and Analysis of Results of Operations and Financial Condition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5"/>
          <w:szCs w:val="15"/>
          <w:b w:val="1"/>
          <w:bCs w:val="1"/>
          <w:color w:val="auto"/>
        </w:rPr>
        <w:t>Tables present dollars in millions, except per-share data)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24" w:lineRule="exact"/>
        <w:rPr>
          <w:sz w:val="20"/>
          <w:szCs w:val="20"/>
          <w:color w:val="auto"/>
        </w:rPr>
      </w:pPr>
    </w:p>
    <w:p>
      <w:pPr>
        <w:ind w:right="80"/>
        <w:spacing w:after="0" w:line="258" w:lineRule="auto"/>
        <w:rPr>
          <w:rFonts w:ascii="Arial" w:cs="Arial" w:eastAsia="Arial" w:hAnsi="Arial"/>
          <w:sz w:val="17"/>
          <w:szCs w:val="17"/>
          <w:color w:val="auto"/>
        </w:rPr>
      </w:pPr>
      <w:r>
        <w:rPr>
          <w:rFonts w:ascii="Arial" w:cs="Arial" w:eastAsia="Arial" w:hAnsi="Arial"/>
          <w:sz w:val="17"/>
          <w:szCs w:val="17"/>
          <w:color w:val="auto"/>
        </w:rPr>
        <w:t xml:space="preserve">Management's discussion and analysis of results of operations and financial condition is intended to assist the reader in understanding and assessing significant changes and trends related to our company's results of operations and financial position. This discussion and analysis should be read in conjunction with the consolidated condensed financial statements and accompanying footnotes in Part I, Item 1 of this Quarterly Report on Form 10-Q. Certain statements in this Part I, Item 2 of this Quarterly Report on Form 10-Q constitute forward-looking statements. Various risks and uncertainties, including those discussed in "Forward-Looking Statements" in this Quarterly Report on Form 10-Q and "Risk Factors" in Part I, Item 1A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2022, may cause our actual results, financial position, and cash generated from operations to differ materially from these forward-looking statements.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EXECUTIVE OVERVIEW</w:t>
      </w:r>
    </w:p>
    <w:p>
      <w:pPr>
        <w:spacing w:after="0" w:line="124" w:lineRule="exact"/>
        <w:rPr>
          <w:sz w:val="20"/>
          <w:szCs w:val="20"/>
          <w:color w:val="auto"/>
        </w:rPr>
      </w:pPr>
    </w:p>
    <w:p>
      <w:pPr>
        <w:ind w:right="500"/>
        <w:spacing w:after="0" w:line="280" w:lineRule="auto"/>
        <w:rPr>
          <w:sz w:val="20"/>
          <w:szCs w:val="20"/>
          <w:color w:val="auto"/>
        </w:rPr>
      </w:pPr>
      <w:r>
        <w:rPr>
          <w:rFonts w:ascii="Arial" w:cs="Arial" w:eastAsia="Arial" w:hAnsi="Arial"/>
          <w:sz w:val="17"/>
          <w:szCs w:val="17"/>
          <w:color w:val="auto"/>
        </w:rPr>
        <w:t>This section provides an overview of our financial results, late-stage pipeline developments, and other matters affecting our company and the pharmaceutical industry.</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Results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certain financial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478"/>
              <w:spacing w:after="0"/>
              <w:rPr>
                <w:sz w:val="20"/>
                <w:szCs w:val="20"/>
                <w:color w:val="auto"/>
              </w:rPr>
            </w:pPr>
            <w:r>
              <w:rPr>
                <w:rFonts w:ascii="Arial" w:cs="Arial" w:eastAsia="Arial" w:hAnsi="Arial"/>
                <w:sz w:val="14"/>
                <w:szCs w:val="14"/>
                <w:b w:val="1"/>
                <w:bCs w:val="1"/>
                <w:color w:val="auto"/>
              </w:rPr>
              <w:t>Three Months Ended June 30,</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Percent</w:t>
            </w: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558"/>
              <w:spacing w:after="0"/>
              <w:rPr>
                <w:sz w:val="20"/>
                <w:szCs w:val="20"/>
                <w:color w:val="auto"/>
              </w:rPr>
            </w:pPr>
            <w:r>
              <w:rPr>
                <w:rFonts w:ascii="Arial" w:cs="Arial" w:eastAsia="Arial" w:hAnsi="Arial"/>
                <w:sz w:val="14"/>
                <w:szCs w:val="14"/>
                <w:b w:val="1"/>
                <w:bCs w:val="1"/>
                <w:color w:val="auto"/>
              </w:rPr>
              <w:t>Six Months Ended June 30,</w:t>
            </w:r>
          </w:p>
        </w:tc>
        <w:tc>
          <w:tcPr>
            <w:tcW w:w="900" w:type="dxa"/>
            <w:vAlign w:val="bottom"/>
          </w:tcPr>
          <w:p>
            <w:pPr>
              <w:jc w:val="center"/>
              <w:ind w:left="41"/>
              <w:spacing w:after="0"/>
              <w:rPr>
                <w:sz w:val="20"/>
                <w:szCs w:val="20"/>
                <w:color w:val="auto"/>
              </w:rPr>
            </w:pPr>
            <w:r>
              <w:rPr>
                <w:rFonts w:ascii="Arial" w:cs="Arial" w:eastAsia="Arial" w:hAnsi="Arial"/>
                <w:sz w:val="14"/>
                <w:szCs w:val="14"/>
                <w:b w:val="1"/>
                <w:bCs w:val="1"/>
                <w:color w:val="auto"/>
                <w:w w:val="97"/>
              </w:rPr>
              <w:t>Percent</w:t>
            </w:r>
          </w:p>
        </w:tc>
      </w:tr>
      <w:tr>
        <w:trPr>
          <w:trHeight w:val="186"/>
        </w:trPr>
        <w:tc>
          <w:tcPr>
            <w:tcW w:w="2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Change</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auto"/>
            </w:tcBorders>
          </w:tcPr>
          <w:p>
            <w:pPr>
              <w:jc w:val="center"/>
              <w:ind w:left="41"/>
              <w:spacing w:after="0"/>
              <w:rPr>
                <w:sz w:val="20"/>
                <w:szCs w:val="20"/>
                <w:color w:val="auto"/>
              </w:rPr>
            </w:pPr>
            <w:r>
              <w:rPr>
                <w:rFonts w:ascii="Arial" w:cs="Arial" w:eastAsia="Arial" w:hAnsi="Arial"/>
                <w:sz w:val="14"/>
                <w:szCs w:val="14"/>
                <w:b w:val="1"/>
                <w:bCs w:val="1"/>
                <w:color w:val="auto"/>
                <w:w w:val="97"/>
              </w:rPr>
              <w:t>Change</w:t>
            </w:r>
          </w:p>
        </w:tc>
      </w:tr>
      <w:tr>
        <w:trPr>
          <w:trHeight w:val="213"/>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8,312.1</w:t>
            </w:r>
          </w:p>
        </w:tc>
        <w:tc>
          <w:tcPr>
            <w:tcW w:w="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6,488.0</w:t>
            </w: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28</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15,272.1</w:t>
            </w:r>
          </w:p>
        </w:tc>
        <w:tc>
          <w:tcPr>
            <w:tcW w:w="4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14,298.0</w:t>
            </w:r>
          </w:p>
        </w:tc>
        <w:tc>
          <w:tcPr>
            <w:tcW w:w="900" w:type="dxa"/>
            <w:vAlign w:val="bottom"/>
            <w:shd w:val="clear" w:color="auto" w:fill="CCEEFF"/>
          </w:tcPr>
          <w:p>
            <w:pPr>
              <w:jc w:val="center"/>
              <w:ind w:left="41"/>
              <w:spacing w:after="0"/>
              <w:rPr>
                <w:sz w:val="20"/>
                <w:szCs w:val="20"/>
                <w:color w:val="auto"/>
              </w:rPr>
            </w:pPr>
            <w:r>
              <w:rPr>
                <w:rFonts w:ascii="Arial" w:cs="Arial" w:eastAsia="Arial" w:hAnsi="Arial"/>
                <w:sz w:val="17"/>
                <w:szCs w:val="17"/>
                <w:color w:val="auto"/>
              </w:rPr>
              <w:t>7</w:t>
            </w:r>
          </w:p>
        </w:tc>
      </w:tr>
      <w:tr>
        <w:trPr>
          <w:trHeight w:val="219"/>
        </w:trPr>
        <w:tc>
          <w:tcPr>
            <w:tcW w:w="276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7"/>
                <w:szCs w:val="17"/>
                <w:b w:val="1"/>
                <w:bCs w:val="1"/>
                <w:color w:val="auto"/>
              </w:rPr>
              <w:t>1,763.2</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952.5</w:t>
            </w:r>
          </w:p>
        </w:tc>
        <w:tc>
          <w:tcPr>
            <w:tcW w:w="1000" w:type="dxa"/>
            <w:vAlign w:val="bottom"/>
          </w:tcPr>
          <w:p>
            <w:pPr>
              <w:jc w:val="center"/>
              <w:spacing w:after="0"/>
              <w:rPr>
                <w:sz w:val="20"/>
                <w:szCs w:val="20"/>
                <w:color w:val="auto"/>
              </w:rPr>
            </w:pPr>
            <w:r>
              <w:rPr>
                <w:rFonts w:ascii="Arial" w:cs="Arial" w:eastAsia="Arial" w:hAnsi="Arial"/>
                <w:sz w:val="17"/>
                <w:szCs w:val="17"/>
                <w:color w:val="auto"/>
              </w:rPr>
              <w:t>85</w:t>
            </w:r>
          </w:p>
        </w:tc>
        <w:tc>
          <w:tcPr>
            <w:tcW w:w="3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7"/>
                <w:szCs w:val="17"/>
                <w:b w:val="1"/>
                <w:bCs w:val="1"/>
                <w:color w:val="auto"/>
              </w:rPr>
              <w:t>3,108.1</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2,855.4</w:t>
            </w:r>
          </w:p>
        </w:tc>
        <w:tc>
          <w:tcPr>
            <w:tcW w:w="900" w:type="dxa"/>
            <w:vAlign w:val="bottom"/>
          </w:tcPr>
          <w:p>
            <w:pPr>
              <w:jc w:val="center"/>
              <w:ind w:left="41"/>
              <w:spacing w:after="0"/>
              <w:rPr>
                <w:sz w:val="20"/>
                <w:szCs w:val="20"/>
                <w:color w:val="auto"/>
              </w:rPr>
            </w:pPr>
            <w:r>
              <w:rPr>
                <w:rFonts w:ascii="Arial" w:cs="Arial" w:eastAsia="Arial" w:hAnsi="Arial"/>
                <w:sz w:val="17"/>
                <w:szCs w:val="17"/>
                <w:color w:val="auto"/>
              </w:rPr>
              <w:t>9</w:t>
            </w:r>
          </w:p>
        </w:tc>
      </w:tr>
      <w:tr>
        <w:trPr>
          <w:trHeight w:val="219"/>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per share - diluted</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1.95</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86</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3.44</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900" w:type="dxa"/>
            <w:vAlign w:val="bottom"/>
            <w:shd w:val="clear" w:color="auto" w:fill="CCEEFF"/>
          </w:tcPr>
          <w:p>
            <w:pPr>
              <w:jc w:val="center"/>
              <w:ind w:left="41"/>
              <w:spacing w:after="0"/>
              <w:rPr>
                <w:sz w:val="20"/>
                <w:szCs w:val="20"/>
                <w:color w:val="auto"/>
              </w:rPr>
            </w:pPr>
            <w:r>
              <w:rPr>
                <w:rFonts w:ascii="Arial" w:cs="Arial" w:eastAsia="Arial" w:hAnsi="Arial"/>
                <w:sz w:val="17"/>
                <w:szCs w:val="17"/>
                <w:color w:val="auto"/>
              </w:rPr>
              <w:t>9</w:t>
            </w:r>
          </w:p>
        </w:tc>
      </w:tr>
    </w:tbl>
    <w:p>
      <w:pPr>
        <w:spacing w:after="0" w:line="181" w:lineRule="exact"/>
        <w:rPr>
          <w:sz w:val="20"/>
          <w:szCs w:val="20"/>
          <w:color w:val="auto"/>
        </w:rPr>
      </w:pPr>
    </w:p>
    <w:p>
      <w:pPr>
        <w:jc w:val="both"/>
        <w:ind w:right="120"/>
        <w:spacing w:after="0" w:line="243" w:lineRule="auto"/>
        <w:rPr>
          <w:sz w:val="20"/>
          <w:szCs w:val="20"/>
          <w:color w:val="auto"/>
        </w:rPr>
      </w:pPr>
      <w:r>
        <w:rPr>
          <w:rFonts w:ascii="Arial" w:cs="Arial" w:eastAsia="Arial" w:hAnsi="Arial"/>
          <w:sz w:val="17"/>
          <w:szCs w:val="17"/>
          <w:color w:val="auto"/>
        </w:rPr>
        <w:t>Revenue increased for the three and six months ended June 30, 2023 driven by increased volume, partially offset by lower realized prices and the unfavorable impact of foreign exchange rates. The increase in revenue during the three and six months ended June 30, 2023 was primarily driven by sales of Mounjaro</w:t>
      </w:r>
      <w:r>
        <w:rPr>
          <w:rFonts w:ascii="Arial" w:cs="Arial" w:eastAsia="Arial" w:hAnsi="Arial"/>
          <w:sz w:val="22"/>
          <w:szCs w:val="22"/>
          <w:color w:val="auto"/>
          <w:vertAlign w:val="superscript"/>
        </w:rPr>
        <w:t>®</w:t>
      </w:r>
      <w:r>
        <w:rPr>
          <w:rFonts w:ascii="Arial" w:cs="Arial" w:eastAsia="Arial" w:hAnsi="Arial"/>
          <w:sz w:val="17"/>
          <w:szCs w:val="17"/>
          <w:color w:val="auto"/>
        </w:rPr>
        <w:t>, Verzenio</w:t>
      </w:r>
      <w:r>
        <w:rPr>
          <w:rFonts w:ascii="Arial" w:cs="Arial" w:eastAsia="Arial" w:hAnsi="Arial"/>
          <w:sz w:val="22"/>
          <w:szCs w:val="22"/>
          <w:color w:val="auto"/>
          <w:vertAlign w:val="superscript"/>
        </w:rPr>
        <w:t>®</w:t>
      </w:r>
      <w:r>
        <w:rPr>
          <w:rFonts w:ascii="Arial" w:cs="Arial" w:eastAsia="Arial" w:hAnsi="Arial"/>
          <w:sz w:val="17"/>
          <w:szCs w:val="17"/>
          <w:color w:val="auto"/>
        </w:rPr>
        <w:t>, and Jardiance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as well as from the sale of rights for Baqsimi</w:t>
      </w:r>
      <w:r>
        <w:rPr>
          <w:rFonts w:ascii="Arial" w:cs="Arial" w:eastAsia="Arial" w:hAnsi="Arial"/>
          <w:sz w:val="22"/>
          <w:szCs w:val="22"/>
          <w:color w:val="auto"/>
          <w:vertAlign w:val="superscript"/>
        </w:rPr>
        <w:t>®</w:t>
      </w:r>
      <w:r>
        <w:rPr>
          <w:rFonts w:ascii="Arial" w:cs="Arial" w:eastAsia="Arial" w:hAnsi="Arial"/>
          <w:sz w:val="17"/>
          <w:szCs w:val="17"/>
          <w:color w:val="auto"/>
        </w:rPr>
        <w:t>, partially offset by the complete reduction of sales of COVID-19 antibodies and lower sales of Alimta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following the entry of multiple generics in the first half of 2022.</w:t>
      </w:r>
    </w:p>
    <w:p>
      <w:pPr>
        <w:spacing w:after="0" w:line="2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Net income and earnings per share for the three and six months ended June 30, 2023 increased primarily due to increased revenue and lower acquired in-process research and development (IPR&amp;D) charges, partially offset by increased research and development and marketing, selling, and administrative expenses. The increase in net income and earnings per share for the six months ended June 30, 2023 was also due to the lower net investment losses on equity securities.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See "Results of Operations" for additional information.</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93" w:right="35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Late-Stage Pipeline</w:t>
      </w:r>
    </w:p>
    <w:p>
      <w:pPr>
        <w:spacing w:after="0" w:line="12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Our long-term success depends on our ability to continually discover or acquire, develop, and commercialize innovative new medicines. We currently have approximately 40 new medicine candidates in clinical development or under regulatory review, and a larger number of projects in the discovery phase.</w:t>
      </w:r>
    </w:p>
    <w:p>
      <w:pPr>
        <w:spacing w:after="0" w:line="70" w:lineRule="exact"/>
        <w:rPr>
          <w:sz w:val="20"/>
          <w:szCs w:val="20"/>
          <w:color w:val="auto"/>
        </w:rPr>
      </w:pPr>
    </w:p>
    <w:p>
      <w:pPr>
        <w:ind w:right="60"/>
        <w:spacing w:after="0" w:line="262" w:lineRule="auto"/>
        <w:rPr>
          <w:rFonts w:ascii="Arial" w:cs="Arial" w:eastAsia="Arial" w:hAnsi="Arial"/>
          <w:sz w:val="17"/>
          <w:szCs w:val="17"/>
          <w:color w:val="auto"/>
        </w:rPr>
      </w:pPr>
      <w:r>
        <w:rPr>
          <w:rFonts w:ascii="Arial" w:cs="Arial" w:eastAsia="Arial" w:hAnsi="Arial"/>
          <w:sz w:val="17"/>
          <w:szCs w:val="17"/>
          <w:color w:val="auto"/>
        </w:rPr>
        <w:t xml:space="preserve">The following select new molecular entities (NMEs) and new indication line extension (NILEX) products are currently in Phase II or Phase III clinical trials or have been submitted for regulatory review or have received regulatory approval in the United States (U.S.), Europe, or Japan. The table reflects the status of these NMEs and NILEX products, including relevant developments since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2022.</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22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7"/>
                <w:szCs w:val="17"/>
                <w:b w:val="1"/>
                <w:bCs w:val="1"/>
                <w:color w:val="auto"/>
              </w:rPr>
              <w:t>Compound</w:t>
            </w:r>
          </w:p>
        </w:tc>
        <w:tc>
          <w:tcPr>
            <w:tcW w:w="220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7"/>
                <w:szCs w:val="17"/>
                <w:b w:val="1"/>
                <w:bCs w:val="1"/>
                <w:color w:val="auto"/>
              </w:rPr>
              <w:t>Indication</w:t>
            </w:r>
          </w:p>
        </w:tc>
        <w:tc>
          <w:tcPr>
            <w:tcW w:w="940" w:type="dxa"/>
            <w:vAlign w:val="bottom"/>
            <w:tcBorders>
              <w:top w:val="single" w:sz="8" w:color="auto"/>
              <w:bottom w:val="single" w:sz="8" w:color="auto"/>
            </w:tcBorders>
            <w:shd w:val="clear" w:color="auto" w:fill="D8D8D8"/>
          </w:tcPr>
          <w:p>
            <w:pPr>
              <w:spacing w:after="0"/>
              <w:rPr>
                <w:sz w:val="20"/>
                <w:szCs w:val="20"/>
                <w:color w:val="auto"/>
              </w:rPr>
            </w:pPr>
            <w:r>
              <w:rPr>
                <w:rFonts w:ascii="Arial" w:cs="Arial" w:eastAsia="Arial" w:hAnsi="Arial"/>
                <w:sz w:val="17"/>
                <w:szCs w:val="17"/>
                <w:b w:val="1"/>
                <w:bCs w:val="1"/>
                <w:color w:val="auto"/>
              </w:rPr>
              <w:t>Status</w:t>
            </w:r>
          </w:p>
        </w:tc>
        <w:tc>
          <w:tcPr>
            <w:tcW w:w="680" w:type="dxa"/>
            <w:vAlign w:val="bottom"/>
            <w:tcBorders>
              <w:top w:val="single" w:sz="8" w:color="auto"/>
              <w:bottom w:val="single" w:sz="8" w:color="auto"/>
              <w:right w:val="single" w:sz="8" w:color="auto"/>
            </w:tcBorders>
            <w:shd w:val="clear" w:color="auto" w:fill="D8D8D8"/>
          </w:tcPr>
          <w:p>
            <w:pPr>
              <w:spacing w:after="0"/>
              <w:rPr>
                <w:sz w:val="20"/>
                <w:szCs w:val="20"/>
                <w:color w:val="auto"/>
              </w:rPr>
            </w:pPr>
          </w:p>
        </w:tc>
        <w:tc>
          <w:tcPr>
            <w:tcW w:w="52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7"/>
                <w:szCs w:val="17"/>
                <w:b w:val="1"/>
                <w:bCs w:val="1"/>
                <w:color w:val="auto"/>
              </w:rPr>
              <w:t>Developments</w:t>
            </w:r>
          </w:p>
        </w:tc>
        <w:tc>
          <w:tcPr>
            <w:tcW w:w="0" w:type="dxa"/>
            <w:vAlign w:val="bottom"/>
          </w:tcPr>
          <w:p>
            <w:pPr>
              <w:spacing w:after="0"/>
              <w:rPr>
                <w:sz w:val="1"/>
                <w:szCs w:val="1"/>
                <w:color w:val="auto"/>
              </w:rPr>
            </w:pPr>
          </w:p>
        </w:tc>
      </w:tr>
      <w:tr>
        <w:trPr>
          <w:trHeight w:val="212"/>
        </w:trPr>
        <w:tc>
          <w:tcPr>
            <w:tcW w:w="2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b w:val="1"/>
                <w:bCs w:val="1"/>
                <w:color w:val="auto"/>
              </w:rPr>
              <w:t>Diabetes and Obesity</w:t>
            </w:r>
          </w:p>
        </w:tc>
        <w:tc>
          <w:tcPr>
            <w:tcW w:w="2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Empagliflozin (Jardiance)</w:t>
            </w:r>
            <w:r>
              <w:rPr>
                <w:rFonts w:ascii="Arial" w:cs="Arial" w:eastAsia="Arial" w:hAnsi="Arial"/>
                <w:sz w:val="22"/>
                <w:szCs w:val="22"/>
                <w:color w:val="auto"/>
                <w:vertAlign w:val="superscript"/>
              </w:rPr>
              <w:t>(1)</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Chronic kidney disease</w:t>
            </w:r>
          </w:p>
        </w:tc>
        <w:tc>
          <w:tcPr>
            <w:tcW w:w="940" w:type="dxa"/>
            <w:vAlign w:val="bottom"/>
            <w:vMerge w:val="restart"/>
          </w:tcPr>
          <w:p>
            <w:pPr>
              <w:spacing w:after="0"/>
              <w:rPr>
                <w:sz w:val="20"/>
                <w:szCs w:val="20"/>
                <w:color w:val="auto"/>
              </w:rPr>
            </w:pPr>
            <w:r>
              <w:rPr>
                <w:rFonts w:ascii="Arial" w:cs="Arial" w:eastAsia="Arial" w:hAnsi="Arial"/>
                <w:sz w:val="17"/>
                <w:szCs w:val="17"/>
                <w:color w:val="auto"/>
              </w:rPr>
              <w:t>Approved</w:t>
            </w:r>
          </w:p>
        </w:tc>
        <w:tc>
          <w:tcPr>
            <w:tcW w:w="680" w:type="dxa"/>
            <w:vAlign w:val="bottom"/>
            <w:tcBorders>
              <w:right w:val="single" w:sz="8" w:color="auto"/>
            </w:tcBorders>
          </w:tcPr>
          <w:p>
            <w:pPr>
              <w:spacing w:after="0"/>
              <w:rPr>
                <w:sz w:val="13"/>
                <w:szCs w:val="13"/>
                <w:color w:val="auto"/>
              </w:rPr>
            </w:pPr>
          </w:p>
        </w:tc>
        <w:tc>
          <w:tcPr>
            <w:tcW w:w="522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color w:val="auto"/>
              </w:rPr>
              <w:t>Approved in Europe in July 2023. Submitted in Japan in 2022 and</w:t>
            </w:r>
          </w:p>
        </w:tc>
        <w:tc>
          <w:tcPr>
            <w:tcW w:w="0" w:type="dxa"/>
            <w:vAlign w:val="bottom"/>
          </w:tcPr>
          <w:p>
            <w:pPr>
              <w:spacing w:after="0"/>
              <w:rPr>
                <w:sz w:val="1"/>
                <w:szCs w:val="1"/>
                <w:color w:val="auto"/>
              </w:rPr>
            </w:pPr>
          </w:p>
        </w:tc>
      </w:tr>
      <w:tr>
        <w:trPr>
          <w:trHeight w:val="168"/>
        </w:trPr>
        <w:tc>
          <w:tcPr>
            <w:tcW w:w="2220" w:type="dxa"/>
            <w:vAlign w:val="bottom"/>
            <w:tcBorders>
              <w:left w:val="single" w:sz="8" w:color="auto"/>
              <w:right w:val="single" w:sz="8" w:color="auto"/>
            </w:tcBorders>
            <w:vMerge w:val="continue"/>
          </w:tcPr>
          <w:p>
            <w:pPr>
              <w:spacing w:after="0"/>
              <w:rPr>
                <w:sz w:val="14"/>
                <w:szCs w:val="14"/>
                <w:color w:val="auto"/>
              </w:rPr>
            </w:pPr>
          </w:p>
        </w:tc>
        <w:tc>
          <w:tcPr>
            <w:tcW w:w="2200" w:type="dxa"/>
            <w:vAlign w:val="bottom"/>
            <w:tcBorders>
              <w:right w:val="single" w:sz="8" w:color="auto"/>
            </w:tcBorders>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5220" w:type="dxa"/>
            <w:vAlign w:val="bottom"/>
            <w:tcBorders>
              <w:right w:val="single" w:sz="8" w:color="auto"/>
            </w:tcBorders>
          </w:tcPr>
          <w:p>
            <w:pPr>
              <w:ind w:left="20"/>
              <w:spacing w:after="0" w:line="168" w:lineRule="exact"/>
              <w:rPr>
                <w:sz w:val="20"/>
                <w:szCs w:val="20"/>
                <w:color w:val="auto"/>
              </w:rPr>
            </w:pPr>
            <w:r>
              <w:rPr>
                <w:rFonts w:ascii="Arial" w:cs="Arial" w:eastAsia="Arial" w:hAnsi="Arial"/>
                <w:sz w:val="17"/>
                <w:szCs w:val="17"/>
                <w:color w:val="auto"/>
              </w:rPr>
              <w:t>in the U.S. in the first quarter of 2023. Granted U.S. Food and Drug</w:t>
            </w:r>
          </w:p>
        </w:tc>
        <w:tc>
          <w:tcPr>
            <w:tcW w:w="0" w:type="dxa"/>
            <w:vAlign w:val="bottom"/>
          </w:tcPr>
          <w:p>
            <w:pPr>
              <w:spacing w:after="0"/>
              <w:rPr>
                <w:sz w:val="1"/>
                <w:szCs w:val="1"/>
                <w:color w:val="auto"/>
              </w:rPr>
            </w:pPr>
          </w:p>
        </w:tc>
      </w:tr>
      <w:tr>
        <w:trPr>
          <w:trHeight w:val="232"/>
        </w:trPr>
        <w:tc>
          <w:tcPr>
            <w:tcW w:w="2220" w:type="dxa"/>
            <w:vAlign w:val="bottom"/>
            <w:tcBorders>
              <w:left w:val="single" w:sz="8" w:color="auto"/>
              <w:bottom w:val="single" w:sz="8" w:color="auto"/>
              <w:right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5220" w:type="dxa"/>
            <w:vAlign w:val="bottom"/>
            <w:tcBorders>
              <w:bottom w:val="single" w:sz="8" w:color="auto"/>
              <w:right w:val="single" w:sz="8" w:color="auto"/>
            </w:tcBorders>
          </w:tcPr>
          <w:p>
            <w:pPr>
              <w:ind w:left="20"/>
              <w:spacing w:after="0" w:line="232" w:lineRule="exact"/>
              <w:rPr>
                <w:sz w:val="20"/>
                <w:szCs w:val="20"/>
                <w:color w:val="auto"/>
              </w:rPr>
            </w:pPr>
            <w:r>
              <w:rPr>
                <w:rFonts w:ascii="Arial" w:cs="Arial" w:eastAsia="Arial" w:hAnsi="Arial"/>
                <w:sz w:val="17"/>
                <w:szCs w:val="17"/>
                <w:color w:val="auto"/>
              </w:rPr>
              <w:t>Administration (FDA) Fast Track designation</w:t>
            </w:r>
            <w:r>
              <w:rPr>
                <w:rFonts w:ascii="Arial" w:cs="Arial" w:eastAsia="Arial" w:hAnsi="Arial"/>
                <w:sz w:val="22"/>
                <w:szCs w:val="22"/>
                <w:color w:val="auto"/>
                <w:vertAlign w:val="superscript"/>
              </w:rPr>
              <w:t>(2)</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90"/>
        </w:trPr>
        <w:tc>
          <w:tcPr>
            <w:tcW w:w="2220" w:type="dxa"/>
            <w:vAlign w:val="bottom"/>
            <w:tcBorders>
              <w:left w:val="single" w:sz="8" w:color="auto"/>
              <w:right w:val="single" w:sz="8" w:color="auto"/>
            </w:tcBorders>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Submitted in Europe in the first quarter of 2023 and in the U.S. in</w:t>
            </w:r>
          </w:p>
        </w:tc>
        <w:tc>
          <w:tcPr>
            <w:tcW w:w="0" w:type="dxa"/>
            <w:vAlign w:val="bottom"/>
          </w:tcPr>
          <w:p>
            <w:pPr>
              <w:spacing w:after="0"/>
              <w:rPr>
                <w:sz w:val="1"/>
                <w:szCs w:val="1"/>
                <w:color w:val="auto"/>
              </w:rPr>
            </w:pPr>
          </w:p>
        </w:tc>
      </w:tr>
      <w:tr>
        <w:trPr>
          <w:trHeight w:val="168"/>
        </w:trPr>
        <w:tc>
          <w:tcPr>
            <w:tcW w:w="2220" w:type="dxa"/>
            <w:vAlign w:val="bottom"/>
            <w:tcBorders>
              <w:left w:val="single" w:sz="8" w:color="auto"/>
              <w:right w:val="single" w:sz="8" w:color="auto"/>
            </w:tcBorders>
          </w:tcPr>
          <w:p>
            <w:pPr>
              <w:spacing w:after="0"/>
              <w:rPr>
                <w:sz w:val="14"/>
                <w:szCs w:val="14"/>
                <w:color w:val="auto"/>
              </w:rPr>
            </w:pP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Obesity</w:t>
            </w:r>
          </w:p>
        </w:tc>
        <w:tc>
          <w:tcPr>
            <w:tcW w:w="940" w:type="dxa"/>
            <w:vAlign w:val="bottom"/>
            <w:vMerge w:val="restart"/>
          </w:tcPr>
          <w:p>
            <w:pPr>
              <w:spacing w:after="0"/>
              <w:rPr>
                <w:sz w:val="20"/>
                <w:szCs w:val="20"/>
                <w:color w:val="auto"/>
              </w:rPr>
            </w:pPr>
            <w:r>
              <w:rPr>
                <w:rFonts w:ascii="Arial" w:cs="Arial" w:eastAsia="Arial" w:hAnsi="Arial"/>
                <w:sz w:val="17"/>
                <w:szCs w:val="17"/>
                <w:color w:val="auto"/>
              </w:rPr>
              <w:t>Submitted</w:t>
            </w:r>
          </w:p>
        </w:tc>
        <w:tc>
          <w:tcPr>
            <w:tcW w:w="680" w:type="dxa"/>
            <w:vAlign w:val="bottom"/>
            <w:tcBorders>
              <w:right w:val="single" w:sz="8" w:color="auto"/>
            </w:tcBorders>
          </w:tcPr>
          <w:p>
            <w:pPr>
              <w:spacing w:after="0"/>
              <w:rPr>
                <w:sz w:val="14"/>
                <w:szCs w:val="14"/>
                <w:color w:val="auto"/>
              </w:rPr>
            </w:pPr>
          </w:p>
        </w:tc>
        <w:tc>
          <w:tcPr>
            <w:tcW w:w="5220" w:type="dxa"/>
            <w:vAlign w:val="bottom"/>
            <w:tcBorders>
              <w:right w:val="single" w:sz="8" w:color="auto"/>
            </w:tcBorders>
          </w:tcPr>
          <w:p>
            <w:pPr>
              <w:ind w:left="20"/>
              <w:spacing w:after="0" w:line="168" w:lineRule="exact"/>
              <w:rPr>
                <w:sz w:val="20"/>
                <w:szCs w:val="20"/>
                <w:color w:val="auto"/>
              </w:rPr>
            </w:pPr>
            <w:r>
              <w:rPr>
                <w:rFonts w:ascii="Arial" w:cs="Arial" w:eastAsia="Arial" w:hAnsi="Arial"/>
                <w:sz w:val="17"/>
                <w:szCs w:val="17"/>
                <w:color w:val="auto"/>
              </w:rPr>
              <w:t>the second quarter of 2023. Received Priority Review designation</w:t>
            </w:r>
          </w:p>
        </w:tc>
        <w:tc>
          <w:tcPr>
            <w:tcW w:w="0" w:type="dxa"/>
            <w:vAlign w:val="bottom"/>
          </w:tcPr>
          <w:p>
            <w:pPr>
              <w:spacing w:after="0"/>
              <w:rPr>
                <w:sz w:val="1"/>
                <w:szCs w:val="1"/>
                <w:color w:val="auto"/>
              </w:rPr>
            </w:pPr>
          </w:p>
        </w:tc>
      </w:tr>
      <w:tr>
        <w:trPr>
          <w:trHeight w:val="168"/>
        </w:trPr>
        <w:tc>
          <w:tcPr>
            <w:tcW w:w="2220" w:type="dxa"/>
            <w:vAlign w:val="bottom"/>
            <w:tcBorders>
              <w:left w:val="single" w:sz="8" w:color="auto"/>
              <w:right w:val="single" w:sz="8" w:color="auto"/>
            </w:tcBorders>
          </w:tcPr>
          <w:p>
            <w:pPr>
              <w:spacing w:after="0"/>
              <w:rPr>
                <w:sz w:val="14"/>
                <w:szCs w:val="14"/>
                <w:color w:val="auto"/>
              </w:rPr>
            </w:pPr>
          </w:p>
        </w:tc>
        <w:tc>
          <w:tcPr>
            <w:tcW w:w="2200" w:type="dxa"/>
            <w:vAlign w:val="bottom"/>
            <w:tcBorders>
              <w:right w:val="single" w:sz="8" w:color="auto"/>
            </w:tcBorders>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5220" w:type="dxa"/>
            <w:vAlign w:val="bottom"/>
            <w:tcBorders>
              <w:right w:val="single" w:sz="8" w:color="auto"/>
            </w:tcBorders>
          </w:tcPr>
          <w:p>
            <w:pPr>
              <w:ind w:left="20"/>
              <w:spacing w:after="0" w:line="168" w:lineRule="exact"/>
              <w:rPr>
                <w:sz w:val="20"/>
                <w:szCs w:val="20"/>
                <w:color w:val="auto"/>
              </w:rPr>
            </w:pPr>
            <w:r>
              <w:rPr>
                <w:rFonts w:ascii="Arial" w:cs="Arial" w:eastAsia="Arial" w:hAnsi="Arial"/>
                <w:sz w:val="17"/>
                <w:szCs w:val="17"/>
                <w:color w:val="auto"/>
              </w:rPr>
              <w:t>from the FDA. Announced in the second quarter of 2023 and in July</w:t>
            </w:r>
          </w:p>
        </w:tc>
        <w:tc>
          <w:tcPr>
            <w:tcW w:w="0" w:type="dxa"/>
            <w:vAlign w:val="bottom"/>
          </w:tcPr>
          <w:p>
            <w:pPr>
              <w:spacing w:after="0"/>
              <w:rPr>
                <w:sz w:val="1"/>
                <w:szCs w:val="1"/>
                <w:color w:val="auto"/>
              </w:rPr>
            </w:pPr>
          </w:p>
        </w:tc>
      </w:tr>
      <w:tr>
        <w:trPr>
          <w:trHeight w:val="181"/>
        </w:trPr>
        <w:tc>
          <w:tcPr>
            <w:tcW w:w="2220" w:type="dxa"/>
            <w:vAlign w:val="bottom"/>
            <w:tcBorders>
              <w:left w:val="single" w:sz="8" w:color="auto"/>
              <w:right w:val="single" w:sz="8" w:color="auto"/>
            </w:tcBorders>
          </w:tcPr>
          <w:p>
            <w:pPr>
              <w:spacing w:after="0"/>
              <w:rPr>
                <w:sz w:val="15"/>
                <w:szCs w:val="15"/>
                <w:color w:val="auto"/>
              </w:rPr>
            </w:pPr>
          </w:p>
        </w:tc>
        <w:tc>
          <w:tcPr>
            <w:tcW w:w="2200" w:type="dxa"/>
            <w:vAlign w:val="bottom"/>
            <w:tcBorders>
              <w:right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5220" w:type="dxa"/>
            <w:vAlign w:val="bottom"/>
            <w:tcBorders>
              <w:right w:val="single" w:sz="8" w:color="auto"/>
            </w:tcBorders>
          </w:tcPr>
          <w:p>
            <w:pPr>
              <w:ind w:left="20"/>
              <w:spacing w:after="0" w:line="180" w:lineRule="exact"/>
              <w:rPr>
                <w:sz w:val="20"/>
                <w:szCs w:val="20"/>
                <w:color w:val="auto"/>
              </w:rPr>
            </w:pPr>
            <w:r>
              <w:rPr>
                <w:rFonts w:ascii="Arial" w:cs="Arial" w:eastAsia="Arial" w:hAnsi="Arial"/>
                <w:sz w:val="17"/>
                <w:szCs w:val="17"/>
                <w:color w:val="auto"/>
              </w:rPr>
              <w:t>2023 that Phase III trials met all primary and key secondary</w:t>
            </w:r>
          </w:p>
        </w:tc>
        <w:tc>
          <w:tcPr>
            <w:tcW w:w="0" w:type="dxa"/>
            <w:vAlign w:val="bottom"/>
          </w:tcPr>
          <w:p>
            <w:pPr>
              <w:spacing w:after="0"/>
              <w:rPr>
                <w:sz w:val="1"/>
                <w:szCs w:val="1"/>
                <w:color w:val="auto"/>
              </w:rPr>
            </w:pPr>
          </w:p>
        </w:tc>
      </w:tr>
      <w:tr>
        <w:trPr>
          <w:trHeight w:val="218"/>
        </w:trPr>
        <w:tc>
          <w:tcPr>
            <w:tcW w:w="222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endpoints. Phase III trials are ongoing.</w:t>
            </w:r>
          </w:p>
        </w:tc>
        <w:tc>
          <w:tcPr>
            <w:tcW w:w="0" w:type="dxa"/>
            <w:vAlign w:val="bottom"/>
          </w:tcPr>
          <w:p>
            <w:pPr>
              <w:spacing w:after="0"/>
              <w:rPr>
                <w:sz w:val="1"/>
                <w:szCs w:val="1"/>
                <w:color w:val="auto"/>
              </w:rPr>
            </w:pPr>
          </w:p>
        </w:tc>
      </w:tr>
      <w:tr>
        <w:trPr>
          <w:trHeight w:val="118"/>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Tirzepatide (Mounjaro)</w:t>
            </w:r>
          </w:p>
        </w:tc>
        <w:tc>
          <w:tcPr>
            <w:tcW w:w="220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5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vMerge w:val="continue"/>
          </w:tcPr>
          <w:p>
            <w:pPr>
              <w:spacing w:after="0"/>
              <w:rPr>
                <w:sz w:val="19"/>
                <w:szCs w:val="19"/>
                <w:color w:val="auto"/>
              </w:rPr>
            </w:pP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Heart failure with preserved</w:t>
            </w:r>
          </w:p>
        </w:tc>
        <w:tc>
          <w:tcPr>
            <w:tcW w:w="940" w:type="dxa"/>
            <w:vAlign w:val="bottom"/>
            <w:vMerge w:val="restart"/>
          </w:tcPr>
          <w:p>
            <w:pPr>
              <w:spacing w:after="0"/>
              <w:rPr>
                <w:sz w:val="20"/>
                <w:szCs w:val="20"/>
                <w:color w:val="auto"/>
              </w:rPr>
            </w:pPr>
            <w:r>
              <w:rPr>
                <w:rFonts w:ascii="Arial" w:cs="Arial" w:eastAsia="Arial" w:hAnsi="Arial"/>
                <w:sz w:val="17"/>
                <w:szCs w:val="17"/>
                <w:color w:val="auto"/>
              </w:rPr>
              <w:t>Phase III</w:t>
            </w:r>
          </w:p>
        </w:tc>
        <w:tc>
          <w:tcPr>
            <w:tcW w:w="680" w:type="dxa"/>
            <w:vAlign w:val="bottom"/>
            <w:tcBorders>
              <w:right w:val="single" w:sz="8" w:color="auto"/>
            </w:tcBorders>
          </w:tcPr>
          <w:p>
            <w:pPr>
              <w:spacing w:after="0"/>
              <w:rPr>
                <w:sz w:val="19"/>
                <w:szCs w:val="19"/>
                <w:color w:val="auto"/>
              </w:rPr>
            </w:pPr>
          </w:p>
        </w:tc>
        <w:tc>
          <w:tcPr>
            <w:tcW w:w="5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Phase III trials are ongoing.</w:t>
            </w:r>
          </w:p>
        </w:tc>
        <w:tc>
          <w:tcPr>
            <w:tcW w:w="0" w:type="dxa"/>
            <w:vAlign w:val="bottom"/>
          </w:tcPr>
          <w:p>
            <w:pPr>
              <w:spacing w:after="0"/>
              <w:rPr>
                <w:sz w:val="1"/>
                <w:szCs w:val="1"/>
                <w:color w:val="auto"/>
              </w:rPr>
            </w:pPr>
          </w:p>
        </w:tc>
      </w:tr>
      <w:tr>
        <w:trPr>
          <w:trHeight w:val="131"/>
        </w:trPr>
        <w:tc>
          <w:tcPr>
            <w:tcW w:w="2220" w:type="dxa"/>
            <w:vAlign w:val="bottom"/>
            <w:tcBorders>
              <w:left w:val="single" w:sz="8" w:color="auto"/>
              <w:right w:val="single" w:sz="8" w:color="auto"/>
            </w:tcBorders>
          </w:tcPr>
          <w:p>
            <w:pPr>
              <w:spacing w:after="0"/>
              <w:rPr>
                <w:sz w:val="11"/>
                <w:szCs w:val="11"/>
                <w:color w:val="auto"/>
              </w:rPr>
            </w:pPr>
          </w:p>
        </w:tc>
        <w:tc>
          <w:tcPr>
            <w:tcW w:w="2200" w:type="dxa"/>
            <w:vAlign w:val="bottom"/>
            <w:tcBorders>
              <w:right w:val="single" w:sz="8" w:color="auto"/>
            </w:tcBorders>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52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2220" w:type="dxa"/>
            <w:vAlign w:val="bottom"/>
            <w:tcBorders>
              <w:left w:val="single" w:sz="8" w:color="auto"/>
              <w:right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ejection fraction</w:t>
            </w: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5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220" w:type="dxa"/>
            <w:vAlign w:val="bottom"/>
            <w:tcBorders>
              <w:left w:val="single" w:sz="8" w:color="auto"/>
              <w:right w:val="single" w:sz="8" w:color="auto"/>
            </w:tcBorders>
          </w:tcPr>
          <w:p>
            <w:pPr>
              <w:spacing w:after="0"/>
              <w:rPr>
                <w:sz w:val="24"/>
                <w:szCs w:val="24"/>
                <w:color w:val="auto"/>
              </w:rPr>
            </w:pPr>
          </w:p>
        </w:tc>
        <w:tc>
          <w:tcPr>
            <w:tcW w:w="22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Obstructive sleep apnea</w:t>
            </w:r>
          </w:p>
        </w:tc>
        <w:tc>
          <w:tcPr>
            <w:tcW w:w="940" w:type="dxa"/>
            <w:vAlign w:val="bottom"/>
          </w:tcPr>
          <w:p>
            <w:pPr>
              <w:spacing w:after="0"/>
              <w:rPr>
                <w:sz w:val="20"/>
                <w:szCs w:val="20"/>
                <w:color w:val="auto"/>
              </w:rPr>
            </w:pPr>
            <w:r>
              <w:rPr>
                <w:rFonts w:ascii="Arial" w:cs="Arial" w:eastAsia="Arial" w:hAnsi="Arial"/>
                <w:sz w:val="17"/>
                <w:szCs w:val="17"/>
                <w:color w:val="auto"/>
              </w:rPr>
              <w:t>Phase III</w:t>
            </w:r>
          </w:p>
        </w:tc>
        <w:tc>
          <w:tcPr>
            <w:tcW w:w="680" w:type="dxa"/>
            <w:vAlign w:val="bottom"/>
            <w:tcBorders>
              <w:right w:val="single" w:sz="8" w:color="auto"/>
            </w:tcBorders>
          </w:tcPr>
          <w:p>
            <w:pPr>
              <w:spacing w:after="0"/>
              <w:rPr>
                <w:sz w:val="24"/>
                <w:szCs w:val="24"/>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Granted FDA Fast Track designation</w:t>
            </w:r>
            <w:r>
              <w:rPr>
                <w:rFonts w:ascii="Arial" w:cs="Arial" w:eastAsia="Arial" w:hAnsi="Arial"/>
                <w:sz w:val="22"/>
                <w:szCs w:val="22"/>
                <w:color w:val="auto"/>
                <w:vertAlign w:val="superscript"/>
              </w:rPr>
              <w:t>(2)</w:t>
            </w:r>
            <w:r>
              <w:rPr>
                <w:rFonts w:ascii="Arial" w:cs="Arial" w:eastAsia="Arial" w:hAnsi="Arial"/>
                <w:sz w:val="17"/>
                <w:szCs w:val="17"/>
                <w:color w:val="auto"/>
              </w:rPr>
              <w:t>. Phase III trial is ongoing.</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5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1"/>
        </w:trPr>
        <w:tc>
          <w:tcPr>
            <w:tcW w:w="2220" w:type="dxa"/>
            <w:vAlign w:val="bottom"/>
            <w:tcBorders>
              <w:left w:val="single" w:sz="8" w:color="auto"/>
              <w:right w:val="single" w:sz="8" w:color="auto"/>
            </w:tcBorders>
          </w:tcPr>
          <w:p>
            <w:pPr>
              <w:spacing w:after="0"/>
              <w:rPr>
                <w:sz w:val="24"/>
                <w:szCs w:val="24"/>
                <w:color w:val="auto"/>
              </w:rPr>
            </w:pPr>
          </w:p>
        </w:tc>
        <w:tc>
          <w:tcPr>
            <w:tcW w:w="22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Nonalcoholic steatohepatitis</w:t>
            </w:r>
          </w:p>
        </w:tc>
        <w:tc>
          <w:tcPr>
            <w:tcW w:w="940" w:type="dxa"/>
            <w:vAlign w:val="bottom"/>
          </w:tcPr>
          <w:p>
            <w:pPr>
              <w:spacing w:after="0"/>
              <w:rPr>
                <w:sz w:val="20"/>
                <w:szCs w:val="20"/>
                <w:color w:val="auto"/>
              </w:rPr>
            </w:pPr>
            <w:r>
              <w:rPr>
                <w:rFonts w:ascii="Arial" w:cs="Arial" w:eastAsia="Arial" w:hAnsi="Arial"/>
                <w:sz w:val="17"/>
                <w:szCs w:val="17"/>
                <w:color w:val="auto"/>
              </w:rPr>
              <w:t>Phase II</w:t>
            </w:r>
          </w:p>
        </w:tc>
        <w:tc>
          <w:tcPr>
            <w:tcW w:w="680" w:type="dxa"/>
            <w:vAlign w:val="bottom"/>
            <w:tcBorders>
              <w:right w:val="single" w:sz="8" w:color="auto"/>
            </w:tcBorders>
          </w:tcPr>
          <w:p>
            <w:pPr>
              <w:spacing w:after="0"/>
              <w:rPr>
                <w:sz w:val="24"/>
                <w:szCs w:val="24"/>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92"/>
        </w:trPr>
        <w:tc>
          <w:tcPr>
            <w:tcW w:w="2220" w:type="dxa"/>
            <w:vAlign w:val="bottom"/>
            <w:tcBorders>
              <w:left w:val="single" w:sz="8" w:color="auto"/>
              <w:bottom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5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Insulin Efsitora Alfa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Type 1 and 2 diabetes</w:t>
            </w:r>
          </w:p>
        </w:tc>
        <w:tc>
          <w:tcPr>
            <w:tcW w:w="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III</w:t>
            </w:r>
          </w:p>
        </w:tc>
        <w:tc>
          <w:tcPr>
            <w:tcW w:w="680" w:type="dxa"/>
            <w:vAlign w:val="bottom"/>
            <w:tcBorders>
              <w:bottom w:val="single" w:sz="8" w:color="auto"/>
              <w:right w:val="single" w:sz="8" w:color="auto"/>
            </w:tcBorders>
          </w:tcPr>
          <w:p>
            <w:pPr>
              <w:spacing w:after="0"/>
              <w:rPr>
                <w:sz w:val="18"/>
                <w:szCs w:val="18"/>
                <w:color w:val="auto"/>
              </w:rPr>
            </w:pP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Phase III trials are ongoing.</w:t>
            </w:r>
          </w:p>
        </w:tc>
        <w:tc>
          <w:tcPr>
            <w:tcW w:w="0" w:type="dxa"/>
            <w:vAlign w:val="bottom"/>
          </w:tcPr>
          <w:p>
            <w:pPr>
              <w:spacing w:after="0"/>
              <w:rPr>
                <w:sz w:val="1"/>
                <w:szCs w:val="1"/>
                <w:color w:val="auto"/>
              </w:rPr>
            </w:pPr>
          </w:p>
        </w:tc>
      </w:tr>
      <w:tr>
        <w:trPr>
          <w:trHeight w:val="302"/>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Orforglipron</w:t>
            </w:r>
          </w:p>
        </w:tc>
        <w:tc>
          <w:tcPr>
            <w:tcW w:w="22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Obesity</w:t>
            </w:r>
          </w:p>
        </w:tc>
        <w:tc>
          <w:tcPr>
            <w:tcW w:w="940" w:type="dxa"/>
            <w:vAlign w:val="bottom"/>
          </w:tcPr>
          <w:p>
            <w:pPr>
              <w:spacing w:after="0"/>
              <w:rPr>
                <w:sz w:val="20"/>
                <w:szCs w:val="20"/>
                <w:color w:val="auto"/>
              </w:rPr>
            </w:pPr>
            <w:r>
              <w:rPr>
                <w:rFonts w:ascii="Arial" w:cs="Arial" w:eastAsia="Arial" w:hAnsi="Arial"/>
                <w:sz w:val="17"/>
                <w:szCs w:val="17"/>
                <w:color w:val="auto"/>
              </w:rPr>
              <w:t>Phase III</w:t>
            </w:r>
          </w:p>
        </w:tc>
        <w:tc>
          <w:tcPr>
            <w:tcW w:w="680" w:type="dxa"/>
            <w:vAlign w:val="bottom"/>
            <w:tcBorders>
              <w:right w:val="single" w:sz="8" w:color="auto"/>
            </w:tcBorders>
          </w:tcPr>
          <w:p>
            <w:pPr>
              <w:spacing w:after="0"/>
              <w:rPr>
                <w:sz w:val="24"/>
                <w:szCs w:val="24"/>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Phase III trials initiated in the second quarter of 2023.</w:t>
            </w:r>
          </w:p>
        </w:tc>
        <w:tc>
          <w:tcPr>
            <w:tcW w:w="0" w:type="dxa"/>
            <w:vAlign w:val="bottom"/>
          </w:tcPr>
          <w:p>
            <w:pPr>
              <w:spacing w:after="0"/>
              <w:rPr>
                <w:sz w:val="1"/>
                <w:szCs w:val="1"/>
                <w:color w:val="auto"/>
              </w:rPr>
            </w:pPr>
          </w:p>
        </w:tc>
      </w:tr>
      <w:tr>
        <w:trPr>
          <w:trHeight w:val="92"/>
        </w:trPr>
        <w:tc>
          <w:tcPr>
            <w:tcW w:w="2220" w:type="dxa"/>
            <w:vAlign w:val="bottom"/>
            <w:tcBorders>
              <w:left w:val="single" w:sz="8" w:color="auto"/>
              <w:right w:val="single" w:sz="8" w:color="auto"/>
            </w:tcBorders>
            <w:vMerge w:val="continue"/>
          </w:tcPr>
          <w:p>
            <w:pPr>
              <w:spacing w:after="0"/>
              <w:rPr>
                <w:sz w:val="7"/>
                <w:szCs w:val="7"/>
                <w:color w:val="auto"/>
              </w:rPr>
            </w:pPr>
          </w:p>
        </w:tc>
        <w:tc>
          <w:tcPr>
            <w:tcW w:w="220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5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220" w:type="dxa"/>
            <w:vAlign w:val="bottom"/>
            <w:tcBorders>
              <w:left w:val="single" w:sz="8" w:color="auto"/>
              <w:bottom w:val="single" w:sz="8" w:color="auto"/>
              <w:right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Type 2 diabetes</w:t>
            </w:r>
          </w:p>
        </w:tc>
        <w:tc>
          <w:tcPr>
            <w:tcW w:w="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III</w:t>
            </w:r>
          </w:p>
        </w:tc>
        <w:tc>
          <w:tcPr>
            <w:tcW w:w="680" w:type="dxa"/>
            <w:vAlign w:val="bottom"/>
            <w:tcBorders>
              <w:bottom w:val="single" w:sz="8" w:color="auto"/>
              <w:right w:val="single" w:sz="8" w:color="auto"/>
            </w:tcBorders>
          </w:tcPr>
          <w:p>
            <w:pPr>
              <w:spacing w:after="0"/>
              <w:rPr>
                <w:sz w:val="20"/>
                <w:szCs w:val="20"/>
                <w:color w:val="auto"/>
              </w:rPr>
            </w:pP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Phase III trial initiated in the second quarter of 2023.</w:t>
            </w:r>
          </w:p>
        </w:tc>
        <w:tc>
          <w:tcPr>
            <w:tcW w:w="0" w:type="dxa"/>
            <w:vAlign w:val="bottom"/>
          </w:tcPr>
          <w:p>
            <w:pPr>
              <w:spacing w:after="0"/>
              <w:rPr>
                <w:sz w:val="1"/>
                <w:szCs w:val="1"/>
                <w:color w:val="auto"/>
              </w:rPr>
            </w:pPr>
          </w:p>
        </w:tc>
      </w:tr>
      <w:tr>
        <w:trPr>
          <w:trHeight w:val="308"/>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Retatrutide</w:t>
            </w:r>
          </w:p>
        </w:tc>
        <w:tc>
          <w:tcPr>
            <w:tcW w:w="22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Obesity</w:t>
            </w:r>
          </w:p>
        </w:tc>
        <w:tc>
          <w:tcPr>
            <w:tcW w:w="940" w:type="dxa"/>
            <w:vAlign w:val="bottom"/>
          </w:tcPr>
          <w:p>
            <w:pPr>
              <w:spacing w:after="0"/>
              <w:rPr>
                <w:sz w:val="20"/>
                <w:szCs w:val="20"/>
                <w:color w:val="auto"/>
              </w:rPr>
            </w:pPr>
            <w:r>
              <w:rPr>
                <w:rFonts w:ascii="Arial" w:cs="Arial" w:eastAsia="Arial" w:hAnsi="Arial"/>
                <w:sz w:val="17"/>
                <w:szCs w:val="17"/>
                <w:color w:val="auto"/>
              </w:rPr>
              <w:t>Phase III</w:t>
            </w:r>
          </w:p>
        </w:tc>
        <w:tc>
          <w:tcPr>
            <w:tcW w:w="680" w:type="dxa"/>
            <w:vAlign w:val="bottom"/>
            <w:tcBorders>
              <w:right w:val="single" w:sz="8" w:color="auto"/>
            </w:tcBorders>
          </w:tcPr>
          <w:p>
            <w:pPr>
              <w:spacing w:after="0"/>
              <w:rPr>
                <w:sz w:val="24"/>
                <w:szCs w:val="24"/>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Phase III trials initiated in the second quarter of 2023.</w:t>
            </w:r>
          </w:p>
        </w:tc>
        <w:tc>
          <w:tcPr>
            <w:tcW w:w="0" w:type="dxa"/>
            <w:vAlign w:val="bottom"/>
          </w:tcPr>
          <w:p>
            <w:pPr>
              <w:spacing w:after="0"/>
              <w:rPr>
                <w:sz w:val="1"/>
                <w:szCs w:val="1"/>
                <w:color w:val="auto"/>
              </w:rPr>
            </w:pPr>
          </w:p>
        </w:tc>
      </w:tr>
      <w:tr>
        <w:trPr>
          <w:trHeight w:val="92"/>
        </w:trPr>
        <w:tc>
          <w:tcPr>
            <w:tcW w:w="2220" w:type="dxa"/>
            <w:vAlign w:val="bottom"/>
            <w:tcBorders>
              <w:left w:val="single" w:sz="8" w:color="auto"/>
              <w:right w:val="single" w:sz="8" w:color="auto"/>
            </w:tcBorders>
            <w:vMerge w:val="continue"/>
          </w:tcPr>
          <w:p>
            <w:pPr>
              <w:spacing w:after="0"/>
              <w:rPr>
                <w:sz w:val="7"/>
                <w:szCs w:val="7"/>
                <w:color w:val="auto"/>
              </w:rPr>
            </w:pPr>
          </w:p>
        </w:tc>
        <w:tc>
          <w:tcPr>
            <w:tcW w:w="220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5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220" w:type="dxa"/>
            <w:vAlign w:val="bottom"/>
            <w:tcBorders>
              <w:left w:val="single" w:sz="8" w:color="auto"/>
              <w:bottom w:val="single" w:sz="8" w:color="auto"/>
              <w:right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Type 2 diabetes</w:t>
            </w:r>
          </w:p>
        </w:tc>
        <w:tc>
          <w:tcPr>
            <w:tcW w:w="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w:t>
            </w:r>
          </w:p>
        </w:tc>
        <w:tc>
          <w:tcPr>
            <w:tcW w:w="680" w:type="dxa"/>
            <w:vAlign w:val="bottom"/>
            <w:tcBorders>
              <w:bottom w:val="single" w:sz="8" w:color="auto"/>
              <w:right w:val="single" w:sz="8" w:color="auto"/>
            </w:tcBorders>
          </w:tcPr>
          <w:p>
            <w:pPr>
              <w:spacing w:after="0"/>
              <w:rPr>
                <w:sz w:val="20"/>
                <w:szCs w:val="20"/>
                <w:color w:val="auto"/>
              </w:rPr>
            </w:pP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Phase II trial was completed.</w:t>
            </w:r>
          </w:p>
        </w:tc>
        <w:tc>
          <w:tcPr>
            <w:tcW w:w="0" w:type="dxa"/>
            <w:vAlign w:val="bottom"/>
          </w:tcPr>
          <w:p>
            <w:pPr>
              <w:spacing w:after="0"/>
              <w:rPr>
                <w:sz w:val="1"/>
                <w:szCs w:val="1"/>
                <w:color w:val="auto"/>
              </w:rPr>
            </w:pPr>
          </w:p>
        </w:tc>
      </w:tr>
      <w:tr>
        <w:trPr>
          <w:trHeight w:val="181"/>
        </w:trPr>
        <w:tc>
          <w:tcPr>
            <w:tcW w:w="2220" w:type="dxa"/>
            <w:vAlign w:val="bottom"/>
            <w:tcBorders>
              <w:left w:val="single" w:sz="8" w:color="auto"/>
              <w:right w:val="single" w:sz="8" w:color="auto"/>
            </w:tcBorders>
          </w:tcPr>
          <w:p>
            <w:pPr>
              <w:ind w:left="40"/>
              <w:spacing w:after="0" w:line="180" w:lineRule="exact"/>
              <w:rPr>
                <w:sz w:val="20"/>
                <w:szCs w:val="20"/>
                <w:color w:val="auto"/>
              </w:rPr>
            </w:pPr>
            <w:r>
              <w:rPr>
                <w:rFonts w:ascii="Arial" w:cs="Arial" w:eastAsia="Arial" w:hAnsi="Arial"/>
                <w:sz w:val="17"/>
                <w:szCs w:val="17"/>
                <w:color w:val="auto"/>
              </w:rPr>
              <w:t>Lepodisiran</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Cardiovascular disease</w:t>
            </w:r>
          </w:p>
        </w:tc>
        <w:tc>
          <w:tcPr>
            <w:tcW w:w="940" w:type="dxa"/>
            <w:vAlign w:val="bottom"/>
            <w:vMerge w:val="restart"/>
          </w:tcPr>
          <w:p>
            <w:pPr>
              <w:spacing w:after="0"/>
              <w:rPr>
                <w:sz w:val="20"/>
                <w:szCs w:val="20"/>
                <w:color w:val="auto"/>
              </w:rPr>
            </w:pPr>
            <w:r>
              <w:rPr>
                <w:rFonts w:ascii="Arial" w:cs="Arial" w:eastAsia="Arial" w:hAnsi="Arial"/>
                <w:sz w:val="17"/>
                <w:szCs w:val="17"/>
                <w:color w:val="auto"/>
              </w:rPr>
              <w:t>Phase II</w:t>
            </w:r>
          </w:p>
        </w:tc>
        <w:tc>
          <w:tcPr>
            <w:tcW w:w="680" w:type="dxa"/>
            <w:vAlign w:val="bottom"/>
            <w:tcBorders>
              <w:right w:val="single" w:sz="8" w:color="auto"/>
            </w:tcBorders>
          </w:tcPr>
          <w:p>
            <w:pPr>
              <w:spacing w:after="0"/>
              <w:rPr>
                <w:sz w:val="15"/>
                <w:szCs w:val="15"/>
                <w:color w:val="auto"/>
              </w:rPr>
            </w:pPr>
          </w:p>
        </w:tc>
        <w:tc>
          <w:tcPr>
            <w:tcW w:w="5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127"/>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(LP(a) siRNA)</w:t>
            </w:r>
          </w:p>
        </w:tc>
        <w:tc>
          <w:tcPr>
            <w:tcW w:w="2200" w:type="dxa"/>
            <w:vAlign w:val="bottom"/>
            <w:tcBorders>
              <w:right w:val="single" w:sz="8" w:color="auto"/>
            </w:tcBorders>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52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2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20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5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Muvalaplin</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Cardiovascular disease</w:t>
            </w:r>
          </w:p>
        </w:tc>
        <w:tc>
          <w:tcPr>
            <w:tcW w:w="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w:t>
            </w:r>
          </w:p>
        </w:tc>
        <w:tc>
          <w:tcPr>
            <w:tcW w:w="680" w:type="dxa"/>
            <w:vAlign w:val="bottom"/>
            <w:tcBorders>
              <w:bottom w:val="single" w:sz="8" w:color="auto"/>
              <w:right w:val="single" w:sz="8" w:color="auto"/>
            </w:tcBorders>
          </w:tcPr>
          <w:p>
            <w:pPr>
              <w:spacing w:after="0"/>
              <w:rPr>
                <w:sz w:val="18"/>
                <w:szCs w:val="18"/>
                <w:color w:val="auto"/>
              </w:rPr>
            </w:pP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219"/>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Relaxin-LA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Heart failure</w:t>
            </w:r>
          </w:p>
        </w:tc>
        <w:tc>
          <w:tcPr>
            <w:tcW w:w="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w:t>
            </w:r>
          </w:p>
        </w:tc>
        <w:tc>
          <w:tcPr>
            <w:tcW w:w="680" w:type="dxa"/>
            <w:vAlign w:val="bottom"/>
            <w:tcBorders>
              <w:bottom w:val="single" w:sz="8" w:color="auto"/>
              <w:right w:val="single" w:sz="8" w:color="auto"/>
            </w:tcBorders>
          </w:tcPr>
          <w:p>
            <w:pPr>
              <w:spacing w:after="0"/>
              <w:rPr>
                <w:sz w:val="19"/>
                <w:szCs w:val="19"/>
                <w:color w:val="auto"/>
              </w:rPr>
            </w:pP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Phase II trial initiated in the first quarter of 2023.</w:t>
            </w:r>
          </w:p>
        </w:tc>
        <w:tc>
          <w:tcPr>
            <w:tcW w:w="0" w:type="dxa"/>
            <w:vAlign w:val="bottom"/>
          </w:tcPr>
          <w:p>
            <w:pPr>
              <w:spacing w:after="0"/>
              <w:rPr>
                <w:sz w:val="1"/>
                <w:szCs w:val="1"/>
                <w:color w:val="auto"/>
              </w:rPr>
            </w:pPr>
          </w:p>
        </w:tc>
      </w:tr>
      <w:tr>
        <w:trPr>
          <w:trHeight w:val="219"/>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Solbinsiran</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Cardiovascular disease</w:t>
            </w:r>
          </w:p>
        </w:tc>
        <w:tc>
          <w:tcPr>
            <w:tcW w:w="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w:t>
            </w:r>
          </w:p>
        </w:tc>
        <w:tc>
          <w:tcPr>
            <w:tcW w:w="680" w:type="dxa"/>
            <w:vAlign w:val="bottom"/>
            <w:tcBorders>
              <w:bottom w:val="single" w:sz="8" w:color="auto"/>
              <w:right w:val="single" w:sz="8" w:color="auto"/>
            </w:tcBorders>
          </w:tcPr>
          <w:p>
            <w:pPr>
              <w:spacing w:after="0"/>
              <w:rPr>
                <w:sz w:val="19"/>
                <w:szCs w:val="19"/>
                <w:color w:val="auto"/>
              </w:rPr>
            </w:pP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818"/>
        </w:trPr>
        <w:tc>
          <w:tcPr>
            <w:tcW w:w="2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jc w:val="right"/>
              <w:ind w:right="234"/>
              <w:spacing w:after="0"/>
              <w:rPr>
                <w:sz w:val="20"/>
                <w:szCs w:val="20"/>
                <w:color w:val="auto"/>
              </w:rPr>
            </w:pPr>
            <w:r>
              <w:rPr>
                <w:rFonts w:ascii="Arial" w:cs="Arial" w:eastAsia="Arial" w:hAnsi="Arial"/>
                <w:sz w:val="17"/>
                <w:szCs w:val="17"/>
                <w:color w:val="auto"/>
              </w:rPr>
              <w:t>37</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22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5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37" w:name="page38"/>
    <w:bookmarkEnd w:id="37"/>
    <w:tbl>
      <w:tblPr>
        <w:tblLayout w:type="fixed"/>
        <w:tblInd w:w="10" w:type="dxa"/>
        <w:tblCellMar>
          <w:top w:w="0" w:type="dxa"/>
          <w:left w:w="0" w:type="dxa"/>
          <w:bottom w:w="0" w:type="dxa"/>
          <w:right w:w="0" w:type="dxa"/>
        </w:tblCellMar>
      </w:tblPr>
      <w:tr>
        <w:trPr>
          <w:trHeight w:val="232"/>
        </w:trPr>
        <w:tc>
          <w:tcPr>
            <w:tcW w:w="22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7"/>
                <w:szCs w:val="17"/>
                <w:b w:val="1"/>
                <w:bCs w:val="1"/>
                <w:color w:val="auto"/>
              </w:rPr>
              <w:t>Compound</w:t>
            </w:r>
          </w:p>
        </w:tc>
        <w:tc>
          <w:tcPr>
            <w:tcW w:w="220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7"/>
                <w:szCs w:val="17"/>
                <w:b w:val="1"/>
                <w:bCs w:val="1"/>
                <w:color w:val="auto"/>
              </w:rPr>
              <w:t>Indication</w:t>
            </w:r>
          </w:p>
        </w:tc>
        <w:tc>
          <w:tcPr>
            <w:tcW w:w="940" w:type="dxa"/>
            <w:vAlign w:val="bottom"/>
            <w:tcBorders>
              <w:top w:val="single" w:sz="8" w:color="auto"/>
              <w:bottom w:val="single" w:sz="8" w:color="auto"/>
            </w:tcBorders>
            <w:shd w:val="clear" w:color="auto" w:fill="D8D8D8"/>
          </w:tcPr>
          <w:p>
            <w:pPr>
              <w:spacing w:after="0"/>
              <w:rPr>
                <w:sz w:val="20"/>
                <w:szCs w:val="20"/>
                <w:color w:val="auto"/>
              </w:rPr>
            </w:pPr>
            <w:r>
              <w:rPr>
                <w:rFonts w:ascii="Arial" w:cs="Arial" w:eastAsia="Arial" w:hAnsi="Arial"/>
                <w:sz w:val="17"/>
                <w:szCs w:val="17"/>
                <w:b w:val="1"/>
                <w:bCs w:val="1"/>
                <w:color w:val="auto"/>
              </w:rPr>
              <w:t>Status</w:t>
            </w:r>
          </w:p>
        </w:tc>
        <w:tc>
          <w:tcPr>
            <w:tcW w:w="680" w:type="dxa"/>
            <w:vAlign w:val="bottom"/>
            <w:tcBorders>
              <w:top w:val="single" w:sz="8" w:color="auto"/>
              <w:bottom w:val="single" w:sz="8" w:color="auto"/>
              <w:right w:val="single" w:sz="8" w:color="auto"/>
            </w:tcBorders>
            <w:shd w:val="clear" w:color="auto" w:fill="D8D8D8"/>
          </w:tcPr>
          <w:p>
            <w:pPr>
              <w:spacing w:after="0"/>
              <w:rPr>
                <w:sz w:val="20"/>
                <w:szCs w:val="20"/>
                <w:color w:val="auto"/>
              </w:rPr>
            </w:pPr>
          </w:p>
        </w:tc>
        <w:tc>
          <w:tcPr>
            <w:tcW w:w="52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7"/>
                <w:szCs w:val="17"/>
                <w:b w:val="1"/>
                <w:bCs w:val="1"/>
                <w:color w:val="auto"/>
              </w:rPr>
              <w:t>Developments</w:t>
            </w:r>
          </w:p>
        </w:tc>
        <w:tc>
          <w:tcPr>
            <w:tcW w:w="0" w:type="dxa"/>
            <w:vAlign w:val="bottom"/>
          </w:tcPr>
          <w:p>
            <w:pPr>
              <w:spacing w:after="0"/>
              <w:rPr>
                <w:sz w:val="1"/>
                <w:szCs w:val="1"/>
                <w:color w:val="auto"/>
              </w:rPr>
            </w:pPr>
          </w:p>
        </w:tc>
      </w:tr>
      <w:tr>
        <w:trPr>
          <w:trHeight w:val="225"/>
        </w:trPr>
        <w:tc>
          <w:tcPr>
            <w:tcW w:w="2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b w:val="1"/>
                <w:bCs w:val="1"/>
                <w:color w:val="auto"/>
              </w:rPr>
              <w:t>Immunology</w:t>
            </w:r>
          </w:p>
        </w:tc>
        <w:tc>
          <w:tcPr>
            <w:tcW w:w="2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220" w:type="dxa"/>
            <w:vAlign w:val="bottom"/>
            <w:tcBorders>
              <w:left w:val="single" w:sz="8" w:color="auto"/>
              <w:right w:val="single" w:sz="8" w:color="auto"/>
            </w:tcBorders>
          </w:tcPr>
          <w:p>
            <w:pPr>
              <w:spacing w:after="0"/>
              <w:rPr>
                <w:sz w:val="21"/>
                <w:szCs w:val="21"/>
                <w:color w:val="auto"/>
              </w:rPr>
            </w:pPr>
          </w:p>
        </w:tc>
        <w:tc>
          <w:tcPr>
            <w:tcW w:w="2200" w:type="dxa"/>
            <w:vAlign w:val="bottom"/>
            <w:tcBorders>
              <w:righ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Approved in Japan in the first quarter of 2023 and in Europe in the</w:t>
            </w:r>
          </w:p>
        </w:tc>
        <w:tc>
          <w:tcPr>
            <w:tcW w:w="0" w:type="dxa"/>
            <w:vAlign w:val="bottom"/>
          </w:tcPr>
          <w:p>
            <w:pPr>
              <w:spacing w:after="0"/>
              <w:rPr>
                <w:sz w:val="1"/>
                <w:szCs w:val="1"/>
                <w:color w:val="auto"/>
              </w:rPr>
            </w:pPr>
          </w:p>
        </w:tc>
      </w:tr>
      <w:tr>
        <w:trPr>
          <w:trHeight w:val="168"/>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Mirikizumab</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Ulcerative colitis</w:t>
            </w:r>
          </w:p>
        </w:tc>
        <w:tc>
          <w:tcPr>
            <w:tcW w:w="940" w:type="dxa"/>
            <w:vAlign w:val="bottom"/>
            <w:vMerge w:val="restart"/>
          </w:tcPr>
          <w:p>
            <w:pPr>
              <w:spacing w:after="0"/>
              <w:rPr>
                <w:sz w:val="20"/>
                <w:szCs w:val="20"/>
                <w:color w:val="auto"/>
              </w:rPr>
            </w:pPr>
            <w:r>
              <w:rPr>
                <w:rFonts w:ascii="Arial" w:cs="Arial" w:eastAsia="Arial" w:hAnsi="Arial"/>
                <w:sz w:val="17"/>
                <w:szCs w:val="17"/>
                <w:color w:val="auto"/>
              </w:rPr>
              <w:t>Approved</w:t>
            </w:r>
          </w:p>
        </w:tc>
        <w:tc>
          <w:tcPr>
            <w:tcW w:w="680" w:type="dxa"/>
            <w:vAlign w:val="bottom"/>
            <w:tcBorders>
              <w:right w:val="single" w:sz="8" w:color="auto"/>
            </w:tcBorders>
          </w:tcPr>
          <w:p>
            <w:pPr>
              <w:spacing w:after="0"/>
              <w:rPr>
                <w:sz w:val="14"/>
                <w:szCs w:val="14"/>
                <w:color w:val="auto"/>
              </w:rPr>
            </w:pPr>
          </w:p>
        </w:tc>
        <w:tc>
          <w:tcPr>
            <w:tcW w:w="5220" w:type="dxa"/>
            <w:vAlign w:val="bottom"/>
            <w:tcBorders>
              <w:right w:val="single" w:sz="8" w:color="auto"/>
            </w:tcBorders>
          </w:tcPr>
          <w:p>
            <w:pPr>
              <w:ind w:left="20"/>
              <w:spacing w:after="0" w:line="168" w:lineRule="exact"/>
              <w:rPr>
                <w:sz w:val="20"/>
                <w:szCs w:val="20"/>
                <w:color w:val="auto"/>
              </w:rPr>
            </w:pPr>
            <w:r>
              <w:rPr>
                <w:rFonts w:ascii="Arial" w:cs="Arial" w:eastAsia="Arial" w:hAnsi="Arial"/>
                <w:sz w:val="17"/>
                <w:szCs w:val="17"/>
                <w:color w:val="auto"/>
              </w:rPr>
              <w:t>second quarter of 2023. Following the receipt of a complete</w:t>
            </w:r>
          </w:p>
        </w:tc>
        <w:tc>
          <w:tcPr>
            <w:tcW w:w="0" w:type="dxa"/>
            <w:vAlign w:val="bottom"/>
          </w:tcPr>
          <w:p>
            <w:pPr>
              <w:spacing w:after="0"/>
              <w:rPr>
                <w:sz w:val="1"/>
                <w:szCs w:val="1"/>
                <w:color w:val="auto"/>
              </w:rPr>
            </w:pPr>
          </w:p>
        </w:tc>
      </w:tr>
      <w:tr>
        <w:trPr>
          <w:trHeight w:val="168"/>
        </w:trPr>
        <w:tc>
          <w:tcPr>
            <w:tcW w:w="2220" w:type="dxa"/>
            <w:vAlign w:val="bottom"/>
            <w:tcBorders>
              <w:left w:val="single" w:sz="8" w:color="auto"/>
              <w:right w:val="single" w:sz="8" w:color="auto"/>
            </w:tcBorders>
            <w:vMerge w:val="continue"/>
          </w:tcPr>
          <w:p>
            <w:pPr>
              <w:spacing w:after="0"/>
              <w:rPr>
                <w:sz w:val="14"/>
                <w:szCs w:val="14"/>
                <w:color w:val="auto"/>
              </w:rPr>
            </w:pPr>
          </w:p>
        </w:tc>
        <w:tc>
          <w:tcPr>
            <w:tcW w:w="2200" w:type="dxa"/>
            <w:vAlign w:val="bottom"/>
            <w:tcBorders>
              <w:right w:val="single" w:sz="8" w:color="auto"/>
            </w:tcBorders>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522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7"/>
                <w:szCs w:val="17"/>
                <w:color w:val="auto"/>
              </w:rPr>
              <w:t>response letter from the FDA, re-submitted in the U.S. in the</w:t>
            </w:r>
          </w:p>
        </w:tc>
        <w:tc>
          <w:tcPr>
            <w:tcW w:w="0" w:type="dxa"/>
            <w:vAlign w:val="bottom"/>
          </w:tcPr>
          <w:p>
            <w:pPr>
              <w:spacing w:after="0"/>
              <w:rPr>
                <w:sz w:val="1"/>
                <w:szCs w:val="1"/>
                <w:color w:val="auto"/>
              </w:rPr>
            </w:pPr>
          </w:p>
        </w:tc>
      </w:tr>
      <w:tr>
        <w:trPr>
          <w:trHeight w:val="293"/>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(Omvoh</w:t>
            </w:r>
            <w:r>
              <w:rPr>
                <w:rFonts w:ascii="Arial" w:cs="Arial" w:eastAsia="Arial" w:hAnsi="Arial"/>
                <w:sz w:val="22"/>
                <w:szCs w:val="22"/>
                <w:color w:val="auto"/>
                <w:vertAlign w:val="superscript"/>
              </w:rPr>
              <w:t>®</w:t>
            </w:r>
            <w:r>
              <w:rPr>
                <w:rFonts w:ascii="Arial" w:cs="Arial" w:eastAsia="Arial" w:hAnsi="Arial"/>
                <w:sz w:val="17"/>
                <w:szCs w:val="17"/>
                <w:color w:val="auto"/>
              </w:rPr>
              <w:t>)</w:t>
            </w:r>
          </w:p>
        </w:tc>
        <w:tc>
          <w:tcPr>
            <w:tcW w:w="2200" w:type="dxa"/>
            <w:vAlign w:val="bottom"/>
            <w:tcBorders>
              <w:righ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second quarter of 2023.</w:t>
            </w:r>
          </w:p>
        </w:tc>
        <w:tc>
          <w:tcPr>
            <w:tcW w:w="0" w:type="dxa"/>
            <w:vAlign w:val="bottom"/>
          </w:tcPr>
          <w:p>
            <w:pPr>
              <w:spacing w:after="0"/>
              <w:rPr>
                <w:sz w:val="1"/>
                <w:szCs w:val="1"/>
                <w:color w:val="auto"/>
              </w:rPr>
            </w:pPr>
          </w:p>
        </w:tc>
      </w:tr>
      <w:tr>
        <w:trPr>
          <w:trHeight w:val="30"/>
        </w:trPr>
        <w:tc>
          <w:tcPr>
            <w:tcW w:w="2220" w:type="dxa"/>
            <w:vAlign w:val="bottom"/>
            <w:tcBorders>
              <w:left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22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Crohn's Disease</w:t>
            </w:r>
          </w:p>
        </w:tc>
        <w:tc>
          <w:tcPr>
            <w:tcW w:w="940" w:type="dxa"/>
            <w:vAlign w:val="bottom"/>
          </w:tcPr>
          <w:p>
            <w:pPr>
              <w:spacing w:after="0"/>
              <w:rPr>
                <w:sz w:val="20"/>
                <w:szCs w:val="20"/>
                <w:color w:val="auto"/>
              </w:rPr>
            </w:pPr>
            <w:r>
              <w:rPr>
                <w:rFonts w:ascii="Arial" w:cs="Arial" w:eastAsia="Arial" w:hAnsi="Arial"/>
                <w:sz w:val="17"/>
                <w:szCs w:val="17"/>
                <w:color w:val="auto"/>
              </w:rPr>
              <w:t>Phase III</w:t>
            </w:r>
          </w:p>
        </w:tc>
        <w:tc>
          <w:tcPr>
            <w:tcW w:w="680" w:type="dxa"/>
            <w:vAlign w:val="bottom"/>
            <w:tcBorders>
              <w:right w:val="single" w:sz="8" w:color="auto"/>
            </w:tcBorders>
          </w:tcPr>
          <w:p>
            <w:pPr>
              <w:spacing w:after="0"/>
              <w:rPr>
                <w:sz w:val="18"/>
                <w:szCs w:val="18"/>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Phase III trials are ongoing.</w:t>
            </w:r>
          </w:p>
        </w:tc>
        <w:tc>
          <w:tcPr>
            <w:tcW w:w="0" w:type="dxa"/>
            <w:vAlign w:val="bottom"/>
          </w:tcPr>
          <w:p>
            <w:pPr>
              <w:spacing w:after="0"/>
              <w:rPr>
                <w:sz w:val="1"/>
                <w:szCs w:val="1"/>
                <w:color w:val="auto"/>
              </w:rPr>
            </w:pP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right w:val="single" w:sz="8" w:color="auto"/>
            </w:tcBorders>
          </w:tcPr>
          <w:p>
            <w:pPr>
              <w:ind w:left="40"/>
              <w:spacing w:after="0" w:line="238" w:lineRule="exact"/>
              <w:rPr>
                <w:sz w:val="20"/>
                <w:szCs w:val="20"/>
                <w:color w:val="auto"/>
              </w:rPr>
            </w:pPr>
            <w:r>
              <w:rPr>
                <w:rFonts w:ascii="Arial" w:cs="Arial" w:eastAsia="Arial" w:hAnsi="Arial"/>
                <w:sz w:val="17"/>
                <w:szCs w:val="17"/>
                <w:color w:val="auto"/>
              </w:rPr>
              <w:t>Lebrikizumab</w:t>
            </w:r>
            <w:r>
              <w:rPr>
                <w:rFonts w:ascii="Arial" w:cs="Arial" w:eastAsia="Arial" w:hAnsi="Arial"/>
                <w:sz w:val="22"/>
                <w:szCs w:val="22"/>
                <w:color w:val="auto"/>
                <w:vertAlign w:val="superscript"/>
              </w:rPr>
              <w:t>(3)</w:t>
            </w:r>
          </w:p>
        </w:tc>
        <w:tc>
          <w:tcPr>
            <w:tcW w:w="22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Atopic dermatitis</w:t>
            </w:r>
          </w:p>
        </w:tc>
        <w:tc>
          <w:tcPr>
            <w:tcW w:w="940" w:type="dxa"/>
            <w:vAlign w:val="bottom"/>
          </w:tcPr>
          <w:p>
            <w:pPr>
              <w:spacing w:after="0"/>
              <w:rPr>
                <w:sz w:val="20"/>
                <w:szCs w:val="20"/>
                <w:color w:val="auto"/>
              </w:rPr>
            </w:pPr>
            <w:r>
              <w:rPr>
                <w:rFonts w:ascii="Arial" w:cs="Arial" w:eastAsia="Arial" w:hAnsi="Arial"/>
                <w:sz w:val="17"/>
                <w:szCs w:val="17"/>
                <w:color w:val="auto"/>
              </w:rPr>
              <w:t>Submitted</w:t>
            </w:r>
          </w:p>
        </w:tc>
        <w:tc>
          <w:tcPr>
            <w:tcW w:w="680" w:type="dxa"/>
            <w:vAlign w:val="bottom"/>
            <w:tcBorders>
              <w:right w:val="single" w:sz="8" w:color="auto"/>
            </w:tcBorders>
          </w:tcPr>
          <w:p>
            <w:pPr>
              <w:spacing w:after="0"/>
              <w:rPr>
                <w:sz w:val="20"/>
                <w:szCs w:val="20"/>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Submitted in the U.S. and Europe in 2022 and in Japan in the first</w:t>
            </w: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bottom w:val="single" w:sz="8" w:color="auto"/>
              <w:right w:val="single" w:sz="8" w:color="auto"/>
            </w:tcBorders>
          </w:tcPr>
          <w:p>
            <w:pPr>
              <w:spacing w:after="0"/>
              <w:rPr>
                <w:sz w:val="12"/>
                <w:szCs w:val="12"/>
                <w:color w:val="auto"/>
              </w:rPr>
            </w:pPr>
          </w:p>
        </w:tc>
        <w:tc>
          <w:tcPr>
            <w:tcW w:w="22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5220" w:type="dxa"/>
            <w:vAlign w:val="bottom"/>
            <w:tcBorders>
              <w:bottom w:val="single" w:sz="8" w:color="auto"/>
              <w:right w:val="single" w:sz="8" w:color="auto"/>
            </w:tcBorders>
          </w:tcPr>
          <w:p>
            <w:pPr>
              <w:ind w:left="20"/>
              <w:spacing w:after="0" w:line="142" w:lineRule="exact"/>
              <w:rPr>
                <w:sz w:val="20"/>
                <w:szCs w:val="20"/>
                <w:color w:val="auto"/>
              </w:rPr>
            </w:pPr>
            <w:r>
              <w:rPr>
                <w:rFonts w:ascii="Arial" w:cs="Arial" w:eastAsia="Arial" w:hAnsi="Arial"/>
                <w:sz w:val="16"/>
                <w:szCs w:val="16"/>
                <w:color w:val="auto"/>
              </w:rPr>
              <w:t>quarter of 2023. Phase III trials are ongoing.</w:t>
            </w:r>
          </w:p>
        </w:tc>
        <w:tc>
          <w:tcPr>
            <w:tcW w:w="0" w:type="dxa"/>
            <w:vAlign w:val="bottom"/>
          </w:tcPr>
          <w:p>
            <w:pPr>
              <w:spacing w:after="0"/>
              <w:rPr>
                <w:sz w:val="1"/>
                <w:szCs w:val="1"/>
                <w:color w:val="auto"/>
              </w:rPr>
            </w:pPr>
          </w:p>
        </w:tc>
      </w:tr>
      <w:tr>
        <w:trPr>
          <w:trHeight w:val="174"/>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BTLA MAB Agonist</w:t>
            </w:r>
          </w:p>
        </w:tc>
        <w:tc>
          <w:tcPr>
            <w:tcW w:w="2200" w:type="dxa"/>
            <w:vAlign w:val="bottom"/>
            <w:tcBorders>
              <w:right w:val="single" w:sz="8" w:color="auto"/>
            </w:tcBorders>
          </w:tcPr>
          <w:p>
            <w:pPr>
              <w:spacing w:after="0" w:line="174" w:lineRule="exact"/>
              <w:rPr>
                <w:sz w:val="20"/>
                <w:szCs w:val="20"/>
                <w:color w:val="auto"/>
              </w:rPr>
            </w:pPr>
            <w:r>
              <w:rPr>
                <w:rFonts w:ascii="Arial" w:cs="Arial" w:eastAsia="Arial" w:hAnsi="Arial"/>
                <w:sz w:val="17"/>
                <w:szCs w:val="17"/>
                <w:color w:val="auto"/>
              </w:rPr>
              <w:t>Systemic lupus</w:t>
            </w:r>
          </w:p>
        </w:tc>
        <w:tc>
          <w:tcPr>
            <w:tcW w:w="940" w:type="dxa"/>
            <w:vAlign w:val="bottom"/>
            <w:vMerge w:val="restart"/>
          </w:tcPr>
          <w:p>
            <w:pPr>
              <w:spacing w:after="0"/>
              <w:rPr>
                <w:sz w:val="20"/>
                <w:szCs w:val="20"/>
                <w:color w:val="auto"/>
              </w:rPr>
            </w:pPr>
            <w:r>
              <w:rPr>
                <w:rFonts w:ascii="Arial" w:cs="Arial" w:eastAsia="Arial" w:hAnsi="Arial"/>
                <w:sz w:val="17"/>
                <w:szCs w:val="17"/>
                <w:color w:val="auto"/>
              </w:rPr>
              <w:t>Phase II</w:t>
            </w:r>
          </w:p>
        </w:tc>
        <w:tc>
          <w:tcPr>
            <w:tcW w:w="680" w:type="dxa"/>
            <w:vAlign w:val="bottom"/>
            <w:tcBorders>
              <w:right w:val="single" w:sz="8" w:color="auto"/>
            </w:tcBorders>
          </w:tcPr>
          <w:p>
            <w:pPr>
              <w:spacing w:after="0"/>
              <w:rPr>
                <w:sz w:val="15"/>
                <w:szCs w:val="15"/>
                <w:color w:val="auto"/>
              </w:rPr>
            </w:pPr>
          </w:p>
        </w:tc>
        <w:tc>
          <w:tcPr>
            <w:tcW w:w="5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127"/>
        </w:trPr>
        <w:tc>
          <w:tcPr>
            <w:tcW w:w="2220" w:type="dxa"/>
            <w:vAlign w:val="bottom"/>
            <w:tcBorders>
              <w:left w:val="single" w:sz="8" w:color="auto"/>
              <w:right w:val="single" w:sz="8" w:color="auto"/>
            </w:tcBorders>
            <w:vMerge w:val="continue"/>
          </w:tcPr>
          <w:p>
            <w:pPr>
              <w:spacing w:after="0"/>
              <w:rPr>
                <w:sz w:val="11"/>
                <w:szCs w:val="11"/>
                <w:color w:val="auto"/>
              </w:rPr>
            </w:pP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erythematosus</w:t>
            </w:r>
          </w:p>
        </w:tc>
        <w:tc>
          <w:tcPr>
            <w:tcW w:w="940" w:type="dxa"/>
            <w:vAlign w:val="bottom"/>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52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220" w:type="dxa"/>
            <w:vAlign w:val="bottom"/>
            <w:tcBorders>
              <w:left w:val="single" w:sz="8" w:color="auto"/>
              <w:bottom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vMerge w:val="continue"/>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5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Eltrekibart</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Hidradenitis suppurativa</w:t>
            </w:r>
          </w:p>
        </w:tc>
        <w:tc>
          <w:tcPr>
            <w:tcW w:w="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w:t>
            </w:r>
          </w:p>
        </w:tc>
        <w:tc>
          <w:tcPr>
            <w:tcW w:w="680" w:type="dxa"/>
            <w:vAlign w:val="bottom"/>
            <w:tcBorders>
              <w:bottom w:val="single" w:sz="8" w:color="auto"/>
              <w:right w:val="single" w:sz="8" w:color="auto"/>
            </w:tcBorders>
          </w:tcPr>
          <w:p>
            <w:pPr>
              <w:spacing w:after="0"/>
              <w:rPr>
                <w:sz w:val="18"/>
                <w:szCs w:val="18"/>
                <w:color w:val="auto"/>
              </w:rPr>
            </w:pP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Peresolimab</w:t>
            </w:r>
          </w:p>
        </w:tc>
        <w:tc>
          <w:tcPr>
            <w:tcW w:w="22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Rheumatoid arthritis</w:t>
            </w:r>
          </w:p>
        </w:tc>
        <w:tc>
          <w:tcPr>
            <w:tcW w:w="940" w:type="dxa"/>
            <w:vAlign w:val="bottom"/>
          </w:tcPr>
          <w:p>
            <w:pPr>
              <w:spacing w:after="0"/>
              <w:rPr>
                <w:sz w:val="20"/>
                <w:szCs w:val="20"/>
                <w:color w:val="auto"/>
              </w:rPr>
            </w:pPr>
            <w:r>
              <w:rPr>
                <w:rFonts w:ascii="Arial" w:cs="Arial" w:eastAsia="Arial" w:hAnsi="Arial"/>
                <w:sz w:val="17"/>
                <w:szCs w:val="17"/>
                <w:color w:val="auto"/>
              </w:rPr>
              <w:t>Phase II</w:t>
            </w:r>
          </w:p>
        </w:tc>
        <w:tc>
          <w:tcPr>
            <w:tcW w:w="680" w:type="dxa"/>
            <w:vAlign w:val="bottom"/>
            <w:tcBorders>
              <w:right w:val="single" w:sz="8" w:color="auto"/>
            </w:tcBorders>
          </w:tcPr>
          <w:p>
            <w:pPr>
              <w:spacing w:after="0"/>
              <w:rPr>
                <w:sz w:val="19"/>
                <w:szCs w:val="19"/>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b w:val="1"/>
                <w:bCs w:val="1"/>
                <w:color w:val="auto"/>
              </w:rPr>
              <w:t>Neuroscience</w:t>
            </w:r>
          </w:p>
        </w:tc>
        <w:tc>
          <w:tcPr>
            <w:tcW w:w="2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220" w:type="dxa"/>
            <w:vAlign w:val="bottom"/>
            <w:tcBorders>
              <w:left w:val="single" w:sz="8" w:color="auto"/>
              <w:right w:val="single" w:sz="8" w:color="auto"/>
            </w:tcBorders>
          </w:tcPr>
          <w:p>
            <w:pPr>
              <w:spacing w:after="0"/>
              <w:rPr>
                <w:sz w:val="22"/>
                <w:szCs w:val="22"/>
                <w:color w:val="auto"/>
              </w:rPr>
            </w:pPr>
          </w:p>
        </w:tc>
        <w:tc>
          <w:tcPr>
            <w:tcW w:w="2200" w:type="dxa"/>
            <w:vAlign w:val="bottom"/>
            <w:tcBorders>
              <w:right w:val="single" w:sz="8" w:color="auto"/>
            </w:tcBorders>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Submitted for traditional approval in the U.S. in the second quarter</w:t>
            </w:r>
          </w:p>
        </w:tc>
        <w:tc>
          <w:tcPr>
            <w:tcW w:w="0" w:type="dxa"/>
            <w:vAlign w:val="bottom"/>
          </w:tcPr>
          <w:p>
            <w:pPr>
              <w:spacing w:after="0"/>
              <w:rPr>
                <w:sz w:val="1"/>
                <w:szCs w:val="1"/>
                <w:color w:val="auto"/>
              </w:rPr>
            </w:pPr>
          </w:p>
        </w:tc>
      </w:tr>
      <w:tr>
        <w:trPr>
          <w:trHeight w:val="168"/>
        </w:trPr>
        <w:tc>
          <w:tcPr>
            <w:tcW w:w="2220" w:type="dxa"/>
            <w:vAlign w:val="bottom"/>
            <w:tcBorders>
              <w:left w:val="single" w:sz="8" w:color="auto"/>
              <w:right w:val="single" w:sz="8" w:color="auto"/>
            </w:tcBorders>
          </w:tcPr>
          <w:p>
            <w:pPr>
              <w:spacing w:after="0"/>
              <w:rPr>
                <w:sz w:val="14"/>
                <w:szCs w:val="14"/>
                <w:color w:val="auto"/>
              </w:rPr>
            </w:pP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Early Alzheimer's disease</w:t>
            </w:r>
          </w:p>
        </w:tc>
        <w:tc>
          <w:tcPr>
            <w:tcW w:w="940" w:type="dxa"/>
            <w:vAlign w:val="bottom"/>
            <w:vMerge w:val="restart"/>
          </w:tcPr>
          <w:p>
            <w:pPr>
              <w:spacing w:after="0"/>
              <w:rPr>
                <w:sz w:val="20"/>
                <w:szCs w:val="20"/>
                <w:color w:val="auto"/>
              </w:rPr>
            </w:pPr>
            <w:r>
              <w:rPr>
                <w:rFonts w:ascii="Arial" w:cs="Arial" w:eastAsia="Arial" w:hAnsi="Arial"/>
                <w:sz w:val="17"/>
                <w:szCs w:val="17"/>
                <w:color w:val="auto"/>
              </w:rPr>
              <w:t>Submitted</w:t>
            </w:r>
          </w:p>
        </w:tc>
        <w:tc>
          <w:tcPr>
            <w:tcW w:w="680" w:type="dxa"/>
            <w:vAlign w:val="bottom"/>
            <w:tcBorders>
              <w:right w:val="single" w:sz="8" w:color="auto"/>
            </w:tcBorders>
          </w:tcPr>
          <w:p>
            <w:pPr>
              <w:spacing w:after="0"/>
              <w:rPr>
                <w:sz w:val="14"/>
                <w:szCs w:val="14"/>
                <w:color w:val="auto"/>
              </w:rPr>
            </w:pPr>
          </w:p>
        </w:tc>
        <w:tc>
          <w:tcPr>
            <w:tcW w:w="522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7"/>
                <w:szCs w:val="17"/>
                <w:color w:val="auto"/>
              </w:rPr>
              <w:t>of 2023 and in Europe in July 2023. Granted FDA Breakthrough</w:t>
            </w:r>
          </w:p>
        </w:tc>
        <w:tc>
          <w:tcPr>
            <w:tcW w:w="0" w:type="dxa"/>
            <w:vAlign w:val="bottom"/>
          </w:tcPr>
          <w:p>
            <w:pPr>
              <w:spacing w:after="0"/>
              <w:rPr>
                <w:sz w:val="1"/>
                <w:szCs w:val="1"/>
                <w:color w:val="auto"/>
              </w:rPr>
            </w:pPr>
          </w:p>
        </w:tc>
      </w:tr>
      <w:tr>
        <w:trPr>
          <w:trHeight w:val="168"/>
        </w:trPr>
        <w:tc>
          <w:tcPr>
            <w:tcW w:w="2220" w:type="dxa"/>
            <w:vAlign w:val="bottom"/>
            <w:tcBorders>
              <w:left w:val="single" w:sz="8" w:color="auto"/>
              <w:right w:val="single" w:sz="8" w:color="auto"/>
            </w:tcBorders>
          </w:tcPr>
          <w:p>
            <w:pPr>
              <w:spacing w:after="0"/>
              <w:rPr>
                <w:sz w:val="14"/>
                <w:szCs w:val="14"/>
                <w:color w:val="auto"/>
              </w:rPr>
            </w:pPr>
          </w:p>
        </w:tc>
        <w:tc>
          <w:tcPr>
            <w:tcW w:w="2200" w:type="dxa"/>
            <w:vAlign w:val="bottom"/>
            <w:tcBorders>
              <w:right w:val="single" w:sz="8" w:color="auto"/>
            </w:tcBorders>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5220" w:type="dxa"/>
            <w:vAlign w:val="bottom"/>
            <w:tcBorders>
              <w:right w:val="single" w:sz="8" w:color="auto"/>
            </w:tcBorders>
          </w:tcPr>
          <w:p>
            <w:pPr>
              <w:ind w:left="20"/>
              <w:spacing w:after="0" w:line="168" w:lineRule="exact"/>
              <w:rPr>
                <w:sz w:val="20"/>
                <w:szCs w:val="20"/>
                <w:color w:val="auto"/>
              </w:rPr>
            </w:pPr>
            <w:r>
              <w:rPr>
                <w:rFonts w:ascii="Arial" w:cs="Arial" w:eastAsia="Arial" w:hAnsi="Arial"/>
                <w:sz w:val="15"/>
                <w:szCs w:val="15"/>
                <w:color w:val="auto"/>
              </w:rPr>
              <w:t>Therapy designation</w:t>
            </w:r>
            <w:r>
              <w:rPr>
                <w:rFonts w:ascii="Arial" w:cs="Arial" w:eastAsia="Arial" w:hAnsi="Arial"/>
                <w:sz w:val="19"/>
                <w:szCs w:val="19"/>
                <w:color w:val="auto"/>
                <w:vertAlign w:val="superscript"/>
              </w:rPr>
              <w:t>(4)</w:t>
            </w:r>
            <w:r>
              <w:rPr>
                <w:rFonts w:ascii="Arial" w:cs="Arial" w:eastAsia="Arial" w:hAnsi="Arial"/>
                <w:sz w:val="15"/>
                <w:szCs w:val="15"/>
                <w:color w:val="auto"/>
              </w:rPr>
              <w:t>. Announced in the second quarter of 2023</w:t>
            </w:r>
          </w:p>
        </w:tc>
        <w:tc>
          <w:tcPr>
            <w:tcW w:w="0" w:type="dxa"/>
            <w:vAlign w:val="bottom"/>
          </w:tcPr>
          <w:p>
            <w:pPr>
              <w:spacing w:after="0"/>
              <w:rPr>
                <w:sz w:val="1"/>
                <w:szCs w:val="1"/>
                <w:color w:val="auto"/>
              </w:rPr>
            </w:pPr>
          </w:p>
        </w:tc>
      </w:tr>
      <w:tr>
        <w:trPr>
          <w:trHeight w:val="206"/>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Donanemab</w:t>
            </w:r>
          </w:p>
        </w:tc>
        <w:tc>
          <w:tcPr>
            <w:tcW w:w="220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that a Phase III trial met primary and all secondary endpoints.</w:t>
            </w:r>
          </w:p>
        </w:tc>
        <w:tc>
          <w:tcPr>
            <w:tcW w:w="0" w:type="dxa"/>
            <w:vAlign w:val="bottom"/>
          </w:tcPr>
          <w:p>
            <w:pPr>
              <w:spacing w:after="0"/>
              <w:rPr>
                <w:sz w:val="1"/>
                <w:szCs w:val="1"/>
                <w:color w:val="auto"/>
              </w:rPr>
            </w:pPr>
          </w:p>
        </w:tc>
      </w:tr>
      <w:tr>
        <w:trPr>
          <w:trHeight w:val="218"/>
        </w:trPr>
        <w:tc>
          <w:tcPr>
            <w:tcW w:w="222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Phase III trials are ongoing.</w:t>
            </w:r>
          </w:p>
        </w:tc>
        <w:tc>
          <w:tcPr>
            <w:tcW w:w="0" w:type="dxa"/>
            <w:vAlign w:val="bottom"/>
          </w:tcPr>
          <w:p>
            <w:pPr>
              <w:spacing w:after="0"/>
              <w:rPr>
                <w:sz w:val="1"/>
                <w:szCs w:val="1"/>
                <w:color w:val="auto"/>
              </w:rPr>
            </w:pPr>
          </w:p>
        </w:tc>
      </w:tr>
      <w:tr>
        <w:trPr>
          <w:trHeight w:val="79"/>
        </w:trPr>
        <w:tc>
          <w:tcPr>
            <w:tcW w:w="2220" w:type="dxa"/>
            <w:vAlign w:val="bottom"/>
            <w:tcBorders>
              <w:left w:val="single" w:sz="8" w:color="auto"/>
              <w:right w:val="single" w:sz="8" w:color="auto"/>
            </w:tcBorders>
          </w:tcPr>
          <w:p>
            <w:pPr>
              <w:spacing w:after="0"/>
              <w:rPr>
                <w:sz w:val="6"/>
                <w:szCs w:val="6"/>
                <w:color w:val="auto"/>
              </w:rPr>
            </w:pPr>
          </w:p>
        </w:tc>
        <w:tc>
          <w:tcPr>
            <w:tcW w:w="2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5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220" w:type="dxa"/>
            <w:vAlign w:val="bottom"/>
            <w:tcBorders>
              <w:left w:val="single" w:sz="8" w:color="auto"/>
              <w:right w:val="single" w:sz="8" w:color="auto"/>
            </w:tcBorders>
          </w:tcPr>
          <w:p>
            <w:pPr>
              <w:spacing w:after="0"/>
              <w:rPr>
                <w:sz w:val="13"/>
                <w:szCs w:val="13"/>
                <w:color w:val="auto"/>
              </w:rPr>
            </w:pPr>
          </w:p>
        </w:tc>
        <w:tc>
          <w:tcPr>
            <w:tcW w:w="2200" w:type="dxa"/>
            <w:vAlign w:val="bottom"/>
            <w:tcBorders>
              <w:right w:val="single" w:sz="8" w:color="auto"/>
            </w:tcBorders>
          </w:tcPr>
          <w:p>
            <w:pPr>
              <w:spacing w:after="0" w:line="161" w:lineRule="exact"/>
              <w:rPr>
                <w:sz w:val="20"/>
                <w:szCs w:val="20"/>
                <w:color w:val="auto"/>
              </w:rPr>
            </w:pPr>
            <w:r>
              <w:rPr>
                <w:rFonts w:ascii="Arial" w:cs="Arial" w:eastAsia="Arial" w:hAnsi="Arial"/>
                <w:sz w:val="17"/>
                <w:szCs w:val="17"/>
                <w:color w:val="auto"/>
              </w:rPr>
              <w:t>Preclinical Alzheimer's</w:t>
            </w:r>
          </w:p>
        </w:tc>
        <w:tc>
          <w:tcPr>
            <w:tcW w:w="940" w:type="dxa"/>
            <w:vAlign w:val="bottom"/>
            <w:vMerge w:val="restart"/>
          </w:tcPr>
          <w:p>
            <w:pPr>
              <w:spacing w:after="0"/>
              <w:rPr>
                <w:sz w:val="20"/>
                <w:szCs w:val="20"/>
                <w:color w:val="auto"/>
              </w:rPr>
            </w:pPr>
            <w:r>
              <w:rPr>
                <w:rFonts w:ascii="Arial" w:cs="Arial" w:eastAsia="Arial" w:hAnsi="Arial"/>
                <w:sz w:val="17"/>
                <w:szCs w:val="17"/>
                <w:color w:val="auto"/>
              </w:rPr>
              <w:t>Phase III</w:t>
            </w:r>
          </w:p>
        </w:tc>
        <w:tc>
          <w:tcPr>
            <w:tcW w:w="680" w:type="dxa"/>
            <w:vAlign w:val="bottom"/>
            <w:tcBorders>
              <w:right w:val="single" w:sz="8" w:color="auto"/>
            </w:tcBorders>
          </w:tcPr>
          <w:p>
            <w:pPr>
              <w:spacing w:after="0"/>
              <w:rPr>
                <w:sz w:val="13"/>
                <w:szCs w:val="13"/>
                <w:color w:val="auto"/>
              </w:rPr>
            </w:pPr>
          </w:p>
        </w:tc>
        <w:tc>
          <w:tcPr>
            <w:tcW w:w="5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Phase III trial is ongoing.</w:t>
            </w:r>
          </w:p>
        </w:tc>
        <w:tc>
          <w:tcPr>
            <w:tcW w:w="0" w:type="dxa"/>
            <w:vAlign w:val="bottom"/>
          </w:tcPr>
          <w:p>
            <w:pPr>
              <w:spacing w:after="0"/>
              <w:rPr>
                <w:sz w:val="1"/>
                <w:szCs w:val="1"/>
                <w:color w:val="auto"/>
              </w:rPr>
            </w:pPr>
          </w:p>
        </w:tc>
      </w:tr>
      <w:tr>
        <w:trPr>
          <w:trHeight w:val="127"/>
        </w:trPr>
        <w:tc>
          <w:tcPr>
            <w:tcW w:w="2220" w:type="dxa"/>
            <w:vAlign w:val="bottom"/>
            <w:tcBorders>
              <w:left w:val="single" w:sz="8" w:color="auto"/>
              <w:right w:val="single" w:sz="8" w:color="auto"/>
            </w:tcBorders>
          </w:tcPr>
          <w:p>
            <w:pPr>
              <w:spacing w:after="0"/>
              <w:rPr>
                <w:sz w:val="11"/>
                <w:szCs w:val="11"/>
                <w:color w:val="auto"/>
              </w:rPr>
            </w:pP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disease</w:t>
            </w:r>
          </w:p>
        </w:tc>
        <w:tc>
          <w:tcPr>
            <w:tcW w:w="940" w:type="dxa"/>
            <w:vAlign w:val="bottom"/>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52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220" w:type="dxa"/>
            <w:vAlign w:val="bottom"/>
            <w:tcBorders>
              <w:left w:val="single" w:sz="8" w:color="auto"/>
              <w:bottom w:val="single" w:sz="8" w:color="auto"/>
              <w:right w:val="single" w:sz="8" w:color="auto"/>
            </w:tcBorders>
          </w:tcPr>
          <w:p>
            <w:pPr>
              <w:spacing w:after="0"/>
              <w:rPr>
                <w:sz w:val="8"/>
                <w:szCs w:val="8"/>
                <w:color w:val="auto"/>
              </w:rPr>
            </w:pPr>
          </w:p>
        </w:tc>
        <w:tc>
          <w:tcPr>
            <w:tcW w:w="2200" w:type="dxa"/>
            <w:vAlign w:val="bottom"/>
            <w:tcBorders>
              <w:bottom w:val="single" w:sz="8" w:color="auto"/>
              <w:right w:val="single" w:sz="8" w:color="auto"/>
            </w:tcBorders>
            <w:vMerge w:val="continue"/>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52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Remternetug</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Early Alzheimer's disease</w:t>
            </w:r>
          </w:p>
        </w:tc>
        <w:tc>
          <w:tcPr>
            <w:tcW w:w="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III</w:t>
            </w:r>
          </w:p>
        </w:tc>
        <w:tc>
          <w:tcPr>
            <w:tcW w:w="680" w:type="dxa"/>
            <w:vAlign w:val="bottom"/>
            <w:tcBorders>
              <w:bottom w:val="single" w:sz="8" w:color="auto"/>
              <w:right w:val="single" w:sz="8" w:color="auto"/>
            </w:tcBorders>
          </w:tcPr>
          <w:p>
            <w:pPr>
              <w:spacing w:after="0"/>
              <w:rPr>
                <w:sz w:val="19"/>
                <w:szCs w:val="19"/>
                <w:color w:val="auto"/>
              </w:rPr>
            </w:pP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Phase III trial is ongoing.</w:t>
            </w:r>
          </w:p>
        </w:tc>
        <w:tc>
          <w:tcPr>
            <w:tcW w:w="0" w:type="dxa"/>
            <w:vAlign w:val="bottom"/>
          </w:tcPr>
          <w:p>
            <w:pPr>
              <w:spacing w:after="0"/>
              <w:rPr>
                <w:sz w:val="1"/>
                <w:szCs w:val="1"/>
                <w:color w:val="auto"/>
              </w:rPr>
            </w:pPr>
          </w:p>
        </w:tc>
      </w:tr>
      <w:tr>
        <w:trPr>
          <w:trHeight w:val="302"/>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GBA1 Gene Therapy</w:t>
            </w:r>
          </w:p>
        </w:tc>
        <w:tc>
          <w:tcPr>
            <w:tcW w:w="22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Gaucher disease Type 1</w:t>
            </w:r>
          </w:p>
        </w:tc>
        <w:tc>
          <w:tcPr>
            <w:tcW w:w="940" w:type="dxa"/>
            <w:vAlign w:val="bottom"/>
          </w:tcPr>
          <w:p>
            <w:pPr>
              <w:spacing w:after="0"/>
              <w:rPr>
                <w:sz w:val="20"/>
                <w:szCs w:val="20"/>
                <w:color w:val="auto"/>
              </w:rPr>
            </w:pPr>
            <w:r>
              <w:rPr>
                <w:rFonts w:ascii="Arial" w:cs="Arial" w:eastAsia="Arial" w:hAnsi="Arial"/>
                <w:sz w:val="17"/>
                <w:szCs w:val="17"/>
                <w:color w:val="auto"/>
              </w:rPr>
              <w:t>Phase II</w:t>
            </w:r>
          </w:p>
        </w:tc>
        <w:tc>
          <w:tcPr>
            <w:tcW w:w="680" w:type="dxa"/>
            <w:vAlign w:val="bottom"/>
            <w:tcBorders>
              <w:right w:val="single" w:sz="8" w:color="auto"/>
            </w:tcBorders>
          </w:tcPr>
          <w:p>
            <w:pPr>
              <w:spacing w:after="0"/>
              <w:rPr>
                <w:sz w:val="24"/>
                <w:szCs w:val="24"/>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Phase II trial initiated in the second quarter of 2023.</w:t>
            </w:r>
          </w:p>
        </w:tc>
        <w:tc>
          <w:tcPr>
            <w:tcW w:w="0" w:type="dxa"/>
            <w:vAlign w:val="bottom"/>
          </w:tcPr>
          <w:p>
            <w:pPr>
              <w:spacing w:after="0"/>
              <w:rPr>
                <w:sz w:val="1"/>
                <w:szCs w:val="1"/>
                <w:color w:val="auto"/>
              </w:rPr>
            </w:pPr>
          </w:p>
        </w:tc>
      </w:tr>
      <w:tr>
        <w:trPr>
          <w:trHeight w:val="66"/>
        </w:trPr>
        <w:tc>
          <w:tcPr>
            <w:tcW w:w="2220" w:type="dxa"/>
            <w:vAlign w:val="bottom"/>
            <w:tcBorders>
              <w:left w:val="single" w:sz="8" w:color="auto"/>
              <w:right w:val="single" w:sz="8" w:color="auto"/>
            </w:tcBorders>
            <w:vMerge w:val="continue"/>
          </w:tcPr>
          <w:p>
            <w:pPr>
              <w:spacing w:after="0"/>
              <w:rPr>
                <w:sz w:val="5"/>
                <w:szCs w:val="5"/>
                <w:color w:val="auto"/>
              </w:rPr>
            </w:pPr>
          </w:p>
        </w:tc>
        <w:tc>
          <w:tcPr>
            <w:tcW w:w="2200" w:type="dxa"/>
            <w:vAlign w:val="bottom"/>
            <w:tcBorders>
              <w:right w:val="single" w:sz="8" w:color="auto"/>
            </w:tcBorders>
          </w:tcPr>
          <w:p>
            <w:pPr>
              <w:spacing w:after="0"/>
              <w:rPr>
                <w:sz w:val="5"/>
                <w:szCs w:val="5"/>
                <w:color w:val="auto"/>
              </w:rPr>
            </w:pPr>
          </w:p>
        </w:tc>
        <w:tc>
          <w:tcPr>
            <w:tcW w:w="94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5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(PR001)</w:t>
            </w:r>
          </w:p>
        </w:tc>
        <w:tc>
          <w:tcPr>
            <w:tcW w:w="22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220" w:type="dxa"/>
            <w:vAlign w:val="bottom"/>
            <w:tcBorders>
              <w:left w:val="single" w:sz="8" w:color="auto"/>
              <w:right w:val="single" w:sz="8" w:color="auto"/>
            </w:tcBorders>
            <w:vMerge w:val="continue"/>
          </w:tcPr>
          <w:p>
            <w:pPr>
              <w:spacing w:after="0"/>
              <w:rPr>
                <w:sz w:val="14"/>
                <w:szCs w:val="14"/>
                <w:color w:val="auto"/>
              </w:rPr>
            </w:pP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Parkinson's disease</w:t>
            </w:r>
          </w:p>
        </w:tc>
        <w:tc>
          <w:tcPr>
            <w:tcW w:w="940" w:type="dxa"/>
            <w:vAlign w:val="bottom"/>
            <w:vMerge w:val="restart"/>
          </w:tcPr>
          <w:p>
            <w:pPr>
              <w:spacing w:after="0"/>
              <w:rPr>
                <w:sz w:val="20"/>
                <w:szCs w:val="20"/>
                <w:color w:val="auto"/>
              </w:rPr>
            </w:pPr>
            <w:r>
              <w:rPr>
                <w:rFonts w:ascii="Arial" w:cs="Arial" w:eastAsia="Arial" w:hAnsi="Arial"/>
                <w:sz w:val="17"/>
                <w:szCs w:val="17"/>
                <w:color w:val="auto"/>
              </w:rPr>
              <w:t>Phase II</w:t>
            </w:r>
          </w:p>
        </w:tc>
        <w:tc>
          <w:tcPr>
            <w:tcW w:w="680" w:type="dxa"/>
            <w:vAlign w:val="bottom"/>
            <w:tcBorders>
              <w:right w:val="single" w:sz="8" w:color="auto"/>
            </w:tcBorders>
          </w:tcPr>
          <w:p>
            <w:pPr>
              <w:spacing w:after="0"/>
              <w:rPr>
                <w:sz w:val="14"/>
                <w:szCs w:val="14"/>
                <w:color w:val="auto"/>
              </w:rPr>
            </w:pPr>
          </w:p>
        </w:tc>
        <w:tc>
          <w:tcPr>
            <w:tcW w:w="5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Granted FDA Fast Track designation</w:t>
            </w:r>
            <w:r>
              <w:rPr>
                <w:rFonts w:ascii="Arial" w:cs="Arial" w:eastAsia="Arial" w:hAnsi="Arial"/>
                <w:sz w:val="22"/>
                <w:szCs w:val="22"/>
                <w:color w:val="auto"/>
                <w:vertAlign w:val="superscript"/>
              </w:rPr>
              <w:t>(2)</w:t>
            </w:r>
            <w:r>
              <w:rPr>
                <w:rFonts w:ascii="Arial" w:cs="Arial" w:eastAsia="Arial" w:hAnsi="Arial"/>
                <w:sz w:val="17"/>
                <w:szCs w:val="17"/>
                <w:color w:val="auto"/>
              </w:rPr>
              <w:t>. Phase II trial is ongoing.</w:t>
            </w:r>
          </w:p>
        </w:tc>
        <w:tc>
          <w:tcPr>
            <w:tcW w:w="0" w:type="dxa"/>
            <w:vAlign w:val="bottom"/>
          </w:tcPr>
          <w:p>
            <w:pPr>
              <w:spacing w:after="0"/>
              <w:rPr>
                <w:sz w:val="1"/>
                <w:szCs w:val="1"/>
                <w:color w:val="auto"/>
              </w:rPr>
            </w:pPr>
          </w:p>
        </w:tc>
      </w:tr>
      <w:tr>
        <w:trPr>
          <w:trHeight w:val="198"/>
        </w:trPr>
        <w:tc>
          <w:tcPr>
            <w:tcW w:w="2220" w:type="dxa"/>
            <w:vAlign w:val="bottom"/>
            <w:tcBorders>
              <w:left w:val="single" w:sz="8" w:color="auto"/>
              <w:right w:val="single" w:sz="8" w:color="auto"/>
            </w:tcBorders>
          </w:tcPr>
          <w:p>
            <w:pPr>
              <w:spacing w:after="0"/>
              <w:rPr>
                <w:sz w:val="17"/>
                <w:szCs w:val="17"/>
                <w:color w:val="auto"/>
              </w:rPr>
            </w:pPr>
          </w:p>
        </w:tc>
        <w:tc>
          <w:tcPr>
            <w:tcW w:w="2200" w:type="dxa"/>
            <w:vAlign w:val="bottom"/>
            <w:tcBorders>
              <w:right w:val="single" w:sz="8" w:color="auto"/>
            </w:tcBorders>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52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5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GRN Gene Therapy</w:t>
            </w:r>
          </w:p>
        </w:tc>
        <w:tc>
          <w:tcPr>
            <w:tcW w:w="22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Frontotemporal dementia</w:t>
            </w:r>
          </w:p>
        </w:tc>
        <w:tc>
          <w:tcPr>
            <w:tcW w:w="940" w:type="dxa"/>
            <w:vAlign w:val="bottom"/>
          </w:tcPr>
          <w:p>
            <w:pPr>
              <w:spacing w:after="0"/>
              <w:rPr>
                <w:sz w:val="20"/>
                <w:szCs w:val="20"/>
                <w:color w:val="auto"/>
              </w:rPr>
            </w:pPr>
            <w:r>
              <w:rPr>
                <w:rFonts w:ascii="Arial" w:cs="Arial" w:eastAsia="Arial" w:hAnsi="Arial"/>
                <w:sz w:val="17"/>
                <w:szCs w:val="17"/>
                <w:color w:val="auto"/>
              </w:rPr>
              <w:t>Phase II</w:t>
            </w:r>
          </w:p>
        </w:tc>
        <w:tc>
          <w:tcPr>
            <w:tcW w:w="680" w:type="dxa"/>
            <w:vAlign w:val="bottom"/>
            <w:tcBorders>
              <w:right w:val="single" w:sz="8" w:color="auto"/>
            </w:tcBorders>
          </w:tcPr>
          <w:p>
            <w:pPr>
              <w:spacing w:after="0"/>
              <w:rPr>
                <w:sz w:val="21"/>
                <w:szCs w:val="21"/>
                <w:color w:val="auto"/>
              </w:rPr>
            </w:pPr>
          </w:p>
        </w:tc>
        <w:tc>
          <w:tcPr>
            <w:tcW w:w="5220" w:type="dxa"/>
            <w:vAlign w:val="bottom"/>
            <w:tcBorders>
              <w:right w:val="single" w:sz="8" w:color="auto"/>
            </w:tcBorders>
          </w:tcPr>
          <w:p>
            <w:pPr>
              <w:ind w:left="20"/>
              <w:spacing w:after="0" w:line="251" w:lineRule="exact"/>
              <w:rPr>
                <w:sz w:val="20"/>
                <w:szCs w:val="20"/>
                <w:color w:val="auto"/>
              </w:rPr>
            </w:pPr>
            <w:r>
              <w:rPr>
                <w:rFonts w:ascii="Arial" w:cs="Arial" w:eastAsia="Arial" w:hAnsi="Arial"/>
                <w:sz w:val="17"/>
                <w:szCs w:val="17"/>
                <w:color w:val="auto"/>
              </w:rPr>
              <w:t>Granted FDA Fast Track designation</w:t>
            </w:r>
            <w:r>
              <w:rPr>
                <w:rFonts w:ascii="Arial" w:cs="Arial" w:eastAsia="Arial" w:hAnsi="Arial"/>
                <w:sz w:val="22"/>
                <w:szCs w:val="22"/>
                <w:color w:val="auto"/>
                <w:vertAlign w:val="superscript"/>
              </w:rPr>
              <w:t>(2)</w:t>
            </w:r>
            <w:r>
              <w:rPr>
                <w:rFonts w:ascii="Arial" w:cs="Arial" w:eastAsia="Arial" w:hAnsi="Arial"/>
                <w:sz w:val="17"/>
                <w:szCs w:val="17"/>
                <w:color w:val="auto"/>
              </w:rPr>
              <w:t>. Phase II trial is ongoing.</w:t>
            </w: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bottom w:val="single" w:sz="8" w:color="auto"/>
              <w:right w:val="single" w:sz="8" w:color="auto"/>
            </w:tcBorders>
          </w:tcPr>
          <w:p>
            <w:pPr>
              <w:ind w:left="40"/>
              <w:spacing w:after="0" w:line="142" w:lineRule="exact"/>
              <w:rPr>
                <w:sz w:val="20"/>
                <w:szCs w:val="20"/>
                <w:color w:val="auto"/>
              </w:rPr>
            </w:pPr>
            <w:r>
              <w:rPr>
                <w:rFonts w:ascii="Arial" w:cs="Arial" w:eastAsia="Arial" w:hAnsi="Arial"/>
                <w:sz w:val="16"/>
                <w:szCs w:val="16"/>
                <w:color w:val="auto"/>
              </w:rPr>
              <w:t>(PR006)</w:t>
            </w:r>
          </w:p>
        </w:tc>
        <w:tc>
          <w:tcPr>
            <w:tcW w:w="22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52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O-GlcNAcase Inh</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Alzheimer's disease</w:t>
            </w:r>
          </w:p>
        </w:tc>
        <w:tc>
          <w:tcPr>
            <w:tcW w:w="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w:t>
            </w:r>
          </w:p>
        </w:tc>
        <w:tc>
          <w:tcPr>
            <w:tcW w:w="680" w:type="dxa"/>
            <w:vAlign w:val="bottom"/>
            <w:tcBorders>
              <w:bottom w:val="single" w:sz="8" w:color="auto"/>
              <w:right w:val="single" w:sz="8" w:color="auto"/>
            </w:tcBorders>
          </w:tcPr>
          <w:p>
            <w:pPr>
              <w:spacing w:after="0"/>
              <w:rPr>
                <w:sz w:val="18"/>
                <w:szCs w:val="18"/>
                <w:color w:val="auto"/>
              </w:rPr>
            </w:pP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212"/>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P2X7 Inhibitor</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Pain</w:t>
            </w:r>
          </w:p>
        </w:tc>
        <w:tc>
          <w:tcPr>
            <w:tcW w:w="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w:t>
            </w:r>
          </w:p>
        </w:tc>
        <w:tc>
          <w:tcPr>
            <w:tcW w:w="680" w:type="dxa"/>
            <w:vAlign w:val="bottom"/>
            <w:tcBorders>
              <w:bottom w:val="single" w:sz="8" w:color="auto"/>
              <w:right w:val="single" w:sz="8" w:color="auto"/>
            </w:tcBorders>
          </w:tcPr>
          <w:p>
            <w:pPr>
              <w:spacing w:after="0"/>
              <w:rPr>
                <w:sz w:val="18"/>
                <w:szCs w:val="18"/>
                <w:color w:val="auto"/>
              </w:rPr>
            </w:pP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Phase II trials are ongoing.</w:t>
            </w:r>
          </w:p>
        </w:tc>
        <w:tc>
          <w:tcPr>
            <w:tcW w:w="0" w:type="dxa"/>
            <w:vAlign w:val="bottom"/>
          </w:tcPr>
          <w:p>
            <w:pPr>
              <w:spacing w:after="0"/>
              <w:rPr>
                <w:sz w:val="1"/>
                <w:szCs w:val="1"/>
                <w:color w:val="auto"/>
              </w:rPr>
            </w:pPr>
          </w:p>
        </w:tc>
      </w:tr>
      <w:tr>
        <w:trPr>
          <w:trHeight w:val="219"/>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SSTR4 Agonist</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Pain</w:t>
            </w:r>
          </w:p>
        </w:tc>
        <w:tc>
          <w:tcPr>
            <w:tcW w:w="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w:t>
            </w:r>
          </w:p>
        </w:tc>
        <w:tc>
          <w:tcPr>
            <w:tcW w:w="680" w:type="dxa"/>
            <w:vAlign w:val="bottom"/>
            <w:tcBorders>
              <w:bottom w:val="single" w:sz="8" w:color="auto"/>
              <w:right w:val="single" w:sz="8" w:color="auto"/>
            </w:tcBorders>
          </w:tcPr>
          <w:p>
            <w:pPr>
              <w:spacing w:after="0"/>
              <w:rPr>
                <w:sz w:val="19"/>
                <w:szCs w:val="19"/>
                <w:color w:val="auto"/>
              </w:rPr>
            </w:pP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Phase II trials are ongoing.</w:t>
            </w:r>
          </w:p>
        </w:tc>
        <w:tc>
          <w:tcPr>
            <w:tcW w:w="0" w:type="dxa"/>
            <w:vAlign w:val="bottom"/>
          </w:tcPr>
          <w:p>
            <w:pPr>
              <w:spacing w:after="0"/>
              <w:rPr>
                <w:sz w:val="1"/>
                <w:szCs w:val="1"/>
                <w:color w:val="auto"/>
              </w:rPr>
            </w:pPr>
          </w:p>
        </w:tc>
      </w:tr>
      <w:tr>
        <w:trPr>
          <w:trHeight w:val="811"/>
        </w:trPr>
        <w:tc>
          <w:tcPr>
            <w:tcW w:w="2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jc w:val="right"/>
              <w:ind w:right="234"/>
              <w:spacing w:after="0"/>
              <w:rPr>
                <w:sz w:val="20"/>
                <w:szCs w:val="20"/>
                <w:color w:val="auto"/>
              </w:rPr>
            </w:pPr>
            <w:r>
              <w:rPr>
                <w:rFonts w:ascii="Arial" w:cs="Arial" w:eastAsia="Arial" w:hAnsi="Arial"/>
                <w:sz w:val="17"/>
                <w:szCs w:val="17"/>
                <w:color w:val="auto"/>
              </w:rPr>
              <w:t>38</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22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5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8" w:name="page39"/>
    <w:bookmarkEnd w:id="38"/>
    <w:tbl>
      <w:tblPr>
        <w:tblLayout w:type="fixed"/>
        <w:tblInd w:w="10" w:type="dxa"/>
        <w:tblCellMar>
          <w:top w:w="0" w:type="dxa"/>
          <w:left w:w="0" w:type="dxa"/>
          <w:bottom w:w="0" w:type="dxa"/>
          <w:right w:w="0" w:type="dxa"/>
        </w:tblCellMar>
      </w:tblPr>
      <w:tr>
        <w:trPr>
          <w:trHeight w:val="232"/>
        </w:trPr>
        <w:tc>
          <w:tcPr>
            <w:tcW w:w="22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7"/>
                <w:szCs w:val="17"/>
                <w:b w:val="1"/>
                <w:bCs w:val="1"/>
                <w:color w:val="auto"/>
              </w:rPr>
              <w:t>Compound</w:t>
            </w:r>
          </w:p>
        </w:tc>
        <w:tc>
          <w:tcPr>
            <w:tcW w:w="218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7"/>
                <w:szCs w:val="17"/>
                <w:b w:val="1"/>
                <w:bCs w:val="1"/>
                <w:color w:val="auto"/>
              </w:rPr>
              <w:t>Indication</w:t>
            </w:r>
          </w:p>
        </w:tc>
        <w:tc>
          <w:tcPr>
            <w:tcW w:w="16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7"/>
                <w:szCs w:val="17"/>
                <w:b w:val="1"/>
                <w:bCs w:val="1"/>
                <w:color w:val="auto"/>
              </w:rPr>
              <w:t>Status</w:t>
            </w:r>
          </w:p>
        </w:tc>
        <w:tc>
          <w:tcPr>
            <w:tcW w:w="52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7"/>
                <w:szCs w:val="17"/>
                <w:b w:val="1"/>
                <w:bCs w:val="1"/>
                <w:color w:val="auto"/>
              </w:rPr>
              <w:t>Developments</w:t>
            </w:r>
          </w:p>
        </w:tc>
        <w:tc>
          <w:tcPr>
            <w:tcW w:w="0" w:type="dxa"/>
            <w:vAlign w:val="bottom"/>
          </w:tcPr>
          <w:p>
            <w:pPr>
              <w:spacing w:after="0"/>
              <w:rPr>
                <w:sz w:val="1"/>
                <w:szCs w:val="1"/>
                <w:color w:val="auto"/>
              </w:rPr>
            </w:pPr>
          </w:p>
        </w:tc>
      </w:tr>
      <w:tr>
        <w:trPr>
          <w:trHeight w:val="225"/>
        </w:trPr>
        <w:tc>
          <w:tcPr>
            <w:tcW w:w="2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b w:val="1"/>
                <w:bCs w:val="1"/>
                <w:color w:val="auto"/>
              </w:rPr>
              <w:t>Oncology</w:t>
            </w:r>
          </w:p>
        </w:tc>
        <w:tc>
          <w:tcPr>
            <w:tcW w:w="2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5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222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FDA granted accelerated approval</w:t>
            </w:r>
            <w:r>
              <w:rPr>
                <w:rFonts w:ascii="Arial" w:cs="Arial" w:eastAsia="Arial" w:hAnsi="Arial"/>
                <w:sz w:val="22"/>
                <w:szCs w:val="22"/>
                <w:color w:val="auto"/>
                <w:vertAlign w:val="superscript"/>
              </w:rPr>
              <w:t>(5)</w:t>
            </w:r>
            <w:r>
              <w:rPr>
                <w:rFonts w:ascii="Arial" w:cs="Arial" w:eastAsia="Arial" w:hAnsi="Arial"/>
                <w:sz w:val="17"/>
                <w:szCs w:val="17"/>
                <w:color w:val="auto"/>
              </w:rPr>
              <w:t xml:space="preserve"> in the U.S. in the first quarter</w:t>
            </w:r>
          </w:p>
        </w:tc>
        <w:tc>
          <w:tcPr>
            <w:tcW w:w="0" w:type="dxa"/>
            <w:vAlign w:val="bottom"/>
          </w:tcPr>
          <w:p>
            <w:pPr>
              <w:spacing w:after="0"/>
              <w:rPr>
                <w:sz w:val="1"/>
                <w:szCs w:val="1"/>
                <w:color w:val="auto"/>
              </w:rPr>
            </w:pPr>
          </w:p>
        </w:tc>
      </w:tr>
      <w:tr>
        <w:trPr>
          <w:trHeight w:val="168"/>
        </w:trPr>
        <w:tc>
          <w:tcPr>
            <w:tcW w:w="2220" w:type="dxa"/>
            <w:vAlign w:val="bottom"/>
            <w:tcBorders>
              <w:left w:val="single" w:sz="8" w:color="auto"/>
              <w:right w:val="single" w:sz="8" w:color="auto"/>
            </w:tcBorders>
          </w:tcPr>
          <w:p>
            <w:pPr>
              <w:spacing w:after="0"/>
              <w:rPr>
                <w:sz w:val="14"/>
                <w:szCs w:val="14"/>
                <w:color w:val="auto"/>
              </w:rPr>
            </w:pP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Mantle cell lymphoma</w:t>
            </w:r>
          </w:p>
        </w:tc>
        <w:tc>
          <w:tcPr>
            <w:tcW w:w="1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Approved</w:t>
            </w:r>
            <w:r>
              <w:rPr>
                <w:rFonts w:ascii="Arial" w:cs="Arial" w:eastAsia="Arial" w:hAnsi="Arial"/>
                <w:sz w:val="22"/>
                <w:szCs w:val="22"/>
                <w:color w:val="auto"/>
                <w:vertAlign w:val="superscript"/>
              </w:rPr>
              <w:t>(5)</w:t>
            </w:r>
          </w:p>
        </w:tc>
        <w:tc>
          <w:tcPr>
            <w:tcW w:w="5220" w:type="dxa"/>
            <w:vAlign w:val="bottom"/>
            <w:tcBorders>
              <w:right w:val="single" w:sz="8" w:color="auto"/>
            </w:tcBorders>
          </w:tcPr>
          <w:p>
            <w:pPr>
              <w:ind w:left="20"/>
              <w:spacing w:after="0" w:line="168" w:lineRule="exact"/>
              <w:rPr>
                <w:sz w:val="20"/>
                <w:szCs w:val="20"/>
                <w:color w:val="auto"/>
              </w:rPr>
            </w:pPr>
            <w:r>
              <w:rPr>
                <w:rFonts w:ascii="Arial" w:cs="Arial" w:eastAsia="Arial" w:hAnsi="Arial"/>
                <w:sz w:val="17"/>
                <w:szCs w:val="17"/>
                <w:color w:val="auto"/>
              </w:rPr>
              <w:t>of 2023. Submitted in Europe in 2022 and in Japan in the second</w:t>
            </w:r>
          </w:p>
        </w:tc>
        <w:tc>
          <w:tcPr>
            <w:tcW w:w="0" w:type="dxa"/>
            <w:vAlign w:val="bottom"/>
          </w:tcPr>
          <w:p>
            <w:pPr>
              <w:spacing w:after="0"/>
              <w:rPr>
                <w:sz w:val="1"/>
                <w:szCs w:val="1"/>
                <w:color w:val="auto"/>
              </w:rPr>
            </w:pPr>
          </w:p>
        </w:tc>
      </w:tr>
      <w:tr>
        <w:trPr>
          <w:trHeight w:val="181"/>
        </w:trPr>
        <w:tc>
          <w:tcPr>
            <w:tcW w:w="222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vMerge w:val="continue"/>
          </w:tcPr>
          <w:p>
            <w:pPr>
              <w:spacing w:after="0"/>
              <w:rPr>
                <w:sz w:val="15"/>
                <w:szCs w:val="15"/>
                <w:color w:val="auto"/>
              </w:rPr>
            </w:pPr>
          </w:p>
        </w:tc>
        <w:tc>
          <w:tcPr>
            <w:tcW w:w="1640" w:type="dxa"/>
            <w:vAlign w:val="bottom"/>
            <w:tcBorders>
              <w:right w:val="single" w:sz="8" w:color="auto"/>
            </w:tcBorders>
            <w:vMerge w:val="continue"/>
          </w:tcPr>
          <w:p>
            <w:pPr>
              <w:spacing w:after="0"/>
              <w:rPr>
                <w:sz w:val="15"/>
                <w:szCs w:val="15"/>
                <w:color w:val="auto"/>
              </w:rPr>
            </w:pPr>
          </w:p>
        </w:tc>
        <w:tc>
          <w:tcPr>
            <w:tcW w:w="5220" w:type="dxa"/>
            <w:vAlign w:val="bottom"/>
            <w:tcBorders>
              <w:right w:val="single" w:sz="8" w:color="auto"/>
            </w:tcBorders>
          </w:tcPr>
          <w:p>
            <w:pPr>
              <w:ind w:left="20"/>
              <w:spacing w:after="0" w:line="180" w:lineRule="exact"/>
              <w:rPr>
                <w:sz w:val="20"/>
                <w:szCs w:val="20"/>
                <w:color w:val="auto"/>
              </w:rPr>
            </w:pPr>
            <w:r>
              <w:rPr>
                <w:rFonts w:ascii="Arial" w:cs="Arial" w:eastAsia="Arial" w:hAnsi="Arial"/>
                <w:sz w:val="17"/>
                <w:szCs w:val="17"/>
                <w:color w:val="auto"/>
              </w:rPr>
              <w:t>quarter of 2023. Received a positive opinion from the Committee for</w:t>
            </w:r>
          </w:p>
        </w:tc>
        <w:tc>
          <w:tcPr>
            <w:tcW w:w="0" w:type="dxa"/>
            <w:vAlign w:val="bottom"/>
          </w:tcPr>
          <w:p>
            <w:pPr>
              <w:spacing w:after="0"/>
              <w:rPr>
                <w:sz w:val="1"/>
                <w:szCs w:val="1"/>
                <w:color w:val="auto"/>
              </w:rPr>
            </w:pPr>
          </w:p>
        </w:tc>
      </w:tr>
      <w:tr>
        <w:trPr>
          <w:trHeight w:val="168"/>
        </w:trPr>
        <w:tc>
          <w:tcPr>
            <w:tcW w:w="2220" w:type="dxa"/>
            <w:vAlign w:val="bottom"/>
            <w:tcBorders>
              <w:left w:val="single" w:sz="8" w:color="auto"/>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5220" w:type="dxa"/>
            <w:vAlign w:val="bottom"/>
            <w:tcBorders>
              <w:right w:val="single" w:sz="8" w:color="auto"/>
            </w:tcBorders>
          </w:tcPr>
          <w:p>
            <w:pPr>
              <w:ind w:left="20"/>
              <w:spacing w:after="0" w:line="168" w:lineRule="exact"/>
              <w:rPr>
                <w:sz w:val="20"/>
                <w:szCs w:val="20"/>
                <w:color w:val="auto"/>
              </w:rPr>
            </w:pPr>
            <w:r>
              <w:rPr>
                <w:rFonts w:ascii="Arial" w:cs="Arial" w:eastAsia="Arial" w:hAnsi="Arial"/>
                <w:sz w:val="17"/>
                <w:szCs w:val="17"/>
                <w:color w:val="auto"/>
              </w:rPr>
              <w:t>Medicinal Products for Human Use in Europe in the second quarter</w:t>
            </w:r>
          </w:p>
        </w:tc>
        <w:tc>
          <w:tcPr>
            <w:tcW w:w="0" w:type="dxa"/>
            <w:vAlign w:val="bottom"/>
          </w:tcPr>
          <w:p>
            <w:pPr>
              <w:spacing w:after="0"/>
              <w:rPr>
                <w:sz w:val="1"/>
                <w:szCs w:val="1"/>
                <w:color w:val="auto"/>
              </w:rPr>
            </w:pPr>
          </w:p>
        </w:tc>
      </w:tr>
      <w:tr>
        <w:trPr>
          <w:trHeight w:val="188"/>
        </w:trPr>
        <w:tc>
          <w:tcPr>
            <w:tcW w:w="2220" w:type="dxa"/>
            <w:vAlign w:val="bottom"/>
            <w:tcBorders>
              <w:left w:val="single" w:sz="8" w:color="auto"/>
              <w:right w:val="single" w:sz="8" w:color="auto"/>
            </w:tcBorders>
          </w:tcPr>
          <w:p>
            <w:pPr>
              <w:ind w:left="40"/>
              <w:spacing w:after="0" w:line="188" w:lineRule="exact"/>
              <w:rPr>
                <w:sz w:val="20"/>
                <w:szCs w:val="20"/>
                <w:color w:val="auto"/>
              </w:rPr>
            </w:pPr>
            <w:r>
              <w:rPr>
                <w:rFonts w:ascii="Arial" w:cs="Arial" w:eastAsia="Arial" w:hAnsi="Arial"/>
                <w:sz w:val="17"/>
                <w:szCs w:val="17"/>
                <w:color w:val="auto"/>
              </w:rPr>
              <w:t>Pirtobrutinib</w:t>
            </w:r>
          </w:p>
        </w:tc>
        <w:tc>
          <w:tcPr>
            <w:tcW w:w="218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5220" w:type="dxa"/>
            <w:vAlign w:val="bottom"/>
            <w:tcBorders>
              <w:right w:val="single" w:sz="8" w:color="auto"/>
            </w:tcBorders>
          </w:tcPr>
          <w:p>
            <w:pPr>
              <w:ind w:left="20"/>
              <w:spacing w:after="0" w:line="188" w:lineRule="exact"/>
              <w:rPr>
                <w:sz w:val="20"/>
                <w:szCs w:val="20"/>
                <w:color w:val="auto"/>
              </w:rPr>
            </w:pPr>
            <w:r>
              <w:rPr>
                <w:rFonts w:ascii="Arial" w:cs="Arial" w:eastAsia="Arial" w:hAnsi="Arial"/>
                <w:sz w:val="17"/>
                <w:szCs w:val="17"/>
                <w:color w:val="auto"/>
              </w:rPr>
              <w:t>of 2023. Phase III trial is ongoing.</w:t>
            </w:r>
          </w:p>
        </w:tc>
        <w:tc>
          <w:tcPr>
            <w:tcW w:w="0" w:type="dxa"/>
            <w:vAlign w:val="bottom"/>
          </w:tcPr>
          <w:p>
            <w:pPr>
              <w:spacing w:after="0"/>
              <w:rPr>
                <w:sz w:val="1"/>
                <w:szCs w:val="1"/>
                <w:color w:val="auto"/>
              </w:rPr>
            </w:pPr>
          </w:p>
        </w:tc>
      </w:tr>
      <w:tr>
        <w:trPr>
          <w:trHeight w:val="225"/>
        </w:trPr>
        <w:tc>
          <w:tcPr>
            <w:tcW w:w="2220" w:type="dxa"/>
            <w:vAlign w:val="bottom"/>
            <w:tcBorders>
              <w:left w:val="single" w:sz="8" w:color="auto"/>
              <w:right w:val="single" w:sz="8" w:color="auto"/>
            </w:tcBorders>
          </w:tcPr>
          <w:p>
            <w:pPr>
              <w:ind w:left="40"/>
              <w:spacing w:after="0" w:line="225" w:lineRule="exact"/>
              <w:rPr>
                <w:sz w:val="20"/>
                <w:szCs w:val="20"/>
                <w:color w:val="auto"/>
              </w:rPr>
            </w:pPr>
            <w:r>
              <w:rPr>
                <w:rFonts w:ascii="Arial" w:cs="Arial" w:eastAsia="Arial" w:hAnsi="Arial"/>
                <w:sz w:val="17"/>
                <w:szCs w:val="17"/>
                <w:color w:val="auto"/>
              </w:rPr>
              <w:t>(Jaypirca</w:t>
            </w:r>
            <w:r>
              <w:rPr>
                <w:rFonts w:ascii="Arial" w:cs="Arial" w:eastAsia="Arial" w:hAnsi="Arial"/>
                <w:sz w:val="22"/>
                <w:szCs w:val="22"/>
                <w:color w:val="auto"/>
                <w:vertAlign w:val="superscript"/>
              </w:rPr>
              <w:t>®</w:t>
            </w:r>
            <w:r>
              <w:rPr>
                <w:rFonts w:ascii="Arial" w:cs="Arial" w:eastAsia="Arial" w:hAnsi="Arial"/>
                <w:sz w:val="17"/>
                <w:szCs w:val="17"/>
                <w:color w:val="auto"/>
              </w:rPr>
              <w:t>)</w:t>
            </w:r>
          </w:p>
        </w:tc>
        <w:tc>
          <w:tcPr>
            <w:tcW w:w="218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5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220" w:type="dxa"/>
            <w:vAlign w:val="bottom"/>
            <w:tcBorders>
              <w:left w:val="single" w:sz="8" w:color="auto"/>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Chronic lymphocytic</w:t>
            </w:r>
          </w:p>
        </w:tc>
        <w:tc>
          <w:tcPr>
            <w:tcW w:w="1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Submitted</w:t>
            </w: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Submitted in the U.S. in August 2023 under the accelerated</w:t>
            </w:r>
          </w:p>
        </w:tc>
        <w:tc>
          <w:tcPr>
            <w:tcW w:w="0" w:type="dxa"/>
            <w:vAlign w:val="bottom"/>
          </w:tcPr>
          <w:p>
            <w:pPr>
              <w:spacing w:after="0"/>
              <w:rPr>
                <w:sz w:val="1"/>
                <w:szCs w:val="1"/>
                <w:color w:val="auto"/>
              </w:rPr>
            </w:pPr>
          </w:p>
        </w:tc>
      </w:tr>
      <w:tr>
        <w:trPr>
          <w:trHeight w:val="140"/>
        </w:trPr>
        <w:tc>
          <w:tcPr>
            <w:tcW w:w="2220" w:type="dxa"/>
            <w:vAlign w:val="bottom"/>
            <w:tcBorders>
              <w:left w:val="single" w:sz="8" w:color="auto"/>
              <w:right w:val="single" w:sz="8" w:color="auto"/>
            </w:tcBorders>
          </w:tcPr>
          <w:p>
            <w:pPr>
              <w:spacing w:after="0"/>
              <w:rPr>
                <w:sz w:val="12"/>
                <w:szCs w:val="12"/>
                <w:color w:val="auto"/>
              </w:rPr>
            </w:pP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leukemia</w:t>
            </w:r>
          </w:p>
        </w:tc>
        <w:tc>
          <w:tcPr>
            <w:tcW w:w="1640" w:type="dxa"/>
            <w:vAlign w:val="bottom"/>
            <w:tcBorders>
              <w:right w:val="single" w:sz="8" w:color="auto"/>
            </w:tcBorders>
            <w:vMerge w:val="continue"/>
          </w:tcPr>
          <w:p>
            <w:pPr>
              <w:spacing w:after="0"/>
              <w:rPr>
                <w:sz w:val="12"/>
                <w:szCs w:val="12"/>
                <w:color w:val="auto"/>
              </w:rPr>
            </w:pPr>
          </w:p>
        </w:tc>
        <w:tc>
          <w:tcPr>
            <w:tcW w:w="5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approval pathway. Phase III trials are ongoing.</w:t>
            </w:r>
          </w:p>
        </w:tc>
        <w:tc>
          <w:tcPr>
            <w:tcW w:w="0" w:type="dxa"/>
            <w:vAlign w:val="bottom"/>
          </w:tcPr>
          <w:p>
            <w:pPr>
              <w:spacing w:after="0"/>
              <w:rPr>
                <w:sz w:val="1"/>
                <w:szCs w:val="1"/>
                <w:color w:val="auto"/>
              </w:rPr>
            </w:pPr>
          </w:p>
        </w:tc>
      </w:tr>
      <w:tr>
        <w:trPr>
          <w:trHeight w:val="77"/>
        </w:trPr>
        <w:tc>
          <w:tcPr>
            <w:tcW w:w="2220" w:type="dxa"/>
            <w:vAlign w:val="bottom"/>
            <w:tcBorders>
              <w:left w:val="single" w:sz="8" w:color="auto"/>
              <w:right w:val="single" w:sz="8" w:color="auto"/>
            </w:tcBorders>
          </w:tcPr>
          <w:p>
            <w:pPr>
              <w:spacing w:after="0"/>
              <w:rPr>
                <w:sz w:val="6"/>
                <w:szCs w:val="6"/>
                <w:color w:val="auto"/>
              </w:rPr>
            </w:pPr>
          </w:p>
        </w:tc>
        <w:tc>
          <w:tcPr>
            <w:tcW w:w="2180" w:type="dxa"/>
            <w:vAlign w:val="bottom"/>
            <w:tcBorders>
              <w:right w:val="single" w:sz="8" w:color="auto"/>
            </w:tcBorders>
            <w:vMerge w:val="continue"/>
          </w:tcPr>
          <w:p>
            <w:pPr>
              <w:spacing w:after="0"/>
              <w:rPr>
                <w:sz w:val="6"/>
                <w:szCs w:val="6"/>
                <w:color w:val="auto"/>
              </w:rPr>
            </w:pPr>
          </w:p>
        </w:tc>
        <w:tc>
          <w:tcPr>
            <w:tcW w:w="1640" w:type="dxa"/>
            <w:vAlign w:val="bottom"/>
            <w:tcBorders>
              <w:right w:val="single" w:sz="8" w:color="auto"/>
            </w:tcBorders>
          </w:tcPr>
          <w:p>
            <w:pPr>
              <w:spacing w:after="0"/>
              <w:rPr>
                <w:sz w:val="6"/>
                <w:szCs w:val="6"/>
                <w:color w:val="auto"/>
              </w:rPr>
            </w:pPr>
          </w:p>
        </w:tc>
        <w:tc>
          <w:tcPr>
            <w:tcW w:w="52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2220" w:type="dxa"/>
            <w:vAlign w:val="bottom"/>
            <w:tcBorders>
              <w:left w:val="single" w:sz="8" w:color="auto"/>
              <w:right w:val="single" w:sz="8" w:color="auto"/>
            </w:tcBorders>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5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22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B-cell malignancies</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Phase II</w:t>
            </w: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40"/>
        </w:trPr>
        <w:tc>
          <w:tcPr>
            <w:tcW w:w="2220" w:type="dxa"/>
            <w:vAlign w:val="bottom"/>
            <w:tcBorders>
              <w:left w:val="single" w:sz="8" w:color="auto"/>
              <w:bottom w:val="single" w:sz="8" w:color="auto"/>
              <w:right w:val="single" w:sz="8" w:color="auto"/>
            </w:tcBorders>
          </w:tcPr>
          <w:p>
            <w:pPr>
              <w:spacing w:after="0"/>
              <w:rPr>
                <w:sz w:val="3"/>
                <w:szCs w:val="3"/>
                <w:color w:val="auto"/>
              </w:rPr>
            </w:pPr>
          </w:p>
        </w:tc>
        <w:tc>
          <w:tcPr>
            <w:tcW w:w="21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5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Selpercatinib (Retevmo</w:t>
            </w:r>
            <w:r>
              <w:rPr>
                <w:rFonts w:ascii="Arial" w:cs="Arial" w:eastAsia="Arial" w:hAnsi="Arial"/>
                <w:sz w:val="22"/>
                <w:szCs w:val="22"/>
                <w:color w:val="auto"/>
                <w:vertAlign w:val="superscript"/>
              </w:rPr>
              <w:t>®</w:t>
            </w:r>
            <w:r>
              <w:rPr>
                <w:rFonts w:ascii="Arial" w:cs="Arial" w:eastAsia="Arial" w:hAnsi="Arial"/>
                <w:sz w:val="17"/>
                <w:szCs w:val="17"/>
                <w:color w:val="auto"/>
              </w:rPr>
              <w:t>)</w:t>
            </w: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Lung cancer</w:t>
            </w:r>
          </w:p>
        </w:tc>
        <w:tc>
          <w:tcPr>
            <w:tcW w:w="1640" w:type="dxa"/>
            <w:vAlign w:val="bottom"/>
            <w:tcBorders>
              <w:bottom w:val="single" w:sz="8" w:color="auto"/>
              <w:right w:val="single" w:sz="8" w:color="auto"/>
            </w:tcBorders>
          </w:tcPr>
          <w:p>
            <w:pPr>
              <w:ind w:left="20"/>
              <w:spacing w:after="0" w:line="238" w:lineRule="exact"/>
              <w:rPr>
                <w:sz w:val="20"/>
                <w:szCs w:val="20"/>
                <w:color w:val="auto"/>
              </w:rPr>
            </w:pPr>
            <w:r>
              <w:rPr>
                <w:rFonts w:ascii="Arial" w:cs="Arial" w:eastAsia="Arial" w:hAnsi="Arial"/>
                <w:sz w:val="17"/>
                <w:szCs w:val="17"/>
                <w:color w:val="auto"/>
              </w:rPr>
              <w:t>Approved</w:t>
            </w:r>
            <w:r>
              <w:rPr>
                <w:rFonts w:ascii="Arial" w:cs="Arial" w:eastAsia="Arial" w:hAnsi="Arial"/>
                <w:sz w:val="22"/>
                <w:szCs w:val="22"/>
                <w:color w:val="auto"/>
                <w:vertAlign w:val="superscript"/>
              </w:rPr>
              <w:t>(5)</w:t>
            </w: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Phase III trials are ongoing.</w:t>
            </w:r>
          </w:p>
        </w:tc>
        <w:tc>
          <w:tcPr>
            <w:tcW w:w="0" w:type="dxa"/>
            <w:vAlign w:val="bottom"/>
          </w:tcPr>
          <w:p>
            <w:pPr>
              <w:spacing w:after="0"/>
              <w:rPr>
                <w:sz w:val="1"/>
                <w:szCs w:val="1"/>
                <w:color w:val="auto"/>
              </w:rPr>
            </w:pPr>
          </w:p>
        </w:tc>
      </w:tr>
      <w:tr>
        <w:trPr>
          <w:trHeight w:val="164"/>
        </w:trPr>
        <w:tc>
          <w:tcPr>
            <w:tcW w:w="2220" w:type="dxa"/>
            <w:vAlign w:val="bottom"/>
            <w:tcBorders>
              <w:left w:val="single" w:sz="8" w:color="auto"/>
              <w:right w:val="single" w:sz="8" w:color="auto"/>
            </w:tcBorders>
            <w:vMerge w:val="continue"/>
          </w:tcPr>
          <w:p>
            <w:pPr>
              <w:spacing w:after="0"/>
              <w:rPr>
                <w:sz w:val="14"/>
                <w:szCs w:val="14"/>
                <w:color w:val="auto"/>
              </w:rPr>
            </w:pP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Thyroid cancer</w:t>
            </w:r>
          </w:p>
        </w:tc>
        <w:tc>
          <w:tcPr>
            <w:tcW w:w="1640" w:type="dxa"/>
            <w:vAlign w:val="bottom"/>
            <w:tcBorders>
              <w:right w:val="single" w:sz="8" w:color="auto"/>
            </w:tcBorders>
            <w:vMerge w:val="restart"/>
          </w:tcPr>
          <w:p>
            <w:pPr>
              <w:ind w:left="20"/>
              <w:spacing w:after="0" w:line="238" w:lineRule="exact"/>
              <w:rPr>
                <w:sz w:val="20"/>
                <w:szCs w:val="20"/>
                <w:color w:val="auto"/>
              </w:rPr>
            </w:pPr>
            <w:r>
              <w:rPr>
                <w:rFonts w:ascii="Arial" w:cs="Arial" w:eastAsia="Arial" w:hAnsi="Arial"/>
                <w:sz w:val="17"/>
                <w:szCs w:val="17"/>
                <w:color w:val="auto"/>
              </w:rPr>
              <w:t>Approved</w:t>
            </w:r>
            <w:r>
              <w:rPr>
                <w:rFonts w:ascii="Arial" w:cs="Arial" w:eastAsia="Arial" w:hAnsi="Arial"/>
                <w:sz w:val="22"/>
                <w:szCs w:val="22"/>
                <w:color w:val="auto"/>
                <w:vertAlign w:val="superscript"/>
              </w:rPr>
              <w:t>(5)</w:t>
            </w:r>
          </w:p>
        </w:tc>
        <w:tc>
          <w:tcPr>
            <w:tcW w:w="5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Phase III trial is ongoing.</w:t>
            </w:r>
          </w:p>
        </w:tc>
        <w:tc>
          <w:tcPr>
            <w:tcW w:w="0" w:type="dxa"/>
            <w:vAlign w:val="bottom"/>
          </w:tcPr>
          <w:p>
            <w:pPr>
              <w:spacing w:after="0"/>
              <w:rPr>
                <w:sz w:val="1"/>
                <w:szCs w:val="1"/>
                <w:color w:val="auto"/>
              </w:rPr>
            </w:pPr>
          </w:p>
        </w:tc>
      </w:tr>
      <w:tr>
        <w:trPr>
          <w:trHeight w:val="74"/>
        </w:trPr>
        <w:tc>
          <w:tcPr>
            <w:tcW w:w="2220" w:type="dxa"/>
            <w:vAlign w:val="bottom"/>
            <w:tcBorders>
              <w:left w:val="single" w:sz="8" w:color="auto"/>
              <w:bottom w:val="single" w:sz="8" w:color="auto"/>
              <w:right w:val="single" w:sz="8" w:color="auto"/>
            </w:tcBorders>
          </w:tcPr>
          <w:p>
            <w:pPr>
              <w:spacing w:after="0"/>
              <w:rPr>
                <w:sz w:val="6"/>
                <w:szCs w:val="6"/>
                <w:color w:val="auto"/>
              </w:rPr>
            </w:pPr>
          </w:p>
        </w:tc>
        <w:tc>
          <w:tcPr>
            <w:tcW w:w="2180" w:type="dxa"/>
            <w:vAlign w:val="bottom"/>
            <w:tcBorders>
              <w:bottom w:val="single" w:sz="8" w:color="auto"/>
              <w:right w:val="single" w:sz="8" w:color="auto"/>
            </w:tcBorders>
            <w:vMerge w:val="continue"/>
          </w:tcPr>
          <w:p>
            <w:pPr>
              <w:spacing w:after="0"/>
              <w:rPr>
                <w:sz w:val="6"/>
                <w:szCs w:val="6"/>
                <w:color w:val="auto"/>
              </w:rPr>
            </w:pPr>
          </w:p>
        </w:tc>
        <w:tc>
          <w:tcPr>
            <w:tcW w:w="1640" w:type="dxa"/>
            <w:vAlign w:val="bottom"/>
            <w:tcBorders>
              <w:bottom w:val="single" w:sz="8" w:color="auto"/>
              <w:right w:val="single" w:sz="8" w:color="auto"/>
            </w:tcBorders>
            <w:vMerge w:val="continue"/>
          </w:tcPr>
          <w:p>
            <w:pPr>
              <w:spacing w:after="0"/>
              <w:rPr>
                <w:sz w:val="6"/>
                <w:szCs w:val="6"/>
                <w:color w:val="auto"/>
              </w:rPr>
            </w:pPr>
          </w:p>
        </w:tc>
        <w:tc>
          <w:tcPr>
            <w:tcW w:w="52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Abemaciclib (Verzenio)</w:t>
            </w: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Prostate cancer</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Phase III</w:t>
            </w: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Phase III trials are ongoing.</w:t>
            </w:r>
          </w:p>
        </w:tc>
        <w:tc>
          <w:tcPr>
            <w:tcW w:w="0" w:type="dxa"/>
            <w:vAlign w:val="bottom"/>
          </w:tcPr>
          <w:p>
            <w:pPr>
              <w:spacing w:after="0"/>
              <w:rPr>
                <w:sz w:val="1"/>
                <w:szCs w:val="1"/>
                <w:color w:val="auto"/>
              </w:rPr>
            </w:pPr>
          </w:p>
        </w:tc>
      </w:tr>
      <w:tr>
        <w:trPr>
          <w:trHeight w:val="321"/>
        </w:trPr>
        <w:tc>
          <w:tcPr>
            <w:tcW w:w="222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Adjuvant breast cancer</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Phase III</w:t>
            </w: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Phase III trial is ongoing.</w:t>
            </w:r>
          </w:p>
        </w:tc>
        <w:tc>
          <w:tcPr>
            <w:tcW w:w="0" w:type="dxa"/>
            <w:vAlign w:val="bottom"/>
          </w:tcPr>
          <w:p>
            <w:pPr>
              <w:spacing w:after="0"/>
              <w:rPr>
                <w:sz w:val="1"/>
                <w:szCs w:val="1"/>
                <w:color w:val="auto"/>
              </w:rPr>
            </w:pPr>
          </w:p>
        </w:tc>
      </w:tr>
      <w:tr>
        <w:trPr>
          <w:trHeight w:val="118"/>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Imlunestrant</w:t>
            </w:r>
          </w:p>
        </w:tc>
        <w:tc>
          <w:tcPr>
            <w:tcW w:w="218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5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220" w:type="dxa"/>
            <w:vAlign w:val="bottom"/>
            <w:tcBorders>
              <w:left w:val="single" w:sz="8" w:color="auto"/>
              <w:right w:val="single" w:sz="8" w:color="auto"/>
            </w:tcBorders>
            <w:vMerge w:val="continue"/>
          </w:tcPr>
          <w:p>
            <w:pPr>
              <w:spacing w:after="0"/>
              <w:rPr>
                <w:sz w:val="14"/>
                <w:szCs w:val="14"/>
                <w:color w:val="auto"/>
              </w:rPr>
            </w:pP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ER+HER2- metastatic</w:t>
            </w:r>
          </w:p>
        </w:tc>
        <w:tc>
          <w:tcPr>
            <w:tcW w:w="1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Phase III</w:t>
            </w:r>
          </w:p>
        </w:tc>
        <w:tc>
          <w:tcPr>
            <w:tcW w:w="5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Phase III trial is ongoing.</w:t>
            </w:r>
          </w:p>
        </w:tc>
        <w:tc>
          <w:tcPr>
            <w:tcW w:w="0" w:type="dxa"/>
            <w:vAlign w:val="bottom"/>
          </w:tcPr>
          <w:p>
            <w:pPr>
              <w:spacing w:after="0"/>
              <w:rPr>
                <w:sz w:val="1"/>
                <w:szCs w:val="1"/>
                <w:color w:val="auto"/>
              </w:rPr>
            </w:pPr>
          </w:p>
        </w:tc>
      </w:tr>
      <w:tr>
        <w:trPr>
          <w:trHeight w:val="92"/>
        </w:trPr>
        <w:tc>
          <w:tcPr>
            <w:tcW w:w="2220" w:type="dxa"/>
            <w:vAlign w:val="bottom"/>
            <w:tcBorders>
              <w:left w:val="single" w:sz="8" w:color="auto"/>
              <w:right w:val="single" w:sz="8" w:color="auto"/>
            </w:tcBorders>
          </w:tcPr>
          <w:p>
            <w:pPr>
              <w:spacing w:after="0"/>
              <w:rPr>
                <w:sz w:val="8"/>
                <w:szCs w:val="8"/>
                <w:color w:val="auto"/>
              </w:rPr>
            </w:pPr>
          </w:p>
        </w:tc>
        <w:tc>
          <w:tcPr>
            <w:tcW w:w="218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5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220" w:type="dxa"/>
            <w:vAlign w:val="bottom"/>
            <w:tcBorders>
              <w:left w:val="single" w:sz="8" w:color="auto"/>
              <w:right w:val="single" w:sz="8" w:color="auto"/>
            </w:tcBorders>
          </w:tcPr>
          <w:p>
            <w:pPr>
              <w:spacing w:after="0"/>
              <w:rPr>
                <w:sz w:val="12"/>
                <w:szCs w:val="12"/>
                <w:color w:val="auto"/>
              </w:rPr>
            </w:pP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breast cancer</w:t>
            </w:r>
          </w:p>
        </w:tc>
        <w:tc>
          <w:tcPr>
            <w:tcW w:w="1640" w:type="dxa"/>
            <w:vAlign w:val="bottom"/>
            <w:tcBorders>
              <w:right w:val="single" w:sz="8" w:color="auto"/>
            </w:tcBorders>
            <w:vMerge w:val="continue"/>
          </w:tcPr>
          <w:p>
            <w:pPr>
              <w:spacing w:after="0"/>
              <w:rPr>
                <w:sz w:val="12"/>
                <w:szCs w:val="12"/>
                <w:color w:val="auto"/>
              </w:rPr>
            </w:pPr>
          </w:p>
        </w:tc>
        <w:tc>
          <w:tcPr>
            <w:tcW w:w="5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220" w:type="dxa"/>
            <w:vAlign w:val="bottom"/>
            <w:tcBorders>
              <w:left w:val="single" w:sz="8" w:color="auto"/>
              <w:right w:val="single" w:sz="8" w:color="auto"/>
            </w:tcBorders>
          </w:tcPr>
          <w:p>
            <w:pPr>
              <w:spacing w:after="0"/>
              <w:rPr>
                <w:sz w:val="6"/>
                <w:szCs w:val="6"/>
                <w:color w:val="auto"/>
              </w:rPr>
            </w:pPr>
          </w:p>
        </w:tc>
        <w:tc>
          <w:tcPr>
            <w:tcW w:w="2180" w:type="dxa"/>
            <w:vAlign w:val="bottom"/>
            <w:tcBorders>
              <w:right w:val="single" w:sz="8" w:color="auto"/>
            </w:tcBorders>
            <w:vMerge w:val="continue"/>
          </w:tcPr>
          <w:p>
            <w:pPr>
              <w:spacing w:after="0"/>
              <w:rPr>
                <w:sz w:val="6"/>
                <w:szCs w:val="6"/>
                <w:color w:val="auto"/>
              </w:rPr>
            </w:pPr>
          </w:p>
        </w:tc>
        <w:tc>
          <w:tcPr>
            <w:tcW w:w="1640" w:type="dxa"/>
            <w:vAlign w:val="bottom"/>
            <w:tcBorders>
              <w:right w:val="single" w:sz="8" w:color="auto"/>
            </w:tcBorders>
          </w:tcPr>
          <w:p>
            <w:pPr>
              <w:spacing w:after="0"/>
              <w:rPr>
                <w:sz w:val="6"/>
                <w:szCs w:val="6"/>
                <w:color w:val="auto"/>
              </w:rPr>
            </w:pPr>
          </w:p>
        </w:tc>
        <w:tc>
          <w:tcPr>
            <w:tcW w:w="5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220" w:type="dxa"/>
            <w:vAlign w:val="bottom"/>
            <w:tcBorders>
              <w:left w:val="single" w:sz="8" w:color="auto"/>
              <w:bottom w:val="single" w:sz="8" w:color="auto"/>
              <w:right w:val="single" w:sz="8" w:color="auto"/>
            </w:tcBorders>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5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hanging="137"/>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In collaboration with Boehringer Ingelheim.</w:t>
      </w:r>
    </w:p>
    <w:p>
      <w:pPr>
        <w:ind w:left="140" w:hanging="137"/>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Fast Track designation is designed to facilitate the development and expedite the review of medicines to treat serious conditions and fill an unmet medical need.</w:t>
      </w:r>
    </w:p>
    <w:p>
      <w:pPr>
        <w:spacing w:after="0" w:line="3" w:lineRule="exact"/>
        <w:rPr>
          <w:rFonts w:ascii="Arial" w:cs="Arial" w:eastAsia="Arial" w:hAnsi="Arial"/>
          <w:sz w:val="9"/>
          <w:szCs w:val="9"/>
          <w:color w:val="auto"/>
        </w:rPr>
      </w:pPr>
    </w:p>
    <w:p>
      <w:pPr>
        <w:ind w:left="140" w:hanging="137"/>
        <w:spacing w:after="0" w:line="218" w:lineRule="auto"/>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In collaboration with Almirall, S.A. in Europe.</w:t>
      </w:r>
    </w:p>
    <w:p>
      <w:pPr>
        <w:spacing w:after="0" w:line="3" w:lineRule="exact"/>
        <w:rPr>
          <w:rFonts w:ascii="Arial" w:cs="Arial" w:eastAsia="Arial" w:hAnsi="Arial"/>
          <w:sz w:val="16"/>
          <w:szCs w:val="16"/>
          <w:color w:val="auto"/>
          <w:vertAlign w:val="superscript"/>
        </w:rPr>
      </w:pPr>
    </w:p>
    <w:p>
      <w:pPr>
        <w:ind w:left="160" w:right="120" w:hanging="157"/>
        <w:spacing w:after="0" w:line="216" w:lineRule="auto"/>
        <w:tabs>
          <w:tab w:leader="none" w:pos="153"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spacing w:after="0" w:line="1" w:lineRule="exact"/>
        <w:rPr>
          <w:rFonts w:ascii="Arial" w:cs="Arial" w:eastAsia="Arial" w:hAnsi="Arial"/>
          <w:sz w:val="18"/>
          <w:szCs w:val="18"/>
          <w:color w:val="auto"/>
          <w:vertAlign w:val="superscript"/>
        </w:rPr>
      </w:pPr>
    </w:p>
    <w:p>
      <w:pPr>
        <w:ind w:left="160" w:hanging="157"/>
        <w:spacing w:after="0" w:line="194"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Continued approval may be contingent on verification and description of clinical benefit in confirmatory Phase III trials.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Matters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Patent Matters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We depend on patents or other forms of intellectual property protection for most of our revenue, cash flows, and earnings.</w:t>
      </w:r>
    </w:p>
    <w:p>
      <w:pPr>
        <w:spacing w:after="0" w:line="114" w:lineRule="exact"/>
        <w:rPr>
          <w:sz w:val="20"/>
          <w:szCs w:val="20"/>
          <w:color w:val="auto"/>
        </w:rPr>
      </w:pPr>
    </w:p>
    <w:p>
      <w:pPr>
        <w:ind w:right="380"/>
        <w:spacing w:after="0" w:line="280" w:lineRule="auto"/>
        <w:rPr>
          <w:sz w:val="20"/>
          <w:szCs w:val="20"/>
          <w:color w:val="auto"/>
        </w:rPr>
      </w:pPr>
      <w:r>
        <w:rPr>
          <w:rFonts w:ascii="Arial" w:cs="Arial" w:eastAsia="Arial" w:hAnsi="Arial"/>
          <w:sz w:val="17"/>
          <w:szCs w:val="17"/>
          <w:color w:val="auto"/>
        </w:rPr>
        <w:t>See Note 8 to the consolidated condensed financial statements for a description of legal proceedings currently pending regarding certain of our patents.</w:t>
      </w:r>
    </w:p>
    <w:p>
      <w:pPr>
        <w:spacing w:after="0" w:line="60"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Our compound patents for Humalog</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(insulin lispro) have expired in the U.S. and major international markets, and we have also introduced lower-priced versions of Humalog as part of our insulin access and affordability solutions. On March 1, 2023, we announced price reductions for Humalog and an expansion of our Insulin Value Program that caps patient out-of-pocket costs at $35 or less per month. A competitor has a similar version of insulin lispro in the U.S. and in certain European markets. Due to the expansion of our insulin access and affordability solutions in the U.S. and the impact of competition and pricing pressure in the U.S. and certain international markets, we expect that lower revenue for Humalog due to realized price decline will continue over time.</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Trends Affecting Pharmaceutical Pricing, Reimbursement, and Access</w:t>
      </w:r>
    </w:p>
    <w:p>
      <w:pPr>
        <w:spacing w:after="0" w:line="120"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Reforms, including those that may stem from periods of economic downturn or uncertainty, or as a result of high inflation, emergence or escalation of, and responses to, war or unrest (including the Russia-Ukraine war), or government budgeting priorities, may continue to result in added pressure on pricing and reimbursement for our products.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9" w:name="page40"/>
    <w:bookmarkEnd w:id="39"/>
    <w:p>
      <w:pPr>
        <w:spacing w:after="0" w:line="256" w:lineRule="auto"/>
        <w:rPr>
          <w:sz w:val="20"/>
          <w:szCs w:val="20"/>
          <w:color w:val="auto"/>
        </w:rPr>
      </w:pPr>
      <w:r>
        <w:rPr>
          <w:rFonts w:ascii="Arial" w:cs="Arial" w:eastAsia="Arial" w:hAnsi="Arial"/>
          <w:sz w:val="17"/>
          <w:szCs w:val="17"/>
          <w:color w:val="auto"/>
        </w:rPr>
        <w:t>Global concern over access to and affordability of pharmaceutical products continues to drive regulatory and legislative debate and action, as well as worldwide cost containment efforts by governmental authorities. Such measures include the use of mandated discounts, price reporting requirements, mandated reference prices, restrictive formularies, changes to available intellectual property protections, as well as other efforts. In August 2022, the U.S. government enacted the Inflation Reduction Act of 2022 (IRA). Among other measures, the IRA will require the U.S. Department of Health and Human Services to effectively set prices for certain single-source drugs and biologics reimbursed under Medicare Part B and Part D. Generally, these government prices apply nine (medicines approved under a New Drug Application) or thirteen (medicines approved under a Biologics License Application) years following initial FDA approval and will be capped at a statutory ceiling price that is likely to represent a significant discount from average prices to wholesalers and direct purchasers. While the law specifies a ceiling price, it does not set a minimum or floor price. Given our product portfolio, we expect some of our significant products, including those commercialized under collaboration agreements, will be selected, which would have the effect of accelerating revenue erosion prior to patent expiry. The effect of reducing prices and reimbursement for certain of our products would significantly impact our business and consolidated results of operations. The establishment of payment limits or other restrictions by drug affordability review boards and other state level actors would similarly impact us.</w:t>
      </w:r>
    </w:p>
    <w:p>
      <w:pPr>
        <w:spacing w:after="0" w:line="79"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Other IRA provisions provide for rebate obligations on drug manufacturers that increase prices of Medicare Part B and Part D medicines at a rate greater than the rate of inflation and Part D benefit redesign that includes replacing the Part D coverage gap discount program with a new manufacturer discounting program. Manufacturers that fail to comply with the IRA may be subject to various penalties, including civil monetary penalties, which could be significant.</w:t>
      </w:r>
    </w:p>
    <w:p>
      <w:pPr>
        <w:spacing w:after="0" w:line="76"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 IRA takes effect progressively with the first government-set prices effective in 2026. The IRA has and will meaningfully influence our business strategies and those of our competitors. In particular, the nine-year timeline to set prices for medicines approved under a new drug application reduces the attractiveness of investment in small molecule innovation. The full impact of the IRA on our business and the pharmaceutical industry, including the implications to us of a competitor's product being selected for price setting, remains uncertain.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Additional policies, regulations, legislation, or enforcement, including those proposed and/or pursued by the U.S. Congress, the current U.S.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presidential administration, and regulatory authorities worldwide, could adversely impact our business and consolidated results of operations.</w:t>
      </w:r>
    </w:p>
    <w:p>
      <w:pPr>
        <w:spacing w:after="0" w:line="103"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Consolidation and integration of private payors and pharmacy benefit managers in the U.S. has also significantly impacted the market for pharmaceuticals by increasing payor leverage in negotiating manufacturer price or rebate concessions and pharmacy reimbursement rates. Furthermore, restrictive or unfavorable pricing, coverage, or reimbursement determinations for our medicines or product candidates by governments, regulatory agencies, courts, or private payers may adversely impact our business and consolidated results of operations. We expect that these actions may intensify and could particularly affect certain products which could adversely affect our business. In addition, we are engaged in litigation and investigations related to our 340B limited distribution program, access to insulin, and other matters that, if resolved adversely to us, could negatively impact our business and consolidated results of operations. It is not currently possible to predict the overall potential adverse impact to us or the general pharmaceutical industry of continued cost containment efforts worldwide.</w:t>
      </w:r>
    </w:p>
    <w:p>
      <w:pPr>
        <w:spacing w:after="0" w:line="81"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In addition, regulatory issues concerning compliance with current Good Manufacturing Practices, quality assurance, safety signals, evolving standards, and increased scrutiny around excipients and potential impurities such as nitrosamines, and similar regulations and standards (and comparable foreign regulations and standards) for our products can lead to regulatory and legal actions, product recalls and seizures, fines and penalties, interruption of production leading to product shortages, import bans or denials of import certifications, contractual and manufacturing costs or penalties, inability to realize the benefit of capital expenditures, or delays or denials in new product approvals, line extensions or supplemental approvals of current products pending resolution of the issues, any of which could result in reputational harm or adversely affect our business. Moreover, increased focus on business combinations across industries and jurisdictions can lead to impediments to the completion of business combinations.</w:t>
      </w:r>
    </w:p>
    <w:p>
      <w:pPr>
        <w:spacing w:after="0" w:line="81" w:lineRule="exact"/>
        <w:rPr>
          <w:sz w:val="20"/>
          <w:szCs w:val="20"/>
          <w:color w:val="auto"/>
        </w:rPr>
      </w:pPr>
    </w:p>
    <w:p>
      <w:pPr>
        <w:ind w:right="160"/>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See "Business—Regulations and Private Payer Actions Affecting Pharmaceutical Pricing, Reimbursement, and Access" in Part I, Item 1 and "Risk Factors" in Part I, Item 1A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2022. See also Note 8 to the consolidated condensed financial statements.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6" w:right="359" w:bottom="1440" w:gutter="0" w:footer="0" w:header="0"/>
        </w:sectPr>
      </w:pPr>
    </w:p>
    <w:bookmarkStart w:id="40" w:name="page41"/>
    <w:bookmarkEnd w:id="40"/>
    <w:p>
      <w:pPr>
        <w:spacing w:after="0"/>
        <w:rPr>
          <w:sz w:val="20"/>
          <w:szCs w:val="20"/>
          <w:color w:val="auto"/>
        </w:rPr>
      </w:pPr>
      <w:r>
        <w:rPr>
          <w:rFonts w:ascii="Arial" w:cs="Arial" w:eastAsia="Arial" w:hAnsi="Arial"/>
          <w:sz w:val="17"/>
          <w:szCs w:val="17"/>
          <w:i w:val="1"/>
          <w:iCs w:val="1"/>
          <w:u w:val="single" w:color="auto"/>
          <w:color w:val="auto"/>
        </w:rPr>
        <w:t>Product Supply</w:t>
      </w:r>
    </w:p>
    <w:p>
      <w:pPr>
        <w:spacing w:after="0" w:line="120"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have faced challenges, and expect to continue to face challenges, meeting strong demand for our incretin products. In the U.S., given very strong uptake of Mounjaro following its launch in the U.S. for type 2 diabetes in the second quarter of 2022, and as demand for Trulicity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has remained strong, we have experienced intermittent delays in fulfilling certain U.S. orders for these products. Outside the U.S., we have implemented actions to manage strong demand amid tight supply, including measures to minimize existing patient impact. We expect to continue to experience disruptions in our supply of Trulicity in international markets.</w:t>
      </w:r>
    </w:p>
    <w:p>
      <w:pPr>
        <w:spacing w:after="0" w:line="92"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We anticipate tight supplies of our incretin products will persist while additional manufacturing capacity is operationalized. We expect additional internal and contracted manufacturing capacity will become fully operational around the world in the next several years as part of our ongoing efforts to meet the significant demand for our incretin medicines. For example, we recently began production at our Research Triangle Park site in North Carolina and expect to continue significant capacity expansion over time as we increase production at this site and others.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Tax Matters</w:t>
      </w:r>
    </w:p>
    <w:p>
      <w:pPr>
        <w:spacing w:after="0" w:line="120"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We are subject to income taxes and various other taxes in the U.S. and in many foreign jurisdictions; therefore, changes in both domestic and international tax laws or regulations have affected and may affect our effective tax rate, results of operations, and cash flows. The U.S. and countries around the world are actively proposing and enacting tax law changes. Further, actions taken with respect to tax-related matters by associations such as the Organisation for Economic Co-operation and Development and the European Commission could influence tax laws in countries in which we operate. Tax authorities in the U.S. and other jurisdictions in which we do business routinely examine our tax returns and are intensifying their scrutiny and examinations of profit allocations among jurisdictions. Changes to existing U.S. and foreign tax laws and increased scrutiny by tax authorities in the U.S. and other jurisdictions could adversely impact our future consolidated results of operations and cash flows.</w:t>
      </w:r>
    </w:p>
    <w:p>
      <w:pPr>
        <w:spacing w:after="0" w:line="7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European Commission published its Pillar Two Directive (Directive), a legislative proposal that would provide a global minimum level of taxation for multinational companies with operations in the European Union (EU), in 2021. In 2022, the EU Member States adopted the Directive which requires them to enact initial legislation effective for years beginning on or after December 31, 2023. Currently, both EU and non-EU countries are drafting or have enacted legislation in order to implement the Pillar Two rules by the effective date. We are continuing to follow Pillar Two legislative developments in order to evaluate the potential future impact it could have on our consolidated results of operations, financial position,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Foreign Currency Exchange Rates and Other Impacts</w:t>
      </w:r>
    </w:p>
    <w:p>
      <w:pPr>
        <w:spacing w:after="0" w:line="120"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As a global company, we face foreign currency risk exposure from fluctuating currency exchange rates, primarily the U.S. dollar against the euro, Japanese yen, and Chinese yuan. While we seek to manage a portion of these exposures through hedging and other risk management techniques, significant fluctuations in currency rates can have a material impact, either positive or negative, on our consolidated results of operations in any given period. During the three and six months ended June 30, 2023, revenue was unfavorably impacted by 1 percent and 2 percent, respectively, due to foreign exchange rates compared to the prior year periods. There is uncertainty in the future movements in foreign exchange rates, and fluctuations in these rates could adversely impact our consolidated results of operations and cash flows.</w:t>
      </w:r>
    </w:p>
    <w:p>
      <w:pPr>
        <w:spacing w:after="0" w:line="81"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Other factors have had, and may continue to have, an impact on our consolidated results of operations. These factors include cost and wage inflation, availability of adequate capacity in global transportation, supply chain and labor market complexities, international tension and conflicts (including the Russia-Ukraine war), global economic downturns or uncertainty, and an increase in overall demand in our industry for certain products and materials.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Acquisitions</w:t>
      </w:r>
    </w:p>
    <w:p>
      <w:pPr>
        <w:spacing w:after="0" w:line="120"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We invest in external research and technologies that we believe complement and strengthen our own efforts. These investments can take many forms, including acquisitions, collaborations, investments, and licensing arrangements. We view our business development activity as a way to enhance our pipeline and strengthen our business.</w:t>
      </w:r>
    </w:p>
    <w:p>
      <w:pPr>
        <w:spacing w:after="0" w:line="70"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In June 2023, we announced an agreement to acquire DICE Therapeutics, Inc. (DICE) for a purchase price of $48 per share in cash (an aggregate of approximately $2.4 billion) payable at closing. The proposed acquisition is expected to close in the third quarter of 2023, subject to customary closing conditions, including the receipt of required antitrust clearance and the tender of at least a majority of the outstanding shares of DICE's common stock as of the expiration of the tender offer.</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0" w:right="359" w:bottom="1440" w:gutter="0" w:footer="0" w:header="0"/>
        </w:sectPr>
      </w:pPr>
    </w:p>
    <w:bookmarkStart w:id="41" w:name="page42"/>
    <w:bookmarkEnd w:id="41"/>
    <w:p>
      <w:pPr>
        <w:ind w:right="220"/>
        <w:spacing w:after="0" w:line="280" w:lineRule="auto"/>
        <w:rPr>
          <w:sz w:val="20"/>
          <w:szCs w:val="20"/>
          <w:color w:val="auto"/>
        </w:rPr>
      </w:pPr>
      <w:r>
        <w:rPr>
          <w:rFonts w:ascii="Arial" w:cs="Arial" w:eastAsia="Arial" w:hAnsi="Arial"/>
          <w:sz w:val="17"/>
          <w:szCs w:val="17"/>
          <w:color w:val="auto"/>
        </w:rPr>
        <w:t>As of June 30, 2023, potential amounts payable for other pending business development acquisitions were approximately $1 billion in aggregate, subject to closing conditions and/or regulatory approvals.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See Note 3 to the consolidated condensed financial statements for further discussion regarding our recent acquisitions.</w:t>
      </w:r>
    </w:p>
    <w:p>
      <w:pPr>
        <w:spacing w:after="0" w:line="114" w:lineRule="exact"/>
        <w:rPr>
          <w:sz w:val="20"/>
          <w:szCs w:val="20"/>
          <w:color w:val="auto"/>
        </w:rPr>
      </w:pPr>
    </w:p>
    <w:p>
      <w:pPr>
        <w:ind w:right="280"/>
        <w:spacing w:after="0" w:line="280" w:lineRule="auto"/>
        <w:rPr>
          <w:rFonts w:ascii="Arial" w:cs="Arial" w:eastAsia="Arial" w:hAnsi="Arial"/>
          <w:sz w:val="17"/>
          <w:szCs w:val="17"/>
          <w:color w:val="auto"/>
        </w:rPr>
      </w:pPr>
      <w:r>
        <w:rPr>
          <w:rFonts w:ascii="Arial" w:cs="Arial" w:eastAsia="Arial" w:hAnsi="Arial"/>
          <w:sz w:val="17"/>
          <w:szCs w:val="17"/>
          <w:color w:val="auto"/>
        </w:rPr>
        <w:t xml:space="preserve">See "Risk Factors" in Part I, Item 1A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2022 for additional information on risk factors that could impact our business and operations.</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revenue activity by region: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478"/>
              <w:spacing w:after="0"/>
              <w:rPr>
                <w:sz w:val="20"/>
                <w:szCs w:val="20"/>
                <w:color w:val="auto"/>
              </w:rPr>
            </w:pPr>
            <w:r>
              <w:rPr>
                <w:rFonts w:ascii="Arial" w:cs="Arial" w:eastAsia="Arial" w:hAnsi="Arial"/>
                <w:sz w:val="14"/>
                <w:szCs w:val="14"/>
                <w:b w:val="1"/>
                <w:bCs w:val="1"/>
                <w:color w:val="auto"/>
              </w:rPr>
              <w:t>Three Months Ended June 30,</w:t>
            </w:r>
          </w:p>
        </w:tc>
        <w:tc>
          <w:tcPr>
            <w:tcW w:w="900" w:type="dxa"/>
            <w:vAlign w:val="bottom"/>
          </w:tcPr>
          <w:p>
            <w:pPr>
              <w:ind w:left="260"/>
              <w:spacing w:after="0"/>
              <w:rPr>
                <w:sz w:val="20"/>
                <w:szCs w:val="20"/>
                <w:color w:val="auto"/>
              </w:rPr>
            </w:pPr>
            <w:r>
              <w:rPr>
                <w:rFonts w:ascii="Arial" w:cs="Arial" w:eastAsia="Arial" w:hAnsi="Arial"/>
                <w:sz w:val="14"/>
                <w:szCs w:val="14"/>
                <w:b w:val="1"/>
                <w:bCs w:val="1"/>
                <w:color w:val="auto"/>
              </w:rPr>
              <w:t>Percent</w:t>
            </w: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598"/>
              <w:spacing w:after="0"/>
              <w:rPr>
                <w:sz w:val="20"/>
                <w:szCs w:val="20"/>
                <w:color w:val="auto"/>
              </w:rPr>
            </w:pPr>
            <w:r>
              <w:rPr>
                <w:rFonts w:ascii="Arial" w:cs="Arial" w:eastAsia="Arial" w:hAnsi="Arial"/>
                <w:sz w:val="14"/>
                <w:szCs w:val="14"/>
                <w:b w:val="1"/>
                <w:bCs w:val="1"/>
                <w:color w:val="auto"/>
              </w:rPr>
              <w:t>Six Months Ended June 30,</w:t>
            </w:r>
          </w:p>
        </w:tc>
        <w:tc>
          <w:tcPr>
            <w:tcW w:w="880" w:type="dxa"/>
            <w:vAlign w:val="bottom"/>
          </w:tcPr>
          <w:p>
            <w:pPr>
              <w:jc w:val="center"/>
              <w:ind w:left="21"/>
              <w:spacing w:after="0"/>
              <w:rPr>
                <w:sz w:val="20"/>
                <w:szCs w:val="20"/>
                <w:color w:val="auto"/>
              </w:rPr>
            </w:pPr>
            <w:r>
              <w:rPr>
                <w:rFonts w:ascii="Arial" w:cs="Arial" w:eastAsia="Arial" w:hAnsi="Arial"/>
                <w:sz w:val="14"/>
                <w:szCs w:val="14"/>
                <w:b w:val="1"/>
                <w:bCs w:val="1"/>
                <w:color w:val="auto"/>
                <w:w w:val="97"/>
              </w:rPr>
              <w:t>Percent</w:t>
            </w:r>
          </w:p>
        </w:tc>
      </w:tr>
      <w:tr>
        <w:trPr>
          <w:trHeight w:val="186"/>
        </w:trPr>
        <w:tc>
          <w:tcPr>
            <w:tcW w:w="3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w w:val="97"/>
              </w:rPr>
              <w:t>Change</w:t>
            </w:r>
          </w:p>
        </w:tc>
      </w:tr>
      <w:tr>
        <w:trPr>
          <w:trHeight w:val="213"/>
        </w:trPr>
        <w:tc>
          <w:tcPr>
            <w:tcW w:w="3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5,531.4</w:t>
            </w:r>
          </w:p>
        </w:tc>
        <w:tc>
          <w:tcPr>
            <w:tcW w:w="4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3,934.8</w:t>
            </w:r>
          </w:p>
        </w:tc>
        <w:tc>
          <w:tcPr>
            <w:tcW w:w="900" w:type="dxa"/>
            <w:vAlign w:val="bottom"/>
            <w:shd w:val="clear" w:color="auto" w:fill="CCEEFF"/>
          </w:tcPr>
          <w:p>
            <w:pPr>
              <w:jc w:val="center"/>
              <w:ind w:left="41"/>
              <w:spacing w:after="0"/>
              <w:rPr>
                <w:sz w:val="20"/>
                <w:szCs w:val="20"/>
                <w:color w:val="auto"/>
              </w:rPr>
            </w:pPr>
            <w:r>
              <w:rPr>
                <w:rFonts w:ascii="Arial" w:cs="Arial" w:eastAsia="Arial" w:hAnsi="Arial"/>
                <w:sz w:val="17"/>
                <w:szCs w:val="17"/>
                <w:color w:val="auto"/>
                <w:w w:val="94"/>
              </w:rPr>
              <w:t>41</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9,967.6</w:t>
            </w:r>
          </w:p>
        </w:tc>
        <w:tc>
          <w:tcPr>
            <w:tcW w:w="4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9,109.4</w:t>
            </w:r>
          </w:p>
        </w:tc>
        <w:tc>
          <w:tcPr>
            <w:tcW w:w="880" w:type="dxa"/>
            <w:vAlign w:val="bottom"/>
            <w:shd w:val="clear" w:color="auto" w:fill="CCEEFF"/>
          </w:tcPr>
          <w:p>
            <w:pPr>
              <w:jc w:val="center"/>
              <w:ind w:left="21"/>
              <w:spacing w:after="0"/>
              <w:rPr>
                <w:sz w:val="20"/>
                <w:szCs w:val="20"/>
                <w:color w:val="auto"/>
              </w:rPr>
            </w:pPr>
            <w:r>
              <w:rPr>
                <w:rFonts w:ascii="Arial" w:cs="Arial" w:eastAsia="Arial" w:hAnsi="Arial"/>
                <w:sz w:val="17"/>
                <w:szCs w:val="17"/>
                <w:color w:val="auto"/>
              </w:rPr>
              <w:t>9</w:t>
            </w:r>
          </w:p>
        </w:tc>
      </w:tr>
      <w:tr>
        <w:trPr>
          <w:trHeight w:val="219"/>
        </w:trPr>
        <w:tc>
          <w:tcPr>
            <w:tcW w:w="3260" w:type="dxa"/>
            <w:vAlign w:val="bottom"/>
          </w:tcPr>
          <w:p>
            <w:pPr>
              <w:ind w:left="20"/>
              <w:spacing w:after="0"/>
              <w:rPr>
                <w:sz w:val="20"/>
                <w:szCs w:val="20"/>
                <w:color w:val="auto"/>
              </w:rPr>
            </w:pPr>
            <w:r>
              <w:rPr>
                <w:rFonts w:ascii="Arial" w:cs="Arial" w:eastAsia="Arial" w:hAnsi="Arial"/>
                <w:sz w:val="17"/>
                <w:szCs w:val="17"/>
                <w:color w:val="auto"/>
              </w:rPr>
              <w:t>Outside U.S.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b w:val="1"/>
                <w:bCs w:val="1"/>
                <w:color w:val="auto"/>
              </w:rPr>
              <w:t>2,780.7</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2,553.3</w:t>
            </w:r>
          </w:p>
        </w:tc>
        <w:tc>
          <w:tcPr>
            <w:tcW w:w="900" w:type="dxa"/>
            <w:vAlign w:val="bottom"/>
          </w:tcPr>
          <w:p>
            <w:pPr>
              <w:jc w:val="center"/>
              <w:ind w:left="41"/>
              <w:spacing w:after="0"/>
              <w:rPr>
                <w:sz w:val="20"/>
                <w:szCs w:val="20"/>
                <w:color w:val="auto"/>
              </w:rPr>
            </w:pPr>
            <w:r>
              <w:rPr>
                <w:rFonts w:ascii="Arial" w:cs="Arial" w:eastAsia="Arial" w:hAnsi="Arial"/>
                <w:sz w:val="17"/>
                <w:szCs w:val="17"/>
                <w:color w:val="auto"/>
              </w:rPr>
              <w:t>9</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b w:val="1"/>
                <w:bCs w:val="1"/>
                <w:color w:val="auto"/>
              </w:rPr>
              <w:t>5,304.6</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5,188.7</w:t>
            </w:r>
          </w:p>
        </w:tc>
        <w:tc>
          <w:tcPr>
            <w:tcW w:w="880" w:type="dxa"/>
            <w:vAlign w:val="bottom"/>
          </w:tcPr>
          <w:p>
            <w:pPr>
              <w:jc w:val="center"/>
              <w:ind w:left="21"/>
              <w:spacing w:after="0"/>
              <w:rPr>
                <w:sz w:val="20"/>
                <w:szCs w:val="20"/>
                <w:color w:val="auto"/>
              </w:rPr>
            </w:pPr>
            <w:r>
              <w:rPr>
                <w:rFonts w:ascii="Arial" w:cs="Arial" w:eastAsia="Arial" w:hAnsi="Arial"/>
                <w:sz w:val="17"/>
                <w:szCs w:val="17"/>
                <w:color w:val="auto"/>
              </w:rPr>
              <w:t>2</w:t>
            </w:r>
          </w:p>
        </w:tc>
      </w:tr>
      <w:tr>
        <w:trPr>
          <w:trHeight w:val="218"/>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8,312.1</w:t>
            </w:r>
          </w:p>
        </w:tc>
        <w:tc>
          <w:tcPr>
            <w:tcW w:w="4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6,488.0</w:t>
            </w:r>
          </w:p>
        </w:tc>
        <w:tc>
          <w:tcPr>
            <w:tcW w:w="900" w:type="dxa"/>
            <w:vAlign w:val="bottom"/>
            <w:tcBorders>
              <w:bottom w:val="single" w:sz="8" w:color="CCEEFF"/>
            </w:tcBorders>
            <w:shd w:val="clear" w:color="auto" w:fill="CCEEFF"/>
          </w:tcPr>
          <w:p>
            <w:pPr>
              <w:jc w:val="center"/>
              <w:ind w:left="41"/>
              <w:spacing w:after="0"/>
              <w:rPr>
                <w:sz w:val="20"/>
                <w:szCs w:val="20"/>
                <w:color w:val="auto"/>
              </w:rPr>
            </w:pPr>
            <w:r>
              <w:rPr>
                <w:rFonts w:ascii="Arial" w:cs="Arial" w:eastAsia="Arial" w:hAnsi="Arial"/>
                <w:sz w:val="17"/>
                <w:szCs w:val="17"/>
                <w:color w:val="auto"/>
                <w:w w:val="94"/>
              </w:rPr>
              <w:t>28</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15,272.1</w:t>
            </w:r>
          </w:p>
        </w:tc>
        <w:tc>
          <w:tcPr>
            <w:tcW w:w="4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14,298.0</w:t>
            </w:r>
          </w:p>
        </w:tc>
        <w:tc>
          <w:tcPr>
            <w:tcW w:w="880" w:type="dxa"/>
            <w:vAlign w:val="bottom"/>
            <w:tcBorders>
              <w:bottom w:val="single" w:sz="8" w:color="CCEEFF"/>
            </w:tcBorders>
            <w:shd w:val="clear" w:color="auto" w:fill="CCEEFF"/>
          </w:tcPr>
          <w:p>
            <w:pPr>
              <w:jc w:val="center"/>
              <w:ind w:left="21"/>
              <w:spacing w:after="0"/>
              <w:rPr>
                <w:sz w:val="20"/>
                <w:szCs w:val="20"/>
                <w:color w:val="auto"/>
              </w:rPr>
            </w:pPr>
            <w:r>
              <w:rPr>
                <w:rFonts w:ascii="Arial" w:cs="Arial" w:eastAsia="Arial" w:hAnsi="Arial"/>
                <w:sz w:val="17"/>
                <w:szCs w:val="17"/>
                <w:color w:val="auto"/>
              </w:rPr>
              <w:t>7</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components of the change in revenue compared with the prior year: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380" w:type="dxa"/>
            <w:vAlign w:val="bottom"/>
            <w:gridSpan w:val="3"/>
          </w:tcPr>
          <w:p>
            <w:pPr>
              <w:jc w:val="right"/>
              <w:ind w:right="1177"/>
              <w:spacing w:after="0"/>
              <w:rPr>
                <w:sz w:val="20"/>
                <w:szCs w:val="20"/>
                <w:color w:val="auto"/>
              </w:rPr>
            </w:pPr>
            <w:r>
              <w:rPr>
                <w:rFonts w:ascii="Arial" w:cs="Arial" w:eastAsia="Arial" w:hAnsi="Arial"/>
                <w:sz w:val="14"/>
                <w:szCs w:val="14"/>
                <w:b w:val="1"/>
                <w:bCs w:val="1"/>
                <w:color w:val="auto"/>
              </w:rPr>
              <w:t>Three Months Ended June 30,</w:t>
            </w:r>
          </w:p>
        </w:tc>
        <w:tc>
          <w:tcPr>
            <w:tcW w:w="3700" w:type="dxa"/>
            <w:vAlign w:val="bottom"/>
            <w:gridSpan w:val="3"/>
          </w:tcPr>
          <w:p>
            <w:pPr>
              <w:jc w:val="right"/>
              <w:ind w:right="957"/>
              <w:spacing w:after="0"/>
              <w:rPr>
                <w:sz w:val="20"/>
                <w:szCs w:val="20"/>
                <w:color w:val="auto"/>
              </w:rPr>
            </w:pPr>
            <w:r>
              <w:rPr>
                <w:rFonts w:ascii="Arial" w:cs="Arial" w:eastAsia="Arial" w:hAnsi="Arial"/>
                <w:sz w:val="14"/>
                <w:szCs w:val="14"/>
                <w:b w:val="1"/>
                <w:bCs w:val="1"/>
                <w:color w:val="auto"/>
              </w:rPr>
              <w:t>Six Months Ended June 30,</w:t>
            </w:r>
          </w:p>
        </w:tc>
      </w:tr>
      <w:tr>
        <w:trPr>
          <w:trHeight w:val="182"/>
        </w:trPr>
        <w:tc>
          <w:tcPr>
            <w:tcW w:w="33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2023 vs. 2022</w:t>
            </w:r>
          </w:p>
        </w:tc>
        <w:tc>
          <w:tcPr>
            <w:tcW w:w="15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2023 vs. 2022</w:t>
            </w:r>
          </w:p>
        </w:tc>
        <w:tc>
          <w:tcPr>
            <w:tcW w:w="1220" w:type="dxa"/>
            <w:vAlign w:val="bottom"/>
            <w:tcBorders>
              <w:bottom w:val="single" w:sz="8" w:color="auto"/>
            </w:tcBorders>
          </w:tcPr>
          <w:p>
            <w:pPr>
              <w:spacing w:after="0"/>
              <w:rPr>
                <w:sz w:val="15"/>
                <w:szCs w:val="15"/>
                <w:color w:val="auto"/>
              </w:rPr>
            </w:pPr>
          </w:p>
        </w:tc>
      </w:tr>
      <w:tr>
        <w:trPr>
          <w:trHeight w:val="186"/>
        </w:trPr>
        <w:tc>
          <w:tcPr>
            <w:tcW w:w="3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U.S.</w:t>
            </w:r>
          </w:p>
        </w:tc>
        <w:tc>
          <w:tcPr>
            <w:tcW w:w="5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Outside U.S.</w:t>
            </w:r>
          </w:p>
        </w:tc>
        <w:tc>
          <w:tcPr>
            <w:tcW w:w="15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Consolidated</w:t>
            </w: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U.S.</w:t>
            </w:r>
          </w:p>
        </w:tc>
        <w:tc>
          <w:tcPr>
            <w:tcW w:w="12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Outside U.S.</w:t>
            </w:r>
          </w:p>
        </w:tc>
        <w:tc>
          <w:tcPr>
            <w:tcW w:w="12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Consolidated</w:t>
            </w:r>
          </w:p>
        </w:tc>
      </w:tr>
      <w:tr>
        <w:trPr>
          <w:trHeight w:val="21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Volume</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39 %</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14 %</w:t>
            </w:r>
          </w:p>
        </w:tc>
        <w:tc>
          <w:tcPr>
            <w:tcW w:w="154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29 %</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11 %</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10 %</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r>
      <w:tr>
        <w:trPr>
          <w:trHeight w:val="225"/>
        </w:trPr>
        <w:tc>
          <w:tcPr>
            <w:tcW w:w="4160" w:type="dxa"/>
            <w:vAlign w:val="bottom"/>
            <w:gridSpan w:val="2"/>
          </w:tcPr>
          <w:p>
            <w:pPr>
              <w:ind w:left="20"/>
              <w:spacing w:after="0"/>
              <w:rPr>
                <w:sz w:val="20"/>
                <w:szCs w:val="20"/>
                <w:color w:val="auto"/>
              </w:rPr>
            </w:pPr>
            <w:r>
              <w:rPr>
                <w:rFonts w:ascii="Arial" w:cs="Arial" w:eastAsia="Arial" w:hAnsi="Arial"/>
                <w:sz w:val="17"/>
                <w:szCs w:val="17"/>
                <w:color w:val="auto"/>
              </w:rPr>
              <w:t>Price</w:t>
            </w:r>
          </w:p>
        </w:tc>
        <w:tc>
          <w:tcPr>
            <w:tcW w:w="560" w:type="dxa"/>
            <w:vAlign w:val="bottom"/>
          </w:tcPr>
          <w:p>
            <w:pPr>
              <w:jc w:val="right"/>
              <w:ind w:right="237"/>
              <w:spacing w:after="0"/>
              <w:rPr>
                <w:sz w:val="20"/>
                <w:szCs w:val="20"/>
                <w:color w:val="auto"/>
              </w:rPr>
            </w:pPr>
            <w:r>
              <w:rPr>
                <w:rFonts w:ascii="Arial" w:cs="Arial" w:eastAsia="Arial" w:hAnsi="Arial"/>
                <w:sz w:val="17"/>
                <w:szCs w:val="17"/>
                <w:color w:val="auto"/>
              </w:rPr>
              <w:t>2</w:t>
            </w:r>
          </w:p>
        </w:tc>
        <w:tc>
          <w:tcPr>
            <w:tcW w:w="1280" w:type="dxa"/>
            <w:vAlign w:val="bottom"/>
          </w:tcPr>
          <w:p>
            <w:pPr>
              <w:jc w:val="right"/>
              <w:ind w:right="180"/>
              <w:spacing w:after="0"/>
              <w:rPr>
                <w:sz w:val="20"/>
                <w:szCs w:val="20"/>
                <w:color w:val="auto"/>
              </w:rPr>
            </w:pPr>
            <w:r>
              <w:rPr>
                <w:rFonts w:ascii="Arial" w:cs="Arial" w:eastAsia="Arial" w:hAnsi="Arial"/>
                <w:sz w:val="17"/>
                <w:szCs w:val="17"/>
                <w:color w:val="auto"/>
              </w:rPr>
              <w:t>(3)</w:t>
            </w:r>
          </w:p>
        </w:tc>
        <w:tc>
          <w:tcPr>
            <w:tcW w:w="1540" w:type="dxa"/>
            <w:vAlign w:val="bottom"/>
          </w:tcPr>
          <w:p>
            <w:pPr>
              <w:jc w:val="right"/>
              <w:ind w:right="437"/>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200"/>
              <w:spacing w:after="0"/>
              <w:rPr>
                <w:sz w:val="20"/>
                <w:szCs w:val="20"/>
                <w:color w:val="auto"/>
              </w:rPr>
            </w:pPr>
            <w:r>
              <w:rPr>
                <w:rFonts w:ascii="Arial" w:cs="Arial" w:eastAsia="Arial" w:hAnsi="Arial"/>
                <w:sz w:val="17"/>
                <w:szCs w:val="17"/>
                <w:color w:val="auto"/>
              </w:rPr>
              <w:t>(2)</w:t>
            </w:r>
          </w:p>
        </w:tc>
        <w:tc>
          <w:tcPr>
            <w:tcW w:w="1280" w:type="dxa"/>
            <w:vAlign w:val="bottom"/>
          </w:tcPr>
          <w:p>
            <w:pPr>
              <w:jc w:val="right"/>
              <w:ind w:right="200"/>
              <w:spacing w:after="0"/>
              <w:rPr>
                <w:sz w:val="20"/>
                <w:szCs w:val="20"/>
                <w:color w:val="auto"/>
              </w:rPr>
            </w:pPr>
            <w:r>
              <w:rPr>
                <w:rFonts w:ascii="Arial" w:cs="Arial" w:eastAsia="Arial" w:hAnsi="Arial"/>
                <w:sz w:val="17"/>
                <w:szCs w:val="17"/>
                <w:color w:val="auto"/>
              </w:rPr>
              <w:t>(4)</w:t>
            </w:r>
          </w:p>
        </w:tc>
        <w:tc>
          <w:tcPr>
            <w:tcW w:w="1220" w:type="dxa"/>
            <w:vAlign w:val="bottom"/>
          </w:tcPr>
          <w:p>
            <w:pPr>
              <w:jc w:val="right"/>
              <w:ind w:right="97"/>
              <w:spacing w:after="0"/>
              <w:rPr>
                <w:sz w:val="20"/>
                <w:szCs w:val="20"/>
                <w:color w:val="auto"/>
              </w:rPr>
            </w:pPr>
            <w:r>
              <w:rPr>
                <w:rFonts w:ascii="Arial" w:cs="Arial" w:eastAsia="Arial" w:hAnsi="Arial"/>
                <w:sz w:val="17"/>
                <w:szCs w:val="17"/>
                <w:color w:val="auto"/>
              </w:rPr>
              <w:t>(3)</w:t>
            </w:r>
          </w:p>
        </w:tc>
      </w:tr>
      <w:tr>
        <w:trPr>
          <w:trHeight w:val="226"/>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rates</w:t>
            </w:r>
          </w:p>
        </w:tc>
        <w:tc>
          <w:tcPr>
            <w:tcW w:w="8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7"/>
                <w:szCs w:val="17"/>
                <w:color w:val="auto"/>
              </w:rPr>
              <w:t>(3)</w:t>
            </w:r>
          </w:p>
        </w:tc>
        <w:tc>
          <w:tcPr>
            <w:tcW w:w="154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7"/>
                <w:szCs w:val="17"/>
                <w:color w:val="auto"/>
              </w:rPr>
              <w:t>(1)</w:t>
            </w:r>
          </w:p>
        </w:tc>
        <w:tc>
          <w:tcPr>
            <w:tcW w:w="120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7"/>
                <w:szCs w:val="17"/>
                <w:color w:val="auto"/>
              </w:rPr>
              <w:t>(4)</w:t>
            </w:r>
          </w:p>
        </w:tc>
        <w:tc>
          <w:tcPr>
            <w:tcW w:w="12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(2)</w:t>
            </w:r>
          </w:p>
        </w:tc>
      </w:tr>
      <w:tr>
        <w:trPr>
          <w:trHeight w:val="219"/>
        </w:trPr>
        <w:tc>
          <w:tcPr>
            <w:tcW w:w="3360" w:type="dxa"/>
            <w:vAlign w:val="bottom"/>
          </w:tcPr>
          <w:p>
            <w:pPr>
              <w:ind w:left="20"/>
              <w:spacing w:after="0"/>
              <w:rPr>
                <w:sz w:val="20"/>
                <w:szCs w:val="20"/>
                <w:color w:val="auto"/>
              </w:rPr>
            </w:pPr>
            <w:r>
              <w:rPr>
                <w:rFonts w:ascii="Arial" w:cs="Arial" w:eastAsia="Arial" w:hAnsi="Arial"/>
                <w:sz w:val="17"/>
                <w:szCs w:val="17"/>
                <w:color w:val="auto"/>
              </w:rPr>
              <w:t>Percent change</w:t>
            </w:r>
          </w:p>
        </w:tc>
        <w:tc>
          <w:tcPr>
            <w:tcW w:w="8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41 %</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9 %</w:t>
            </w:r>
          </w:p>
        </w:tc>
        <w:tc>
          <w:tcPr>
            <w:tcW w:w="154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color w:val="auto"/>
              </w:rPr>
              <w:t>28 %</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9 %</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2 %</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4"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In the U.S. for the three and six months ended June 30, 2023, the increase in volume was primarily driven by Mounjaro, Trulicity, Verzenio, Jardiance, and Taltz</w:t>
      </w:r>
      <w:r>
        <w:rPr>
          <w:rFonts w:ascii="Arial" w:cs="Arial" w:eastAsia="Arial" w:hAnsi="Arial"/>
          <w:sz w:val="22"/>
          <w:szCs w:val="22"/>
          <w:color w:val="auto"/>
          <w:vertAlign w:val="superscript"/>
        </w:rPr>
        <w:t>®</w:t>
      </w:r>
      <w:r>
        <w:rPr>
          <w:rFonts w:ascii="Arial" w:cs="Arial" w:eastAsia="Arial" w:hAnsi="Arial"/>
          <w:sz w:val="17"/>
          <w:szCs w:val="17"/>
          <w:color w:val="auto"/>
        </w:rPr>
        <w:t>, as well as the sale of rights for Baqsimi, partially offset by the complete reduction of COVID-19 antibodies revenue and decreased volume from Alimta following the entry of multiple generics in the first half of 2022. In the U.S. for the three months ended June 30, 2023, the higher realized prices were primarily driven by Mounjaro, partially offset by Trulicity. In the U.S. for the six months ended June 30, 2023, the lower realized prices were primarily driven by Trulicity and Humalog, partially offset by Mounjaro. For the three and six months ended June 30, 2023, the higher realized prices for Mounjaro were due to decreased utilization of savings card programs as access continues to expand, and the lower realized prices for Trulicity were due to unfavorable segment mix and higher contracted rebates. For the six months ended June 30, 2023, the lower realized prices for Humalog were due to unfavorable segment mix.</w:t>
      </w:r>
    </w:p>
    <w:p>
      <w:pPr>
        <w:spacing w:after="0" w:line="87"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Outside the U.S. for the three and six months ended June 30, 2023, the increase in volume was primarily driven by Verzenio, Jardiance, Taltz, and Mounjaro. The increase in volume for the six months ended June 30, 2023 was partially offset by the decrease in volume due to the sales of the rights for Cialis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Taiwan and Saudi Arabia in 2022. Outside the U.S. for the three and six months ended June 30, 2023, the lower realized prices were primarily driven by Verzenio, Trulicity, and Olumiant</w:t>
      </w:r>
      <w:r>
        <w:rPr>
          <w:rFonts w:ascii="Arial" w:cs="Arial" w:eastAsia="Arial" w:hAnsi="Arial"/>
          <w:sz w:val="22"/>
          <w:szCs w:val="22"/>
          <w:color w:val="auto"/>
          <w:vertAlign w:val="superscript"/>
        </w:rPr>
        <w:t>®</w:t>
      </w:r>
      <w:r>
        <w:rPr>
          <w:rFonts w:ascii="Arial" w:cs="Arial" w:eastAsia="Arial" w:hAnsi="Arial"/>
          <w:sz w:val="17"/>
          <w:szCs w:val="17"/>
          <w:color w:val="auto"/>
        </w:rPr>
        <w:t>. Outside the U.S. for the six months ended June 30, 2023, the lower realized prices were also driven by the impact of government pricing in China from volume-base procurement for Humalog.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42" w:name="page43"/>
    <w:bookmarkEnd w:id="42"/>
    <w:p>
      <w:pPr>
        <w:ind w:right="180"/>
        <w:spacing w:after="0" w:line="280" w:lineRule="auto"/>
        <w:rPr>
          <w:sz w:val="20"/>
          <w:szCs w:val="20"/>
          <w:color w:val="auto"/>
        </w:rPr>
      </w:pPr>
      <w:r>
        <w:rPr>
          <w:rFonts w:ascii="Arial" w:cs="Arial" w:eastAsia="Arial" w:hAnsi="Arial"/>
          <w:sz w:val="17"/>
          <w:szCs w:val="17"/>
          <w:color w:val="auto"/>
        </w:rPr>
        <w:t>The following table summarizes our revenue, including net product revenue and collaboration and other revenue, by product for the three months ended June 30, 2023 and 2022:</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20" w:type="dxa"/>
            <w:vAlign w:val="bottom"/>
          </w:tcPr>
          <w:p>
            <w:pPr>
              <w:spacing w:after="0"/>
              <w:rPr>
                <w:sz w:val="16"/>
                <w:szCs w:val="16"/>
                <w:color w:val="auto"/>
              </w:rPr>
            </w:pPr>
          </w:p>
        </w:tc>
      </w:tr>
      <w:tr>
        <w:trPr>
          <w:trHeight w:val="186"/>
        </w:trPr>
        <w:tc>
          <w:tcPr>
            <w:tcW w:w="4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420" w:type="dxa"/>
            <w:vAlign w:val="bottom"/>
          </w:tcPr>
          <w:p>
            <w:pPr>
              <w:spacing w:after="0"/>
              <w:rPr>
                <w:sz w:val="16"/>
                <w:szCs w:val="16"/>
                <w:color w:val="auto"/>
              </w:rPr>
            </w:pPr>
          </w:p>
        </w:tc>
      </w:tr>
      <w:tr>
        <w:trPr>
          <w:trHeight w:val="187"/>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Outside U.S.</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97"/>
              </w:rPr>
              <w:t>Percent Change</w:t>
            </w:r>
          </w:p>
        </w:tc>
      </w:tr>
      <w:tr>
        <w:trPr>
          <w:trHeight w:val="213"/>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Trulicity</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1,371.3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441.2</w:t>
            </w:r>
          </w:p>
        </w:tc>
        <w:tc>
          <w:tcPr>
            <w:tcW w:w="38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1,812.5</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1,911.9</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6"/>
              </w:rPr>
              <w:t>(5)</w:t>
            </w:r>
          </w:p>
        </w:tc>
      </w:tr>
      <w:tr>
        <w:trPr>
          <w:trHeight w:val="219"/>
        </w:trPr>
        <w:tc>
          <w:tcPr>
            <w:tcW w:w="4200" w:type="dxa"/>
            <w:vAlign w:val="bottom"/>
          </w:tcPr>
          <w:p>
            <w:pPr>
              <w:ind w:left="20"/>
              <w:spacing w:after="0"/>
              <w:rPr>
                <w:sz w:val="20"/>
                <w:szCs w:val="20"/>
                <w:color w:val="auto"/>
              </w:rPr>
            </w:pPr>
            <w:r>
              <w:rPr>
                <w:rFonts w:ascii="Arial" w:cs="Arial" w:eastAsia="Arial" w:hAnsi="Arial"/>
                <w:sz w:val="17"/>
                <w:szCs w:val="17"/>
                <w:color w:val="auto"/>
              </w:rPr>
              <w:t>Mounjaro</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915.7</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64.0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979.7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16.0</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NM</w:t>
            </w:r>
          </w:p>
        </w:tc>
      </w:tr>
      <w:tr>
        <w:trPr>
          <w:trHeight w:val="219"/>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Verzenio</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588.6</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338.2</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926.8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588.5</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57</w:t>
            </w:r>
          </w:p>
        </w:tc>
      </w:tr>
      <w:tr>
        <w:trPr>
          <w:trHeight w:val="232"/>
        </w:trPr>
        <w:tc>
          <w:tcPr>
            <w:tcW w:w="4200" w:type="dxa"/>
            <w:vAlign w:val="bottom"/>
          </w:tcPr>
          <w:p>
            <w:pPr>
              <w:ind w:left="20"/>
              <w:spacing w:after="0"/>
              <w:rPr>
                <w:sz w:val="20"/>
                <w:szCs w:val="20"/>
                <w:color w:val="auto"/>
              </w:rPr>
            </w:pPr>
            <w:r>
              <w:rPr>
                <w:rFonts w:ascii="Arial" w:cs="Arial" w:eastAsia="Arial" w:hAnsi="Arial"/>
                <w:sz w:val="17"/>
                <w:szCs w:val="17"/>
                <w:color w:val="auto"/>
              </w:rPr>
              <w:t>Taltz</w:t>
            </w:r>
          </w:p>
        </w:tc>
        <w:tc>
          <w:tcPr>
            <w:tcW w:w="32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472.3</w:t>
            </w:r>
          </w:p>
        </w:tc>
        <w:tc>
          <w:tcPr>
            <w:tcW w:w="260" w:type="dxa"/>
            <w:vAlign w:val="bottom"/>
          </w:tcPr>
          <w:p>
            <w:pPr>
              <w:spacing w:after="0"/>
              <w:rPr>
                <w:sz w:val="20"/>
                <w:szCs w:val="20"/>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231.6</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703.9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606.2</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16</w:t>
            </w:r>
          </w:p>
        </w:tc>
      </w:tr>
      <w:tr>
        <w:trPr>
          <w:trHeight w:val="219"/>
        </w:trPr>
        <w:tc>
          <w:tcPr>
            <w:tcW w:w="420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Jardiance</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386.1</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282.2</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668.3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461.0</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45</w:t>
            </w:r>
          </w:p>
        </w:tc>
      </w:tr>
      <w:tr>
        <w:trPr>
          <w:trHeight w:val="219"/>
        </w:trPr>
        <w:tc>
          <w:tcPr>
            <w:tcW w:w="4200" w:type="dxa"/>
            <w:vAlign w:val="bottom"/>
          </w:tcPr>
          <w:p>
            <w:pPr>
              <w:ind w:left="20"/>
              <w:spacing w:after="0"/>
              <w:rPr>
                <w:sz w:val="20"/>
                <w:szCs w:val="20"/>
                <w:color w:val="auto"/>
              </w:rPr>
            </w:pPr>
            <w:r>
              <w:rPr>
                <w:rFonts w:ascii="Arial" w:cs="Arial" w:eastAsia="Arial" w:hAnsi="Arial"/>
                <w:sz w:val="17"/>
                <w:szCs w:val="17"/>
                <w:color w:val="auto"/>
              </w:rPr>
              <w:t>Baqsimi</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606.2</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7.7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613.9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29.0</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NM</w:t>
            </w:r>
          </w:p>
        </w:tc>
      </w:tr>
      <w:tr>
        <w:trPr>
          <w:trHeight w:val="232"/>
        </w:trPr>
        <w:tc>
          <w:tcPr>
            <w:tcW w:w="4200" w:type="dxa"/>
            <w:vAlign w:val="bottom"/>
            <w:shd w:val="clear" w:color="auto" w:fill="CCEEFF"/>
          </w:tcPr>
          <w:p>
            <w:pPr>
              <w:ind w:left="20"/>
              <w:spacing w:after="0" w:line="232" w:lineRule="exact"/>
              <w:rPr>
                <w:sz w:val="20"/>
                <w:szCs w:val="20"/>
                <w:color w:val="auto"/>
              </w:rPr>
            </w:pPr>
            <w:r>
              <w:rPr>
                <w:rFonts w:ascii="Arial" w:cs="Arial" w:eastAsia="Arial" w:hAnsi="Arial"/>
                <w:sz w:val="17"/>
                <w:szCs w:val="17"/>
                <w:color w:val="auto"/>
              </w:rPr>
              <w:t>Humalog</w:t>
            </w:r>
            <w:r>
              <w:rPr>
                <w:rFonts w:ascii="Arial" w:cs="Arial" w:eastAsia="Arial" w:hAnsi="Arial"/>
                <w:sz w:val="22"/>
                <w:szCs w:val="22"/>
                <w:color w:val="auto"/>
                <w:vertAlign w:val="superscript"/>
              </w:rPr>
              <w:t>(2)</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229.8</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210.6</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440.4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447.1</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6"/>
              </w:rPr>
              <w:t>(1)</w:t>
            </w:r>
          </w:p>
        </w:tc>
      </w:tr>
      <w:tr>
        <w:trPr>
          <w:trHeight w:val="219"/>
        </w:trPr>
        <w:tc>
          <w:tcPr>
            <w:tcW w:w="4200" w:type="dxa"/>
            <w:vAlign w:val="bottom"/>
          </w:tcPr>
          <w:p>
            <w:pPr>
              <w:ind w:left="20"/>
              <w:spacing w:after="0" w:line="220" w:lineRule="exact"/>
              <w:rPr>
                <w:sz w:val="20"/>
                <w:szCs w:val="20"/>
                <w:color w:val="auto"/>
              </w:rPr>
            </w:pPr>
            <w:r>
              <w:rPr>
                <w:rFonts w:ascii="Arial" w:cs="Arial" w:eastAsia="Arial" w:hAnsi="Arial"/>
                <w:sz w:val="17"/>
                <w:szCs w:val="17"/>
                <w:color w:val="auto"/>
              </w:rPr>
              <w:t>Cyramza</w:t>
            </w:r>
            <w:r>
              <w:rPr>
                <w:rFonts w:ascii="Arial" w:cs="Arial" w:eastAsia="Arial" w:hAnsi="Arial"/>
                <w:sz w:val="22"/>
                <w:szCs w:val="22"/>
                <w:color w:val="auto"/>
                <w:vertAlign w:val="superscript"/>
              </w:rPr>
              <w:t>®</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115.0</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145.3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260.3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231.3</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13</w:t>
            </w:r>
          </w:p>
        </w:tc>
      </w:tr>
      <w:tr>
        <w:trPr>
          <w:trHeight w:val="219"/>
        </w:trPr>
        <w:tc>
          <w:tcPr>
            <w:tcW w:w="420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Olumiant</w:t>
            </w:r>
            <w:r>
              <w:rPr>
                <w:rFonts w:ascii="Arial" w:cs="Arial" w:eastAsia="Arial" w:hAnsi="Arial"/>
                <w:sz w:val="22"/>
                <w:szCs w:val="22"/>
                <w:color w:val="auto"/>
                <w:vertAlign w:val="superscript"/>
              </w:rPr>
              <w:t>(3)</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50.8</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168.1</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186.2</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18</w:t>
            </w:r>
          </w:p>
        </w:tc>
      </w:tr>
      <w:tr>
        <w:trPr>
          <w:trHeight w:val="232"/>
        </w:trPr>
        <w:tc>
          <w:tcPr>
            <w:tcW w:w="4200" w:type="dxa"/>
            <w:vAlign w:val="bottom"/>
          </w:tcPr>
          <w:p>
            <w:pPr>
              <w:ind w:left="20"/>
              <w:spacing w:after="0" w:line="232" w:lineRule="exact"/>
              <w:rPr>
                <w:sz w:val="20"/>
                <w:szCs w:val="20"/>
                <w:color w:val="auto"/>
              </w:rPr>
            </w:pPr>
            <w:r>
              <w:rPr>
                <w:rFonts w:ascii="Arial" w:cs="Arial" w:eastAsia="Arial" w:hAnsi="Arial"/>
                <w:sz w:val="17"/>
                <w:szCs w:val="17"/>
                <w:color w:val="auto"/>
              </w:rPr>
              <w:t>Humulin</w:t>
            </w:r>
            <w:r>
              <w:rPr>
                <w:rFonts w:ascii="Arial" w:cs="Arial" w:eastAsia="Arial" w:hAnsi="Arial"/>
                <w:sz w:val="22"/>
                <w:szCs w:val="22"/>
                <w:color w:val="auto"/>
                <w:vertAlign w:val="superscript"/>
              </w:rPr>
              <w:t>®</w:t>
            </w:r>
          </w:p>
        </w:tc>
        <w:tc>
          <w:tcPr>
            <w:tcW w:w="32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144.3</w:t>
            </w:r>
          </w:p>
        </w:tc>
        <w:tc>
          <w:tcPr>
            <w:tcW w:w="260" w:type="dxa"/>
            <w:vAlign w:val="bottom"/>
          </w:tcPr>
          <w:p>
            <w:pPr>
              <w:spacing w:after="0"/>
              <w:rPr>
                <w:sz w:val="20"/>
                <w:szCs w:val="20"/>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61.0</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205.3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274.0</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(25)</w:t>
            </w:r>
          </w:p>
        </w:tc>
      </w:tr>
      <w:tr>
        <w:trPr>
          <w:trHeight w:val="219"/>
        </w:trPr>
        <w:tc>
          <w:tcPr>
            <w:tcW w:w="420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Emgality</w:t>
            </w:r>
            <w:r>
              <w:rPr>
                <w:rFonts w:ascii="Arial" w:cs="Arial" w:eastAsia="Arial" w:hAnsi="Arial"/>
                <w:sz w:val="22"/>
                <w:szCs w:val="22"/>
                <w:color w:val="auto"/>
                <w:vertAlign w:val="superscript"/>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118.8</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50.5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157.5</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84"/>
              </w:rPr>
              <w:t>8</w:t>
            </w:r>
          </w:p>
        </w:tc>
      </w:tr>
      <w:tr>
        <w:trPr>
          <w:trHeight w:val="219"/>
        </w:trPr>
        <w:tc>
          <w:tcPr>
            <w:tcW w:w="4200" w:type="dxa"/>
            <w:vAlign w:val="bottom"/>
          </w:tcPr>
          <w:p>
            <w:pPr>
              <w:ind w:left="20"/>
              <w:spacing w:after="0" w:line="220" w:lineRule="exact"/>
              <w:rPr>
                <w:sz w:val="20"/>
                <w:szCs w:val="20"/>
                <w:color w:val="auto"/>
              </w:rPr>
            </w:pPr>
            <w:r>
              <w:rPr>
                <w:rFonts w:ascii="Arial" w:cs="Arial" w:eastAsia="Arial" w:hAnsi="Arial"/>
                <w:sz w:val="17"/>
                <w:szCs w:val="17"/>
                <w:color w:val="auto"/>
              </w:rPr>
              <w:t>Erbitux</w:t>
            </w:r>
            <w:r>
              <w:rPr>
                <w:rFonts w:ascii="Arial" w:cs="Arial" w:eastAsia="Arial" w:hAnsi="Arial"/>
                <w:sz w:val="22"/>
                <w:szCs w:val="22"/>
                <w:color w:val="auto"/>
                <w:vertAlign w:val="superscript"/>
              </w:rPr>
              <w:t>®</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145.5</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17.0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162.5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140.8</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15</w:t>
            </w:r>
          </w:p>
        </w:tc>
      </w:tr>
      <w:tr>
        <w:trPr>
          <w:trHeight w:val="232"/>
        </w:trPr>
        <w:tc>
          <w:tcPr>
            <w:tcW w:w="4200" w:type="dxa"/>
            <w:vAlign w:val="bottom"/>
            <w:shd w:val="clear" w:color="auto" w:fill="CCEEFF"/>
          </w:tcPr>
          <w:p>
            <w:pPr>
              <w:ind w:left="20"/>
              <w:spacing w:after="0" w:line="232" w:lineRule="exact"/>
              <w:rPr>
                <w:sz w:val="20"/>
                <w:szCs w:val="20"/>
                <w:color w:val="auto"/>
              </w:rPr>
            </w:pPr>
            <w:r>
              <w:rPr>
                <w:rFonts w:ascii="Arial" w:cs="Arial" w:eastAsia="Arial" w:hAnsi="Arial"/>
                <w:sz w:val="17"/>
                <w:szCs w:val="17"/>
                <w:color w:val="auto"/>
              </w:rPr>
              <w:t>Basaglar</w:t>
            </w:r>
            <w:r>
              <w:rPr>
                <w:rFonts w:ascii="Arial" w:cs="Arial" w:eastAsia="Arial" w:hAnsi="Arial"/>
                <w:sz w:val="22"/>
                <w:szCs w:val="22"/>
                <w:color w:val="auto"/>
                <w:vertAlign w:val="superscript"/>
              </w:rPr>
              <w:t>® (4)</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83.0</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71.2</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154.2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174.2</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2"/>
              </w:rPr>
              <w:t>(11)</w:t>
            </w:r>
          </w:p>
        </w:tc>
      </w:tr>
      <w:tr>
        <w:trPr>
          <w:trHeight w:val="219"/>
        </w:trPr>
        <w:tc>
          <w:tcPr>
            <w:tcW w:w="4200" w:type="dxa"/>
            <w:vAlign w:val="bottom"/>
          </w:tcPr>
          <w:p>
            <w:pPr>
              <w:ind w:left="20"/>
              <w:spacing w:after="0" w:line="220" w:lineRule="exact"/>
              <w:rPr>
                <w:sz w:val="20"/>
                <w:szCs w:val="20"/>
                <w:color w:val="auto"/>
              </w:rPr>
            </w:pPr>
            <w:r>
              <w:rPr>
                <w:rFonts w:ascii="Arial" w:cs="Arial" w:eastAsia="Arial" w:hAnsi="Arial"/>
                <w:sz w:val="17"/>
                <w:szCs w:val="17"/>
                <w:color w:val="auto"/>
              </w:rPr>
              <w:t>Forteo</w:t>
            </w:r>
            <w:r>
              <w:rPr>
                <w:rFonts w:ascii="Arial" w:cs="Arial" w:eastAsia="Arial" w:hAnsi="Arial"/>
                <w:sz w:val="22"/>
                <w:szCs w:val="22"/>
                <w:color w:val="auto"/>
                <w:vertAlign w:val="superscript"/>
              </w:rPr>
              <w:t>®</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97.4</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50.6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148.0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138.5</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w w:val="84"/>
              </w:rPr>
              <w:t>7</w:t>
            </w:r>
          </w:p>
        </w:tc>
      </w:tr>
      <w:tr>
        <w:trPr>
          <w:trHeight w:val="219"/>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Cialis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9.2</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106.4</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147.0</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(21)</w:t>
            </w:r>
          </w:p>
        </w:tc>
      </w:tr>
      <w:tr>
        <w:trPr>
          <w:trHeight w:val="232"/>
        </w:trPr>
        <w:tc>
          <w:tcPr>
            <w:tcW w:w="4200" w:type="dxa"/>
            <w:vAlign w:val="bottom"/>
          </w:tcPr>
          <w:p>
            <w:pPr>
              <w:ind w:left="20"/>
              <w:spacing w:after="0"/>
              <w:rPr>
                <w:sz w:val="20"/>
                <w:szCs w:val="20"/>
                <w:color w:val="auto"/>
              </w:rPr>
            </w:pPr>
            <w:r>
              <w:rPr>
                <w:rFonts w:ascii="Arial" w:cs="Arial" w:eastAsia="Arial" w:hAnsi="Arial"/>
                <w:sz w:val="17"/>
                <w:szCs w:val="17"/>
                <w:color w:val="auto"/>
              </w:rPr>
              <w:t>Alimta</w:t>
            </w:r>
          </w:p>
        </w:tc>
        <w:tc>
          <w:tcPr>
            <w:tcW w:w="32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17.9</w:t>
            </w:r>
          </w:p>
        </w:tc>
        <w:tc>
          <w:tcPr>
            <w:tcW w:w="260" w:type="dxa"/>
            <w:vAlign w:val="bottom"/>
          </w:tcPr>
          <w:p>
            <w:pPr>
              <w:spacing w:after="0"/>
              <w:rPr>
                <w:sz w:val="20"/>
                <w:szCs w:val="20"/>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43.1</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60.9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227.7</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(73)</w:t>
            </w:r>
          </w:p>
        </w:tc>
      </w:tr>
      <w:tr>
        <w:trPr>
          <w:trHeight w:val="219"/>
        </w:trPr>
        <w:tc>
          <w:tcPr>
            <w:tcW w:w="420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COVID-19 antibodies</w:t>
            </w:r>
            <w:r>
              <w:rPr>
                <w:rFonts w:ascii="Arial" w:cs="Arial" w:eastAsia="Arial" w:hAnsi="Arial"/>
                <w:sz w:val="22"/>
                <w:szCs w:val="22"/>
                <w:color w:val="auto"/>
                <w:vertAlign w:val="superscript"/>
              </w:rPr>
              <w:t>(5)</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(100)</w:t>
            </w:r>
          </w:p>
        </w:tc>
      </w:tr>
      <w:tr>
        <w:trPr>
          <w:trHeight w:val="219"/>
        </w:trPr>
        <w:tc>
          <w:tcPr>
            <w:tcW w:w="4200" w:type="dxa"/>
            <w:vAlign w:val="bottom"/>
          </w:tcPr>
          <w:p>
            <w:pPr>
              <w:ind w:left="20"/>
              <w:spacing w:after="0"/>
              <w:rPr>
                <w:sz w:val="20"/>
                <w:szCs w:val="20"/>
                <w:color w:val="auto"/>
              </w:rPr>
            </w:pPr>
            <w:r>
              <w:rPr>
                <w:rFonts w:ascii="Arial" w:cs="Arial" w:eastAsia="Arial" w:hAnsi="Arial"/>
                <w:sz w:val="17"/>
                <w:szCs w:val="17"/>
                <w:color w:val="auto"/>
              </w:rPr>
              <w:t>Other products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179.5</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492.0</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671.6</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622.0</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w w:val="84"/>
              </w:rPr>
              <w:t>8</w:t>
            </w:r>
          </w:p>
        </w:tc>
      </w:tr>
      <w:tr>
        <w:trPr>
          <w:trHeight w:val="231"/>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5,531.4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2,780.7</w:t>
            </w:r>
          </w:p>
        </w:tc>
        <w:tc>
          <w:tcPr>
            <w:tcW w:w="3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8,312.1</w:t>
            </w:r>
          </w:p>
        </w:tc>
        <w:tc>
          <w:tcPr>
            <w:tcW w:w="4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6,488.0</w:t>
            </w:r>
          </w:p>
        </w:tc>
        <w:tc>
          <w:tcPr>
            <w:tcW w:w="1420" w:type="dxa"/>
            <w:vAlign w:val="bottom"/>
            <w:tcBorders>
              <w:bottom w:val="single" w:sz="8" w:color="CCEEFF"/>
            </w:tcBorders>
            <w:shd w:val="clear" w:color="auto" w:fill="CCEEFF"/>
          </w:tcPr>
          <w:p>
            <w:pPr>
              <w:jc w:val="center"/>
              <w:ind w:left="15"/>
              <w:spacing w:after="0"/>
              <w:rPr>
                <w:sz w:val="20"/>
                <w:szCs w:val="20"/>
                <w:color w:val="auto"/>
              </w:rPr>
            </w:pPr>
            <w:r>
              <w:rPr>
                <w:rFonts w:ascii="Arial" w:cs="Arial" w:eastAsia="Arial" w:hAnsi="Arial"/>
                <w:sz w:val="17"/>
                <w:szCs w:val="17"/>
                <w:color w:val="auto"/>
              </w:rPr>
              <w:t>28</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ind w:left="140" w:hanging="137"/>
        <w:spacing w:after="0" w:line="231" w:lineRule="auto"/>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w:t>
      </w:r>
      <w:r>
        <w:rPr>
          <w:rFonts w:ascii="Arial" w:cs="Arial" w:eastAsia="Arial" w:hAnsi="Arial"/>
          <w:sz w:val="15"/>
          <w:szCs w:val="15"/>
          <w:color w:val="auto"/>
          <w:vertAlign w:val="superscript"/>
        </w:rPr>
        <w:t>®</w:t>
      </w:r>
      <w:r>
        <w:rPr>
          <w:rFonts w:ascii="Arial" w:cs="Arial" w:eastAsia="Arial" w:hAnsi="Arial"/>
          <w:sz w:val="12"/>
          <w:szCs w:val="12"/>
          <w:color w:val="auto"/>
        </w:rPr>
        <w:t>, Synjardy</w:t>
      </w:r>
      <w:r>
        <w:rPr>
          <w:rFonts w:ascii="Arial" w:cs="Arial" w:eastAsia="Arial" w:hAnsi="Arial"/>
          <w:sz w:val="15"/>
          <w:szCs w:val="15"/>
          <w:color w:val="auto"/>
          <w:vertAlign w:val="superscript"/>
        </w:rPr>
        <w:t>®</w:t>
      </w:r>
      <w:r>
        <w:rPr>
          <w:rFonts w:ascii="Arial" w:cs="Arial" w:eastAsia="Arial" w:hAnsi="Arial"/>
          <w:sz w:val="12"/>
          <w:szCs w:val="12"/>
          <w:color w:val="auto"/>
        </w:rPr>
        <w:t>, and Trijardy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XR.</w:t>
      </w:r>
    </w:p>
    <w:p>
      <w:pPr>
        <w:ind w:left="140" w:hanging="137"/>
        <w:spacing w:after="0" w:line="214" w:lineRule="auto"/>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spacing w:after="0" w:line="3" w:lineRule="exact"/>
        <w:rPr>
          <w:rFonts w:ascii="Arial" w:cs="Arial" w:eastAsia="Arial" w:hAnsi="Arial"/>
          <w:sz w:val="16"/>
          <w:szCs w:val="16"/>
          <w:color w:val="auto"/>
          <w:vertAlign w:val="superscript"/>
        </w:rPr>
      </w:pPr>
    </w:p>
    <w:p>
      <w:pPr>
        <w:ind w:left="140" w:hanging="137"/>
        <w:spacing w:after="0" w:line="202" w:lineRule="auto"/>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Olumiant revenue includes sales for baricitinib that were made pursuant to Emergency Use Authorization (EUA) or similar regulatory authorizations.</w:t>
      </w:r>
    </w:p>
    <w:p>
      <w:pPr>
        <w:ind w:left="140" w:hanging="137"/>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Basaglar revenue includes Rezvoglar</w:t>
      </w:r>
      <w:r>
        <w:rPr>
          <w:rFonts w:ascii="Arial" w:cs="Arial" w:eastAsia="Arial" w:hAnsi="Arial"/>
          <w:sz w:val="8"/>
          <w:szCs w:val="8"/>
          <w:color w:val="auto"/>
        </w:rPr>
        <w:t>®</w:t>
      </w:r>
      <w:r>
        <w:rPr>
          <w:rFonts w:ascii="Arial" w:cs="Arial" w:eastAsia="Arial" w:hAnsi="Arial"/>
          <w:sz w:val="14"/>
          <w:szCs w:val="14"/>
          <w:color w:val="auto"/>
        </w:rPr>
        <w:t>.</w:t>
      </w:r>
    </w:p>
    <w:p>
      <w:pPr>
        <w:spacing w:after="0" w:line="3" w:lineRule="exact"/>
        <w:rPr>
          <w:rFonts w:ascii="Arial" w:cs="Arial" w:eastAsia="Arial" w:hAnsi="Arial"/>
          <w:sz w:val="9"/>
          <w:szCs w:val="9"/>
          <w:color w:val="auto"/>
        </w:rPr>
      </w:pPr>
    </w:p>
    <w:p>
      <w:pPr>
        <w:ind w:left="160" w:right="80" w:hanging="157"/>
        <w:spacing w:after="0" w:line="263" w:lineRule="auto"/>
        <w:tabs>
          <w:tab w:leader="none" w:pos="139"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COVID-19 antibodies include sales for bamlanivimab administered alone, for bamlanivimab and etesevimab administered together, and for bebtelovimab and were made pursuant to EUAs or similar regulatory authorizations.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66" w:right="379" w:bottom="1440" w:gutter="0" w:footer="0" w:header="0"/>
        </w:sectPr>
      </w:pPr>
    </w:p>
    <w:bookmarkStart w:id="43" w:name="page44"/>
    <w:bookmarkEnd w:id="43"/>
    <w:p>
      <w:pPr>
        <w:ind w:right="400"/>
        <w:spacing w:after="0" w:line="280" w:lineRule="auto"/>
        <w:rPr>
          <w:sz w:val="20"/>
          <w:szCs w:val="20"/>
          <w:color w:val="auto"/>
        </w:rPr>
      </w:pPr>
      <w:r>
        <w:rPr>
          <w:rFonts w:ascii="Arial" w:cs="Arial" w:eastAsia="Arial" w:hAnsi="Arial"/>
          <w:sz w:val="17"/>
          <w:szCs w:val="17"/>
          <w:color w:val="auto"/>
        </w:rPr>
        <w:t>The following table summarizes our revenue, including net product revenue and collaboration and other revenue, by product for the six months ended June 30, 2023 and 2022:</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20" w:type="dxa"/>
            <w:vAlign w:val="bottom"/>
          </w:tcPr>
          <w:p>
            <w:pPr>
              <w:spacing w:after="0"/>
              <w:rPr>
                <w:sz w:val="16"/>
                <w:szCs w:val="16"/>
                <w:color w:val="auto"/>
              </w:rPr>
            </w:pPr>
          </w:p>
        </w:tc>
      </w:tr>
      <w:tr>
        <w:trPr>
          <w:trHeight w:val="187"/>
        </w:trPr>
        <w:tc>
          <w:tcPr>
            <w:tcW w:w="4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420" w:type="dxa"/>
            <w:vAlign w:val="bottom"/>
          </w:tcPr>
          <w:p>
            <w:pPr>
              <w:spacing w:after="0"/>
              <w:rPr>
                <w:sz w:val="16"/>
                <w:szCs w:val="16"/>
                <w:color w:val="auto"/>
              </w:rPr>
            </w:pPr>
          </w:p>
        </w:tc>
      </w:tr>
      <w:tr>
        <w:trPr>
          <w:trHeight w:val="316"/>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Outside U.S.</w:t>
            </w: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97"/>
              </w:rPr>
              <w:t>Percent Change</w:t>
            </w:r>
          </w:p>
        </w:tc>
      </w:tr>
      <w:tr>
        <w:trPr>
          <w:trHeight w:val="212"/>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Trulicity</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2,918.7</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871.0</w:t>
            </w:r>
          </w:p>
        </w:tc>
        <w:tc>
          <w:tcPr>
            <w:tcW w:w="4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3,789.6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3,653.2</w:t>
            </w: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w:t>
            </w:r>
          </w:p>
        </w:tc>
      </w:tr>
      <w:tr>
        <w:trPr>
          <w:trHeight w:val="232"/>
        </w:trPr>
        <w:tc>
          <w:tcPr>
            <w:tcW w:w="4060" w:type="dxa"/>
            <w:vAlign w:val="bottom"/>
          </w:tcPr>
          <w:p>
            <w:pPr>
              <w:ind w:left="20"/>
              <w:spacing w:after="0"/>
              <w:rPr>
                <w:sz w:val="20"/>
                <w:szCs w:val="20"/>
                <w:color w:val="auto"/>
              </w:rPr>
            </w:pPr>
            <w:r>
              <w:rPr>
                <w:rFonts w:ascii="Arial" w:cs="Arial" w:eastAsia="Arial" w:hAnsi="Arial"/>
                <w:sz w:val="17"/>
                <w:szCs w:val="17"/>
                <w:color w:val="auto"/>
              </w:rPr>
              <w:t>Verzenio</w:t>
            </w:r>
          </w:p>
        </w:tc>
        <w:tc>
          <w:tcPr>
            <w:tcW w:w="32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1,049.6</w:t>
            </w:r>
          </w:p>
        </w:tc>
        <w:tc>
          <w:tcPr>
            <w:tcW w:w="260" w:type="dxa"/>
            <w:vAlign w:val="bottom"/>
          </w:tcPr>
          <w:p>
            <w:pPr>
              <w:spacing w:after="0"/>
              <w:rPr>
                <w:sz w:val="20"/>
                <w:szCs w:val="20"/>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628.0</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1,677.7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1,057.9</w:t>
            </w:r>
          </w:p>
        </w:tc>
        <w:tc>
          <w:tcPr>
            <w:tcW w:w="1420" w:type="dxa"/>
            <w:vAlign w:val="bottom"/>
          </w:tcPr>
          <w:p>
            <w:pPr>
              <w:jc w:val="center"/>
              <w:spacing w:after="0"/>
              <w:rPr>
                <w:sz w:val="20"/>
                <w:szCs w:val="20"/>
                <w:color w:val="auto"/>
              </w:rPr>
            </w:pPr>
            <w:r>
              <w:rPr>
                <w:rFonts w:ascii="Arial" w:cs="Arial" w:eastAsia="Arial" w:hAnsi="Arial"/>
                <w:sz w:val="17"/>
                <w:szCs w:val="17"/>
                <w:color w:val="auto"/>
                <w:w w:val="94"/>
              </w:rPr>
              <w:t>59</w:t>
            </w: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Mounjaro</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1,452.2</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96.0</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1,548.2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NM</w:t>
            </w:r>
          </w:p>
        </w:tc>
      </w:tr>
      <w:tr>
        <w:trPr>
          <w:trHeight w:val="219"/>
        </w:trPr>
        <w:tc>
          <w:tcPr>
            <w:tcW w:w="4060" w:type="dxa"/>
            <w:vAlign w:val="bottom"/>
          </w:tcPr>
          <w:p>
            <w:pPr>
              <w:ind w:left="20"/>
              <w:spacing w:after="0" w:line="220" w:lineRule="exact"/>
              <w:rPr>
                <w:sz w:val="20"/>
                <w:szCs w:val="20"/>
                <w:color w:val="auto"/>
              </w:rPr>
            </w:pPr>
            <w:r>
              <w:rPr>
                <w:rFonts w:ascii="Arial" w:cs="Arial" w:eastAsia="Arial" w:hAnsi="Arial"/>
                <w:sz w:val="17"/>
                <w:szCs w:val="17"/>
                <w:color w:val="auto"/>
              </w:rPr>
              <w:t>Jardiance</w:t>
            </w:r>
            <w:r>
              <w:rPr>
                <w:rFonts w:ascii="Arial" w:cs="Arial" w:eastAsia="Arial" w:hAnsi="Arial"/>
                <w:sz w:val="22"/>
                <w:szCs w:val="22"/>
                <w:color w:val="auto"/>
                <w:vertAlign w:val="superscript"/>
              </w:rPr>
              <w:t>(1)</w:t>
            </w:r>
          </w:p>
        </w:tc>
        <w:tc>
          <w:tcPr>
            <w:tcW w:w="32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715.6</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530.2</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1,245.8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880.4</w:t>
            </w:r>
          </w:p>
        </w:tc>
        <w:tc>
          <w:tcPr>
            <w:tcW w:w="1420" w:type="dxa"/>
            <w:vAlign w:val="bottom"/>
          </w:tcPr>
          <w:p>
            <w:pPr>
              <w:jc w:val="center"/>
              <w:spacing w:after="0"/>
              <w:rPr>
                <w:sz w:val="20"/>
                <w:szCs w:val="20"/>
                <w:color w:val="auto"/>
              </w:rPr>
            </w:pPr>
            <w:r>
              <w:rPr>
                <w:rFonts w:ascii="Arial" w:cs="Arial" w:eastAsia="Arial" w:hAnsi="Arial"/>
                <w:sz w:val="17"/>
                <w:szCs w:val="17"/>
                <w:color w:val="auto"/>
                <w:w w:val="94"/>
              </w:rPr>
              <w:t>42</w:t>
            </w:r>
          </w:p>
        </w:tc>
      </w:tr>
      <w:tr>
        <w:trPr>
          <w:trHeight w:val="232"/>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Taltz</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784.5</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446.3</w:t>
            </w: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1,230.8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1,094.3</w:t>
            </w: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12</w:t>
            </w:r>
          </w:p>
        </w:tc>
      </w:tr>
      <w:tr>
        <w:trPr>
          <w:trHeight w:val="219"/>
        </w:trPr>
        <w:tc>
          <w:tcPr>
            <w:tcW w:w="4060" w:type="dxa"/>
            <w:vAlign w:val="bottom"/>
          </w:tcPr>
          <w:p>
            <w:pPr>
              <w:ind w:left="20"/>
              <w:spacing w:after="0" w:line="220" w:lineRule="exact"/>
              <w:rPr>
                <w:sz w:val="20"/>
                <w:szCs w:val="20"/>
                <w:color w:val="auto"/>
              </w:rPr>
            </w:pPr>
            <w:r>
              <w:rPr>
                <w:rFonts w:ascii="Arial" w:cs="Arial" w:eastAsia="Arial" w:hAnsi="Arial"/>
                <w:sz w:val="17"/>
                <w:szCs w:val="17"/>
                <w:color w:val="auto"/>
              </w:rPr>
              <w:t>Humalog</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501.4</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400.0</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901.4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1,065.3</w:t>
            </w:r>
          </w:p>
        </w:tc>
        <w:tc>
          <w:tcPr>
            <w:tcW w:w="1420" w:type="dxa"/>
            <w:vAlign w:val="bottom"/>
          </w:tcPr>
          <w:p>
            <w:pPr>
              <w:jc w:val="center"/>
              <w:spacing w:after="0"/>
              <w:rPr>
                <w:sz w:val="20"/>
                <w:szCs w:val="20"/>
                <w:color w:val="auto"/>
              </w:rPr>
            </w:pPr>
            <w:r>
              <w:rPr>
                <w:rFonts w:ascii="Arial" w:cs="Arial" w:eastAsia="Arial" w:hAnsi="Arial"/>
                <w:sz w:val="17"/>
                <w:szCs w:val="17"/>
                <w:color w:val="auto"/>
                <w:w w:val="99"/>
              </w:rPr>
              <w:t>(15)</w:t>
            </w: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Baqsimi</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629.3</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16.1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645.4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NM</w:t>
            </w:r>
          </w:p>
        </w:tc>
      </w:tr>
      <w:tr>
        <w:trPr>
          <w:trHeight w:val="232"/>
        </w:trPr>
        <w:tc>
          <w:tcPr>
            <w:tcW w:w="4060" w:type="dxa"/>
            <w:vAlign w:val="bottom"/>
          </w:tcPr>
          <w:p>
            <w:pPr>
              <w:ind w:left="20"/>
              <w:spacing w:after="0"/>
              <w:rPr>
                <w:sz w:val="20"/>
                <w:szCs w:val="20"/>
                <w:color w:val="auto"/>
              </w:rPr>
            </w:pPr>
            <w:r>
              <w:rPr>
                <w:rFonts w:ascii="Arial" w:cs="Arial" w:eastAsia="Arial" w:hAnsi="Arial"/>
                <w:sz w:val="17"/>
                <w:szCs w:val="17"/>
                <w:color w:val="auto"/>
              </w:rPr>
              <w:t>Cyramza</w:t>
            </w:r>
          </w:p>
        </w:tc>
        <w:tc>
          <w:tcPr>
            <w:tcW w:w="32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215.6</w:t>
            </w:r>
          </w:p>
        </w:tc>
        <w:tc>
          <w:tcPr>
            <w:tcW w:w="260" w:type="dxa"/>
            <w:vAlign w:val="bottom"/>
          </w:tcPr>
          <w:p>
            <w:pPr>
              <w:spacing w:after="0"/>
              <w:rPr>
                <w:sz w:val="20"/>
                <w:szCs w:val="20"/>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281.4</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497.0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461.5</w:t>
            </w:r>
          </w:p>
        </w:tc>
        <w:tc>
          <w:tcPr>
            <w:tcW w:w="1420" w:type="dxa"/>
            <w:vAlign w:val="bottom"/>
          </w:tcPr>
          <w:p>
            <w:pPr>
              <w:jc w:val="center"/>
              <w:spacing w:after="0"/>
              <w:rPr>
                <w:sz w:val="20"/>
                <w:szCs w:val="20"/>
                <w:color w:val="auto"/>
              </w:rPr>
            </w:pPr>
            <w:r>
              <w:rPr>
                <w:rFonts w:ascii="Arial" w:cs="Arial" w:eastAsia="Arial" w:hAnsi="Arial"/>
                <w:sz w:val="17"/>
                <w:szCs w:val="17"/>
                <w:color w:val="auto"/>
              </w:rPr>
              <w:t>8</w:t>
            </w: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Humulin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343.1</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114.2</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457.3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547.2</w:t>
            </w: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(16)</w:t>
            </w:r>
          </w:p>
        </w:tc>
      </w:tr>
      <w:tr>
        <w:trPr>
          <w:trHeight w:val="219"/>
        </w:trPr>
        <w:tc>
          <w:tcPr>
            <w:tcW w:w="4060" w:type="dxa"/>
            <w:vAlign w:val="bottom"/>
          </w:tcPr>
          <w:p>
            <w:pPr>
              <w:ind w:left="20"/>
              <w:spacing w:after="0" w:line="220" w:lineRule="exact"/>
              <w:rPr>
                <w:sz w:val="20"/>
                <w:szCs w:val="20"/>
                <w:color w:val="auto"/>
              </w:rPr>
            </w:pPr>
            <w:r>
              <w:rPr>
                <w:rFonts w:ascii="Arial" w:cs="Arial" w:eastAsia="Arial" w:hAnsi="Arial"/>
                <w:sz w:val="17"/>
                <w:szCs w:val="17"/>
                <w:color w:val="auto"/>
              </w:rPr>
              <w:t>Olumiant</w:t>
            </w:r>
            <w:r>
              <w:rPr>
                <w:rFonts w:ascii="Arial" w:cs="Arial" w:eastAsia="Arial" w:hAnsi="Arial"/>
                <w:sz w:val="22"/>
                <w:szCs w:val="22"/>
                <w:color w:val="auto"/>
                <w:vertAlign w:val="superscript"/>
              </w:rPr>
              <w:t>(3)</w:t>
            </w:r>
          </w:p>
        </w:tc>
        <w:tc>
          <w:tcPr>
            <w:tcW w:w="32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93.1</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354.6</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447.8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441.8</w:t>
            </w:r>
          </w:p>
        </w:tc>
        <w:tc>
          <w:tcPr>
            <w:tcW w:w="1420" w:type="dxa"/>
            <w:vAlign w:val="bottom"/>
          </w:tcPr>
          <w:p>
            <w:pPr>
              <w:jc w:val="center"/>
              <w:spacing w:after="0"/>
              <w:rPr>
                <w:sz w:val="20"/>
                <w:szCs w:val="20"/>
                <w:color w:val="auto"/>
              </w:rPr>
            </w:pPr>
            <w:r>
              <w:rPr>
                <w:rFonts w:ascii="Arial" w:cs="Arial" w:eastAsia="Arial" w:hAnsi="Arial"/>
                <w:sz w:val="17"/>
                <w:szCs w:val="17"/>
                <w:color w:val="auto"/>
              </w:rPr>
              <w:t>1</w:t>
            </w:r>
          </w:p>
        </w:tc>
      </w:tr>
      <w:tr>
        <w:trPr>
          <w:trHeight w:val="232"/>
        </w:trPr>
        <w:tc>
          <w:tcPr>
            <w:tcW w:w="4060" w:type="dxa"/>
            <w:vAlign w:val="bottom"/>
            <w:shd w:val="clear" w:color="auto" w:fill="CCEEFF"/>
          </w:tcPr>
          <w:p>
            <w:pPr>
              <w:ind w:left="20"/>
              <w:spacing w:after="0" w:line="232" w:lineRule="exact"/>
              <w:rPr>
                <w:sz w:val="20"/>
                <w:szCs w:val="20"/>
                <w:color w:val="auto"/>
              </w:rPr>
            </w:pPr>
            <w:r>
              <w:rPr>
                <w:rFonts w:ascii="Arial" w:cs="Arial" w:eastAsia="Arial" w:hAnsi="Arial"/>
                <w:sz w:val="17"/>
                <w:szCs w:val="17"/>
                <w:color w:val="auto"/>
              </w:rPr>
              <w:t>Basaglar</w:t>
            </w:r>
            <w:r>
              <w:rPr>
                <w:rFonts w:ascii="Arial" w:cs="Arial" w:eastAsia="Arial" w:hAnsi="Arial"/>
                <w:sz w:val="22"/>
                <w:szCs w:val="22"/>
                <w:color w:val="auto"/>
                <w:vertAlign w:val="superscript"/>
              </w:rPr>
              <w:t>(4)</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218.4</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145.2</w:t>
            </w: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363.5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365.7</w:t>
            </w: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r>
      <w:tr>
        <w:trPr>
          <w:trHeight w:val="219"/>
        </w:trPr>
        <w:tc>
          <w:tcPr>
            <w:tcW w:w="4060" w:type="dxa"/>
            <w:vAlign w:val="bottom"/>
          </w:tcPr>
          <w:p>
            <w:pPr>
              <w:ind w:left="20"/>
              <w:spacing w:after="0"/>
              <w:rPr>
                <w:sz w:val="20"/>
                <w:szCs w:val="20"/>
                <w:color w:val="auto"/>
              </w:rPr>
            </w:pPr>
            <w:r>
              <w:rPr>
                <w:rFonts w:ascii="Arial" w:cs="Arial" w:eastAsia="Arial" w:hAnsi="Arial"/>
                <w:sz w:val="17"/>
                <w:szCs w:val="17"/>
                <w:color w:val="auto"/>
              </w:rPr>
              <w:t>Emgality</w:t>
            </w:r>
          </w:p>
        </w:tc>
        <w:tc>
          <w:tcPr>
            <w:tcW w:w="32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227.5</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96.1</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323.6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306.7</w:t>
            </w:r>
          </w:p>
        </w:tc>
        <w:tc>
          <w:tcPr>
            <w:tcW w:w="1420" w:type="dxa"/>
            <w:vAlign w:val="bottom"/>
          </w:tcPr>
          <w:p>
            <w:pPr>
              <w:jc w:val="center"/>
              <w:spacing w:after="0"/>
              <w:rPr>
                <w:sz w:val="20"/>
                <w:szCs w:val="20"/>
                <w:color w:val="auto"/>
              </w:rPr>
            </w:pPr>
            <w:r>
              <w:rPr>
                <w:rFonts w:ascii="Arial" w:cs="Arial" w:eastAsia="Arial" w:hAnsi="Arial"/>
                <w:sz w:val="17"/>
                <w:szCs w:val="17"/>
                <w:color w:val="auto"/>
              </w:rPr>
              <w:t>6</w:t>
            </w: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Erbitux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264.2</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28.1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263.4</w:t>
            </w: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11</w:t>
            </w:r>
          </w:p>
        </w:tc>
      </w:tr>
      <w:tr>
        <w:trPr>
          <w:trHeight w:val="232"/>
        </w:trPr>
        <w:tc>
          <w:tcPr>
            <w:tcW w:w="4060" w:type="dxa"/>
            <w:vAlign w:val="bottom"/>
          </w:tcPr>
          <w:p>
            <w:pPr>
              <w:ind w:left="20"/>
              <w:spacing w:after="0"/>
              <w:rPr>
                <w:sz w:val="20"/>
                <w:szCs w:val="20"/>
                <w:color w:val="auto"/>
              </w:rPr>
            </w:pPr>
            <w:r>
              <w:rPr>
                <w:rFonts w:ascii="Arial" w:cs="Arial" w:eastAsia="Arial" w:hAnsi="Arial"/>
                <w:sz w:val="17"/>
                <w:szCs w:val="17"/>
                <w:color w:val="auto"/>
              </w:rPr>
              <w:t>Forteo</w:t>
            </w:r>
          </w:p>
        </w:tc>
        <w:tc>
          <w:tcPr>
            <w:tcW w:w="32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168.0</w:t>
            </w:r>
          </w:p>
        </w:tc>
        <w:tc>
          <w:tcPr>
            <w:tcW w:w="260" w:type="dxa"/>
            <w:vAlign w:val="bottom"/>
          </w:tcPr>
          <w:p>
            <w:pPr>
              <w:spacing w:after="0"/>
              <w:rPr>
                <w:sz w:val="20"/>
                <w:szCs w:val="20"/>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102.3</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270.3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275.9</w:t>
            </w:r>
          </w:p>
        </w:tc>
        <w:tc>
          <w:tcPr>
            <w:tcW w:w="1420" w:type="dxa"/>
            <w:vAlign w:val="bottom"/>
          </w:tcPr>
          <w:p>
            <w:pPr>
              <w:jc w:val="center"/>
              <w:spacing w:after="0"/>
              <w:rPr>
                <w:sz w:val="20"/>
                <w:szCs w:val="20"/>
                <w:color w:val="auto"/>
              </w:rPr>
            </w:pPr>
            <w:r>
              <w:rPr>
                <w:rFonts w:ascii="Arial" w:cs="Arial" w:eastAsia="Arial" w:hAnsi="Arial"/>
                <w:sz w:val="17"/>
                <w:szCs w:val="17"/>
                <w:color w:val="auto"/>
              </w:rPr>
              <w:t>(2)</w:t>
            </w: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Cialis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16.8</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199.1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364.7</w:t>
            </w: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(41)</w:t>
            </w:r>
          </w:p>
        </w:tc>
      </w:tr>
      <w:tr>
        <w:trPr>
          <w:trHeight w:val="219"/>
        </w:trPr>
        <w:tc>
          <w:tcPr>
            <w:tcW w:w="4060" w:type="dxa"/>
            <w:vAlign w:val="bottom"/>
          </w:tcPr>
          <w:p>
            <w:pPr>
              <w:ind w:left="20"/>
              <w:spacing w:after="0"/>
              <w:rPr>
                <w:sz w:val="20"/>
                <w:szCs w:val="20"/>
                <w:color w:val="auto"/>
              </w:rPr>
            </w:pPr>
            <w:r>
              <w:rPr>
                <w:rFonts w:ascii="Arial" w:cs="Arial" w:eastAsia="Arial" w:hAnsi="Arial"/>
                <w:sz w:val="17"/>
                <w:szCs w:val="17"/>
                <w:color w:val="auto"/>
              </w:rPr>
              <w:t>Alimta</w:t>
            </w:r>
          </w:p>
        </w:tc>
        <w:tc>
          <w:tcPr>
            <w:tcW w:w="32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38.0</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81.2</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119.1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571.7</w:t>
            </w:r>
          </w:p>
        </w:tc>
        <w:tc>
          <w:tcPr>
            <w:tcW w:w="1420" w:type="dxa"/>
            <w:vAlign w:val="bottom"/>
          </w:tcPr>
          <w:p>
            <w:pPr>
              <w:jc w:val="center"/>
              <w:spacing w:after="0"/>
              <w:rPr>
                <w:sz w:val="20"/>
                <w:szCs w:val="20"/>
                <w:color w:val="auto"/>
              </w:rPr>
            </w:pPr>
            <w:r>
              <w:rPr>
                <w:rFonts w:ascii="Arial" w:cs="Arial" w:eastAsia="Arial" w:hAnsi="Arial"/>
                <w:sz w:val="17"/>
                <w:szCs w:val="17"/>
                <w:color w:val="auto"/>
                <w:w w:val="99"/>
              </w:rPr>
              <w:t>(79)</w:t>
            </w:r>
          </w:p>
        </w:tc>
      </w:tr>
      <w:tr>
        <w:trPr>
          <w:trHeight w:val="232"/>
        </w:trPr>
        <w:tc>
          <w:tcPr>
            <w:tcW w:w="4060" w:type="dxa"/>
            <w:vAlign w:val="bottom"/>
            <w:shd w:val="clear" w:color="auto" w:fill="CCEEFF"/>
          </w:tcPr>
          <w:p>
            <w:pPr>
              <w:ind w:left="20"/>
              <w:spacing w:after="0" w:line="232" w:lineRule="exact"/>
              <w:rPr>
                <w:sz w:val="20"/>
                <w:szCs w:val="20"/>
                <w:color w:val="auto"/>
              </w:rPr>
            </w:pPr>
            <w:r>
              <w:rPr>
                <w:rFonts w:ascii="Arial" w:cs="Arial" w:eastAsia="Arial" w:hAnsi="Arial"/>
                <w:sz w:val="17"/>
                <w:szCs w:val="17"/>
                <w:color w:val="auto"/>
              </w:rPr>
              <w:t>COVID-19 antibodies</w:t>
            </w:r>
            <w:r>
              <w:rPr>
                <w:rFonts w:ascii="Arial" w:cs="Arial" w:eastAsia="Arial" w:hAnsi="Arial"/>
                <w:sz w:val="22"/>
                <w:szCs w:val="22"/>
                <w:color w:val="auto"/>
                <w:vertAlign w:val="superscript"/>
              </w:rPr>
              <w:t>(5)</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1,598.9</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(100)</w:t>
            </w:r>
          </w:p>
        </w:tc>
      </w:tr>
      <w:tr>
        <w:trPr>
          <w:trHeight w:val="219"/>
        </w:trPr>
        <w:tc>
          <w:tcPr>
            <w:tcW w:w="4060" w:type="dxa"/>
            <w:vAlign w:val="bottom"/>
          </w:tcPr>
          <w:p>
            <w:pPr>
              <w:ind w:left="20"/>
              <w:spacing w:after="0"/>
              <w:rPr>
                <w:sz w:val="20"/>
                <w:szCs w:val="20"/>
                <w:color w:val="auto"/>
              </w:rPr>
            </w:pPr>
            <w:r>
              <w:rPr>
                <w:rFonts w:ascii="Arial" w:cs="Arial" w:eastAsia="Arial" w:hAnsi="Arial"/>
                <w:sz w:val="17"/>
                <w:szCs w:val="17"/>
                <w:color w:val="auto"/>
              </w:rPr>
              <w:t>Other products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331.6</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914.8</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1,246.3</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1,275.2</w:t>
            </w:r>
          </w:p>
        </w:tc>
        <w:tc>
          <w:tcPr>
            <w:tcW w:w="1420" w:type="dxa"/>
            <w:vAlign w:val="bottom"/>
          </w:tcPr>
          <w:p>
            <w:pPr>
              <w:jc w:val="center"/>
              <w:spacing w:after="0"/>
              <w:rPr>
                <w:sz w:val="20"/>
                <w:szCs w:val="20"/>
                <w:color w:val="auto"/>
              </w:rPr>
            </w:pPr>
            <w:r>
              <w:rPr>
                <w:rFonts w:ascii="Arial" w:cs="Arial" w:eastAsia="Arial" w:hAnsi="Arial"/>
                <w:sz w:val="17"/>
                <w:szCs w:val="17"/>
                <w:color w:val="auto"/>
                <w:w w:val="94"/>
              </w:rPr>
              <w:t>71</w:t>
            </w:r>
          </w:p>
        </w:tc>
      </w:tr>
      <w:tr>
        <w:trPr>
          <w:trHeight w:val="21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9,967.6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5,304.6</w:t>
            </w:r>
          </w:p>
        </w:tc>
        <w:tc>
          <w:tcPr>
            <w:tcW w:w="4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15,272.1</w:t>
            </w:r>
          </w:p>
        </w:tc>
        <w:tc>
          <w:tcPr>
            <w:tcW w:w="4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14,298.0</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7</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ind w:left="140" w:hanging="137"/>
        <w:spacing w:after="0" w:line="215" w:lineRule="auto"/>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 Synjardy, and Trijardy XR.</w:t>
      </w:r>
    </w:p>
    <w:p>
      <w:pPr>
        <w:ind w:left="140" w:hanging="137"/>
        <w:spacing w:after="0"/>
        <w:tabs>
          <w:tab w:leader="none" w:pos="140" w:val="left"/>
        </w:tabs>
        <w:numPr>
          <w:ilvl w:val="0"/>
          <w:numId w:val="14"/>
        </w:numPr>
        <w:rPr>
          <w:rFonts w:ascii="Arial" w:cs="Arial" w:eastAsia="Arial" w:hAnsi="Arial"/>
          <w:sz w:val="9"/>
          <w:szCs w:val="9"/>
          <w:color w:val="auto"/>
        </w:rPr>
      </w:pPr>
      <w:r>
        <w:rPr>
          <w:rFonts w:ascii="Arial" w:cs="Arial" w:eastAsia="Arial" w:hAnsi="Arial"/>
          <w:sz w:val="14"/>
          <w:szCs w:val="14"/>
          <w:color w:val="auto"/>
        </w:rPr>
        <w:t>Humalog revenue includes insulin lispro.</w:t>
      </w:r>
    </w:p>
    <w:p>
      <w:pPr>
        <w:spacing w:after="0" w:line="3" w:lineRule="exact"/>
        <w:rPr>
          <w:rFonts w:ascii="Arial" w:cs="Arial" w:eastAsia="Arial" w:hAnsi="Arial"/>
          <w:sz w:val="9"/>
          <w:szCs w:val="9"/>
          <w:color w:val="auto"/>
        </w:rPr>
      </w:pPr>
    </w:p>
    <w:p>
      <w:pPr>
        <w:ind w:left="140" w:hanging="137"/>
        <w:spacing w:after="0"/>
        <w:tabs>
          <w:tab w:leader="none" w:pos="140" w:val="left"/>
        </w:tabs>
        <w:numPr>
          <w:ilvl w:val="0"/>
          <w:numId w:val="14"/>
        </w:numPr>
        <w:rPr>
          <w:rFonts w:ascii="Arial" w:cs="Arial" w:eastAsia="Arial" w:hAnsi="Arial"/>
          <w:sz w:val="9"/>
          <w:szCs w:val="9"/>
          <w:color w:val="auto"/>
        </w:rPr>
      </w:pPr>
      <w:r>
        <w:rPr>
          <w:rFonts w:ascii="Arial" w:cs="Arial" w:eastAsia="Arial" w:hAnsi="Arial"/>
          <w:sz w:val="14"/>
          <w:szCs w:val="14"/>
          <w:color w:val="auto"/>
        </w:rPr>
        <w:t>Olumiant revenue includes sales for baricitinib that were made pursuant to EUA or similar regulatory authorizations.</w:t>
      </w:r>
    </w:p>
    <w:p>
      <w:pPr>
        <w:spacing w:after="0" w:line="6" w:lineRule="exact"/>
        <w:rPr>
          <w:rFonts w:ascii="Arial" w:cs="Arial" w:eastAsia="Arial" w:hAnsi="Arial"/>
          <w:sz w:val="9"/>
          <w:szCs w:val="9"/>
          <w:color w:val="auto"/>
        </w:rPr>
      </w:pPr>
    </w:p>
    <w:p>
      <w:pPr>
        <w:ind w:left="140" w:hanging="137"/>
        <w:spacing w:after="0" w:line="218" w:lineRule="auto"/>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Basaglar revenue includes Rezvoglar.</w:t>
      </w:r>
    </w:p>
    <w:p>
      <w:pPr>
        <w:spacing w:after="0" w:line="3" w:lineRule="exact"/>
        <w:rPr>
          <w:rFonts w:ascii="Arial" w:cs="Arial" w:eastAsia="Arial" w:hAnsi="Arial"/>
          <w:sz w:val="16"/>
          <w:szCs w:val="16"/>
          <w:color w:val="auto"/>
          <w:vertAlign w:val="superscript"/>
        </w:rPr>
      </w:pPr>
    </w:p>
    <w:p>
      <w:pPr>
        <w:ind w:left="160" w:right="120" w:hanging="157"/>
        <w:spacing w:after="0" w:line="257" w:lineRule="auto"/>
        <w:tabs>
          <w:tab w:leader="none" w:pos="139"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COVID-19 antibodies include sales for bamlanivimab administered alone, for bamlanivimab and etesevimab administered together, and for bebtelovimab and were made pursuant to EUAs or similar regulatory authorizations.</w:t>
      </w:r>
    </w:p>
    <w:p>
      <w:pPr>
        <w:spacing w:after="0" w:line="64"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Revenue of Trulicity decreased 4 percent in the U.S. during the three months ended June 30, 2023, driven by lower realized prices, partially offset by increased demand. Revenue of Trulicity increased 6 percent in the U.S. during the six months ended June 30, 2023, driven by increased demand, partially offset by lower realized prices. During the three and six months ended June 30, 2023, the lower realized prices for Trulicity were due to unfavorable segment mix and higher contracted rebates. Revenue outside the U.S. decreased 8 percent during the three months ended June 30, 2023, driven by decreased volume, lower realized prices, and the unfavorable impact of foreign exchange rates. Volumes in international markets were affected by actions we have taken to manage strong demand amid tight supply, including measures to minimize existing patient impact. Revenue outside the U.S. decreased 4 percent during the six months ended June 30, 2023, driven by the unfavorable impact of foreign exchange rates and lower realized prices, partially offset by increased volume.</w:t>
      </w:r>
    </w:p>
    <w:p>
      <w:pPr>
        <w:spacing w:after="0" w:line="8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Revenue of Verzenio increased 53 percent in the U.S. during the three and six months ended June 30, 2023, driven by increased demand and, to a lesser extent, higher realized prices. Revenue outside the U.S. increased 66 percent and 69 percent during the three and six months ended</w:t>
      </w:r>
    </w:p>
    <w:p>
      <w:pPr>
        <w:spacing w:after="0" w:line="1"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June 30, 2023, respectively, driven by increased demand, partially offset by lower realized prices and the unfavorable impact of foreign exchange rates.</w:t>
      </w:r>
    </w:p>
    <w:p>
      <w:pPr>
        <w:spacing w:after="0" w:line="7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Revenue of Mounjaro in the U.S. during the three and six months ended June 30, 2023 was $915.7 million and $1.45 billion, respectively, reflecting increased volume and, to a lesser extent, higher realized prices due to decreased utilization of savings card programs as access continues to expand. We have experienced and continue to expect intermittent delays fulfilling orders of certain Mounjaro doses given significant demand. These delays have impacted, and may continue to impact, our volume. Mounjaro launched in the U.S. for the treatment of type 2 diabetes in June of 2022.</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4" w:name="page45"/>
    <w:bookmarkEnd w:id="44"/>
    <w:p>
      <w:pPr>
        <w:spacing w:after="0" w:line="262" w:lineRule="auto"/>
        <w:rPr>
          <w:sz w:val="20"/>
          <w:szCs w:val="20"/>
          <w:color w:val="auto"/>
        </w:rPr>
      </w:pPr>
      <w:r>
        <w:rPr>
          <w:rFonts w:ascii="Arial" w:cs="Arial" w:eastAsia="Arial" w:hAnsi="Arial"/>
          <w:sz w:val="17"/>
          <w:szCs w:val="17"/>
          <w:color w:val="auto"/>
        </w:rPr>
        <w:t>Revenue of Jardiance increased 54 percent and 49 percent in the U.S. during the three and six months ended June 30, 2023, respectively, primarily driven by increased demand. Revenue outside the U.S. increased 34 percent and 33 percent during the three and six months ended June 30, 2023, respectively, primarily driven by increased volume, partially offset by the unfavorable impact of foreign exchange rates. See Note 4 to the consolidated condensed financial statements for information regarding our collaboration with Boehringer Ingelheim involving Jardiance.</w:t>
      </w:r>
    </w:p>
    <w:p>
      <w:pPr>
        <w:spacing w:after="0" w:line="76" w:lineRule="exact"/>
        <w:rPr>
          <w:sz w:val="20"/>
          <w:szCs w:val="20"/>
          <w:color w:val="auto"/>
        </w:rPr>
      </w:pPr>
    </w:p>
    <w:p>
      <w:pPr>
        <w:jc w:val="both"/>
        <w:ind w:right="500"/>
        <w:spacing w:after="0" w:line="267" w:lineRule="auto"/>
        <w:rPr>
          <w:sz w:val="20"/>
          <w:szCs w:val="20"/>
          <w:color w:val="auto"/>
        </w:rPr>
      </w:pPr>
      <w:r>
        <w:rPr>
          <w:rFonts w:ascii="Arial" w:cs="Arial" w:eastAsia="Arial" w:hAnsi="Arial"/>
          <w:sz w:val="17"/>
          <w:szCs w:val="17"/>
          <w:color w:val="auto"/>
        </w:rPr>
        <w:t>Revenue of Taltz increased 15 percent and 9 percent in the U.S. during the three and six months ended June 30, 2023, respectively, primarily driven by increased demand. Revenue outside the U.S. increased 19 percent during the three and six months ended June 30, 2023, primarily driven by increased volume, partially offset by the unfavorable impact of foreign exchange rates.</w:t>
      </w:r>
    </w:p>
    <w:p>
      <w:pPr>
        <w:spacing w:after="0" w:line="70" w:lineRule="exact"/>
        <w:rPr>
          <w:sz w:val="20"/>
          <w:szCs w:val="20"/>
          <w:color w:val="auto"/>
        </w:rPr>
      </w:pPr>
    </w:p>
    <w:p>
      <w:pPr>
        <w:ind w:right="380"/>
        <w:spacing w:after="0" w:line="280" w:lineRule="auto"/>
        <w:rPr>
          <w:sz w:val="20"/>
          <w:szCs w:val="20"/>
          <w:color w:val="auto"/>
        </w:rPr>
      </w:pPr>
      <w:r>
        <w:rPr>
          <w:rFonts w:ascii="Arial" w:cs="Arial" w:eastAsia="Arial" w:hAnsi="Arial"/>
          <w:sz w:val="17"/>
          <w:szCs w:val="17"/>
          <w:color w:val="auto"/>
        </w:rPr>
        <w:t>There was no worldwide revenue for COVID-19 antibodies during the three and six months ended June 30, 2023, and we do not anticipate any revenue from COVID-19 antibodies in 2023.</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Margin, Costs, and Expenses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gross margin, costs, and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Three Months Ended June 30,</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Percent</w:t>
            </w: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Six Months Ended June 30,</w:t>
            </w:r>
          </w:p>
        </w:tc>
        <w:tc>
          <w:tcPr>
            <w:tcW w:w="860" w:type="dxa"/>
            <w:vAlign w:val="bottom"/>
          </w:tcPr>
          <w:p>
            <w:pPr>
              <w:ind w:left="240"/>
              <w:spacing w:after="0"/>
              <w:rPr>
                <w:sz w:val="20"/>
                <w:szCs w:val="20"/>
                <w:color w:val="auto"/>
              </w:rPr>
            </w:pPr>
            <w:r>
              <w:rPr>
                <w:rFonts w:ascii="Arial" w:cs="Arial" w:eastAsia="Arial" w:hAnsi="Arial"/>
                <w:sz w:val="14"/>
                <w:szCs w:val="14"/>
                <w:b w:val="1"/>
                <w:bCs w:val="1"/>
                <w:color w:val="auto"/>
              </w:rPr>
              <w:t>Percent</w:t>
            </w:r>
          </w:p>
        </w:tc>
      </w:tr>
      <w:tr>
        <w:trPr>
          <w:trHeight w:val="187"/>
        </w:trPr>
        <w:tc>
          <w:tcPr>
            <w:tcW w:w="30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Change</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Change</w:t>
            </w:r>
          </w:p>
        </w:tc>
      </w:tr>
      <w:tr>
        <w:trPr>
          <w:trHeight w:val="212"/>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6,504.7</w:t>
            </w:r>
          </w:p>
        </w:tc>
        <w:tc>
          <w:tcPr>
            <w:tcW w:w="4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5,057.5</w:t>
            </w:r>
          </w:p>
        </w:tc>
        <w:tc>
          <w:tcPr>
            <w:tcW w:w="980" w:type="dxa"/>
            <w:vAlign w:val="bottom"/>
            <w:shd w:val="clear" w:color="auto" w:fill="CCEEFF"/>
          </w:tcPr>
          <w:p>
            <w:pPr>
              <w:jc w:val="right"/>
              <w:ind w:right="298"/>
              <w:spacing w:after="0"/>
              <w:rPr>
                <w:sz w:val="20"/>
                <w:szCs w:val="20"/>
                <w:color w:val="auto"/>
              </w:rPr>
            </w:pPr>
            <w:r>
              <w:rPr>
                <w:rFonts w:ascii="Arial" w:cs="Arial" w:eastAsia="Arial" w:hAnsi="Arial"/>
                <w:sz w:val="17"/>
                <w:szCs w:val="17"/>
                <w:color w:val="auto"/>
              </w:rPr>
              <w:t>29</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240" w:type="dxa"/>
            <w:vAlign w:val="bottom"/>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11,838.0</w:t>
            </w:r>
          </w:p>
        </w:tc>
        <w:tc>
          <w:tcPr>
            <w:tcW w:w="4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10,795.4</w:t>
            </w:r>
          </w:p>
        </w:tc>
        <w:tc>
          <w:tcPr>
            <w:tcW w:w="86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w w:val="94"/>
              </w:rPr>
              <w:t>10</w:t>
            </w:r>
          </w:p>
        </w:tc>
      </w:tr>
      <w:tr>
        <w:trPr>
          <w:trHeight w:val="219"/>
        </w:trPr>
        <w:tc>
          <w:tcPr>
            <w:tcW w:w="3000" w:type="dxa"/>
            <w:vAlign w:val="bottom"/>
          </w:tcPr>
          <w:p>
            <w:pPr>
              <w:ind w:left="20"/>
              <w:spacing w:after="0"/>
              <w:rPr>
                <w:sz w:val="20"/>
                <w:szCs w:val="20"/>
                <w:color w:val="auto"/>
              </w:rPr>
            </w:pPr>
            <w:r>
              <w:rPr>
                <w:rFonts w:ascii="Arial" w:cs="Arial" w:eastAsia="Arial" w:hAnsi="Arial"/>
                <w:sz w:val="17"/>
                <w:szCs w:val="17"/>
                <w:color w:val="auto"/>
              </w:rPr>
              <w:t>Gross margin as a percent of revenue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78.3 %</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78.0 %</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77.5 %</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75.5 %</w:t>
            </w:r>
          </w:p>
        </w:tc>
        <w:tc>
          <w:tcPr>
            <w:tcW w:w="860" w:type="dxa"/>
            <w:vAlign w:val="bottom"/>
          </w:tcPr>
          <w:p>
            <w:pPr>
              <w:spacing w:after="0"/>
              <w:rPr>
                <w:sz w:val="19"/>
                <w:szCs w:val="19"/>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2,356.5</w:t>
            </w:r>
          </w:p>
        </w:tc>
        <w:tc>
          <w:tcPr>
            <w:tcW w:w="4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1,781.9</w:t>
            </w:r>
          </w:p>
        </w:tc>
        <w:tc>
          <w:tcPr>
            <w:tcW w:w="980" w:type="dxa"/>
            <w:vAlign w:val="bottom"/>
            <w:shd w:val="clear" w:color="auto" w:fill="CCEEFF"/>
          </w:tcPr>
          <w:p>
            <w:pPr>
              <w:jc w:val="right"/>
              <w:ind w:right="298"/>
              <w:spacing w:after="0"/>
              <w:rPr>
                <w:sz w:val="20"/>
                <w:szCs w:val="20"/>
                <w:color w:val="auto"/>
              </w:rPr>
            </w:pPr>
            <w:r>
              <w:rPr>
                <w:rFonts w:ascii="Arial" w:cs="Arial" w:eastAsia="Arial" w:hAnsi="Arial"/>
                <w:sz w:val="17"/>
                <w:szCs w:val="17"/>
                <w:color w:val="auto"/>
              </w:rPr>
              <w:t>32</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240" w:type="dxa"/>
            <w:vAlign w:val="bottom"/>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4,341.6</w:t>
            </w:r>
          </w:p>
        </w:tc>
        <w:tc>
          <w:tcPr>
            <w:tcW w:w="4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3,392.0</w:t>
            </w:r>
          </w:p>
        </w:tc>
        <w:tc>
          <w:tcPr>
            <w:tcW w:w="86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w w:val="94"/>
              </w:rPr>
              <w:t>28</w:t>
            </w:r>
          </w:p>
        </w:tc>
      </w:tr>
      <w:tr>
        <w:trPr>
          <w:trHeight w:val="232"/>
        </w:trPr>
        <w:tc>
          <w:tcPr>
            <w:tcW w:w="3000" w:type="dxa"/>
            <w:vAlign w:val="bottom"/>
          </w:tcPr>
          <w:p>
            <w:pPr>
              <w:ind w:left="20"/>
              <w:spacing w:after="0"/>
              <w:rPr>
                <w:sz w:val="20"/>
                <w:szCs w:val="20"/>
                <w:color w:val="auto"/>
              </w:rPr>
            </w:pPr>
            <w:r>
              <w:rPr>
                <w:rFonts w:ascii="Arial" w:cs="Arial" w:eastAsia="Arial" w:hAnsi="Arial"/>
                <w:sz w:val="17"/>
                <w:szCs w:val="17"/>
                <w:color w:val="auto"/>
              </w:rPr>
              <w:t>Marketing, selling, and administrative</w:t>
            </w:r>
          </w:p>
        </w:tc>
        <w:tc>
          <w:tcPr>
            <w:tcW w:w="360" w:type="dxa"/>
            <w:vAlign w:val="bottom"/>
          </w:tcPr>
          <w:p>
            <w:pPr>
              <w:spacing w:after="0"/>
              <w:rPr>
                <w:sz w:val="20"/>
                <w:szCs w:val="20"/>
                <w:color w:val="auto"/>
              </w:rPr>
            </w:pPr>
          </w:p>
        </w:tc>
        <w:tc>
          <w:tcPr>
            <w:tcW w:w="1240" w:type="dxa"/>
            <w:vAlign w:val="bottom"/>
          </w:tcPr>
          <w:p>
            <w:pPr>
              <w:jc w:val="right"/>
              <w:ind w:right="197"/>
              <w:spacing w:after="0"/>
              <w:rPr>
                <w:sz w:val="20"/>
                <w:szCs w:val="20"/>
                <w:color w:val="auto"/>
              </w:rPr>
            </w:pPr>
            <w:r>
              <w:rPr>
                <w:rFonts w:ascii="Arial" w:cs="Arial" w:eastAsia="Arial" w:hAnsi="Arial"/>
                <w:sz w:val="17"/>
                <w:szCs w:val="17"/>
                <w:b w:val="1"/>
                <w:bCs w:val="1"/>
                <w:color w:val="auto"/>
              </w:rPr>
              <w:t>1,925.4</w:t>
            </w:r>
          </w:p>
        </w:tc>
        <w:tc>
          <w:tcPr>
            <w:tcW w:w="420" w:type="dxa"/>
            <w:vAlign w:val="bottom"/>
          </w:tcPr>
          <w:p>
            <w:pPr>
              <w:spacing w:after="0"/>
              <w:rPr>
                <w:sz w:val="20"/>
                <w:szCs w:val="20"/>
                <w:color w:val="auto"/>
              </w:rPr>
            </w:pPr>
          </w:p>
        </w:tc>
        <w:tc>
          <w:tcPr>
            <w:tcW w:w="1160" w:type="dxa"/>
            <w:vAlign w:val="bottom"/>
          </w:tcPr>
          <w:p>
            <w:pPr>
              <w:jc w:val="right"/>
              <w:ind w:right="116"/>
              <w:spacing w:after="0"/>
              <w:rPr>
                <w:sz w:val="20"/>
                <w:szCs w:val="20"/>
                <w:color w:val="auto"/>
              </w:rPr>
            </w:pPr>
            <w:r>
              <w:rPr>
                <w:rFonts w:ascii="Arial" w:cs="Arial" w:eastAsia="Arial" w:hAnsi="Arial"/>
                <w:sz w:val="17"/>
                <w:szCs w:val="17"/>
                <w:color w:val="auto"/>
              </w:rPr>
              <w:t>1,625.1</w:t>
            </w:r>
          </w:p>
        </w:tc>
        <w:tc>
          <w:tcPr>
            <w:tcW w:w="980" w:type="dxa"/>
            <w:vAlign w:val="bottom"/>
          </w:tcPr>
          <w:p>
            <w:pPr>
              <w:jc w:val="right"/>
              <w:ind w:right="298"/>
              <w:spacing w:after="0"/>
              <w:rPr>
                <w:sz w:val="20"/>
                <w:szCs w:val="20"/>
                <w:color w:val="auto"/>
              </w:rPr>
            </w:pPr>
            <w:r>
              <w:rPr>
                <w:rFonts w:ascii="Arial" w:cs="Arial" w:eastAsia="Arial" w:hAnsi="Arial"/>
                <w:sz w:val="17"/>
                <w:szCs w:val="17"/>
                <w:color w:val="auto"/>
              </w:rPr>
              <w:t>18</w:t>
            </w:r>
          </w:p>
        </w:tc>
        <w:tc>
          <w:tcPr>
            <w:tcW w:w="360" w:type="dxa"/>
            <w:vAlign w:val="bottom"/>
          </w:tcPr>
          <w:p>
            <w:pPr>
              <w:spacing w:after="0"/>
              <w:rPr>
                <w:sz w:val="20"/>
                <w:szCs w:val="20"/>
                <w:color w:val="auto"/>
              </w:rPr>
            </w:pPr>
          </w:p>
        </w:tc>
        <w:tc>
          <w:tcPr>
            <w:tcW w:w="1240" w:type="dxa"/>
            <w:vAlign w:val="bottom"/>
          </w:tcPr>
          <w:p>
            <w:pPr>
              <w:jc w:val="right"/>
              <w:ind w:right="177"/>
              <w:spacing w:after="0"/>
              <w:rPr>
                <w:sz w:val="20"/>
                <w:szCs w:val="20"/>
                <w:color w:val="auto"/>
              </w:rPr>
            </w:pPr>
            <w:r>
              <w:rPr>
                <w:rFonts w:ascii="Arial" w:cs="Arial" w:eastAsia="Arial" w:hAnsi="Arial"/>
                <w:sz w:val="17"/>
                <w:szCs w:val="17"/>
                <w:b w:val="1"/>
                <w:bCs w:val="1"/>
                <w:color w:val="auto"/>
              </w:rPr>
              <w:t>3,674.6</w:t>
            </w:r>
          </w:p>
        </w:tc>
        <w:tc>
          <w:tcPr>
            <w:tcW w:w="440" w:type="dxa"/>
            <w:vAlign w:val="bottom"/>
          </w:tcPr>
          <w:p>
            <w:pPr>
              <w:spacing w:after="0"/>
              <w:rPr>
                <w:sz w:val="20"/>
                <w:szCs w:val="20"/>
                <w:color w:val="auto"/>
              </w:rPr>
            </w:pP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3,183.0</w:t>
            </w:r>
          </w:p>
        </w:tc>
        <w:tc>
          <w:tcPr>
            <w:tcW w:w="860" w:type="dxa"/>
            <w:vAlign w:val="bottom"/>
          </w:tcPr>
          <w:p>
            <w:pPr>
              <w:jc w:val="center"/>
              <w:ind w:left="38"/>
              <w:spacing w:after="0"/>
              <w:rPr>
                <w:sz w:val="20"/>
                <w:szCs w:val="20"/>
                <w:color w:val="auto"/>
              </w:rPr>
            </w:pPr>
            <w:r>
              <w:rPr>
                <w:rFonts w:ascii="Arial" w:cs="Arial" w:eastAsia="Arial" w:hAnsi="Arial"/>
                <w:sz w:val="17"/>
                <w:szCs w:val="17"/>
                <w:color w:val="auto"/>
                <w:w w:val="94"/>
              </w:rPr>
              <w:t>15</w:t>
            </w: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Acquired IPR&amp;D</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97.1</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440.4</w:t>
            </w:r>
          </w:p>
        </w:tc>
        <w:tc>
          <w:tcPr>
            <w:tcW w:w="98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(78)</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202.1</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606.0</w:t>
            </w:r>
          </w:p>
        </w:tc>
        <w:tc>
          <w:tcPr>
            <w:tcW w:w="86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w w:val="99"/>
              </w:rPr>
              <w:t>(67)</w:t>
            </w:r>
          </w:p>
        </w:tc>
      </w:tr>
      <w:tr>
        <w:trPr>
          <w:trHeight w:val="219"/>
        </w:trPr>
        <w:tc>
          <w:tcPr>
            <w:tcW w:w="3000" w:type="dxa"/>
            <w:vAlign w:val="bottom"/>
          </w:tcPr>
          <w:p>
            <w:pPr>
              <w:ind w:left="20"/>
              <w:spacing w:after="0"/>
              <w:rPr>
                <w:sz w:val="20"/>
                <w:szCs w:val="20"/>
                <w:color w:val="auto"/>
              </w:rPr>
            </w:pPr>
            <w:r>
              <w:rPr>
                <w:rFonts w:ascii="Arial" w:cs="Arial" w:eastAsia="Arial" w:hAnsi="Arial"/>
                <w:sz w:val="17"/>
                <w:szCs w:val="17"/>
                <w:color w:val="auto"/>
              </w:rPr>
              <w:t>Other–net, (income) expense</w:t>
            </w:r>
          </w:p>
        </w:tc>
        <w:tc>
          <w:tcPr>
            <w:tcW w:w="360" w:type="dxa"/>
            <w:vAlign w:val="bottom"/>
          </w:tcPr>
          <w:p>
            <w:pPr>
              <w:spacing w:after="0"/>
              <w:rPr>
                <w:sz w:val="19"/>
                <w:szCs w:val="19"/>
                <w:color w:val="auto"/>
              </w:rPr>
            </w:pPr>
          </w:p>
        </w:tc>
        <w:tc>
          <w:tcPr>
            <w:tcW w:w="1240" w:type="dxa"/>
            <w:vAlign w:val="bottom"/>
          </w:tcPr>
          <w:p>
            <w:pPr>
              <w:jc w:val="right"/>
              <w:ind w:right="197"/>
              <w:spacing w:after="0"/>
              <w:rPr>
                <w:sz w:val="20"/>
                <w:szCs w:val="20"/>
                <w:color w:val="auto"/>
              </w:rPr>
            </w:pPr>
            <w:r>
              <w:rPr>
                <w:rFonts w:ascii="Arial" w:cs="Arial" w:eastAsia="Arial" w:hAnsi="Arial"/>
                <w:sz w:val="17"/>
                <w:szCs w:val="17"/>
                <w:b w:val="1"/>
                <w:bCs w:val="1"/>
                <w:color w:val="auto"/>
              </w:rPr>
              <w:t>36.8</w:t>
            </w:r>
          </w:p>
        </w:tc>
        <w:tc>
          <w:tcPr>
            <w:tcW w:w="420" w:type="dxa"/>
            <w:vAlign w:val="bottom"/>
          </w:tcPr>
          <w:p>
            <w:pPr>
              <w:spacing w:after="0"/>
              <w:rPr>
                <w:sz w:val="19"/>
                <w:szCs w:val="19"/>
                <w:color w:val="auto"/>
              </w:rPr>
            </w:pPr>
          </w:p>
        </w:tc>
        <w:tc>
          <w:tcPr>
            <w:tcW w:w="1160" w:type="dxa"/>
            <w:vAlign w:val="bottom"/>
          </w:tcPr>
          <w:p>
            <w:pPr>
              <w:jc w:val="right"/>
              <w:ind w:right="116"/>
              <w:spacing w:after="0"/>
              <w:rPr>
                <w:sz w:val="20"/>
                <w:szCs w:val="20"/>
                <w:color w:val="auto"/>
              </w:rPr>
            </w:pPr>
            <w:r>
              <w:rPr>
                <w:rFonts w:ascii="Arial" w:cs="Arial" w:eastAsia="Arial" w:hAnsi="Arial"/>
                <w:sz w:val="17"/>
                <w:szCs w:val="17"/>
                <w:color w:val="auto"/>
              </w:rPr>
              <w:t>119.2</w:t>
            </w:r>
          </w:p>
        </w:tc>
        <w:tc>
          <w:tcPr>
            <w:tcW w:w="980" w:type="dxa"/>
            <w:vAlign w:val="bottom"/>
          </w:tcPr>
          <w:p>
            <w:pPr>
              <w:jc w:val="right"/>
              <w:ind w:right="258"/>
              <w:spacing w:after="0"/>
              <w:rPr>
                <w:sz w:val="20"/>
                <w:szCs w:val="20"/>
                <w:color w:val="auto"/>
              </w:rPr>
            </w:pPr>
            <w:r>
              <w:rPr>
                <w:rFonts w:ascii="Arial" w:cs="Arial" w:eastAsia="Arial" w:hAnsi="Arial"/>
                <w:sz w:val="17"/>
                <w:szCs w:val="17"/>
                <w:color w:val="auto"/>
              </w:rPr>
              <w:t>(69)</w:t>
            </w:r>
          </w:p>
        </w:tc>
        <w:tc>
          <w:tcPr>
            <w:tcW w:w="360" w:type="dxa"/>
            <w:vAlign w:val="bottom"/>
          </w:tcPr>
          <w:p>
            <w:pPr>
              <w:spacing w:after="0"/>
              <w:rPr>
                <w:sz w:val="19"/>
                <w:szCs w:val="19"/>
                <w:color w:val="auto"/>
              </w:rPr>
            </w:pPr>
          </w:p>
        </w:tc>
        <w:tc>
          <w:tcPr>
            <w:tcW w:w="1240" w:type="dxa"/>
            <w:vAlign w:val="bottom"/>
          </w:tcPr>
          <w:p>
            <w:pPr>
              <w:jc w:val="right"/>
              <w:ind w:right="177"/>
              <w:spacing w:after="0"/>
              <w:rPr>
                <w:sz w:val="20"/>
                <w:szCs w:val="20"/>
                <w:color w:val="auto"/>
              </w:rPr>
            </w:pPr>
            <w:r>
              <w:rPr>
                <w:rFonts w:ascii="Arial" w:cs="Arial" w:eastAsia="Arial" w:hAnsi="Arial"/>
                <w:sz w:val="17"/>
                <w:szCs w:val="17"/>
                <w:b w:val="1"/>
                <w:bCs w:val="1"/>
                <w:color w:val="auto"/>
              </w:rPr>
              <w:t>1.1</w:t>
            </w:r>
          </w:p>
        </w:tc>
        <w:tc>
          <w:tcPr>
            <w:tcW w:w="440" w:type="dxa"/>
            <w:vAlign w:val="bottom"/>
          </w:tcPr>
          <w:p>
            <w:pPr>
              <w:spacing w:after="0"/>
              <w:rPr>
                <w:sz w:val="19"/>
                <w:szCs w:val="19"/>
                <w:color w:val="auto"/>
              </w:rPr>
            </w:pP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469.9</w:t>
            </w:r>
          </w:p>
        </w:tc>
        <w:tc>
          <w:tcPr>
            <w:tcW w:w="860" w:type="dxa"/>
            <w:vAlign w:val="bottom"/>
          </w:tcPr>
          <w:p>
            <w:pPr>
              <w:jc w:val="center"/>
              <w:ind w:left="18"/>
              <w:spacing w:after="0"/>
              <w:rPr>
                <w:sz w:val="20"/>
                <w:szCs w:val="20"/>
                <w:color w:val="auto"/>
              </w:rPr>
            </w:pPr>
            <w:r>
              <w:rPr>
                <w:rFonts w:ascii="Arial" w:cs="Arial" w:eastAsia="Arial" w:hAnsi="Arial"/>
                <w:sz w:val="17"/>
                <w:szCs w:val="17"/>
                <w:color w:val="auto"/>
              </w:rPr>
              <w:t>(100)</w:t>
            </w:r>
          </w:p>
        </w:tc>
      </w:tr>
      <w:tr>
        <w:trPr>
          <w:trHeight w:val="232"/>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taxes</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325.7</w:t>
            </w: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138.4</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NM</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510.5</w:t>
            </w: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289.1</w:t>
            </w:r>
          </w:p>
        </w:tc>
        <w:tc>
          <w:tcPr>
            <w:tcW w:w="86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w w:val="94"/>
              </w:rPr>
              <w:t>77</w:t>
            </w:r>
          </w:p>
        </w:tc>
      </w:tr>
      <w:tr>
        <w:trPr>
          <w:trHeight w:val="242"/>
        </w:trPr>
        <w:tc>
          <w:tcPr>
            <w:tcW w:w="300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15.6 %</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12.7 %</w:t>
            </w: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14.1 %</w:t>
            </w:r>
          </w:p>
        </w:tc>
        <w:tc>
          <w:tcPr>
            <w:tcW w:w="4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9.2 %</w:t>
            </w:r>
          </w:p>
        </w:tc>
        <w:tc>
          <w:tcPr>
            <w:tcW w:w="860" w:type="dxa"/>
            <w:vAlign w:val="bottom"/>
          </w:tcPr>
          <w:p>
            <w:pPr>
              <w:spacing w:after="0"/>
              <w:rPr>
                <w:sz w:val="21"/>
                <w:szCs w:val="21"/>
                <w:color w:val="auto"/>
              </w:rPr>
            </w:pPr>
          </w:p>
        </w:tc>
      </w:tr>
    </w:tbl>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NM - not meaningful</w:t>
      </w:r>
    </w:p>
    <w:p>
      <w:pPr>
        <w:spacing w:after="0" w:line="114"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Gross margin as a percent of revenue for the three months ended June 30, 2023 increased 0.3 percentage points compared with the three months ended June 30, 2022, primarily driven by product mix, including the sale of rights for Baqsimi, largely offset by increased manufacturing expenses related to labor costs and investments in capacity expansion. Gross margin as a percent of revenue for the six months ended June 30, 2023 increased 2.0 percentage points compared with the six months ended June 30, 2022, primarily driven by sales of COVID-19 antibodies in 2022.</w:t>
      </w:r>
    </w:p>
    <w:p>
      <w:pPr>
        <w:spacing w:after="0" w:line="76" w:lineRule="exact"/>
        <w:rPr>
          <w:sz w:val="20"/>
          <w:szCs w:val="20"/>
          <w:color w:val="auto"/>
        </w:rPr>
      </w:pPr>
    </w:p>
    <w:p>
      <w:pPr>
        <w:ind w:right="620"/>
        <w:spacing w:after="0" w:line="280" w:lineRule="auto"/>
        <w:rPr>
          <w:sz w:val="20"/>
          <w:szCs w:val="20"/>
          <w:color w:val="auto"/>
        </w:rPr>
      </w:pPr>
      <w:r>
        <w:rPr>
          <w:rFonts w:ascii="Arial" w:cs="Arial" w:eastAsia="Arial" w:hAnsi="Arial"/>
          <w:sz w:val="17"/>
          <w:szCs w:val="17"/>
          <w:color w:val="auto"/>
        </w:rPr>
        <w:t>Research and development expenses increased 32 percent and 28 percent for the three and six months ended June 30, 2023, respectively, primarily driven by higher development expenses for late-stage assets and additional investments in early-stage research.</w:t>
      </w:r>
    </w:p>
    <w:p>
      <w:pPr>
        <w:spacing w:after="0" w:line="60" w:lineRule="exact"/>
        <w:rPr>
          <w:sz w:val="20"/>
          <w:szCs w:val="20"/>
          <w:color w:val="auto"/>
        </w:rPr>
      </w:pPr>
    </w:p>
    <w:p>
      <w:pPr>
        <w:ind w:right="880"/>
        <w:spacing w:after="0" w:line="280" w:lineRule="auto"/>
        <w:rPr>
          <w:sz w:val="20"/>
          <w:szCs w:val="20"/>
          <w:color w:val="auto"/>
        </w:rPr>
      </w:pPr>
      <w:r>
        <w:rPr>
          <w:rFonts w:ascii="Arial" w:cs="Arial" w:eastAsia="Arial" w:hAnsi="Arial"/>
          <w:sz w:val="17"/>
          <w:szCs w:val="17"/>
          <w:color w:val="auto"/>
        </w:rPr>
        <w:t>Marketing, selling, and administrative expenses increased 18 percent and 15 percent for the three and six months ended June 30, 2023, respectively, primarily driven by costs associated with launches of new products and indications.</w:t>
      </w:r>
    </w:p>
    <w:p>
      <w:pPr>
        <w:spacing w:after="0" w:line="60"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recognized $97.1 million and $202.1 million of acquired IPR&amp;D charges for the three and six months ended June 30, 2023, respectively. We recognized $440.4 million and $606.0 million of acquired IPR&amp;D charges for the three and six months ended June 30, 2022, respectively, primarily related to the buy-out of substantially all future obligations that were contingent upon the occurrence of certain events linked to the success of our mutant-selective PI3kα inhibitor. The charges for the six months ended June 30, 2022 also included the purchase of a Priority Review Voucher. See Note 3 to the consolidated condensed financial statements for additional information.</w:t>
      </w:r>
    </w:p>
    <w:p>
      <w:pPr>
        <w:spacing w:after="0" w:line="77"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Other–net, (income) expense included net investment losses on equity securities of $64.9 million and $78.6 million for three and six months ended June 30, 2023, respectively. Other–net, (income) expense included net investment losses on equity securities of $118.9 million and $544.3 million for three and six months ended June 30, 2022, respectively. See Note 10 to the consolidated condensed financial statements for additional information.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45" w:name="page46"/>
    <w:bookmarkEnd w:id="45"/>
    <w:p>
      <w:pPr>
        <w:ind w:right="20"/>
        <w:spacing w:after="0" w:line="262" w:lineRule="auto"/>
        <w:rPr>
          <w:sz w:val="20"/>
          <w:szCs w:val="20"/>
          <w:color w:val="auto"/>
        </w:rPr>
      </w:pPr>
      <w:r>
        <w:rPr>
          <w:rFonts w:ascii="Arial" w:cs="Arial" w:eastAsia="Arial" w:hAnsi="Arial"/>
          <w:sz w:val="17"/>
          <w:szCs w:val="17"/>
          <w:color w:val="auto"/>
        </w:rPr>
        <w:t>The effective tax rates were 15.6 percent and 14.1 percent for the three and six months ended June 30, 2023, respectively, reflecting the tax impacts of the new Puerto Rico tax regime and the sale of rights for Baqsimi. The effective tax rates were 12.7 percent and 9.2 percent for the three and six months ended June 30, 2022, respectively, reflecting the favorable tax impact of net investment losses on equity securities, partially offset by the tax impact of non-deductible acquired IPR&amp;D charges.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CONDITION AND LIQUIDITY</w:t>
      </w:r>
    </w:p>
    <w:p>
      <w:pPr>
        <w:spacing w:after="0" w:line="124" w:lineRule="exact"/>
        <w:rPr>
          <w:sz w:val="20"/>
          <w:szCs w:val="20"/>
          <w:color w:val="auto"/>
        </w:rPr>
      </w:pPr>
    </w:p>
    <w:p>
      <w:pPr>
        <w:ind w:right="120"/>
        <w:spacing w:after="0" w:line="262" w:lineRule="auto"/>
        <w:rPr>
          <w:rFonts w:ascii="Arial" w:cs="Arial" w:eastAsia="Arial" w:hAnsi="Arial"/>
          <w:sz w:val="17"/>
          <w:szCs w:val="17"/>
          <w:color w:val="auto"/>
        </w:rPr>
      </w:pPr>
      <w:r>
        <w:rPr>
          <w:rFonts w:ascii="Arial" w:cs="Arial" w:eastAsia="Arial" w:hAnsi="Arial"/>
          <w:sz w:val="17"/>
          <w:szCs w:val="17"/>
          <w:color w:val="auto"/>
        </w:rPr>
        <w:t xml:space="preserve">We believe our available cash and cash equivalents, together with our ability to generate operating cash flow and our access to short-term and long-term borrowings, are sufficient to fund our existing and planned capital requirements. For a discussion of our capital requirements, see "Management's Discussion and Analysis of Results of Operations and Financial Condition" in Part II, Item 7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2022.</w:t>
      </w:r>
    </w:p>
    <w:p>
      <w:pPr>
        <w:spacing w:after="0" w:line="76" w:lineRule="exact"/>
        <w:rPr>
          <w:sz w:val="20"/>
          <w:szCs w:val="20"/>
          <w:color w:val="auto"/>
        </w:rPr>
      </w:pPr>
    </w:p>
    <w:p>
      <w:pPr>
        <w:jc w:val="both"/>
        <w:ind w:right="200"/>
        <w:spacing w:after="0" w:line="280" w:lineRule="auto"/>
        <w:rPr>
          <w:sz w:val="20"/>
          <w:szCs w:val="20"/>
          <w:color w:val="auto"/>
        </w:rPr>
      </w:pPr>
      <w:r>
        <w:rPr>
          <w:rFonts w:ascii="Arial" w:cs="Arial" w:eastAsia="Arial" w:hAnsi="Arial"/>
          <w:sz w:val="17"/>
          <w:szCs w:val="17"/>
          <w:color w:val="auto"/>
        </w:rPr>
        <w:t>We have announced additional investment commitments in new facilities in Indiana, North Carolina, and Limerick, Ireland to manufacture existing and future products. We expect that these investments will result in higher capital expenditures in excess of $8 billion over the next several years.</w:t>
      </w:r>
    </w:p>
    <w:p>
      <w:pPr>
        <w:spacing w:after="0" w:line="6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June 2023, we announced an agreement to acquire DICE for a purchase price of $48 per share in cash (an aggregate of approximately $2.4 billion) payable at closing. As of June 30, 2023, potential amounts payable for other pending business development acquisitions were approximately $1 billion in aggregate, subject to closing conditions and/or regulatory approvals. We anticipate funding these acquisitions, including DICE, through cash on hand and the issuance of commercial paper.</w:t>
      </w:r>
    </w:p>
    <w:p>
      <w:pPr>
        <w:spacing w:after="0" w:line="76"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Cash and cash equivalents increased to $2.69 billion as of June 30, 2023, compared with $2.07 billion as of December 31, 2022. Refer to the consolidated condensed statements of cash flows for additional information on the significant sources and uses of cash for the six months ended June 30, 2023 and 2022.</w:t>
      </w:r>
    </w:p>
    <w:p>
      <w:pPr>
        <w:spacing w:after="0" w:line="70" w:lineRule="exact"/>
        <w:rPr>
          <w:sz w:val="20"/>
          <w:szCs w:val="20"/>
          <w:color w:val="auto"/>
        </w:rPr>
      </w:pPr>
    </w:p>
    <w:p>
      <w:pPr>
        <w:ind w:right="380"/>
        <w:spacing w:after="0" w:line="280" w:lineRule="auto"/>
        <w:rPr>
          <w:sz w:val="20"/>
          <w:szCs w:val="20"/>
          <w:color w:val="auto"/>
        </w:rPr>
      </w:pPr>
      <w:r>
        <w:rPr>
          <w:rFonts w:ascii="Arial" w:cs="Arial" w:eastAsia="Arial" w:hAnsi="Arial"/>
          <w:sz w:val="17"/>
          <w:szCs w:val="17"/>
          <w:color w:val="auto"/>
        </w:rPr>
        <w:t>In addition to our cash and cash equivalents, we held total investments of $2.88 billion and $3.05 billion as of June 30, 2023 and December 31, 2022, respectively. See Note 5 to the consolidated condensed financial statements for additional information.</w:t>
      </w:r>
    </w:p>
    <w:p>
      <w:pPr>
        <w:spacing w:after="0" w:line="60"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As of June 30, 2023, total debt was $18.82 billion, an increase of $2.58 billion compared with $16.24 billion as of December 31, 2022. In February 2023, we issued $750.0 million of 5.000 percent fixed-rate notes due in 2026, which are callable at par after one year, $1.00 billion of 4.700 percent fixed-rate notes due in 2033, $1.25 billion of 4.875 percent fixed-rate notes due in 2053, and $1.00 billion of 4.950 percent fixed-rate notes due in 2063, all with interest to be paid semi-annually. We used the net cash proceeds from the offering of $3.96 billion for general business purposes, including the repayment of outstanding commercial paper. See Note 5 to the consolidated condensed financial statements for additional information.</w:t>
      </w:r>
    </w:p>
    <w:p>
      <w:pPr>
        <w:spacing w:after="0" w:line="28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As of June 30, 2023, we had a total of $7.33 billion of unused committed bank credit facilities, $7.00 billion of which is available to support our commercial paper program. We believe that amounts accessible through existing commercial paper markets should be adequate to fund short-term borrowing needs.</w:t>
      </w:r>
    </w:p>
    <w:p>
      <w:pPr>
        <w:spacing w:after="0" w:line="70"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During the six months ended June 30, 2023, we repurchased $750.0 million of shares under our $5.00 billion share repurchase program authorized in May 2021. As of June 30, 2023, we had $2.50 billion remaining under this program.</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2023, we paid dividends of $2.04 billion, or $2.26 per share, to our shareholders.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See "Executive Overview—Other Matters—Patent Matters" for information regarding losses of patent protection.</w:t>
      </w:r>
    </w:p>
    <w:p>
      <w:pPr>
        <w:spacing w:after="0" w:line="114"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Both domestically and abroad, we continue to monitor the potential impacts of the economic environment; the creditworthiness of our wholesalers and other customers, including foreign government-backed agencies and suppliers; the uncertain impact of healthcare legislation; various international government funding levels; and fluctuations in interest rates, foreign currency exchange rates (see "Executive Overview—Other Matters—Foreign Currency Exchange Rates and Other Impacts"), and fair values of equity securities.</w:t>
      </w:r>
    </w:p>
    <w:p>
      <w:pPr>
        <w:spacing w:after="0" w:line="76"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As we expand our manufacturing capacity in order to meet existing and expected demand of our incretin products, we have entered, and expect to continue to enter, into various agreements for contract manufacturing and for supply of materials. The executed agreements could, under certain circumstances, require us to pay up to approximately $6.5 billion if we do not purchase specified amounts of goods or services over the durations of the agreements, which generally range from 2 to 8 years.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auto"/>
        </w:rPr>
        <w:t>CRITICAL ACCOUNTING ESTIMATES</w:t>
      </w:r>
    </w:p>
    <w:p>
      <w:pPr>
        <w:spacing w:after="0" w:line="124" w:lineRule="exact"/>
        <w:rPr>
          <w:sz w:val="20"/>
          <w:szCs w:val="20"/>
          <w:color w:val="auto"/>
        </w:rPr>
      </w:pPr>
    </w:p>
    <w:p>
      <w:pPr>
        <w:ind w:right="120"/>
        <w:spacing w:after="0" w:line="262" w:lineRule="auto"/>
        <w:rPr>
          <w:rFonts w:ascii="Arial" w:cs="Arial" w:eastAsia="Arial" w:hAnsi="Arial"/>
          <w:sz w:val="17"/>
          <w:szCs w:val="17"/>
          <w:color w:val="auto"/>
        </w:rPr>
      </w:pPr>
      <w:r>
        <w:rPr>
          <w:rFonts w:ascii="Arial" w:cs="Arial" w:eastAsia="Arial" w:hAnsi="Arial"/>
          <w:sz w:val="17"/>
          <w:szCs w:val="17"/>
          <w:color w:val="auto"/>
        </w:rPr>
        <w:t xml:space="preserve">For a discussion of our critical accounting estimates, refer to "Management's Discussion and Analysis of Results of Operations and Financial Condition" in Part II, Item 7 and the notes to our consolidated financial statements in Part II, Item 8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2022. See also Note 1 to the consolidated condensed financial statements. There have been no material changes to our critical accounting estimates since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2022.</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AVAILABLE INFORMATION ON OUR WEBSITE</w:t>
      </w:r>
    </w:p>
    <w:p>
      <w:pPr>
        <w:spacing w:after="0" w:line="12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website link to our SEC filings is </w:t>
      </w:r>
      <w:r>
        <w:rPr>
          <w:rFonts w:ascii="Arial" w:cs="Arial" w:eastAsia="Arial" w:hAnsi="Arial"/>
          <w:sz w:val="17"/>
          <w:szCs w:val="17"/>
          <w:b w:val="1"/>
          <w:bCs w:val="1"/>
          <w:color w:val="auto"/>
        </w:rPr>
        <w:t>investor.lilly.com/financial-information/sec-filings</w:t>
      </w:r>
      <w:r>
        <w:rPr>
          <w:rFonts w:ascii="Arial" w:cs="Arial" w:eastAsia="Arial" w:hAnsi="Arial"/>
          <w:sz w:val="17"/>
          <w:szCs w:val="17"/>
          <w:color w:val="auto"/>
        </w:rPr>
        <w:t>.</w:t>
      </w:r>
    </w:p>
    <w:p>
      <w:pPr>
        <w:spacing w:after="0" w:line="124"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We routinely post important information for investors in the “Investors” section of our website, www.lilly.com. We may use our website as a means of disclosing material, non-public information and for complying with our disclosure obligations under Regulation FD. Accordingly, investors should monitor the “Investors” section of our website, in addition to following our press releases, filings with the SEC, public conference calls, presentations, and webcasts. We may also use social media channels to communicate with investors and the public about our business, products and other matters, and those communications could be deemed to be material information. The information contained on, or that may be accessed through, our website or social media channels, is not incorporated by reference into, and is not a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i w:val="1"/>
          <w:iCs w:val="1"/>
          <w:color w:val="auto"/>
        </w:rPr>
        <w:t>Item 3. Quantitative and Qualitative Disclosures About Market Risk</w:t>
      </w:r>
    </w:p>
    <w:p>
      <w:pPr>
        <w:spacing w:after="0" w:line="122" w:lineRule="exact"/>
        <w:rPr>
          <w:sz w:val="20"/>
          <w:szCs w:val="20"/>
          <w:color w:val="auto"/>
        </w:rPr>
      </w:pPr>
    </w:p>
    <w:p>
      <w:pPr>
        <w:ind w:right="300"/>
        <w:spacing w:after="0" w:line="280" w:lineRule="auto"/>
        <w:rPr>
          <w:rFonts w:ascii="Arial" w:cs="Arial" w:eastAsia="Arial" w:hAnsi="Arial"/>
          <w:sz w:val="17"/>
          <w:szCs w:val="17"/>
          <w:color w:val="0000FF"/>
        </w:rPr>
      </w:pPr>
      <w:r>
        <w:rPr>
          <w:rFonts w:ascii="Arial" w:cs="Arial" w:eastAsia="Arial" w:hAnsi="Arial"/>
          <w:sz w:val="17"/>
          <w:szCs w:val="17"/>
          <w:color w:val="auto"/>
        </w:rPr>
        <w:t xml:space="preserve">For a discussion of our market risk, see “Quantitative and Qualitative Disclosures About Market Risk” in Part II, Item 7A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color w:val="0000FF"/>
          </w:rPr>
          <w:t xml:space="preserve"> </w:t>
        </w:r>
      </w:hyperlink>
      <w:r>
        <w:rPr>
          <w:rFonts w:ascii="Arial" w:cs="Arial" w:eastAsia="Arial" w:hAnsi="Arial"/>
          <w:sz w:val="17"/>
          <w:szCs w:val="17"/>
          <w:color w:val="000000"/>
        </w:rPr>
        <w:t>for</w:t>
      </w:r>
      <w:r>
        <w:rPr>
          <w:rFonts w:ascii="Arial" w:cs="Arial" w:eastAsia="Arial" w:hAnsi="Arial"/>
          <w:sz w:val="17"/>
          <w:szCs w:val="17"/>
          <w:color w:val="0000FF"/>
        </w:rPr>
        <w:t xml:space="preserve"> </w:t>
      </w:r>
      <w:r>
        <w:rPr>
          <w:rFonts w:ascii="Arial" w:cs="Arial" w:eastAsia="Arial" w:hAnsi="Arial"/>
          <w:sz w:val="17"/>
          <w:szCs w:val="17"/>
          <w:color w:val="000000"/>
        </w:rPr>
        <w:t>the year ended December 31, 2022.</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4. Controls and Procedures</w:t>
      </w:r>
    </w:p>
    <w:p>
      <w:pPr>
        <w:spacing w:after="0" w:line="116" w:lineRule="exact"/>
        <w:rPr>
          <w:sz w:val="20"/>
          <w:szCs w:val="20"/>
          <w:color w:val="auto"/>
        </w:rPr>
      </w:pPr>
    </w:p>
    <w:p>
      <w:pPr>
        <w:ind w:left="620" w:right="80" w:hanging="617"/>
        <w:spacing w:after="0" w:line="262"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Under applicable Securities and Exchange Commission (SEC)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of a reporting company, with the 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Quarterly Report on Form 10-Q) is recorded, processed, summarized, and reported on a timely basis.</w:t>
      </w:r>
    </w:p>
    <w:p>
      <w:pPr>
        <w:spacing w:after="0" w:line="74" w:lineRule="exact"/>
        <w:rPr>
          <w:rFonts w:ascii="Arial" w:cs="Arial" w:eastAsia="Arial" w:hAnsi="Arial"/>
          <w:sz w:val="17"/>
          <w:szCs w:val="17"/>
          <w:color w:val="auto"/>
        </w:rPr>
      </w:pPr>
    </w:p>
    <w:p>
      <w:pPr>
        <w:jc w:val="both"/>
        <w:ind w:left="620" w:right="40"/>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Our management, with the participation of David Ricks, president and chief executive officer, and Anat Ashkenazi, executive vice president and chief financial officer, evaluated our disclosure controls and procedures (as such terms are defined in our Annual Report on </w:t>
      </w:r>
      <w:hyperlink r:id="rId15">
        <w:r>
          <w:rPr>
            <w:rFonts w:ascii="Arial" w:cs="Arial" w:eastAsia="Arial" w:hAnsi="Arial"/>
            <w:sz w:val="17"/>
            <w:szCs w:val="17"/>
            <w:u w:val="single" w:color="auto"/>
            <w:color w:val="0000FF"/>
          </w:rPr>
          <w:t>Form 10-K</w:t>
        </w:r>
      </w:hyperlink>
      <w:r>
        <w:rPr>
          <w:rFonts w:ascii="Arial" w:cs="Arial" w:eastAsia="Arial" w:hAnsi="Arial"/>
          <w:sz w:val="17"/>
          <w:szCs w:val="17"/>
          <w:color w:val="auto"/>
        </w:rPr>
        <w:t xml:space="preserve"> for the year ended December 31, 2022) as of June 30, 2023, and concluded that they were effective.</w:t>
      </w:r>
    </w:p>
    <w:p>
      <w:pPr>
        <w:spacing w:after="0" w:line="64" w:lineRule="exact"/>
        <w:rPr>
          <w:rFonts w:ascii="Arial" w:cs="Arial" w:eastAsia="Arial" w:hAnsi="Arial"/>
          <w:sz w:val="17"/>
          <w:szCs w:val="17"/>
          <w:color w:val="auto"/>
        </w:rPr>
      </w:pPr>
    </w:p>
    <w:p>
      <w:pPr>
        <w:ind w:left="620" w:hanging="617"/>
        <w:spacing w:after="0" w:line="258" w:lineRule="auto"/>
        <w:tabs>
          <w:tab w:leader="none" w:pos="620" w:val="left"/>
        </w:tabs>
        <w:numPr>
          <w:ilvl w:val="0"/>
          <w:numId w:val="15"/>
        </w:numPr>
        <w:rPr>
          <w:rFonts w:ascii="Arial" w:cs="Arial" w:eastAsia="Arial" w:hAnsi="Arial"/>
          <w:sz w:val="19"/>
          <w:szCs w:val="19"/>
          <w:color w:val="auto"/>
        </w:rPr>
      </w:pPr>
      <w:r>
        <w:rPr>
          <w:rFonts w:ascii="Arial" w:cs="Arial" w:eastAsia="Arial" w:hAnsi="Arial"/>
          <w:sz w:val="17"/>
          <w:szCs w:val="17"/>
          <w:i w:val="1"/>
          <w:iCs w:val="1"/>
          <w:color w:val="auto"/>
        </w:rPr>
        <w:t>Changes in Internal Controls</w:t>
      </w:r>
      <w:r>
        <w:rPr>
          <w:rFonts w:ascii="Arial" w:cs="Arial" w:eastAsia="Arial" w:hAnsi="Arial"/>
          <w:sz w:val="17"/>
          <w:szCs w:val="17"/>
          <w:color w:val="auto"/>
        </w:rPr>
        <w:t>. During the second quarter of 2023, there were no changes in our internal control over financial reporting that</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materially affected, or are reasonably likely to materially affect, our internal control over financial reporting. We rely extensively on information systems and technology to manage our business, including integrated supply chain operations, and global consolidated financial results. We are currently preparing to implement a new global enterprise resource planning (ERP) system, which will replace existing operating and financial systems. The ERP system is designed to accurately maintain our financial records, support integrated supply chain and other operational functionality, and provide timely information to our management team related to the operation of the business. We currently expect to commence and complete the global implementation in the first quarter of 2024, with post-implementation activities following thereafter. As the implementation and post-implementation activities take place, we will have changes to certain of our processes and procedures, and we will evaluate quarterly whether the changes materially affect our internal control over financial reporting.</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58" w:right="379" w:bottom="1440" w:gutter="0" w:footer="0" w:header="0"/>
        </w:sectPr>
      </w:pPr>
    </w:p>
    <w:bookmarkStart w:id="48" w:name="page49"/>
    <w:bookmarkEnd w:id="48"/>
    <w:p>
      <w:pPr>
        <w:spacing w:after="0"/>
        <w:rPr>
          <w:sz w:val="20"/>
          <w:szCs w:val="20"/>
          <w:color w:val="auto"/>
        </w:rPr>
      </w:pPr>
      <w:r>
        <w:rPr>
          <w:rFonts w:ascii="Arial" w:cs="Arial" w:eastAsia="Arial" w:hAnsi="Arial"/>
          <w:sz w:val="28"/>
          <w:szCs w:val="28"/>
          <w:u w:val="single" w:color="auto"/>
          <w:color w:val="auto"/>
        </w:rPr>
        <w:t>PART II. 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1. Legal Proceedings</w:t>
      </w:r>
    </w:p>
    <w:p>
      <w:pPr>
        <w:spacing w:after="0" w:line="174" w:lineRule="exact"/>
        <w:rPr>
          <w:sz w:val="20"/>
          <w:szCs w:val="20"/>
          <w:color w:val="auto"/>
        </w:rPr>
      </w:pPr>
    </w:p>
    <w:p>
      <w:pPr>
        <w:ind w:right="880"/>
        <w:spacing w:after="0" w:line="280" w:lineRule="auto"/>
        <w:rPr>
          <w:sz w:val="20"/>
          <w:szCs w:val="20"/>
          <w:color w:val="auto"/>
        </w:rPr>
      </w:pPr>
      <w:r>
        <w:rPr>
          <w:rFonts w:ascii="Arial" w:cs="Arial" w:eastAsia="Arial" w:hAnsi="Arial"/>
          <w:sz w:val="17"/>
          <w:szCs w:val="17"/>
          <w:color w:val="auto"/>
        </w:rPr>
        <w:t>We are a party to various currently pending legal actions, government investigations, and environmental proceedings. See Note 8 to the consolidated condensed financial statements for information on various legal proceedings.</w:t>
      </w:r>
    </w:p>
    <w:p>
      <w:pPr>
        <w:spacing w:after="0" w:line="112" w:lineRule="exact"/>
        <w:rPr>
          <w:sz w:val="20"/>
          <w:szCs w:val="20"/>
          <w:color w:val="auto"/>
        </w:rPr>
      </w:pPr>
    </w:p>
    <w:p>
      <w:pPr>
        <w:ind w:right="880"/>
        <w:spacing w:after="0" w:line="280" w:lineRule="auto"/>
        <w:rPr>
          <w:rFonts w:ascii="Arial" w:cs="Arial" w:eastAsia="Arial" w:hAnsi="Arial"/>
          <w:sz w:val="17"/>
          <w:szCs w:val="17"/>
          <w:color w:val="auto"/>
        </w:rPr>
      </w:pPr>
      <w:r>
        <w:rPr>
          <w:rFonts w:ascii="Arial" w:cs="Arial" w:eastAsia="Arial" w:hAnsi="Arial"/>
          <w:sz w:val="17"/>
          <w:szCs w:val="17"/>
          <w:color w:val="auto"/>
        </w:rPr>
        <w:t xml:space="preserve">This Item should be read in conjunction with "Legal Proceedings" in Part I, Item 3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1A. Risk Factors</w:t>
      </w:r>
    </w:p>
    <w:p>
      <w:pPr>
        <w:spacing w:after="0" w:line="174" w:lineRule="exact"/>
        <w:rPr>
          <w:sz w:val="20"/>
          <w:szCs w:val="20"/>
          <w:color w:val="auto"/>
        </w:rPr>
      </w:pPr>
    </w:p>
    <w:p>
      <w:pPr>
        <w:ind w:right="380"/>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Our material risk factors are disclosed in "Risk Factors" in Part I, Item 1A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2022. There have been no material changes from the risk factors previously disclosed in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2022.</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2. Unregistered Sales of Equity Securities and Use of Proceeds</w:t>
      </w:r>
    </w:p>
    <w:p>
      <w:pPr>
        <w:spacing w:after="0" w:line="174" w:lineRule="exact"/>
        <w:rPr>
          <w:sz w:val="20"/>
          <w:szCs w:val="20"/>
          <w:color w:val="auto"/>
        </w:rPr>
      </w:pPr>
    </w:p>
    <w:p>
      <w:pPr>
        <w:ind w:right="200"/>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Information relating to the principal market for our common stock and related shareholder matters is described in "Management's Discussion and Analysis of Results of Operations and Financial Condition" in Part II, Item 7 and in "Security Ownership of Certain Beneficial Owners and Management and Related Stockholder Matters" in Part III, Item 12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2022.</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related to repurchases of our equity securities during the three months ended June 30, 2023:</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tcPr>
          <w:p>
            <w:pPr>
              <w:jc w:val="center"/>
              <w:ind w:left="231"/>
              <w:spacing w:after="0"/>
              <w:rPr>
                <w:sz w:val="20"/>
                <w:szCs w:val="20"/>
                <w:color w:val="auto"/>
              </w:rPr>
            </w:pPr>
            <w:r>
              <w:rPr>
                <w:rFonts w:ascii="Arial" w:cs="Arial" w:eastAsia="Arial" w:hAnsi="Arial"/>
                <w:sz w:val="14"/>
                <w:szCs w:val="14"/>
                <w:b w:val="1"/>
                <w:bCs w:val="1"/>
                <w:color w:val="auto"/>
                <w:w w:val="97"/>
              </w:rPr>
              <w:t>Total Number of Shares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vMerge w:val="restart"/>
          </w:tcPr>
          <w:p>
            <w:pPr>
              <w:jc w:val="center"/>
              <w:ind w:right="83"/>
              <w:spacing w:after="0"/>
              <w:rPr>
                <w:sz w:val="20"/>
                <w:szCs w:val="20"/>
                <w:color w:val="auto"/>
              </w:rPr>
            </w:pPr>
            <w:r>
              <w:rPr>
                <w:rFonts w:ascii="Arial" w:cs="Arial" w:eastAsia="Arial" w:hAnsi="Arial"/>
                <w:sz w:val="14"/>
                <w:szCs w:val="14"/>
                <w:b w:val="1"/>
                <w:bCs w:val="1"/>
                <w:color w:val="auto"/>
                <w:w w:val="98"/>
              </w:rPr>
              <w:t>Approximate Dollar Value of</w:t>
            </w: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1480" w:type="dxa"/>
            <w:vAlign w:val="bottom"/>
            <w:vMerge w:val="restart"/>
          </w:tcPr>
          <w:p>
            <w:pPr>
              <w:jc w:val="center"/>
              <w:ind w:left="171"/>
              <w:spacing w:after="0"/>
              <w:rPr>
                <w:sz w:val="20"/>
                <w:szCs w:val="20"/>
                <w:color w:val="auto"/>
              </w:rPr>
            </w:pPr>
            <w:r>
              <w:rPr>
                <w:rFonts w:ascii="Arial" w:cs="Arial" w:eastAsia="Arial" w:hAnsi="Arial"/>
                <w:sz w:val="14"/>
                <w:szCs w:val="14"/>
                <w:b w:val="1"/>
                <w:bCs w:val="1"/>
                <w:color w:val="auto"/>
                <w:w w:val="96"/>
              </w:rPr>
              <w:t>Total Number of</w:t>
            </w: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60" w:type="dxa"/>
            <w:vAlign w:val="bottom"/>
          </w:tcPr>
          <w:p>
            <w:pPr>
              <w:jc w:val="center"/>
              <w:ind w:left="251"/>
              <w:spacing w:after="0" w:line="142" w:lineRule="exact"/>
              <w:rPr>
                <w:sz w:val="20"/>
                <w:szCs w:val="20"/>
                <w:color w:val="auto"/>
              </w:rPr>
            </w:pPr>
            <w:r>
              <w:rPr>
                <w:rFonts w:ascii="Arial" w:cs="Arial" w:eastAsia="Arial" w:hAnsi="Arial"/>
                <w:sz w:val="14"/>
                <w:szCs w:val="14"/>
                <w:b w:val="1"/>
                <w:bCs w:val="1"/>
                <w:color w:val="auto"/>
                <w:w w:val="97"/>
              </w:rPr>
              <w:t>Purchased as Part of</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7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vMerge w:val="restart"/>
          </w:tcPr>
          <w:p>
            <w:pPr>
              <w:jc w:val="center"/>
              <w:ind w:left="271"/>
              <w:spacing w:after="0"/>
              <w:rPr>
                <w:sz w:val="20"/>
                <w:szCs w:val="20"/>
                <w:color w:val="auto"/>
              </w:rPr>
            </w:pPr>
            <w:r>
              <w:rPr>
                <w:rFonts w:ascii="Arial" w:cs="Arial" w:eastAsia="Arial" w:hAnsi="Arial"/>
                <w:sz w:val="14"/>
                <w:szCs w:val="14"/>
                <w:b w:val="1"/>
                <w:bCs w:val="1"/>
                <w:color w:val="auto"/>
                <w:w w:val="99"/>
              </w:rPr>
              <w:t>Average Price Paid</w:t>
            </w:r>
          </w:p>
        </w:tc>
        <w:tc>
          <w:tcPr>
            <w:tcW w:w="380" w:type="dxa"/>
            <w:vAlign w:val="bottom"/>
          </w:tcPr>
          <w:p>
            <w:pPr>
              <w:spacing w:after="0"/>
              <w:rPr>
                <w:sz w:val="12"/>
                <w:szCs w:val="12"/>
                <w:color w:val="auto"/>
              </w:rPr>
            </w:pPr>
          </w:p>
        </w:tc>
        <w:tc>
          <w:tcPr>
            <w:tcW w:w="1960" w:type="dxa"/>
            <w:vAlign w:val="bottom"/>
          </w:tcPr>
          <w:p>
            <w:pPr>
              <w:jc w:val="center"/>
              <w:ind w:left="251"/>
              <w:spacing w:after="0" w:line="141" w:lineRule="exact"/>
              <w:rPr>
                <w:sz w:val="20"/>
                <w:szCs w:val="20"/>
                <w:color w:val="auto"/>
              </w:rPr>
            </w:pPr>
            <w:r>
              <w:rPr>
                <w:rFonts w:ascii="Arial" w:cs="Arial" w:eastAsia="Arial" w:hAnsi="Arial"/>
                <w:sz w:val="14"/>
                <w:szCs w:val="14"/>
                <w:b w:val="1"/>
                <w:bCs w:val="1"/>
                <w:color w:val="auto"/>
                <w:w w:val="98"/>
              </w:rPr>
              <w:t>Publicly Announced</w:t>
            </w:r>
          </w:p>
        </w:tc>
        <w:tc>
          <w:tcPr>
            <w:tcW w:w="320" w:type="dxa"/>
            <w:vAlign w:val="bottom"/>
          </w:tcPr>
          <w:p>
            <w:pPr>
              <w:spacing w:after="0"/>
              <w:rPr>
                <w:sz w:val="12"/>
                <w:szCs w:val="12"/>
                <w:color w:val="auto"/>
              </w:rPr>
            </w:pPr>
          </w:p>
        </w:tc>
        <w:tc>
          <w:tcPr>
            <w:tcW w:w="2440" w:type="dxa"/>
            <w:vAlign w:val="bottom"/>
            <w:gridSpan w:val="2"/>
          </w:tcPr>
          <w:p>
            <w:pPr>
              <w:jc w:val="center"/>
              <w:ind w:left="43"/>
              <w:spacing w:after="0" w:line="141" w:lineRule="exact"/>
              <w:rPr>
                <w:sz w:val="20"/>
                <w:szCs w:val="20"/>
                <w:color w:val="auto"/>
              </w:rPr>
            </w:pPr>
            <w:r>
              <w:rPr>
                <w:rFonts w:ascii="Arial" w:cs="Arial" w:eastAsia="Arial" w:hAnsi="Arial"/>
                <w:sz w:val="14"/>
                <w:szCs w:val="14"/>
                <w:b w:val="1"/>
                <w:bCs w:val="1"/>
                <w:color w:val="auto"/>
                <w:w w:val="97"/>
              </w:rPr>
              <w:t>Shares that May Yet Be Purchased</w:t>
            </w:r>
          </w:p>
        </w:tc>
        <w:tc>
          <w:tcPr>
            <w:tcW w:w="0" w:type="dxa"/>
            <w:vAlign w:val="bottom"/>
          </w:tcPr>
          <w:p>
            <w:pPr>
              <w:spacing w:after="0"/>
              <w:rPr>
                <w:sz w:val="1"/>
                <w:szCs w:val="1"/>
                <w:color w:val="auto"/>
              </w:rPr>
            </w:pPr>
          </w:p>
        </w:tc>
      </w:tr>
      <w:tr>
        <w:trPr>
          <w:trHeight w:val="131"/>
        </w:trPr>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80" w:type="dxa"/>
            <w:vAlign w:val="bottom"/>
          </w:tcPr>
          <w:p>
            <w:pPr>
              <w:jc w:val="center"/>
              <w:ind w:left="171"/>
              <w:spacing w:after="0" w:line="131" w:lineRule="exact"/>
              <w:rPr>
                <w:sz w:val="20"/>
                <w:szCs w:val="20"/>
                <w:color w:val="auto"/>
              </w:rPr>
            </w:pPr>
            <w:r>
              <w:rPr>
                <w:rFonts w:ascii="Arial" w:cs="Arial" w:eastAsia="Arial" w:hAnsi="Arial"/>
                <w:sz w:val="14"/>
                <w:szCs w:val="14"/>
                <w:b w:val="1"/>
                <w:bCs w:val="1"/>
                <w:color w:val="auto"/>
                <w:w w:val="98"/>
              </w:rPr>
              <w:t>Shares Purchased</w:t>
            </w:r>
          </w:p>
        </w:tc>
        <w:tc>
          <w:tcPr>
            <w:tcW w:w="26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960" w:type="dxa"/>
            <w:vAlign w:val="bottom"/>
          </w:tcPr>
          <w:p>
            <w:pPr>
              <w:jc w:val="center"/>
              <w:ind w:left="251"/>
              <w:spacing w:after="0" w:line="131" w:lineRule="exact"/>
              <w:rPr>
                <w:sz w:val="20"/>
                <w:szCs w:val="20"/>
                <w:color w:val="auto"/>
              </w:rPr>
            </w:pPr>
            <w:r>
              <w:rPr>
                <w:rFonts w:ascii="Arial" w:cs="Arial" w:eastAsia="Arial" w:hAnsi="Arial"/>
                <w:sz w:val="14"/>
                <w:szCs w:val="14"/>
                <w:b w:val="1"/>
                <w:bCs w:val="1"/>
                <w:color w:val="auto"/>
                <w:w w:val="99"/>
              </w:rPr>
              <w:t>Plans or Programs</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60" w:type="dxa"/>
            <w:vAlign w:val="bottom"/>
          </w:tcPr>
          <w:p>
            <w:pPr>
              <w:jc w:val="center"/>
              <w:ind w:right="83"/>
              <w:spacing w:after="0" w:line="131" w:lineRule="exact"/>
              <w:rPr>
                <w:sz w:val="20"/>
                <w:szCs w:val="20"/>
                <w:color w:val="auto"/>
              </w:rPr>
            </w:pPr>
            <w:r>
              <w:rPr>
                <w:rFonts w:ascii="Arial" w:cs="Arial" w:eastAsia="Arial" w:hAnsi="Arial"/>
                <w:sz w:val="14"/>
                <w:szCs w:val="14"/>
                <w:b w:val="1"/>
                <w:bCs w:val="1"/>
                <w:color w:val="auto"/>
                <w:w w:val="99"/>
              </w:rPr>
              <w:t>Under the Plans or Programs</w:t>
            </w:r>
          </w:p>
        </w:tc>
        <w:tc>
          <w:tcPr>
            <w:tcW w:w="0" w:type="dxa"/>
            <w:vAlign w:val="bottom"/>
          </w:tcPr>
          <w:p>
            <w:pPr>
              <w:spacing w:after="0"/>
              <w:rPr>
                <w:sz w:val="1"/>
                <w:szCs w:val="1"/>
                <w:color w:val="auto"/>
              </w:rPr>
            </w:pPr>
          </w:p>
        </w:tc>
      </w:tr>
      <w:tr>
        <w:trPr>
          <w:trHeight w:val="191"/>
        </w:trPr>
        <w:tc>
          <w:tcPr>
            <w:tcW w:w="272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jc w:val="center"/>
              <w:ind w:left="171"/>
              <w:spacing w:after="0"/>
              <w:rPr>
                <w:sz w:val="20"/>
                <w:szCs w:val="20"/>
                <w:color w:val="auto"/>
              </w:rPr>
            </w:pPr>
            <w:r>
              <w:rPr>
                <w:rFonts w:ascii="Arial" w:cs="Arial" w:eastAsia="Arial" w:hAnsi="Arial"/>
                <w:sz w:val="14"/>
                <w:szCs w:val="14"/>
                <w:b w:val="1"/>
                <w:bCs w:val="1"/>
                <w:color w:val="auto"/>
                <w:w w:val="99"/>
              </w:rPr>
              <w:t>(in thousands)</w:t>
            </w: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311"/>
              <w:spacing w:after="0"/>
              <w:rPr>
                <w:sz w:val="20"/>
                <w:szCs w:val="20"/>
                <w:color w:val="auto"/>
              </w:rPr>
            </w:pPr>
            <w:r>
              <w:rPr>
                <w:rFonts w:ascii="Arial" w:cs="Arial" w:eastAsia="Arial" w:hAnsi="Arial"/>
                <w:sz w:val="14"/>
                <w:szCs w:val="14"/>
                <w:b w:val="1"/>
                <w:bCs w:val="1"/>
                <w:color w:val="auto"/>
                <w:w w:val="95"/>
              </w:rPr>
              <w:t>per Share</w:t>
            </w: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left="251"/>
              <w:spacing w:after="0"/>
              <w:rPr>
                <w:sz w:val="20"/>
                <w:szCs w:val="20"/>
                <w:color w:val="auto"/>
              </w:rPr>
            </w:pPr>
            <w:r>
              <w:rPr>
                <w:rFonts w:ascii="Arial" w:cs="Arial" w:eastAsia="Arial" w:hAnsi="Arial"/>
                <w:sz w:val="14"/>
                <w:szCs w:val="14"/>
                <w:b w:val="1"/>
                <w:bCs w:val="1"/>
                <w:color w:val="auto"/>
                <w:w w:val="99"/>
              </w:rPr>
              <w:t>(in thousands)</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13"/>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April 2023</w:t>
            </w:r>
          </w:p>
        </w:tc>
        <w:tc>
          <w:tcPr>
            <w:tcW w:w="14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219"/>
        </w:trPr>
        <w:tc>
          <w:tcPr>
            <w:tcW w:w="2720" w:type="dxa"/>
            <w:vAlign w:val="bottom"/>
          </w:tcPr>
          <w:p>
            <w:pPr>
              <w:ind w:left="20"/>
              <w:spacing w:after="0"/>
              <w:rPr>
                <w:sz w:val="20"/>
                <w:szCs w:val="20"/>
                <w:color w:val="auto"/>
              </w:rPr>
            </w:pPr>
            <w:r>
              <w:rPr>
                <w:rFonts w:ascii="Arial" w:cs="Arial" w:eastAsia="Arial" w:hAnsi="Arial"/>
                <w:sz w:val="17"/>
                <w:szCs w:val="17"/>
                <w:color w:val="auto"/>
              </w:rPr>
              <w:t>May 2023</w:t>
            </w:r>
          </w:p>
        </w:tc>
        <w:tc>
          <w:tcPr>
            <w:tcW w:w="1480" w:type="dxa"/>
            <w:vAlign w:val="bottom"/>
          </w:tcPr>
          <w:p>
            <w:pPr>
              <w:spacing w:after="0"/>
              <w:rPr>
                <w:sz w:val="19"/>
                <w:szCs w:val="19"/>
                <w:color w:val="auto"/>
              </w:rPr>
            </w:pPr>
          </w:p>
        </w:tc>
        <w:tc>
          <w:tcPr>
            <w:tcW w:w="1900" w:type="dxa"/>
            <w:vAlign w:val="bottom"/>
            <w:gridSpan w:val="2"/>
          </w:tcPr>
          <w:p>
            <w:pPr>
              <w:spacing w:after="0"/>
              <w:rPr>
                <w:sz w:val="20"/>
                <w:szCs w:val="20"/>
                <w:color w:val="auto"/>
              </w:rPr>
            </w:pPr>
            <w:r>
              <w:rPr>
                <w:rFonts w:ascii="Arial" w:cs="Arial" w:eastAsia="Arial" w:hAnsi="Arial"/>
                <w:sz w:val="17"/>
                <w:szCs w:val="17"/>
                <w:color w:val="auto"/>
              </w:rPr>
              <w:t>—</w:t>
            </w:r>
          </w:p>
        </w:tc>
        <w:tc>
          <w:tcPr>
            <w:tcW w:w="23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320" w:type="dxa"/>
            <w:vAlign w:val="bottom"/>
          </w:tcPr>
          <w:p>
            <w:pPr>
              <w:ind w:left="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232"/>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2023</w:t>
            </w:r>
          </w:p>
        </w:tc>
        <w:tc>
          <w:tcPr>
            <w:tcW w:w="14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219"/>
        </w:trPr>
        <w:tc>
          <w:tcPr>
            <w:tcW w:w="2720" w:type="dxa"/>
            <w:vAlign w:val="bottom"/>
          </w:tcPr>
          <w:p>
            <w:pPr>
              <w:ind w:left="20"/>
              <w:spacing w:after="0"/>
              <w:rPr>
                <w:sz w:val="20"/>
                <w:szCs w:val="20"/>
                <w:color w:val="auto"/>
              </w:rPr>
            </w:pPr>
            <w:r>
              <w:rPr>
                <w:rFonts w:ascii="Arial" w:cs="Arial" w:eastAsia="Arial" w:hAnsi="Arial"/>
                <w:sz w:val="17"/>
                <w:szCs w:val="17"/>
                <w:color w:val="auto"/>
              </w:rPr>
              <w:t>Total</w:t>
            </w:r>
          </w:p>
        </w:tc>
        <w:tc>
          <w:tcPr>
            <w:tcW w:w="14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64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color w:val="auto"/>
        </w:rPr>
        <w:t>During the three months ended June 30, 2023, we did not repurchase any shares under our $5.00 billion share repurchase program authorized in May 2021.</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5. Other Information</w:t>
      </w:r>
    </w:p>
    <w:p>
      <w:pPr>
        <w:spacing w:after="0" w:line="122"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On June 14, 2023, Alonzo Weems, executive vice president, enterprise risk management, and chief ethics and compliance officer, adopted a sales and donation plan (Plan). The Plan was entered into during an open trading window and is intended to satisfy the affirmative defense conditions of Rule 10b5-1(c) of the Exchange Act of 1934 and our policies regarding trading in our securities. The Plan calls for the sale of up to 1,148 shares of company common stock and gifts aggregating up to 760 shares of company common stock to unaffiliated third parties, in each case between September 12, 2023 and December 29, 2023 and subject to the terms and conditions of the Plan.</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51" w:right="37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i w:val="1"/>
          <w:iCs w:val="1"/>
          <w:color w:val="auto"/>
        </w:rPr>
        <w:t>Item 6. Exhibits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documents are filed as a part of this Quarterly Report:</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20" w:type="dxa"/>
            <w:vAlign w:val="bottom"/>
          </w:tcPr>
          <w:p>
            <w:pPr>
              <w:spacing w:after="0"/>
              <w:rPr>
                <w:sz w:val="20"/>
                <w:szCs w:val="20"/>
                <w:color w:val="auto"/>
              </w:rPr>
            </w:pPr>
            <w:r>
              <w:rPr>
                <w:rFonts w:ascii="Arial" w:cs="Arial" w:eastAsia="Arial" w:hAnsi="Arial"/>
                <w:sz w:val="17"/>
                <w:szCs w:val="17"/>
                <w:color w:val="auto"/>
                <w:w w:val="97"/>
              </w:rPr>
              <w:t>Exhibit</w:t>
            </w:r>
          </w:p>
        </w:tc>
        <w:tc>
          <w:tcPr>
            <w:tcW w:w="1340" w:type="dxa"/>
            <w:vAlign w:val="bottom"/>
          </w:tcPr>
          <w:p>
            <w:pPr>
              <w:spacing w:after="0"/>
              <w:rPr>
                <w:sz w:val="16"/>
                <w:szCs w:val="16"/>
                <w:color w:val="auto"/>
              </w:rPr>
            </w:pPr>
          </w:p>
        </w:tc>
        <w:tc>
          <w:tcPr>
            <w:tcW w:w="9260" w:type="dxa"/>
            <w:vAlign w:val="bottom"/>
            <w:gridSpan w:val="8"/>
          </w:tcPr>
          <w:p>
            <w:pPr>
              <w:spacing w:after="0"/>
              <w:rPr>
                <w:sz w:val="20"/>
                <w:szCs w:val="20"/>
                <w:color w:val="auto"/>
              </w:rPr>
            </w:pPr>
            <w:r>
              <w:rPr>
                <w:rFonts w:ascii="Arial" w:cs="Arial" w:eastAsia="Arial" w:hAnsi="Arial"/>
                <w:sz w:val="17"/>
                <w:szCs w:val="17"/>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520" w:type="dxa"/>
            <w:vAlign w:val="bottom"/>
          </w:tcPr>
          <w:p>
            <w:pPr>
              <w:spacing w:after="0"/>
              <w:rPr>
                <w:sz w:val="20"/>
                <w:szCs w:val="20"/>
                <w:color w:val="auto"/>
              </w:rPr>
            </w:pPr>
            <w:r>
              <w:rPr>
                <w:rFonts w:ascii="Arial" w:cs="Arial" w:eastAsia="Arial" w:hAnsi="Arial"/>
                <w:sz w:val="17"/>
                <w:szCs w:val="17"/>
                <w:color w:val="auto"/>
              </w:rPr>
              <w:t>3.1</w:t>
            </w:r>
          </w:p>
        </w:tc>
        <w:tc>
          <w:tcPr>
            <w:tcW w:w="1340" w:type="dxa"/>
            <w:vAlign w:val="bottom"/>
          </w:tcPr>
          <w:p>
            <w:pPr>
              <w:spacing w:after="0"/>
              <w:rPr>
                <w:sz w:val="17"/>
                <w:szCs w:val="17"/>
                <w:color w:val="auto"/>
              </w:rPr>
            </w:pPr>
          </w:p>
        </w:tc>
        <w:tc>
          <w:tcPr>
            <w:tcW w:w="9260" w:type="dxa"/>
            <w:vAlign w:val="bottom"/>
            <w:tcBorders>
              <w:bottom w:val="single" w:sz="8" w:color="0000FF"/>
            </w:tcBorders>
            <w:gridSpan w:val="8"/>
          </w:tcPr>
          <w:p>
            <w:pPr>
              <w:spacing w:after="0"/>
              <w:rPr>
                <w:rFonts w:ascii="Arial" w:cs="Arial" w:eastAsia="Arial" w:hAnsi="Arial"/>
                <w:sz w:val="17"/>
                <w:szCs w:val="17"/>
                <w:color w:val="0000FF"/>
              </w:rPr>
            </w:pPr>
            <w:hyperlink r:id="rId67">
              <w:r>
                <w:rPr>
                  <w:rFonts w:ascii="Arial" w:cs="Arial" w:eastAsia="Arial" w:hAnsi="Arial"/>
                  <w:sz w:val="17"/>
                  <w:szCs w:val="17"/>
                  <w:color w:val="0000FF"/>
                </w:rPr>
                <w:t>Amended Articles of Incorporation, incorporated by reference to Exhibit 3.1 to the Company's Current Report on Form 8-K</w:t>
              </w:r>
            </w:hyperlink>
          </w:p>
        </w:tc>
      </w:tr>
      <w:tr>
        <w:trPr>
          <w:trHeight w:val="161"/>
        </w:trPr>
        <w:tc>
          <w:tcPr>
            <w:tcW w:w="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560" w:type="dxa"/>
            <w:vAlign w:val="bottom"/>
            <w:tcBorders>
              <w:bottom w:val="single" w:sz="8" w:color="0000FF"/>
            </w:tcBorders>
            <w:gridSpan w:val="3"/>
          </w:tcPr>
          <w:p>
            <w:pPr>
              <w:spacing w:after="0" w:line="161" w:lineRule="exact"/>
              <w:rPr>
                <w:rFonts w:ascii="Arial" w:cs="Arial" w:eastAsia="Arial" w:hAnsi="Arial"/>
                <w:sz w:val="17"/>
                <w:szCs w:val="17"/>
                <w:color w:val="0000FF"/>
              </w:rPr>
            </w:pPr>
            <w:hyperlink r:id="rId67">
              <w:r>
                <w:rPr>
                  <w:rFonts w:ascii="Arial" w:cs="Arial" w:eastAsia="Arial" w:hAnsi="Arial"/>
                  <w:sz w:val="17"/>
                  <w:szCs w:val="17"/>
                  <w:color w:val="0000FF"/>
                </w:rPr>
                <w:t>filed on May 4, 2022</w:t>
              </w:r>
            </w:hyperlink>
          </w:p>
        </w:tc>
        <w:tc>
          <w:tcPr>
            <w:tcW w:w="7700" w:type="dxa"/>
            <w:vAlign w:val="bottom"/>
            <w:gridSpan w:val="5"/>
          </w:tcPr>
          <w:p>
            <w:pPr>
              <w:spacing w:after="0"/>
              <w:rPr>
                <w:sz w:val="13"/>
                <w:szCs w:val="13"/>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7"/>
                <w:szCs w:val="17"/>
                <w:color w:val="auto"/>
              </w:rPr>
              <w:t>3.2</w:t>
            </w:r>
          </w:p>
        </w:tc>
        <w:tc>
          <w:tcPr>
            <w:tcW w:w="1340" w:type="dxa"/>
            <w:vAlign w:val="bottom"/>
          </w:tcPr>
          <w:p>
            <w:pPr>
              <w:spacing w:after="0"/>
              <w:rPr>
                <w:sz w:val="24"/>
                <w:szCs w:val="24"/>
                <w:color w:val="auto"/>
              </w:rPr>
            </w:pPr>
          </w:p>
        </w:tc>
        <w:tc>
          <w:tcPr>
            <w:tcW w:w="9260" w:type="dxa"/>
            <w:vAlign w:val="bottom"/>
            <w:gridSpan w:val="8"/>
          </w:tcPr>
          <w:p>
            <w:pPr>
              <w:spacing w:after="0"/>
              <w:rPr>
                <w:rFonts w:ascii="Arial" w:cs="Arial" w:eastAsia="Arial" w:hAnsi="Arial"/>
                <w:sz w:val="17"/>
                <w:szCs w:val="17"/>
                <w:color w:val="0000FF"/>
              </w:rPr>
            </w:pPr>
            <w:hyperlink r:id="rId68">
              <w:r>
                <w:rPr>
                  <w:rFonts w:ascii="Arial" w:cs="Arial" w:eastAsia="Arial" w:hAnsi="Arial"/>
                  <w:sz w:val="17"/>
                  <w:szCs w:val="17"/>
                  <w:color w:val="0000FF"/>
                </w:rPr>
                <w:t>Bylaws, as amended, incorporated by reference to Exhibit 3.2 to the Company's Current Report on Form 8-K filed on May</w:t>
              </w:r>
            </w:hyperlink>
          </w:p>
        </w:tc>
      </w:tr>
      <w:tr>
        <w:trPr>
          <w:trHeight w:val="148"/>
        </w:trPr>
        <w:tc>
          <w:tcPr>
            <w:tcW w:w="5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8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98"/>
              </w:rPr>
            </w:pPr>
            <w:hyperlink r:id="rId68">
              <w:r>
                <w:rPr>
                  <w:rFonts w:ascii="Arial" w:cs="Arial" w:eastAsia="Arial" w:hAnsi="Arial"/>
                  <w:sz w:val="17"/>
                  <w:szCs w:val="17"/>
                  <w:color w:val="0000FF"/>
                  <w:w w:val="98"/>
                </w:rPr>
                <w:t>4, 2022</w:t>
              </w:r>
            </w:hyperlink>
          </w:p>
        </w:tc>
        <w:tc>
          <w:tcPr>
            <w:tcW w:w="28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478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15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7"/>
                <w:szCs w:val="17"/>
                <w:color w:val="auto"/>
              </w:rPr>
              <w:t>31.1</w:t>
            </w:r>
          </w:p>
        </w:tc>
        <w:tc>
          <w:tcPr>
            <w:tcW w:w="1340" w:type="dxa"/>
            <w:vAlign w:val="bottom"/>
          </w:tcPr>
          <w:p>
            <w:pPr>
              <w:spacing w:after="0"/>
              <w:rPr>
                <w:sz w:val="24"/>
                <w:szCs w:val="24"/>
                <w:color w:val="auto"/>
              </w:rPr>
            </w:pPr>
          </w:p>
        </w:tc>
        <w:tc>
          <w:tcPr>
            <w:tcW w:w="9260" w:type="dxa"/>
            <w:vAlign w:val="bottom"/>
            <w:gridSpan w:val="8"/>
          </w:tcPr>
          <w:p>
            <w:pPr>
              <w:spacing w:after="0"/>
              <w:rPr>
                <w:sz w:val="20"/>
                <w:szCs w:val="20"/>
                <w:color w:val="auto"/>
              </w:rPr>
            </w:pPr>
            <w:r>
              <w:rPr>
                <w:rFonts w:ascii="Arial" w:cs="Arial" w:eastAsia="Arial" w:hAnsi="Arial"/>
                <w:sz w:val="17"/>
                <w:szCs w:val="17"/>
                <w:color w:val="0000FF"/>
              </w:rPr>
              <w:t>Rule 13a-14(a) Certification of David Ricks, Chair, President, and Chief Executive Officer*</w:t>
            </w:r>
          </w:p>
        </w:tc>
      </w:tr>
      <w:tr>
        <w:trPr>
          <w:trHeight w:val="20"/>
        </w:trPr>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7"/>
                <w:szCs w:val="17"/>
                <w:color w:val="auto"/>
              </w:rPr>
              <w:t>31.2</w:t>
            </w:r>
          </w:p>
        </w:tc>
        <w:tc>
          <w:tcPr>
            <w:tcW w:w="1340" w:type="dxa"/>
            <w:vAlign w:val="bottom"/>
          </w:tcPr>
          <w:p>
            <w:pPr>
              <w:spacing w:after="0"/>
              <w:rPr>
                <w:sz w:val="24"/>
                <w:szCs w:val="24"/>
                <w:color w:val="auto"/>
              </w:rPr>
            </w:pPr>
          </w:p>
        </w:tc>
        <w:tc>
          <w:tcPr>
            <w:tcW w:w="766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rPr>
              <w:t>Rule 13a-14(a) Certification of Anat Ashkenazi, Executive Vice President and Chief Financial Officer*</w:t>
            </w:r>
          </w:p>
        </w:tc>
        <w:tc>
          <w:tcPr>
            <w:tcW w:w="1600" w:type="dxa"/>
            <w:vAlign w:val="bottom"/>
            <w:gridSpan w:val="2"/>
          </w:tcPr>
          <w:p>
            <w:pPr>
              <w:spacing w:after="0"/>
              <w:rPr>
                <w:sz w:val="24"/>
                <w:szCs w:val="24"/>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7"/>
                <w:szCs w:val="17"/>
                <w:color w:val="auto"/>
              </w:rPr>
              <w:t>32</w:t>
            </w:r>
          </w:p>
        </w:tc>
        <w:tc>
          <w:tcPr>
            <w:tcW w:w="1340" w:type="dxa"/>
            <w:vAlign w:val="bottom"/>
          </w:tcPr>
          <w:p>
            <w:pPr>
              <w:spacing w:after="0"/>
              <w:rPr>
                <w:sz w:val="24"/>
                <w:szCs w:val="24"/>
                <w:color w:val="auto"/>
              </w:rPr>
            </w:pPr>
          </w:p>
        </w:tc>
        <w:tc>
          <w:tcPr>
            <w:tcW w:w="204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rPr>
              <w:t>Section 1350 Certification*</w:t>
            </w:r>
          </w:p>
        </w:tc>
        <w:tc>
          <w:tcPr>
            <w:tcW w:w="7220" w:type="dxa"/>
            <w:vAlign w:val="bottom"/>
            <w:gridSpan w:val="4"/>
          </w:tcPr>
          <w:p>
            <w:pPr>
              <w:spacing w:after="0"/>
              <w:rPr>
                <w:sz w:val="24"/>
                <w:szCs w:val="24"/>
                <w:color w:val="auto"/>
              </w:rPr>
            </w:pPr>
          </w:p>
        </w:tc>
      </w:tr>
      <w:tr>
        <w:trPr>
          <w:trHeight w:val="327"/>
        </w:trPr>
        <w:tc>
          <w:tcPr>
            <w:tcW w:w="520" w:type="dxa"/>
            <w:vAlign w:val="bottom"/>
          </w:tcPr>
          <w:p>
            <w:pPr>
              <w:spacing w:after="0"/>
              <w:rPr>
                <w:sz w:val="20"/>
                <w:szCs w:val="20"/>
                <w:color w:val="auto"/>
              </w:rPr>
            </w:pPr>
            <w:r>
              <w:rPr>
                <w:rFonts w:ascii="Arial" w:cs="Arial" w:eastAsia="Arial" w:hAnsi="Arial"/>
                <w:sz w:val="17"/>
                <w:szCs w:val="17"/>
                <w:color w:val="auto"/>
              </w:rPr>
              <w:t>101</w:t>
            </w:r>
          </w:p>
        </w:tc>
        <w:tc>
          <w:tcPr>
            <w:tcW w:w="1340" w:type="dxa"/>
            <w:vAlign w:val="bottom"/>
          </w:tcPr>
          <w:p>
            <w:pPr>
              <w:spacing w:after="0"/>
              <w:rPr>
                <w:sz w:val="24"/>
                <w:szCs w:val="24"/>
                <w:color w:val="auto"/>
              </w:rPr>
            </w:pPr>
          </w:p>
        </w:tc>
        <w:tc>
          <w:tcPr>
            <w:tcW w:w="9260" w:type="dxa"/>
            <w:vAlign w:val="bottom"/>
            <w:gridSpan w:val="8"/>
          </w:tcPr>
          <w:p>
            <w:pPr>
              <w:spacing w:after="0"/>
              <w:rPr>
                <w:sz w:val="20"/>
                <w:szCs w:val="20"/>
                <w:color w:val="auto"/>
              </w:rPr>
            </w:pPr>
            <w:r>
              <w:rPr>
                <w:rFonts w:ascii="Arial" w:cs="Arial" w:eastAsia="Arial" w:hAnsi="Arial"/>
                <w:sz w:val="17"/>
                <w:szCs w:val="17"/>
                <w:color w:val="auto"/>
              </w:rPr>
              <w:t>Interactive Data Files (embedded within the Inline XBRL document)*</w:t>
            </w:r>
          </w:p>
        </w:tc>
      </w:tr>
      <w:tr>
        <w:trPr>
          <w:trHeight w:val="310"/>
        </w:trPr>
        <w:tc>
          <w:tcPr>
            <w:tcW w:w="520" w:type="dxa"/>
            <w:vAlign w:val="bottom"/>
          </w:tcPr>
          <w:p>
            <w:pPr>
              <w:spacing w:after="0"/>
              <w:rPr>
                <w:sz w:val="20"/>
                <w:szCs w:val="20"/>
                <w:color w:val="auto"/>
              </w:rPr>
            </w:pPr>
            <w:r>
              <w:rPr>
                <w:rFonts w:ascii="Arial" w:cs="Arial" w:eastAsia="Arial" w:hAnsi="Arial"/>
                <w:sz w:val="17"/>
                <w:szCs w:val="17"/>
                <w:color w:val="auto"/>
              </w:rPr>
              <w:t>104</w:t>
            </w:r>
          </w:p>
        </w:tc>
        <w:tc>
          <w:tcPr>
            <w:tcW w:w="1340" w:type="dxa"/>
            <w:vAlign w:val="bottom"/>
          </w:tcPr>
          <w:p>
            <w:pPr>
              <w:spacing w:after="0"/>
              <w:rPr>
                <w:sz w:val="24"/>
                <w:szCs w:val="24"/>
                <w:color w:val="auto"/>
              </w:rPr>
            </w:pPr>
          </w:p>
        </w:tc>
        <w:tc>
          <w:tcPr>
            <w:tcW w:w="9260" w:type="dxa"/>
            <w:vAlign w:val="bottom"/>
            <w:gridSpan w:val="8"/>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r>
        <w:trPr>
          <w:trHeight w:val="184"/>
        </w:trPr>
        <w:tc>
          <w:tcPr>
            <w:tcW w:w="1860" w:type="dxa"/>
            <w:vAlign w:val="bottom"/>
            <w:gridSpan w:val="2"/>
          </w:tcPr>
          <w:p>
            <w:pPr>
              <w:spacing w:after="0"/>
              <w:rPr>
                <w:sz w:val="20"/>
                <w:szCs w:val="20"/>
                <w:color w:val="auto"/>
              </w:rPr>
            </w:pPr>
            <w:r>
              <w:rPr>
                <w:rFonts w:ascii="Arial" w:cs="Arial" w:eastAsia="Arial" w:hAnsi="Arial"/>
                <w:sz w:val="14"/>
                <w:szCs w:val="14"/>
                <w:color w:val="auto"/>
              </w:rPr>
              <w:t>* Filed herewith.</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200" w:lineRule="exact"/>
        <w:rPr>
          <w:sz w:val="20"/>
          <w:szCs w:val="20"/>
          <w:color w:val="auto"/>
        </w:rPr>
      </w:pPr>
    </w:p>
    <w:p>
      <w:pPr>
        <w:spacing w:after="0" w:line="302" w:lineRule="exact"/>
        <w:rPr>
          <w:sz w:val="20"/>
          <w:szCs w:val="20"/>
          <w:color w:val="auto"/>
        </w:rPr>
      </w:pPr>
    </w:p>
    <w:p>
      <w:pPr>
        <w:ind w:right="260"/>
        <w:spacing w:after="0" w:line="280" w:lineRule="auto"/>
        <w:rPr>
          <w:sz w:val="20"/>
          <w:szCs w:val="20"/>
          <w:color w:val="auto"/>
        </w:rPr>
      </w:pPr>
      <w:r>
        <w:rPr>
          <w:rFonts w:ascii="Arial" w:cs="Arial" w:eastAsia="Arial" w:hAnsi="Arial"/>
          <w:sz w:val="17"/>
          <w:szCs w:val="17"/>
          <w:color w:val="auto"/>
        </w:rPr>
        <w:t>Long-term debt instruments under which the total amount of securities authorized does not exceed 10 percent of our consolidated assets are not filed as exhibits to this Quarterly Report. We will furnish a copy of these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76"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8"/>
              </w:rPr>
              <w:t>ELI LILLY AND COMPANY</w:t>
            </w:r>
          </w:p>
        </w:tc>
        <w:tc>
          <w:tcPr>
            <w:tcW w:w="6400" w:type="dxa"/>
            <w:vAlign w:val="bottom"/>
          </w:tcPr>
          <w:p>
            <w:pPr>
              <w:spacing w:after="0"/>
              <w:rPr>
                <w:sz w:val="16"/>
                <w:szCs w:val="16"/>
                <w:color w:val="auto"/>
              </w:rPr>
            </w:pPr>
          </w:p>
        </w:tc>
      </w:tr>
      <w:tr>
        <w:trPr>
          <w:trHeight w:val="249"/>
        </w:trPr>
        <w:tc>
          <w:tcPr>
            <w:tcW w:w="5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40" w:type="dxa"/>
            <w:vAlign w:val="bottom"/>
            <w:gridSpan w:val="2"/>
          </w:tcPr>
          <w:p>
            <w:pPr>
              <w:spacing w:after="0"/>
              <w:rPr>
                <w:sz w:val="20"/>
                <w:szCs w:val="20"/>
                <w:color w:val="auto"/>
              </w:rPr>
            </w:pPr>
            <w:r>
              <w:rPr>
                <w:rFonts w:ascii="Arial" w:cs="Arial" w:eastAsia="Arial" w:hAnsi="Arial"/>
                <w:sz w:val="17"/>
                <w:szCs w:val="17"/>
                <w:color w:val="auto"/>
              </w:rPr>
              <w:t>(Registrant)</w:t>
            </w:r>
          </w:p>
        </w:tc>
      </w:tr>
      <w:tr>
        <w:trPr>
          <w:trHeight w:val="478"/>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2220" w:type="dxa"/>
            <w:vAlign w:val="bottom"/>
          </w:tcPr>
          <w:p>
            <w:pPr>
              <w:ind w:left="140"/>
              <w:spacing w:after="0"/>
              <w:rPr>
                <w:sz w:val="20"/>
                <w:szCs w:val="20"/>
                <w:color w:val="auto"/>
              </w:rPr>
            </w:pPr>
            <w:r>
              <w:rPr>
                <w:rFonts w:ascii="Arial" w:cs="Arial" w:eastAsia="Arial" w:hAnsi="Arial"/>
                <w:sz w:val="17"/>
                <w:szCs w:val="17"/>
                <w:color w:val="auto"/>
              </w:rPr>
              <w:t>August 8, 2023</w:t>
            </w:r>
          </w:p>
        </w:tc>
        <w:tc>
          <w:tcPr>
            <w:tcW w:w="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Anat Ashkenazi</w:t>
            </w:r>
          </w:p>
        </w:tc>
      </w:tr>
      <w:tr>
        <w:trPr>
          <w:trHeight w:val="212"/>
        </w:trPr>
        <w:tc>
          <w:tcPr>
            <w:tcW w:w="5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7"/>
                <w:szCs w:val="17"/>
                <w:color w:val="auto"/>
              </w:rPr>
              <w:t>Anat Ashkenazi</w:t>
            </w:r>
          </w:p>
        </w:tc>
      </w:tr>
      <w:tr>
        <w:trPr>
          <w:trHeight w:val="232"/>
        </w:trPr>
        <w:tc>
          <w:tcPr>
            <w:tcW w:w="5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40" w:type="dxa"/>
            <w:vAlign w:val="bottom"/>
            <w:gridSpan w:val="2"/>
          </w:tcPr>
          <w:p>
            <w:pPr>
              <w:spacing w:after="0"/>
              <w:rPr>
                <w:sz w:val="20"/>
                <w:szCs w:val="20"/>
                <w:color w:val="auto"/>
              </w:rPr>
            </w:pPr>
            <w:r>
              <w:rPr>
                <w:rFonts w:ascii="Arial" w:cs="Arial" w:eastAsia="Arial" w:hAnsi="Arial"/>
                <w:sz w:val="17"/>
                <w:szCs w:val="17"/>
                <w:color w:val="auto"/>
              </w:rPr>
              <w:t>Executive Vice President and Chief Financial Officer</w:t>
            </w:r>
          </w:p>
        </w:tc>
      </w:tr>
      <w:tr>
        <w:trPr>
          <w:trHeight w:val="220"/>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2220" w:type="dxa"/>
            <w:vAlign w:val="bottom"/>
          </w:tcPr>
          <w:p>
            <w:pPr>
              <w:ind w:left="140"/>
              <w:spacing w:after="0"/>
              <w:rPr>
                <w:sz w:val="20"/>
                <w:szCs w:val="20"/>
                <w:color w:val="auto"/>
              </w:rPr>
            </w:pPr>
            <w:r>
              <w:rPr>
                <w:rFonts w:ascii="Arial" w:cs="Arial" w:eastAsia="Arial" w:hAnsi="Arial"/>
                <w:sz w:val="17"/>
                <w:szCs w:val="17"/>
                <w:color w:val="auto"/>
              </w:rPr>
              <w:t>August 8, 2023</w:t>
            </w:r>
          </w:p>
        </w:tc>
        <w:tc>
          <w:tcPr>
            <w:tcW w:w="20" w:type="dxa"/>
            <w:vAlign w:val="bottom"/>
            <w:tcBorders>
              <w:bottom w:val="single" w:sz="8" w:color="auto"/>
            </w:tcBorders>
          </w:tcPr>
          <w:p>
            <w:pPr>
              <w:spacing w:after="0"/>
              <w:rPr>
                <w:sz w:val="19"/>
                <w:szCs w:val="19"/>
                <w:color w:val="auto"/>
              </w:rPr>
            </w:pPr>
          </w:p>
        </w:tc>
        <w:tc>
          <w:tcPr>
            <w:tcW w:w="84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Donald Zakrowski</w:t>
            </w:r>
          </w:p>
        </w:tc>
      </w:tr>
      <w:tr>
        <w:trPr>
          <w:trHeight w:val="212"/>
        </w:trPr>
        <w:tc>
          <w:tcPr>
            <w:tcW w:w="5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7"/>
                <w:szCs w:val="17"/>
                <w:color w:val="auto"/>
              </w:rPr>
              <w:t>Donald Zakrowski</w:t>
            </w:r>
          </w:p>
        </w:tc>
      </w:tr>
      <w:tr>
        <w:trPr>
          <w:trHeight w:val="219"/>
        </w:trPr>
        <w:tc>
          <w:tcPr>
            <w:tcW w:w="5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7"/>
                <w:szCs w:val="17"/>
                <w:color w:val="auto"/>
              </w:rPr>
              <w:t>Senior Vice President, Finance, and Chief Accounting Officer</w:t>
            </w:r>
          </w:p>
        </w:tc>
      </w:tr>
      <w:tr>
        <w:trPr>
          <w:trHeight w:val="826"/>
        </w:trPr>
        <w:tc>
          <w:tcPr>
            <w:tcW w:w="5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460" w:type="dxa"/>
            <w:vAlign w:val="bottom"/>
            <w:gridSpan w:val="3"/>
          </w:tcPr>
          <w:p>
            <w:pPr>
              <w:jc w:val="right"/>
              <w:ind w:right="5520"/>
              <w:spacing w:after="0"/>
              <w:rPr>
                <w:sz w:val="20"/>
                <w:szCs w:val="20"/>
                <w:color w:val="auto"/>
              </w:rPr>
            </w:pPr>
            <w:r>
              <w:rPr>
                <w:rFonts w:ascii="Arial" w:cs="Arial" w:eastAsia="Arial" w:hAnsi="Arial"/>
                <w:sz w:val="17"/>
                <w:szCs w:val="17"/>
                <w:color w:val="auto"/>
              </w:rPr>
              <w:t>50</w:t>
            </w:r>
          </w:p>
        </w:tc>
      </w:tr>
    </w:tbl>
    <w:p>
      <w:pPr>
        <w:sectPr>
          <w:pgSz w:w="11900" w:h="16838" w:orient="portrait"/>
          <w:cols w:equalWidth="0" w:num="1">
            <w:col w:w="11240"/>
          </w:cols>
          <w:pgMar w:left="320" w:top="958"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EXHIBIT 31.1 Rule 13a-14(a) Certification of David Ricks, Chair, President, and Chief Executive Officer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 David Ricks, Chair, President, and Chief Executive Officer, certify that:</w:t>
      </w:r>
    </w:p>
    <w:p>
      <w:pPr>
        <w:spacing w:after="0" w:line="166" w:lineRule="exact"/>
        <w:rPr>
          <w:sz w:val="20"/>
          <w:szCs w:val="20"/>
          <w:color w:val="auto"/>
        </w:rPr>
      </w:pPr>
    </w:p>
    <w:p>
      <w:pPr>
        <w:ind w:left="320" w:hanging="317"/>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report on Form 10-Q of Eli Lilly and Company;</w:t>
      </w:r>
    </w:p>
    <w:p>
      <w:pPr>
        <w:spacing w:after="0" w:line="165" w:lineRule="exact"/>
        <w:rPr>
          <w:rFonts w:ascii="Arial" w:cs="Arial" w:eastAsia="Arial" w:hAnsi="Arial"/>
          <w:sz w:val="17"/>
          <w:szCs w:val="17"/>
          <w:color w:val="auto"/>
        </w:rPr>
      </w:pPr>
    </w:p>
    <w:p>
      <w:pPr>
        <w:jc w:val="both"/>
        <w:ind w:left="320" w:right="80" w:hanging="317"/>
        <w:spacing w:after="0" w:line="267" w:lineRule="auto"/>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7"/>
          <w:szCs w:val="17"/>
          <w:color w:val="auto"/>
        </w:rPr>
      </w:pPr>
    </w:p>
    <w:p>
      <w:pPr>
        <w:ind w:left="320" w:right="200" w:hanging="317"/>
        <w:spacing w:after="0" w:line="280" w:lineRule="auto"/>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Arial" w:cs="Arial" w:eastAsia="Arial" w:hAnsi="Arial"/>
          <w:sz w:val="17"/>
          <w:szCs w:val="17"/>
          <w:color w:val="auto"/>
        </w:rPr>
      </w:pPr>
    </w:p>
    <w:p>
      <w:pPr>
        <w:jc w:val="both"/>
        <w:ind w:left="320" w:right="100" w:hanging="317"/>
        <w:spacing w:after="0" w:line="260" w:lineRule="auto"/>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54" w:lineRule="exact"/>
        <w:rPr>
          <w:rFonts w:ascii="Arial" w:cs="Arial" w:eastAsia="Arial" w:hAnsi="Arial"/>
          <w:sz w:val="17"/>
          <w:szCs w:val="17"/>
          <w:color w:val="auto"/>
        </w:rPr>
      </w:pPr>
    </w:p>
    <w:p>
      <w:pPr>
        <w:ind w:left="940" w:hanging="317"/>
        <w:spacing w:after="0" w:line="267" w:lineRule="auto"/>
        <w:tabs>
          <w:tab w:leader="none" w:pos="9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Arial" w:cs="Arial" w:eastAsia="Arial" w:hAnsi="Arial"/>
          <w:sz w:val="17"/>
          <w:szCs w:val="17"/>
          <w:color w:val="auto"/>
        </w:rPr>
      </w:pPr>
    </w:p>
    <w:p>
      <w:pPr>
        <w:ind w:left="940" w:hanging="317"/>
        <w:spacing w:after="0" w:line="267" w:lineRule="auto"/>
        <w:tabs>
          <w:tab w:leader="none" w:pos="9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7"/>
          <w:szCs w:val="17"/>
          <w:color w:val="auto"/>
        </w:rPr>
      </w:pPr>
    </w:p>
    <w:p>
      <w:pPr>
        <w:ind w:left="940" w:right="240" w:hanging="317"/>
        <w:spacing w:after="0" w:line="267" w:lineRule="auto"/>
        <w:tabs>
          <w:tab w:leader="none" w:pos="9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7"/>
          <w:szCs w:val="17"/>
          <w:color w:val="auto"/>
        </w:rPr>
      </w:pPr>
    </w:p>
    <w:p>
      <w:pPr>
        <w:ind w:left="940" w:right="40" w:hanging="317"/>
        <w:spacing w:after="0" w:line="267" w:lineRule="auto"/>
        <w:tabs>
          <w:tab w:leader="none" w:pos="9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Arial" w:cs="Arial" w:eastAsia="Arial" w:hAnsi="Arial"/>
          <w:sz w:val="17"/>
          <w:szCs w:val="17"/>
          <w:color w:val="auto"/>
        </w:rPr>
      </w:pPr>
    </w:p>
    <w:p>
      <w:pPr>
        <w:ind w:left="320" w:right="140" w:hanging="317"/>
        <w:spacing w:after="0" w:line="280" w:lineRule="auto"/>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7"/>
          <w:szCs w:val="17"/>
          <w:color w:val="auto"/>
        </w:rPr>
      </w:pPr>
    </w:p>
    <w:p>
      <w:pPr>
        <w:ind w:left="940" w:right="420" w:hanging="317"/>
        <w:spacing w:after="0" w:line="280" w:lineRule="auto"/>
        <w:tabs>
          <w:tab w:leader="none" w:pos="9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Arial" w:cs="Arial" w:eastAsia="Arial" w:hAnsi="Arial"/>
          <w:sz w:val="17"/>
          <w:szCs w:val="17"/>
          <w:color w:val="auto"/>
        </w:rPr>
      </w:pPr>
    </w:p>
    <w:p>
      <w:pPr>
        <w:ind w:left="940" w:right="40" w:hanging="317"/>
        <w:spacing w:after="0" w:line="280" w:lineRule="auto"/>
        <w:tabs>
          <w:tab w:leader="none" w:pos="9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7"/>
          <w:szCs w:val="17"/>
          <w:color w:val="auto"/>
        </w:rPr>
        <w:t>Date:</w:t>
        <w:tab/>
        <w:t>August 8, 2023</w:t>
      </w:r>
    </w:p>
    <w:p>
      <w:pPr>
        <w:spacing w:after="0" w:line="282"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David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23495</wp:posOffset>
            </wp:positionV>
            <wp:extent cx="36715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671570" cy="8255"/>
                    </a:xfrm>
                    <a:prstGeom prst="rect">
                      <a:avLst/>
                    </a:prstGeom>
                    <a:noFill/>
                  </pic:spPr>
                </pic:pic>
              </a:graphicData>
            </a:graphic>
          </wp:anchor>
        </w:drawing>
      </w:r>
    </w:p>
    <w:p>
      <w:pPr>
        <w:spacing w:after="0" w:line="3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David Ricks</w:t>
      </w:r>
    </w:p>
    <w:p>
      <w:pPr>
        <w:spacing w:after="0" w:line="24"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Chair, President, and Chief Executive Officer</w:t>
      </w:r>
    </w:p>
    <w:p>
      <w:pPr>
        <w:sectPr>
          <w:pgSz w:w="11900" w:h="16838" w:orient="portrait"/>
          <w:cols w:equalWidth="0" w:num="1">
            <w:col w:w="11220"/>
          </w:cols>
          <w:pgMar w:left="320" w:top="1007" w:right="35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EXHIBIT 31.2 Rule 13a-14(a) Certification of Anat Ashkenazi, Executive Vice President and Chief Financial Officer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 Anat Ashkenazi, Executive Vice President and Chief Financial Officer, certify that:</w:t>
      </w:r>
    </w:p>
    <w:p>
      <w:pPr>
        <w:spacing w:after="0" w:line="166" w:lineRule="exact"/>
        <w:rPr>
          <w:sz w:val="20"/>
          <w:szCs w:val="20"/>
          <w:color w:val="auto"/>
        </w:rPr>
      </w:pPr>
    </w:p>
    <w:p>
      <w:pPr>
        <w:ind w:left="320" w:hanging="317"/>
        <w:spacing w:after="0"/>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have reviewed this report on Form 10-Q of Eli Lilly and Company;</w:t>
      </w:r>
    </w:p>
    <w:p>
      <w:pPr>
        <w:spacing w:after="0" w:line="165" w:lineRule="exact"/>
        <w:rPr>
          <w:rFonts w:ascii="Arial" w:cs="Arial" w:eastAsia="Arial" w:hAnsi="Arial"/>
          <w:sz w:val="17"/>
          <w:szCs w:val="17"/>
          <w:color w:val="auto"/>
        </w:rPr>
      </w:pPr>
    </w:p>
    <w:p>
      <w:pPr>
        <w:jc w:val="both"/>
        <w:ind w:left="320" w:right="80" w:hanging="317"/>
        <w:spacing w:after="0" w:line="267"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7"/>
          <w:szCs w:val="17"/>
          <w:color w:val="auto"/>
        </w:rPr>
      </w:pPr>
    </w:p>
    <w:p>
      <w:pPr>
        <w:ind w:left="320" w:right="200" w:hanging="317"/>
        <w:spacing w:after="0" w:line="280"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Arial" w:cs="Arial" w:eastAsia="Arial" w:hAnsi="Arial"/>
          <w:sz w:val="17"/>
          <w:szCs w:val="17"/>
          <w:color w:val="auto"/>
        </w:rPr>
      </w:pPr>
    </w:p>
    <w:p>
      <w:pPr>
        <w:jc w:val="both"/>
        <w:ind w:left="320" w:right="100" w:hanging="317"/>
        <w:spacing w:after="0" w:line="260"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54" w:lineRule="exact"/>
        <w:rPr>
          <w:rFonts w:ascii="Arial" w:cs="Arial" w:eastAsia="Arial" w:hAnsi="Arial"/>
          <w:sz w:val="17"/>
          <w:szCs w:val="17"/>
          <w:color w:val="auto"/>
        </w:rPr>
      </w:pPr>
    </w:p>
    <w:p>
      <w:pPr>
        <w:ind w:left="940" w:hanging="317"/>
        <w:spacing w:after="0" w:line="267" w:lineRule="auto"/>
        <w:tabs>
          <w:tab w:leader="none" w:pos="9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Arial" w:cs="Arial" w:eastAsia="Arial" w:hAnsi="Arial"/>
          <w:sz w:val="17"/>
          <w:szCs w:val="17"/>
          <w:color w:val="auto"/>
        </w:rPr>
      </w:pPr>
    </w:p>
    <w:p>
      <w:pPr>
        <w:ind w:left="940" w:hanging="317"/>
        <w:spacing w:after="0" w:line="267" w:lineRule="auto"/>
        <w:tabs>
          <w:tab w:leader="none" w:pos="9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7"/>
          <w:szCs w:val="17"/>
          <w:color w:val="auto"/>
        </w:rPr>
      </w:pPr>
    </w:p>
    <w:p>
      <w:pPr>
        <w:ind w:left="940" w:right="240" w:hanging="317"/>
        <w:spacing w:after="0" w:line="267" w:lineRule="auto"/>
        <w:tabs>
          <w:tab w:leader="none" w:pos="9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7"/>
          <w:szCs w:val="17"/>
          <w:color w:val="auto"/>
        </w:rPr>
      </w:pPr>
    </w:p>
    <w:p>
      <w:pPr>
        <w:ind w:left="940" w:right="40" w:hanging="317"/>
        <w:spacing w:after="0" w:line="267" w:lineRule="auto"/>
        <w:tabs>
          <w:tab w:leader="none" w:pos="9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Arial" w:cs="Arial" w:eastAsia="Arial" w:hAnsi="Arial"/>
          <w:sz w:val="17"/>
          <w:szCs w:val="17"/>
          <w:color w:val="auto"/>
        </w:rPr>
      </w:pPr>
    </w:p>
    <w:p>
      <w:pPr>
        <w:ind w:left="320" w:right="140" w:hanging="317"/>
        <w:spacing w:after="0" w:line="280"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7"/>
          <w:szCs w:val="17"/>
          <w:color w:val="auto"/>
        </w:rPr>
      </w:pPr>
    </w:p>
    <w:p>
      <w:pPr>
        <w:ind w:left="940" w:right="420" w:hanging="317"/>
        <w:spacing w:after="0" w:line="280" w:lineRule="auto"/>
        <w:tabs>
          <w:tab w:leader="none" w:pos="9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Arial" w:cs="Arial" w:eastAsia="Arial" w:hAnsi="Arial"/>
          <w:sz w:val="17"/>
          <w:szCs w:val="17"/>
          <w:color w:val="auto"/>
        </w:rPr>
      </w:pPr>
    </w:p>
    <w:p>
      <w:pPr>
        <w:ind w:left="940" w:right="40" w:hanging="317"/>
        <w:spacing w:after="0" w:line="280" w:lineRule="auto"/>
        <w:tabs>
          <w:tab w:leader="none" w:pos="9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7"/>
          <w:szCs w:val="17"/>
          <w:color w:val="auto"/>
        </w:rPr>
        <w:t>Date:</w:t>
        <w:tab/>
        <w:t>August 8, 2023</w:t>
      </w:r>
    </w:p>
    <w:p>
      <w:pPr>
        <w:spacing w:after="0" w:line="282"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Anat Ashkenazi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15240</wp:posOffset>
            </wp:positionV>
            <wp:extent cx="36715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671570" cy="8255"/>
                    </a:xfrm>
                    <a:prstGeom prst="rect">
                      <a:avLst/>
                    </a:prstGeom>
                    <a:noFill/>
                  </pic:spPr>
                </pic:pic>
              </a:graphicData>
            </a:graphic>
          </wp:anchor>
        </w:drawing>
      </w:r>
    </w:p>
    <w:p>
      <w:pPr>
        <w:spacing w:after="0" w:line="17"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Anat Ashkenazi</w:t>
      </w:r>
    </w:p>
    <w:p>
      <w:pPr>
        <w:spacing w:after="0" w:line="37"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Executive Vice President and Chief Financial Officer</w:t>
      </w:r>
    </w:p>
    <w:p>
      <w:pPr>
        <w:sectPr>
          <w:pgSz w:w="11900" w:h="16838" w:orient="portrait"/>
          <w:cols w:equalWidth="0" w:num="1">
            <w:col w:w="11220"/>
          </w:cols>
          <w:pgMar w:left="320" w:top="1098" w:right="35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EXHIBIT 32 Section 1350 Certification</w:t>
      </w:r>
    </w:p>
    <w:p>
      <w:pPr>
        <w:spacing w:after="0" w:line="176"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2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The Quarterly Report on Form 10-Q for the quarter ended June 30, 2023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5040" w:type="dxa"/>
            <w:vAlign w:val="bottom"/>
          </w:tcPr>
          <w:p>
            <w:pPr>
              <w:ind w:left="140"/>
              <w:spacing w:after="0"/>
              <w:rPr>
                <w:sz w:val="20"/>
                <w:szCs w:val="20"/>
                <w:color w:val="auto"/>
              </w:rPr>
            </w:pPr>
            <w:r>
              <w:rPr>
                <w:rFonts w:ascii="Arial" w:cs="Arial" w:eastAsia="Arial" w:hAnsi="Arial"/>
                <w:sz w:val="17"/>
                <w:szCs w:val="17"/>
                <w:color w:val="auto"/>
              </w:rPr>
              <w:t>August 8, 2023</w:t>
            </w:r>
          </w:p>
        </w:tc>
        <w:tc>
          <w:tcPr>
            <w:tcW w:w="560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/s/ David Ricks</w:t>
            </w:r>
          </w:p>
        </w:tc>
      </w:tr>
      <w:tr>
        <w:trPr>
          <w:trHeight w:val="212"/>
        </w:trPr>
        <w:tc>
          <w:tcPr>
            <w:tcW w:w="5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5600" w:type="dxa"/>
            <w:vAlign w:val="bottom"/>
          </w:tcPr>
          <w:p>
            <w:pPr>
              <w:ind w:left="260"/>
              <w:spacing w:after="0"/>
              <w:rPr>
                <w:sz w:val="20"/>
                <w:szCs w:val="20"/>
                <w:color w:val="auto"/>
              </w:rPr>
            </w:pPr>
            <w:r>
              <w:rPr>
                <w:rFonts w:ascii="Arial" w:cs="Arial" w:eastAsia="Arial" w:hAnsi="Arial"/>
                <w:sz w:val="17"/>
                <w:szCs w:val="17"/>
                <w:color w:val="auto"/>
              </w:rPr>
              <w:t>David Ricks</w:t>
            </w:r>
          </w:p>
        </w:tc>
      </w:tr>
      <w:tr>
        <w:trPr>
          <w:trHeight w:val="232"/>
        </w:trPr>
        <w:tc>
          <w:tcPr>
            <w:tcW w:w="5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5600" w:type="dxa"/>
            <w:vAlign w:val="bottom"/>
          </w:tcPr>
          <w:p>
            <w:pPr>
              <w:ind w:left="260"/>
              <w:spacing w:after="0"/>
              <w:rPr>
                <w:sz w:val="20"/>
                <w:szCs w:val="20"/>
                <w:color w:val="auto"/>
              </w:rPr>
            </w:pPr>
            <w:r>
              <w:rPr>
                <w:rFonts w:ascii="Arial" w:cs="Arial" w:eastAsia="Arial" w:hAnsi="Arial"/>
                <w:sz w:val="17"/>
                <w:szCs w:val="17"/>
                <w:color w:val="auto"/>
              </w:rPr>
              <w:t>Chair, President, and Chief Executive Officer</w:t>
            </w:r>
          </w:p>
        </w:tc>
      </w:tr>
      <w:tr>
        <w:trPr>
          <w:trHeight w:val="930"/>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5040" w:type="dxa"/>
            <w:vAlign w:val="bottom"/>
          </w:tcPr>
          <w:p>
            <w:pPr>
              <w:ind w:left="140"/>
              <w:spacing w:after="0"/>
              <w:rPr>
                <w:sz w:val="20"/>
                <w:szCs w:val="20"/>
                <w:color w:val="auto"/>
              </w:rPr>
            </w:pPr>
            <w:r>
              <w:rPr>
                <w:rFonts w:ascii="Arial" w:cs="Arial" w:eastAsia="Arial" w:hAnsi="Arial"/>
                <w:sz w:val="17"/>
                <w:szCs w:val="17"/>
                <w:color w:val="auto"/>
              </w:rPr>
              <w:t>August 8, 2023</w:t>
            </w:r>
          </w:p>
        </w:tc>
        <w:tc>
          <w:tcPr>
            <w:tcW w:w="560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/s/ Anat Ashkenazi</w:t>
            </w:r>
          </w:p>
        </w:tc>
      </w:tr>
      <w:tr>
        <w:trPr>
          <w:trHeight w:val="212"/>
        </w:trPr>
        <w:tc>
          <w:tcPr>
            <w:tcW w:w="5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5600" w:type="dxa"/>
            <w:vAlign w:val="bottom"/>
          </w:tcPr>
          <w:p>
            <w:pPr>
              <w:ind w:left="260"/>
              <w:spacing w:after="0"/>
              <w:rPr>
                <w:sz w:val="20"/>
                <w:szCs w:val="20"/>
                <w:color w:val="auto"/>
              </w:rPr>
            </w:pPr>
            <w:r>
              <w:rPr>
                <w:rFonts w:ascii="Arial" w:cs="Arial" w:eastAsia="Arial" w:hAnsi="Arial"/>
                <w:sz w:val="17"/>
                <w:szCs w:val="17"/>
                <w:color w:val="auto"/>
              </w:rPr>
              <w:t>Anat Ashkenazi</w:t>
            </w:r>
          </w:p>
        </w:tc>
      </w:tr>
      <w:tr>
        <w:trPr>
          <w:trHeight w:val="219"/>
        </w:trPr>
        <w:tc>
          <w:tcPr>
            <w:tcW w:w="5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5600" w:type="dxa"/>
            <w:vAlign w:val="bottom"/>
          </w:tcPr>
          <w:p>
            <w:pPr>
              <w:ind w:left="260"/>
              <w:spacing w:after="0"/>
              <w:rPr>
                <w:sz w:val="20"/>
                <w:szCs w:val="20"/>
                <w:color w:val="auto"/>
              </w:rPr>
            </w:pPr>
            <w:r>
              <w:rPr>
                <w:rFonts w:ascii="Arial" w:cs="Arial" w:eastAsia="Arial" w:hAnsi="Arial"/>
                <w:sz w:val="17"/>
                <w:szCs w:val="17"/>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00"/>
      </w:cols>
      <w:pgMar w:left="320" w:top="100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15" Type="http://schemas.openxmlformats.org/officeDocument/2006/relationships/hyperlink" Target="https://www.sec.gov/Archives/edgar/data/59478/000005947823000082/lly-20221231.htm" TargetMode="External"/><Relationship Id="rId67" Type="http://schemas.openxmlformats.org/officeDocument/2006/relationships/hyperlink" Target="https://www.sec.gov/Archives/edgar/data/59478/000005947822000138/articlesofincorporationlly.htm" TargetMode="External"/><Relationship Id="rId68" Type="http://schemas.openxmlformats.org/officeDocument/2006/relationships/hyperlink" Target="https://www.sec.gov/Archives/edgar/data/59478/000005947822000138/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2023-08-08T12:32:16Z</dcterms:created>
  <dcterms:modified xsi:type="dcterms:W3CDTF">2023-08-08T12:32:16Z</dcterms:modified>
</cp:coreProperties>
</file>