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Tender Offer Statement under Section 14(d)(a) or 13(e)(1)</w:t>
      </w:r>
    </w:p>
    <w:p>
      <w:pPr>
        <w:spacing w:after="0" w:line="4"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4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23"/>
        <w:spacing w:after="0"/>
        <w:rPr>
          <w:sz w:val="20"/>
          <w:szCs w:val="20"/>
          <w:color w:val="auto"/>
        </w:rPr>
      </w:pPr>
      <w:r>
        <w:rPr>
          <w:rFonts w:ascii="Arial" w:cs="Arial" w:eastAsia="Arial" w:hAnsi="Arial"/>
          <w:sz w:val="40"/>
          <w:szCs w:val="40"/>
          <w:b w:val="1"/>
          <w:bCs w:val="1"/>
          <w:color w:val="auto"/>
        </w:rPr>
        <w:t>POINT BIOPHARMA GLOBAL INC.</w:t>
      </w:r>
    </w:p>
    <w:p>
      <w:pPr>
        <w:spacing w:after="0" w:line="35"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YOSEMITE FALLS ACQUISITION CORPORATION</w:t>
      </w:r>
    </w:p>
    <w:p>
      <w:pPr>
        <w:spacing w:after="0" w:line="27"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a wholly-owned subsidiary of</w:t>
      </w:r>
    </w:p>
    <w:p>
      <w:pPr>
        <w:spacing w:after="0" w:line="225"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ELI LILLY AND COMPANY</w:t>
      </w:r>
    </w:p>
    <w:p>
      <w:pPr>
        <w:spacing w:after="0" w:line="8"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(Parent of Offeror)</w:t>
      </w:r>
    </w:p>
    <w:p>
      <w:pPr>
        <w:jc w:val="center"/>
        <w:ind w:right="-143"/>
        <w:spacing w:after="0"/>
        <w:rPr>
          <w:sz w:val="20"/>
          <w:szCs w:val="20"/>
          <w:color w:val="auto"/>
        </w:rPr>
      </w:pPr>
      <w:r>
        <w:rPr>
          <w:rFonts w:ascii="Arial" w:cs="Arial" w:eastAsia="Arial" w:hAnsi="Arial"/>
          <w:sz w:val="14"/>
          <w:szCs w:val="14"/>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730541109</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Anat Hakim</w:t>
      </w:r>
    </w:p>
    <w:p>
      <w:pPr>
        <w:spacing w:after="0" w:line="27"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Telephone: (317) 276-2000</w:t>
      </w:r>
    </w:p>
    <w:p>
      <w:pPr>
        <w:spacing w:after="0" w:line="2"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Sophia Hudson, P.C.</w:t>
      </w:r>
    </w:p>
    <w:p>
      <w:pPr>
        <w:spacing w:after="0" w:line="27"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Asher Qazi</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Telephone: (212)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24" w:hanging="424"/>
        <w:spacing w:after="0" w:line="277"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97" w:lineRule="exact"/>
        <w:rPr>
          <w:sz w:val="24"/>
          <w:szCs w:val="24"/>
          <w:color w:val="auto"/>
        </w:rPr>
      </w:pPr>
    </w:p>
    <w:p>
      <w:pPr>
        <w:ind w:left="424" w:right="6560" w:firstLine="8"/>
        <w:spacing w:after="0" w:line="224" w:lineRule="exact"/>
        <w:tabs>
          <w:tab w:leader="none" w:pos="964"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424" w:right="6420"/>
        <w:spacing w:after="0" w:line="229"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52"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ectPr>
          <w:pgSz w:w="11900" w:h="16838" w:orient="portrait"/>
          <w:cols w:equalWidth="0" w:num="1">
            <w:col w:w="10884"/>
          </w:cols>
          <w:pgMar w:left="436" w:top="517" w:right="579" w:bottom="0" w:gutter="0" w:footer="0" w:header="0"/>
        </w:sectPr>
      </w:pPr>
    </w:p>
    <w:bookmarkStart w:id="1" w:name="page2"/>
    <w:bookmarkEnd w:id="1"/>
    <w:p>
      <w:pPr>
        <w:ind w:left="532" w:hanging="532"/>
        <w:spacing w:after="0"/>
        <w:tabs>
          <w:tab w:leader="none" w:pos="53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192405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234950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91"/>
          </w:cols>
          <w:pgMar w:left="868" w:top="139" w:right="1440" w:bottom="1440" w:gutter="0" w:footer="0" w:header="0"/>
        </w:sectPr>
      </w:pPr>
    </w:p>
    <w:bookmarkStart w:id="2" w:name="page3"/>
    <w:bookmarkEnd w:id="2"/>
    <w:p>
      <w:pPr>
        <w:ind w:right="2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4 to the Tender Offer Statement on Schedule TO (this “Amendment”) amends and supplements the Tender Offer Statement on Schedule TO filed with the Securities and Exchange Commission on October 13, 2023 (as it may be further amended and supplemented from time to time, the “Schedule TO”) and relates to the offer by Yosemite Falls Acquisition Corporation, a Delaware corporation and a wholly-owned subsidiary of Eli Lilly and Company, an Indiana corporation (“Lilly”), to purchase all of the issued and outstanding shares of common stock, par value $0.0001 per share (the “Shares”), of POINT Biopharma Global Inc., a Delaware corporation (“POINT”), at a purchase price of $12.50 per Share, net to the stockholder in cash, without interest and less any applicable tax withholding, upon the terms and subject to the conditions set forth in the Offer to Purchase, dated October 13, 2023, and in the related Letter of Transmittal (which, together with the Offer to Purchase, each as amended or supplemented from time to time, collectively constitute the “Offer”), copies of which are attached to the Schedule TO as Exhibits (a)(1)(A) and (a)(1)(B), respectively.</w:t>
      </w:r>
    </w:p>
    <w:p>
      <w:pPr>
        <w:spacing w:after="0" w:line="16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respective meanings ascribed to them in the Schedule 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Offer to Purchase and Items 1 through 9 and Item 11 of the Schedule TO are hereby amended and supplemented as follows:</w:t>
      </w:r>
    </w:p>
    <w:p>
      <w:pPr>
        <w:spacing w:after="0" w:line="117" w:lineRule="exact"/>
        <w:rPr>
          <w:sz w:val="20"/>
          <w:szCs w:val="20"/>
          <w:color w:val="auto"/>
        </w:rPr>
      </w:pPr>
    </w:p>
    <w:p>
      <w:pPr>
        <w:ind w:left="440" w:right="80"/>
        <w:spacing w:after="0" w:line="296" w:lineRule="auto"/>
        <w:rPr>
          <w:sz w:val="20"/>
          <w:szCs w:val="20"/>
          <w:color w:val="auto"/>
        </w:rPr>
      </w:pPr>
      <w:r>
        <w:rPr>
          <w:rFonts w:ascii="Arial" w:cs="Arial" w:eastAsia="Arial" w:hAnsi="Arial"/>
          <w:sz w:val="16"/>
          <w:szCs w:val="16"/>
          <w:color w:val="auto"/>
        </w:rPr>
        <w:t>“On November 17, 2023, in order for the parties to satisfy the Minimum Tender Condition, Lilly announced an extension of the Expiration Time until 5:00 p.m., Eastern Time, on December 1, 2023, unless the Offer is further extended or earlier terminated. The Offer was previously scheduled to expire at 5:00 p.m., Eastern Time, on November 16, 2023. In case the Offer is extended again, a public announcement of such extension will be made no later than 9:00 a.m., Eastern Time, on the business day after the previously scheduled Expiration Time. The procedures regarding the extension of the Expiration Time are described in Section 1 — “Terms of the Offer” of the Offer to Purchase.</w:t>
      </w:r>
    </w:p>
    <w:p>
      <w:pPr>
        <w:spacing w:after="0" w:line="53" w:lineRule="exact"/>
        <w:rPr>
          <w:sz w:val="20"/>
          <w:szCs w:val="20"/>
          <w:color w:val="auto"/>
        </w:rPr>
      </w:pPr>
    </w:p>
    <w:p>
      <w:pPr>
        <w:jc w:val="both"/>
        <w:ind w:left="440" w:right="200"/>
        <w:spacing w:after="0" w:line="263" w:lineRule="auto"/>
        <w:rPr>
          <w:sz w:val="20"/>
          <w:szCs w:val="20"/>
          <w:color w:val="auto"/>
        </w:rPr>
      </w:pPr>
      <w:r>
        <w:rPr>
          <w:rFonts w:ascii="Arial" w:cs="Arial" w:eastAsia="Arial" w:hAnsi="Arial"/>
          <w:sz w:val="18"/>
          <w:szCs w:val="18"/>
          <w:color w:val="auto"/>
        </w:rPr>
        <w:t>The Depositary has advised Purchaser that, as of 5:00 p.m., Eastern Time, on November 16, 2023, approximately 28,186,065 Shares have been validly tendered and not properly withdrawn pursuant to the Offer, representing approximately 26.45% of the outstanding Shares as of such date and time.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press release announcing the extension of the Offer is attached as Exhibit (a)(5)(D) to the Schedule TO and incorporated herein by reference.”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Offer to Purchase and Exhibits to the Schedule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Offer to Purchase and Items 1 through 9 and Item 11 of the Schedule TO are hereby amended and supplemented as follows:</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All references to “5:00 p.m., Eastern Time, on November 16, 2023” set forth in the Offer to Purchase (Exhibit (a)(1)(A)), Form of Letter of Transmittal (Exhibit (a)(1)(B)), Form of Letter to Brokers, Dealers, Commercial Banks, Trust Companies and Other Nominees (Exhibit (a)(1)(C)) and Form of Letter to Clients for use by Brokers, Dealers, Commercial Banks, Trust Companies and Other Nominees (Exhibit (a)(1)(D)) shall be replaced with “5:00 p.m., Eastern Time, on December 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12.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12 of the Schedule TO is hereby amended and supplemented by adding the following exhibit: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0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(a)(5)(D)</w:t>
            </w:r>
          </w:p>
        </w:tc>
        <w:tc>
          <w:tcPr>
            <w:tcW w:w="700" w:type="dxa"/>
            <w:vAlign w:val="bottom"/>
          </w:tcPr>
          <w:p>
            <w:pPr>
              <w:spacing w:after="0"/>
              <w:rPr>
                <w:sz w:val="23"/>
                <w:szCs w:val="23"/>
                <w:color w:val="auto"/>
              </w:rPr>
            </w:pPr>
          </w:p>
        </w:tc>
        <w:tc>
          <w:tcPr>
            <w:tcW w:w="38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Press Release issued by Lilly on November 17, 2023.</w:t>
            </w:r>
          </w:p>
        </w:tc>
        <w:tc>
          <w:tcPr>
            <w:tcW w:w="5740" w:type="dxa"/>
            <w:vAlign w:val="bottom"/>
          </w:tcPr>
          <w:p>
            <w:pPr>
              <w:spacing w:after="0"/>
              <w:rPr>
                <w:sz w:val="23"/>
                <w:szCs w:val="23"/>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Date: November 17, 2023</w:t>
            </w:r>
          </w:p>
        </w:tc>
        <w:tc>
          <w:tcPr>
            <w:tcW w:w="186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YOSEMITE FALLS ACQUISITION CORPORATION</w:t>
            </w:r>
          </w:p>
        </w:tc>
      </w:tr>
      <w:tr>
        <w:trPr>
          <w:trHeight w:val="432"/>
        </w:trPr>
        <w:tc>
          <w:tcPr>
            <w:tcW w:w="3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L. Johnson</w:t>
            </w:r>
          </w:p>
        </w:tc>
      </w:tr>
      <w:tr>
        <w:trPr>
          <w:trHeight w:val="209"/>
        </w:trPr>
        <w:tc>
          <w:tcPr>
            <w:tcW w:w="3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Philip L. Johnson</w:t>
            </w:r>
          </w:p>
        </w:tc>
      </w:tr>
      <w:tr>
        <w:trPr>
          <w:trHeight w:val="230"/>
        </w:trPr>
        <w:tc>
          <w:tcPr>
            <w:tcW w:w="3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3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ELI LILLY AND COMPANY</w:t>
            </w:r>
          </w:p>
        </w:tc>
      </w:tr>
      <w:tr>
        <w:trPr>
          <w:trHeight w:val="432"/>
        </w:trPr>
        <w:tc>
          <w:tcPr>
            <w:tcW w:w="3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Anat Ashkenazi</w:t>
            </w:r>
          </w:p>
        </w:tc>
      </w:tr>
      <w:tr>
        <w:trPr>
          <w:trHeight w:val="209"/>
        </w:trPr>
        <w:tc>
          <w:tcPr>
            <w:tcW w:w="3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Anat Ashkenazi</w:t>
            </w:r>
          </w:p>
        </w:tc>
      </w:tr>
      <w:tr>
        <w:trPr>
          <w:trHeight w:val="230"/>
        </w:trPr>
        <w:tc>
          <w:tcPr>
            <w:tcW w:w="3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64"/>
        </w:trPr>
        <w:tc>
          <w:tcPr>
            <w:tcW w:w="3660" w:type="dxa"/>
            <w:vAlign w:val="bottom"/>
          </w:tcPr>
          <w:p>
            <w:pPr>
              <w:spacing w:after="0"/>
              <w:rPr>
                <w:sz w:val="24"/>
                <w:szCs w:val="24"/>
                <w:color w:val="auto"/>
              </w:rPr>
            </w:pPr>
          </w:p>
        </w:tc>
        <w:tc>
          <w:tcPr>
            <w:tcW w:w="2420" w:type="dxa"/>
            <w:vAlign w:val="bottom"/>
            <w:gridSpan w:val="2"/>
          </w:tcPr>
          <w:p>
            <w:pPr>
              <w:jc w:val="right"/>
              <w:ind w:right="45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(a)(5)(D)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171450</wp:posOffset>
            </wp:positionV>
            <wp:extent cx="1234440"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8"/>
              </w:rPr>
              <w:t>Nov. 17, 2023</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45"/>
        </w:trPr>
        <w:tc>
          <w:tcPr>
            <w:tcW w:w="1120" w:type="dxa"/>
            <w:vAlign w:val="bottom"/>
          </w:tcPr>
          <w:p>
            <w:pPr>
              <w:spacing w:after="0"/>
              <w:rPr>
                <w:sz w:val="20"/>
                <w:szCs w:val="20"/>
                <w:color w:val="auto"/>
              </w:rPr>
            </w:pPr>
            <w:r>
              <w:rPr>
                <w:rFonts w:ascii="Arial" w:cs="Arial" w:eastAsia="Arial" w:hAnsi="Arial"/>
                <w:sz w:val="18"/>
                <w:szCs w:val="18"/>
                <w:color w:val="auto"/>
              </w:rPr>
              <w:t>For Release:</w:t>
            </w:r>
          </w:p>
        </w:tc>
        <w:tc>
          <w:tcPr>
            <w:tcW w:w="4740" w:type="dxa"/>
            <w:vAlign w:val="bottom"/>
            <w:gridSpan w:val="5"/>
          </w:tcPr>
          <w:p>
            <w:pPr>
              <w:ind w:left="100"/>
              <w:spacing w:after="0"/>
              <w:rPr>
                <w:sz w:val="20"/>
                <w:szCs w:val="20"/>
                <w:color w:val="auto"/>
              </w:rPr>
            </w:pPr>
            <w:r>
              <w:rPr>
                <w:rFonts w:ascii="Arial" w:cs="Arial" w:eastAsia="Arial" w:hAnsi="Arial"/>
                <w:sz w:val="18"/>
                <w:szCs w:val="18"/>
                <w:color w:val="auto"/>
              </w:rPr>
              <w:t>Nov. 17, 2023 @ 6:45 a.m. ET</w:t>
            </w: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rPr>
              <w:t>Refer to:</w:t>
            </w:r>
          </w:p>
        </w:tc>
        <w:tc>
          <w:tcPr>
            <w:tcW w:w="4740" w:type="dxa"/>
            <w:vAlign w:val="bottom"/>
            <w:gridSpan w:val="5"/>
          </w:tcPr>
          <w:p>
            <w:pPr>
              <w:ind w:left="100"/>
              <w:spacing w:after="0" w:line="190" w:lineRule="exact"/>
              <w:rPr>
                <w:sz w:val="20"/>
                <w:szCs w:val="20"/>
                <w:color w:val="auto"/>
              </w:rPr>
            </w:pPr>
            <w:r>
              <w:rPr>
                <w:rFonts w:ascii="Arial" w:cs="Arial" w:eastAsia="Arial" w:hAnsi="Arial"/>
                <w:sz w:val="18"/>
                <w:szCs w:val="18"/>
                <w:color w:val="auto"/>
                <w:w w:val="91"/>
              </w:rPr>
              <w:t>Jordan Bishop; jordan.bishop@lilly.com; 317-473-5712 (Media)</w:t>
            </w: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740" w:type="dxa"/>
            <w:vAlign w:val="bottom"/>
            <w:gridSpan w:val="5"/>
          </w:tcPr>
          <w:p>
            <w:pPr>
              <w:ind w:left="100"/>
              <w:spacing w:after="0" w:line="196" w:lineRule="exact"/>
              <w:rPr>
                <w:sz w:val="20"/>
                <w:szCs w:val="20"/>
                <w:color w:val="auto"/>
              </w:rPr>
            </w:pPr>
            <w:r>
              <w:rPr>
                <w:rFonts w:ascii="Arial" w:cs="Arial" w:eastAsia="Arial" w:hAnsi="Arial"/>
                <w:sz w:val="18"/>
                <w:szCs w:val="18"/>
                <w:color w:val="auto"/>
                <w:w w:val="99"/>
              </w:rPr>
              <w:t>Joe Fletcher; jfletcher@lilly.com; 317-296-2884 (Investors)</w:t>
            </w: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Lilly Extends Tender Offer to Acquire POINT Biopharma to Dec. 1, 2023</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INDIANAPOLIS, Nov. 17, 2023 – Eli Lilly and Company (NYSE: LLY) today announced the extension of the expiration of the tender offer to acquire all of the issued and outstanding shares (“Shares”) of common stock of POINT Biopharma Global Inc. (NASDAQ: PNT), for a purchase price of $12.50 per share in cash, without interest and less any applicable tax withholding.</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tender offer, which was previously scheduled to expire at 5:00 p.m., Eastern time, on Nov. 16, 2023, has been extended until 5:00 p.m., Eastern time, on Dec. 1, 2023, unless the tender offer is further extended or earlier terminated, in order for the parties to satisfy the minimum tender condition. All regulatory approvals necessary for the consummation of the transaction have been obtained.</w:t>
      </w:r>
    </w:p>
    <w:p>
      <w:pPr>
        <w:spacing w:after="0" w:line="184"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Computershare Trust Company, N.A., the depositary and paying agent for the tender offer, has advised Lilly that, as of 5:00 p.m., Eastern time, on Nov. 16, 2023, approximately 28,186,065 Shares have been validly tendered and not properly withdrawn in the tender offer, representing approximately</w:t>
      </w:r>
    </w:p>
    <w:p>
      <w:pPr>
        <w:jc w:val="both"/>
        <w:ind w:right="120"/>
        <w:spacing w:after="0" w:line="302" w:lineRule="auto"/>
        <w:rPr>
          <w:sz w:val="20"/>
          <w:szCs w:val="20"/>
          <w:color w:val="auto"/>
        </w:rPr>
      </w:pPr>
      <w:r>
        <w:rPr>
          <w:rFonts w:ascii="Arial" w:cs="Arial" w:eastAsia="Arial" w:hAnsi="Arial"/>
          <w:sz w:val="16"/>
          <w:szCs w:val="16"/>
          <w:color w:val="auto"/>
        </w:rPr>
        <w:t xml:space="preserve">26.45% of the issued and outstanding Shares, as of such date and time. Holders that have previously tendered their Shares do not need to re-tender their Shares or take any other action in response to the extension of the tender offer. Questions or requests for assistance may be directed to Georgeson LLC, the information agent for the tender offer, by calling toll free 1-800-932-9864 or via email to </w:t>
      </w:r>
      <w:r>
        <w:rPr>
          <w:rFonts w:ascii="Arial" w:cs="Arial" w:eastAsia="Arial" w:hAnsi="Arial"/>
          <w:sz w:val="16"/>
          <w:szCs w:val="16"/>
          <w:u w:val="single" w:color="auto"/>
          <w:color w:val="auto"/>
        </w:rPr>
        <w:t>Pointbiopharma@georgeson.com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124460</wp:posOffset>
            </wp:positionV>
            <wp:extent cx="439737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97375" cy="17970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Lilly</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Lilly unites caring with discovery to create medicines that make life better for people around the world. We’ve been pioneering life-changing discoveries for nearly 150 years, and today our medicines help more than 51 million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To learn more, visit </w:t>
      </w:r>
      <w:r>
        <w:rPr>
          <w:rFonts w:ascii="Arial" w:cs="Arial" w:eastAsia="Arial" w:hAnsi="Arial"/>
          <w:sz w:val="17"/>
          <w:szCs w:val="17"/>
          <w:u w:val="single" w:color="auto"/>
          <w:color w:val="auto"/>
        </w:rPr>
        <w:t>Lilly.com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Lilly.com/news</w:t>
      </w:r>
      <w:r>
        <w:rPr>
          <w:rFonts w:ascii="Arial" w:cs="Arial" w:eastAsia="Arial" w:hAnsi="Arial"/>
          <w:sz w:val="17"/>
          <w:szCs w:val="17"/>
          <w:color w:val="auto"/>
        </w:rPr>
        <w:t xml:space="preserve"> or follow us on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Instagram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C-LLY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regarding Lilly’s proposed acquisition of POINT and the anticipated occurrence, manner and timing of the proposed tender offer and the closing of the proposed acquisition. All statements other than statements of historical fact are statements that could be deemed forward-looking statements. Forward-looking statements reflect current beliefs and expectations; however, these statements involve inherent risks and uncertainties, including with respect to consummating the proposed acquisition and any competing offers or acquisition proposals for POINT, drug research, development and commercialization, Lilly’s evaluation of the accounting treatment of the potential acquisition and its potential impact on its financial results and financial guidance, uncertainties as to how many of POINT’s stockholders will tender their stock in the tender offer, the effects of the proposed acquisition (or the announcement thereof) on POINT’s stock price, relationships with key third parties or governmental entities, transaction costs, risks that the proposed acquisition disrupts current plans and operations or adversely affects employee retention, potentially diverting management’s attention from POINT’s ongoing business operations, changes in POINT’s business during the period between announcement and closing of the proposed acquisition, and any legal proceedings that have been or may be instituted related to the proposed acquisition. Actual results could differ materially due to various factors, risks and uncertainties. Among other things, there can be no guarantee that the proposed acquisition will be completed in the anticipated timeframe or at all, that the conditions required to complete the proposed acquisition will be met, that any event, change or other circumstance that could give rise to the termination of the definitive agreement for the proposed acquisition will not occur, that Lilly will realize the expected benefits of the proposed acquisition, that product candidates will be approved on anticipated timelines or at all, that any products, if approved, will be commercially successful, that Lilly’s financial results will be consistent with its expected 2023 guidance or that Lilly can reliably predict the impact of the proposed acquisition on its financial results or financial guidance. For further discussion of these and other risks and uncertainties, see Lilly’s and POINT’s most recent Form 10-K and Form 10-Q filings with the United States Securities and Exchange Commission (the “SEC”). Except as required by law, neither Lilly nor POINT undertakes any duty to update forward-looking statements to reflect events after the date of this press release.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Acquisition and Where to Find It</w:t>
      </w:r>
    </w:p>
    <w:p>
      <w:pPr>
        <w:spacing w:after="0" w:line="121" w:lineRule="exact"/>
        <w:rPr>
          <w:sz w:val="20"/>
          <w:szCs w:val="20"/>
          <w:color w:val="auto"/>
        </w:rPr>
      </w:pPr>
    </w:p>
    <w:p>
      <w:pPr>
        <w:ind w:right="500"/>
        <w:spacing w:after="0" w:line="287" w:lineRule="auto"/>
        <w:rPr>
          <w:sz w:val="20"/>
          <w:szCs w:val="20"/>
          <w:color w:val="auto"/>
        </w:rPr>
      </w:pPr>
      <w:r>
        <w:rPr>
          <w:rFonts w:ascii="Arial" w:cs="Arial" w:eastAsia="Arial" w:hAnsi="Arial"/>
          <w:sz w:val="16"/>
          <w:szCs w:val="16"/>
          <w:color w:val="auto"/>
        </w:rPr>
        <w:t>In connection with the proposed acquisition of POINT, Lilly caused its acquisition subsidiary to commence a tender offer for all of the issued and outstanding shares of common stock of POINT. This communication is for informational purposes only and is neither an offer to purchase nor a solicitation of an offer to sell any securities, nor is it a substitute for the tender offer materials that Lilly and its acquisition subsidiary filed with</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SEC upon commencement of the tender offer. A solicitation and offer to buy outstanding shares of POINT is being made only pursuant to the tender offer materials that Lilly and its acquisition subsidiary have filed with the SEC. Lilly and its acquisition subsidiary have filed with the SEC a tender offer statement on Schedule TO, and POINT has filed a Solicitation/Recommendation Statement on Schedule 14D-9 with the SEC with respect to the tender offer. THE TENDER OFFER MATERIALS (INCLUDING AN OFFER TO PURCHASE, A RELATED LETTER OF TRANSMITTAL AND CERTAIN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TENDER OFFER DOCUMENTS) AND THE SOLICITATION/RECOMMENDATION STATEMENT CONTAIN IMPORTANT INFORMATION ABOUT THE PROPOSED TRANSACTION AND THE PARTIES THERETO. INVESTORS AND STOCKHOLDERS OF POINT ARE URGED TO READ THESE DOCUMENTS CAREFULLY (AS EACH MAY BE AMENDED OR SUPPLEMENTED FROM TIME TO TIME) BECAUSE THEY CONTAIN IMPORTANT INFORMATION THAT INVESTORS AND STOCKHOLDERS OF POINT SHOULD CONSIDER BEFORE MAKING ANY DECISION REGARDING TENDERING THEIR SHARES OF COMMON STOCK IN THE TENDER OFFER. The tender offer materials (including the Offer to Purchase and the related Letter of Transmittal) are available to all stockholders of POINT at no expense to them at Lilly’s website at investor.lilly.com. The information contained in, or that can be accessed through, Lilly’s website is not a part of, or incorporated by reference in, this press release. The tender offer materials (including the Offer to Purchase and the related Letter of Transmittal), as well as the Solicitation/Recommendation Statement, are also available for free on the SEC’s website at www.sec.gov. In addition to the Offer to Purchase, the related Letter of Transmittal and certain other tender offer documents, as well as the Solicitation/Recommendation Statement, Lilly and POINT file annual, quarterly, and current reports, proxy statements and other information with the SEC. You may read any reports, statements or other information filed by Lilly and POINT with the SEC for free on the SEC’s website at www.sec.gov.</w:t>
      </w:r>
    </w:p>
    <w:p>
      <w:pPr>
        <w:spacing w:after="0" w:line="179" w:lineRule="exact"/>
        <w:rPr>
          <w:sz w:val="20"/>
          <w:szCs w:val="20"/>
          <w:color w:val="auto"/>
        </w:rPr>
      </w:pPr>
    </w:p>
    <w:p>
      <w:pPr>
        <w:jc w:val="center"/>
        <w:ind w:right="-19"/>
        <w:spacing w:after="0"/>
        <w:tabs>
          <w:tab w:leader="none" w:pos="200" w:val="left"/>
          <w:tab w:leader="none" w:pos="2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2023-11-17T05:56:01Z</dcterms:created>
  <dcterms:modified xsi:type="dcterms:W3CDTF">2023-11-17T05:56:01Z</dcterms:modified>
</cp:coreProperties>
</file>