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637540</wp:posOffset>
            </wp:positionV>
            <wp:extent cx="72466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17145"/>
                    </a:xfrm>
                    <a:prstGeom prst="rect">
                      <a:avLst/>
                    </a:prstGeom>
                    <a:noFill/>
                  </pic:spPr>
                </pic:pic>
              </a:graphicData>
            </a:graphic>
          </wp:anchor>
        </w:drawing>
        <w:t>SECURITIES AND EXCHANGE COMMISSION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-170815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12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189"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Quarterly Report Under Section 13 or 15(d) of the</w:t>
      </w:r>
    </w:p>
    <w:p>
      <w:pPr>
        <w:spacing w:after="0" w:line="30"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Securities Exchange Act of 1934</w:t>
      </w:r>
    </w:p>
    <w:p>
      <w:pPr>
        <w:spacing w:after="0" w:line="13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 ENDED MARCH 31, 2018</w:t>
      </w:r>
    </w:p>
    <w:p>
      <w:pPr>
        <w:spacing w:after="0" w:line="17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001-6351</w:t>
      </w:r>
    </w:p>
    <w:p>
      <w:pPr>
        <w:spacing w:after="0" w:line="154"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ELI LILLY AND COMPANY</w:t>
      </w:r>
    </w:p>
    <w:p>
      <w:pPr>
        <w:spacing w:after="0" w:line="58"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171" w:lineRule="exact"/>
        <w:rPr>
          <w:sz w:val="24"/>
          <w:szCs w:val="24"/>
          <w:color w:val="auto"/>
        </w:rPr>
      </w:pPr>
    </w:p>
    <w:tbl>
      <w:tblPr>
        <w:tblLayout w:type="fixed"/>
        <w:tblInd w:w="1640" w:type="dxa"/>
        <w:tblCellMar>
          <w:top w:w="0" w:type="dxa"/>
          <w:left w:w="0" w:type="dxa"/>
          <w:bottom w:w="0" w:type="dxa"/>
          <w:right w:w="0" w:type="dxa"/>
        </w:tblCellMar>
      </w:tblPr>
      <w:tr>
        <w:trPr>
          <w:trHeight w:val="217"/>
        </w:trPr>
        <w:tc>
          <w:tcPr>
            <w:tcW w:w="4360" w:type="dxa"/>
            <w:vAlign w:val="bottom"/>
          </w:tcPr>
          <w:p>
            <w:pPr>
              <w:jc w:val="center"/>
              <w:ind w:right="1930"/>
              <w:spacing w:after="0"/>
              <w:rPr>
                <w:sz w:val="20"/>
                <w:szCs w:val="20"/>
                <w:color w:val="auto"/>
              </w:rPr>
            </w:pPr>
            <w:r>
              <w:rPr>
                <w:rFonts w:ascii="Arial" w:cs="Arial" w:eastAsia="Arial" w:hAnsi="Arial"/>
                <w:sz w:val="18"/>
                <w:szCs w:val="18"/>
                <w:color w:val="auto"/>
              </w:rPr>
              <w:t>INDIANA</w:t>
            </w:r>
          </w:p>
        </w:tc>
        <w:tc>
          <w:tcPr>
            <w:tcW w:w="3440" w:type="dxa"/>
            <w:vAlign w:val="bottom"/>
          </w:tcPr>
          <w:p>
            <w:pPr>
              <w:jc w:val="center"/>
              <w:ind w:left="1950"/>
              <w:spacing w:after="0"/>
              <w:rPr>
                <w:sz w:val="20"/>
                <w:szCs w:val="20"/>
                <w:color w:val="auto"/>
              </w:rPr>
            </w:pPr>
            <w:r>
              <w:rPr>
                <w:rFonts w:ascii="Arial" w:cs="Arial" w:eastAsia="Arial" w:hAnsi="Arial"/>
                <w:sz w:val="18"/>
                <w:szCs w:val="18"/>
                <w:color w:val="auto"/>
                <w:w w:val="99"/>
              </w:rPr>
              <w:t>35-0470950</w:t>
            </w:r>
          </w:p>
        </w:tc>
      </w:tr>
      <w:tr>
        <w:trPr>
          <w:trHeight w:val="257"/>
        </w:trPr>
        <w:tc>
          <w:tcPr>
            <w:tcW w:w="4360" w:type="dxa"/>
            <w:vAlign w:val="bottom"/>
          </w:tcPr>
          <w:p>
            <w:pPr>
              <w:jc w:val="center"/>
              <w:ind w:right="1930"/>
              <w:spacing w:after="0"/>
              <w:rPr>
                <w:sz w:val="20"/>
                <w:szCs w:val="20"/>
                <w:color w:val="auto"/>
              </w:rPr>
            </w:pPr>
            <w:r>
              <w:rPr>
                <w:rFonts w:ascii="Arial" w:cs="Arial" w:eastAsia="Arial" w:hAnsi="Arial"/>
                <w:sz w:val="18"/>
                <w:szCs w:val="18"/>
                <w:color w:val="auto"/>
              </w:rPr>
              <w:t>(State or other jurisdiction of</w:t>
            </w:r>
          </w:p>
        </w:tc>
        <w:tc>
          <w:tcPr>
            <w:tcW w:w="3440" w:type="dxa"/>
            <w:vAlign w:val="bottom"/>
          </w:tcPr>
          <w:p>
            <w:pPr>
              <w:jc w:val="center"/>
              <w:ind w:left="1950"/>
              <w:spacing w:after="0"/>
              <w:rPr>
                <w:sz w:val="20"/>
                <w:szCs w:val="20"/>
                <w:color w:val="auto"/>
              </w:rPr>
            </w:pPr>
            <w:r>
              <w:rPr>
                <w:rFonts w:ascii="Arial" w:cs="Arial" w:eastAsia="Arial" w:hAnsi="Arial"/>
                <w:sz w:val="18"/>
                <w:szCs w:val="18"/>
                <w:color w:val="auto"/>
                <w:w w:val="99"/>
              </w:rPr>
              <w:t>(I.R.S. Employer</w:t>
            </w:r>
          </w:p>
        </w:tc>
      </w:tr>
      <w:tr>
        <w:trPr>
          <w:trHeight w:val="257"/>
        </w:trPr>
        <w:tc>
          <w:tcPr>
            <w:tcW w:w="4360" w:type="dxa"/>
            <w:vAlign w:val="bottom"/>
          </w:tcPr>
          <w:p>
            <w:pPr>
              <w:jc w:val="center"/>
              <w:ind w:right="1930"/>
              <w:spacing w:after="0"/>
              <w:rPr>
                <w:sz w:val="20"/>
                <w:szCs w:val="20"/>
                <w:color w:val="auto"/>
              </w:rPr>
            </w:pPr>
            <w:r>
              <w:rPr>
                <w:rFonts w:ascii="Arial" w:cs="Arial" w:eastAsia="Arial" w:hAnsi="Arial"/>
                <w:sz w:val="18"/>
                <w:szCs w:val="18"/>
                <w:color w:val="auto"/>
                <w:w w:val="99"/>
              </w:rPr>
              <w:t>incorporation or organization)</w:t>
            </w:r>
          </w:p>
        </w:tc>
        <w:tc>
          <w:tcPr>
            <w:tcW w:w="3440" w:type="dxa"/>
            <w:vAlign w:val="bottom"/>
          </w:tcPr>
          <w:p>
            <w:pPr>
              <w:jc w:val="center"/>
              <w:ind w:left="1950"/>
              <w:spacing w:after="0"/>
              <w:rPr>
                <w:sz w:val="20"/>
                <w:szCs w:val="20"/>
                <w:color w:val="auto"/>
              </w:rPr>
            </w:pPr>
            <w:r>
              <w:rPr>
                <w:rFonts w:ascii="Arial" w:cs="Arial" w:eastAsia="Arial" w:hAnsi="Arial"/>
                <w:sz w:val="18"/>
                <w:szCs w:val="18"/>
                <w:color w:val="auto"/>
                <w:w w:val="99"/>
              </w:rPr>
              <w:t>Identification No.)</w:t>
            </w:r>
          </w:p>
        </w:tc>
      </w:tr>
    </w:tbl>
    <w:p>
      <w:pPr>
        <w:spacing w:after="0" w:line="17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LILLY CORPORATE CENTER, INDIANAPOLIS, INDIANA 46285</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(Address of principal executive offices)</w:t>
      </w:r>
    </w:p>
    <w:p>
      <w:pPr>
        <w:spacing w:after="0" w:line="171" w:lineRule="exact"/>
        <w:rPr>
          <w:sz w:val="24"/>
          <w:szCs w:val="24"/>
          <w:color w:val="auto"/>
        </w:rPr>
      </w:pPr>
    </w:p>
    <w:p>
      <w:pPr>
        <w:spacing w:after="0"/>
        <w:rPr>
          <w:sz w:val="20"/>
          <w:szCs w:val="20"/>
          <w:color w:val="auto"/>
        </w:rPr>
      </w:pPr>
      <w:r>
        <w:rPr>
          <w:rFonts w:ascii="Arial" w:cs="Arial" w:eastAsia="Arial" w:hAnsi="Arial"/>
          <w:sz w:val="18"/>
          <w:szCs w:val="18"/>
          <w:color w:val="auto"/>
        </w:rPr>
        <w:t>Registrant’s telephone number, including area code (317) 276-2000</w:t>
      </w:r>
    </w:p>
    <w:p>
      <w:pPr>
        <w:spacing w:after="0" w:line="90" w:lineRule="exact"/>
        <w:rPr>
          <w:sz w:val="24"/>
          <w:szCs w:val="24"/>
          <w:color w:val="auto"/>
        </w:rPr>
      </w:pPr>
    </w:p>
    <w:p>
      <w:pPr>
        <w:ind w:right="20"/>
        <w:spacing w:after="0" w:line="262"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and (2) has been subject to such filing requirements for the past 90 days.</w:t>
      </w:r>
    </w:p>
    <w:p>
      <w:pPr>
        <w:spacing w:after="0" w:line="96"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217" w:lineRule="exact"/>
        <w:rPr>
          <w:sz w:val="24"/>
          <w:szCs w:val="24"/>
          <w:color w:val="auto"/>
        </w:rPr>
      </w:pPr>
    </w:p>
    <w:p>
      <w:pPr>
        <w:ind w:right="60"/>
        <w:spacing w:after="0" w:line="256"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w:t>
      </w:r>
    </w:p>
    <w:p>
      <w:pPr>
        <w:spacing w:after="0" w:line="102"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217" w:lineRule="exact"/>
        <w:rPr>
          <w:sz w:val="24"/>
          <w:szCs w:val="24"/>
          <w:color w:val="auto"/>
        </w:rPr>
      </w:pPr>
    </w:p>
    <w:p>
      <w:pPr>
        <w:jc w:val="both"/>
        <w:ind w:right="280"/>
        <w:spacing w:after="0" w:line="256"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or a smaller reporting company. See the definitions of a “large accelerated filer,” “accelerated filer” and “smaller reporting company” in Rule 12b-2 of the Exchange Act. (Check one):</w:t>
      </w:r>
    </w:p>
    <w:p>
      <w:pPr>
        <w:sectPr>
          <w:pgSz w:w="11900" w:h="16838" w:orient="portrait"/>
          <w:cols w:equalWidth="0" w:num="1">
            <w:col w:w="11420"/>
          </w:cols>
          <w:pgMar w:left="240" w:top="1135" w:right="239" w:bottom="1440" w:gutter="0" w:footer="0" w:header="0"/>
        </w:sectPr>
      </w:pPr>
    </w:p>
    <w:p>
      <w:pPr>
        <w:spacing w:after="0" w:line="102" w:lineRule="exact"/>
        <w:rPr>
          <w:sz w:val="24"/>
          <w:szCs w:val="24"/>
          <w:color w:val="auto"/>
        </w:rPr>
      </w:pPr>
    </w:p>
    <w:p>
      <w:pPr>
        <w:ind w:left="700"/>
        <w:spacing w:after="0" w:line="196" w:lineRule="exact"/>
        <w:rPr>
          <w:sz w:val="20"/>
          <w:szCs w:val="20"/>
          <w:color w:val="auto"/>
        </w:rPr>
      </w:pPr>
      <w:r>
        <w:rPr>
          <w:rFonts w:ascii="Arial" w:cs="Arial" w:eastAsia="Arial" w:hAnsi="Arial"/>
          <w:sz w:val="17"/>
          <w:szCs w:val="17"/>
          <w:color w:val="auto"/>
        </w:rPr>
        <w:t xml:space="preserve">Large accelerated filer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br w:type="column"/>
      </w:r>
    </w:p>
    <w:p>
      <w:pPr>
        <w:spacing w:after="0" w:line="114" w:lineRule="exact"/>
        <w:rPr>
          <w:sz w:val="24"/>
          <w:szCs w:val="24"/>
          <w:color w:val="auto"/>
        </w:rPr>
      </w:pPr>
    </w:p>
    <w:p>
      <w:pPr>
        <w:spacing w:after="0"/>
        <w:rPr>
          <w:sz w:val="20"/>
          <w:szCs w:val="20"/>
          <w:color w:val="auto"/>
        </w:rPr>
      </w:pPr>
      <w:r>
        <w:rPr>
          <w:rFonts w:ascii="Arial" w:cs="Arial" w:eastAsia="Arial" w:hAnsi="Arial"/>
          <w:sz w:val="17"/>
          <w:szCs w:val="17"/>
          <w:color w:val="auto"/>
        </w:rPr>
        <w:t>Accelerated filer o</w:t>
      </w:r>
    </w:p>
    <w:p>
      <w:pPr>
        <w:spacing w:after="0" w:line="75" w:lineRule="exact"/>
        <w:rPr>
          <w:sz w:val="24"/>
          <w:szCs w:val="24"/>
          <w:color w:val="auto"/>
        </w:rPr>
      </w:pPr>
    </w:p>
    <w:p>
      <w:pPr>
        <w:sectPr>
          <w:pgSz w:w="11900" w:h="16838" w:orient="portrait"/>
          <w:cols w:equalWidth="0" w:num="2">
            <w:col w:w="9240" w:space="720"/>
            <w:col w:w="1460"/>
          </w:cols>
          <w:pgMar w:left="240" w:top="1135" w:right="239" w:bottom="1440" w:gutter="0" w:footer="0" w:header="0"/>
          <w:type w:val="continuous"/>
        </w:sectPr>
      </w:pPr>
    </w:p>
    <w:p>
      <w:pPr>
        <w:ind w:left="900"/>
        <w:spacing w:after="0"/>
        <w:rPr>
          <w:sz w:val="20"/>
          <w:szCs w:val="20"/>
          <w:color w:val="auto"/>
        </w:rPr>
      </w:pPr>
      <w:r>
        <w:rPr>
          <w:rFonts w:ascii="Arial" w:cs="Arial" w:eastAsia="Arial" w:hAnsi="Arial"/>
          <w:sz w:val="17"/>
          <w:szCs w:val="17"/>
          <w:color w:val="auto"/>
        </w:rPr>
        <w:t>Non-accelerated filer o</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spacing w:after="0"/>
        <w:rPr>
          <w:sz w:val="20"/>
          <w:szCs w:val="20"/>
          <w:color w:val="auto"/>
        </w:rPr>
      </w:pPr>
      <w:r>
        <w:rPr>
          <w:rFonts w:ascii="Arial" w:cs="Arial" w:eastAsia="Arial" w:hAnsi="Arial"/>
          <w:sz w:val="18"/>
          <w:szCs w:val="18"/>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7"/>
          <w:szCs w:val="17"/>
          <w:color w:val="auto"/>
        </w:rPr>
        <w:t>Smaller reporting company o</w:t>
      </w:r>
    </w:p>
    <w:p>
      <w:pPr>
        <w:spacing w:after="0" w:line="74" w:lineRule="exact"/>
        <w:rPr>
          <w:sz w:val="24"/>
          <w:szCs w:val="24"/>
          <w:color w:val="auto"/>
        </w:rPr>
      </w:pPr>
    </w:p>
    <w:p>
      <w:pPr>
        <w:sectPr>
          <w:pgSz w:w="11900" w:h="16838" w:orient="portrait"/>
          <w:cols w:equalWidth="0" w:num="3">
            <w:col w:w="2700" w:space="180"/>
            <w:col w:w="5500" w:space="720"/>
            <w:col w:w="2320"/>
          </w:cols>
          <w:pgMar w:left="240" w:top="1135" w:right="239" w:bottom="1440" w:gutter="0" w:footer="0" w:header="0"/>
          <w:type w:val="continuous"/>
        </w:sectPr>
      </w:pPr>
    </w:p>
    <w:p>
      <w:pPr>
        <w:ind w:left="9120"/>
        <w:spacing w:after="0"/>
        <w:rPr>
          <w:sz w:val="20"/>
          <w:szCs w:val="20"/>
          <w:color w:val="auto"/>
        </w:rPr>
      </w:pPr>
      <w:r>
        <w:rPr>
          <w:rFonts w:ascii="Arial" w:cs="Arial" w:eastAsia="Arial" w:hAnsi="Arial"/>
          <w:sz w:val="17"/>
          <w:szCs w:val="17"/>
          <w:color w:val="auto"/>
        </w:rPr>
        <w:t>Emerging growth company o</w:t>
      </w:r>
    </w:p>
    <w:p>
      <w:pPr>
        <w:sectPr>
          <w:pgSz w:w="11900" w:h="16838" w:orient="portrait"/>
          <w:cols w:equalWidth="0" w:num="1">
            <w:col w:w="11420"/>
          </w:cols>
          <w:pgMar w:left="240" w:top="1135" w:right="239" w:bottom="1440" w:gutter="0" w:footer="0" w:header="0"/>
          <w:type w:val="continuous"/>
        </w:sectPr>
      </w:pPr>
    </w:p>
    <w:p>
      <w:pPr>
        <w:spacing w:after="0" w:line="142" w:lineRule="exact"/>
        <w:rPr>
          <w:sz w:val="24"/>
          <w:szCs w:val="24"/>
          <w:color w:val="auto"/>
        </w:rPr>
      </w:pPr>
    </w:p>
    <w:p>
      <w:pPr>
        <w:spacing w:after="0" w:line="262"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223"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w:t>
      </w:r>
    </w:p>
    <w:p>
      <w:pPr>
        <w:spacing w:after="0" w:line="125"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Yes o No </w:t>
      </w:r>
      <w:r>
        <w:rPr>
          <w:rFonts w:ascii="MS PGothic" w:cs="MS PGothic" w:eastAsia="MS PGothic" w:hAnsi="MS PGothic"/>
          <w:sz w:val="18"/>
          <w:szCs w:val="18"/>
          <w:color w:val="auto"/>
        </w:rPr>
        <w:t>☒</w:t>
      </w:r>
    </w:p>
    <w:p>
      <w:pPr>
        <w:spacing w:after="0" w:line="217" w:lineRule="exact"/>
        <w:rPr>
          <w:sz w:val="24"/>
          <w:szCs w:val="24"/>
          <w:color w:val="auto"/>
        </w:rPr>
      </w:pPr>
    </w:p>
    <w:p>
      <w:pPr>
        <w:spacing w:after="0"/>
        <w:rPr>
          <w:sz w:val="20"/>
          <w:szCs w:val="20"/>
          <w:color w:val="auto"/>
        </w:rPr>
      </w:pPr>
      <w:r>
        <w:rPr>
          <w:rFonts w:ascii="Arial" w:cs="Arial" w:eastAsia="Arial" w:hAnsi="Arial"/>
          <w:sz w:val="18"/>
          <w:szCs w:val="18"/>
          <w:color w:val="auto"/>
        </w:rPr>
        <w:t>The number of shares of common stock outstanding as of April 23, 2018:</w:t>
      </w:r>
    </w:p>
    <w:p>
      <w:pPr>
        <w:spacing w:after="0" w:line="177" w:lineRule="exact"/>
        <w:rPr>
          <w:sz w:val="24"/>
          <w:szCs w:val="24"/>
          <w:color w:val="auto"/>
        </w:rPr>
      </w:pPr>
    </w:p>
    <w:tbl>
      <w:tblPr>
        <w:tblLayout w:type="fixed"/>
        <w:tblInd w:w="0" w:type="dxa"/>
        <w:tblCellMar>
          <w:top w:w="0" w:type="dxa"/>
          <w:left w:w="0" w:type="dxa"/>
          <w:bottom w:w="0" w:type="dxa"/>
          <w:right w:w="0" w:type="dxa"/>
        </w:tblCellMar>
      </w:tblPr>
      <w:tr>
        <w:trPr>
          <w:trHeight w:val="178"/>
        </w:trPr>
        <w:tc>
          <w:tcPr>
            <w:tcW w:w="56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Class</w:t>
            </w:r>
          </w:p>
        </w:tc>
        <w:tc>
          <w:tcPr>
            <w:tcW w:w="460" w:type="dxa"/>
            <w:vAlign w:val="bottom"/>
          </w:tcPr>
          <w:p>
            <w:pPr>
              <w:spacing w:after="0"/>
              <w:rPr>
                <w:sz w:val="15"/>
                <w:szCs w:val="15"/>
                <w:color w:val="auto"/>
              </w:rPr>
            </w:pPr>
          </w:p>
        </w:tc>
        <w:tc>
          <w:tcPr>
            <w:tcW w:w="5340" w:type="dxa"/>
            <w:vAlign w:val="bottom"/>
            <w:tcBorders>
              <w:bottom w:val="single" w:sz="8" w:color="auto"/>
            </w:tcBorders>
          </w:tcPr>
          <w:p>
            <w:pPr>
              <w:jc w:val="right"/>
              <w:ind w:right="1599"/>
              <w:spacing w:after="0"/>
              <w:rPr>
                <w:sz w:val="20"/>
                <w:szCs w:val="20"/>
                <w:color w:val="auto"/>
              </w:rPr>
            </w:pPr>
            <w:r>
              <w:rPr>
                <w:rFonts w:ascii="Arial" w:cs="Arial" w:eastAsia="Arial" w:hAnsi="Arial"/>
                <w:sz w:val="14"/>
                <w:szCs w:val="14"/>
                <w:color w:val="auto"/>
              </w:rPr>
              <w:t>Number of Shares Outstanding</w:t>
            </w:r>
          </w:p>
        </w:tc>
      </w:tr>
      <w:tr>
        <w:trPr>
          <w:trHeight w:val="243"/>
        </w:trPr>
        <w:tc>
          <w:tcPr>
            <w:tcW w:w="6080" w:type="dxa"/>
            <w:vAlign w:val="bottom"/>
            <w:gridSpan w:val="2"/>
          </w:tcPr>
          <w:p>
            <w:pPr>
              <w:jc w:val="center"/>
              <w:ind w:right="460"/>
              <w:spacing w:after="0"/>
              <w:rPr>
                <w:sz w:val="20"/>
                <w:szCs w:val="20"/>
                <w:color w:val="auto"/>
              </w:rPr>
            </w:pPr>
            <w:r>
              <w:rPr>
                <w:rFonts w:ascii="Arial" w:cs="Arial" w:eastAsia="Arial" w:hAnsi="Arial"/>
                <w:sz w:val="18"/>
                <w:szCs w:val="18"/>
                <w:color w:val="auto"/>
              </w:rPr>
              <w:t>Common</w:t>
            </w:r>
          </w:p>
        </w:tc>
        <w:tc>
          <w:tcPr>
            <w:tcW w:w="5340" w:type="dxa"/>
            <w:vAlign w:val="bottom"/>
          </w:tcPr>
          <w:p>
            <w:pPr>
              <w:jc w:val="right"/>
              <w:ind w:right="19"/>
              <w:spacing w:after="0"/>
              <w:rPr>
                <w:sz w:val="20"/>
                <w:szCs w:val="20"/>
                <w:color w:val="auto"/>
              </w:rPr>
            </w:pPr>
            <w:r>
              <w:rPr>
                <w:rFonts w:ascii="Arial" w:cs="Arial" w:eastAsia="Arial" w:hAnsi="Arial"/>
                <w:sz w:val="18"/>
                <w:szCs w:val="18"/>
                <w:color w:val="auto"/>
              </w:rPr>
              <w:t>1,085,430,420</w:t>
            </w:r>
          </w:p>
        </w:tc>
      </w:tr>
      <w:tr>
        <w:trPr>
          <w:trHeight w:val="149"/>
        </w:trPr>
        <w:tc>
          <w:tcPr>
            <w:tcW w:w="562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5340" w:type="dxa"/>
            <w:vAlign w:val="bottom"/>
            <w:tcBorders>
              <w:bottom w:val="single" w:sz="8" w:color="auto"/>
            </w:tcBorders>
          </w:tcPr>
          <w:p>
            <w:pPr>
              <w:spacing w:after="0"/>
              <w:rPr>
                <w:sz w:val="12"/>
                <w:szCs w:val="12"/>
                <w:color w:val="auto"/>
              </w:rPr>
            </w:pPr>
          </w:p>
        </w:tc>
      </w:tr>
      <w:tr>
        <w:trPr>
          <w:trHeight w:val="122"/>
        </w:trPr>
        <w:tc>
          <w:tcPr>
            <w:tcW w:w="562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5340" w:type="dxa"/>
            <w:vAlign w:val="bottom"/>
            <w:tcBorders>
              <w:bottom w:val="single" w:sz="8" w:color="auto"/>
            </w:tcBorders>
          </w:tcPr>
          <w:p>
            <w:pPr>
              <w:spacing w:after="0"/>
              <w:rPr>
                <w:sz w:val="10"/>
                <w:szCs w:val="10"/>
                <w:color w:val="auto"/>
              </w:rPr>
            </w:pPr>
          </w:p>
        </w:tc>
      </w:tr>
    </w:tbl>
    <w:p>
      <w:pPr>
        <w:sectPr>
          <w:pgSz w:w="11900" w:h="16838" w:orient="portrait"/>
          <w:cols w:equalWidth="0" w:num="1">
            <w:col w:w="11420"/>
          </w:cols>
          <w:pgMar w:left="240" w:top="1135" w:right="239" w:bottom="1440" w:gutter="0" w:footer="0" w:header="0"/>
          <w:type w:val="continuous"/>
        </w:sectPr>
      </w:pPr>
    </w:p>
    <w:bookmarkStart w:id="1" w:name="page2"/>
    <w:bookmarkEnd w:id="1"/>
    <w:p>
      <w:pPr>
        <w:ind w:left="4740"/>
        <w:spacing w:after="0"/>
        <w:rPr>
          <w:sz w:val="20"/>
          <w:szCs w:val="20"/>
          <w:color w:val="auto"/>
        </w:rPr>
      </w:pPr>
      <w:r>
        <w:rPr>
          <w:rFonts w:ascii="Arial" w:cs="Arial" w:eastAsia="Arial" w:hAnsi="Arial"/>
          <w:sz w:val="18"/>
          <w:szCs w:val="18"/>
          <w:b w:val="1"/>
          <w:bCs w:val="1"/>
          <w:color w:val="auto"/>
        </w:rPr>
        <w:t>Eli Lilly and Company</w:t>
      </w:r>
    </w:p>
    <w:p>
      <w:pPr>
        <w:spacing w:after="0" w:line="117" w:lineRule="exact"/>
        <w:rPr>
          <w:sz w:val="20"/>
          <w:szCs w:val="20"/>
          <w:color w:val="auto"/>
        </w:rPr>
      </w:pPr>
    </w:p>
    <w:p>
      <w:pPr>
        <w:ind w:left="5220"/>
        <w:spacing w:after="0"/>
        <w:rPr>
          <w:sz w:val="20"/>
          <w:szCs w:val="20"/>
          <w:color w:val="auto"/>
        </w:rPr>
      </w:pPr>
      <w:r>
        <w:rPr>
          <w:rFonts w:ascii="Arial" w:cs="Arial" w:eastAsia="Arial" w:hAnsi="Arial"/>
          <w:sz w:val="18"/>
          <w:szCs w:val="18"/>
          <w:b w:val="1"/>
          <w:bCs w:val="1"/>
          <w:color w:val="auto"/>
        </w:rPr>
        <w:t>Form 10-Q</w:t>
      </w:r>
    </w:p>
    <w:p>
      <w:pPr>
        <w:spacing w:after="0" w:line="3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For the Quarter Ended March 31, 2018</w:t>
      </w:r>
    </w:p>
    <w:p>
      <w:pPr>
        <w:spacing w:after="0" w:line="9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Table of Contents</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40" w:type="dxa"/>
            <w:vAlign w:val="bottom"/>
            <w:tcBorders>
              <w:bottom w:val="single" w:sz="8" w:color="auto"/>
            </w:tcBorders>
            <w:gridSpan w:val="5"/>
          </w:tcPr>
          <w:p>
            <w:pPr>
              <w:spacing w:after="0"/>
              <w:rPr>
                <w:sz w:val="20"/>
                <w:szCs w:val="20"/>
                <w:color w:val="auto"/>
              </w:rPr>
            </w:pPr>
            <w:r>
              <w:rPr>
                <w:rFonts w:ascii="Arial" w:cs="Arial" w:eastAsia="Arial" w:hAnsi="Arial"/>
                <w:sz w:val="18"/>
                <w:szCs w:val="18"/>
                <w:b w:val="1"/>
                <w:bCs w:val="1"/>
                <w:color w:val="auto"/>
                <w:w w:val="97"/>
              </w:rPr>
              <w:t>Page</w:t>
            </w:r>
          </w:p>
        </w:tc>
      </w:tr>
      <w:tr>
        <w:trPr>
          <w:trHeight w:val="250"/>
        </w:trPr>
        <w:tc>
          <w:tcPr>
            <w:tcW w:w="3320" w:type="dxa"/>
            <w:vAlign w:val="bottom"/>
            <w:gridSpan w:val="7"/>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PART I. Financial Information</w:t>
              </w:r>
            </w:hyperlink>
          </w:p>
        </w:tc>
        <w:tc>
          <w:tcPr>
            <w:tcW w:w="2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20" w:type="dxa"/>
            <w:vAlign w:val="bottom"/>
            <w:gridSpan w:val="5"/>
          </w:tcPr>
          <w:p>
            <w:pPr>
              <w:jc w:val="center"/>
              <w:ind w:left="250"/>
              <w:spacing w:after="0"/>
              <w:rPr>
                <w:rFonts w:ascii="Arial" w:cs="Arial" w:eastAsia="Arial" w:hAnsi="Arial"/>
                <w:sz w:val="18"/>
                <w:szCs w:val="18"/>
                <w:color w:val="0000EE"/>
                <w:w w:val="99"/>
              </w:rPr>
            </w:pPr>
            <w:hyperlink w:anchor="page4">
              <w:r>
                <w:rPr>
                  <w:rFonts w:ascii="Arial" w:cs="Arial" w:eastAsia="Arial" w:hAnsi="Arial"/>
                  <w:sz w:val="18"/>
                  <w:szCs w:val="18"/>
                  <w:color w:val="0000EE"/>
                  <w:w w:val="99"/>
                </w:rPr>
                <w:t>4</w:t>
              </w:r>
            </w:hyperlink>
          </w:p>
        </w:tc>
        <w:tc>
          <w:tcPr>
            <w:tcW w:w="120" w:type="dxa"/>
            <w:vAlign w:val="bottom"/>
          </w:tcPr>
          <w:p>
            <w:pPr>
              <w:spacing w:after="0"/>
              <w:rPr>
                <w:sz w:val="21"/>
                <w:szCs w:val="2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574"/>
        </w:trPr>
        <w:tc>
          <w:tcPr>
            <w:tcW w:w="2320" w:type="dxa"/>
            <w:vAlign w:val="bottom"/>
            <w:gridSpan w:val="6"/>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Item 1.</w:t>
              </w:r>
            </w:hyperlink>
          </w:p>
        </w:tc>
        <w:tc>
          <w:tcPr>
            <w:tcW w:w="1000" w:type="dxa"/>
            <w:vAlign w:val="bottom"/>
          </w:tcPr>
          <w:p>
            <w:pPr>
              <w:spacing w:after="0"/>
              <w:rPr>
                <w:sz w:val="24"/>
                <w:szCs w:val="24"/>
                <w:color w:val="auto"/>
              </w:rPr>
            </w:pPr>
          </w:p>
        </w:tc>
        <w:tc>
          <w:tcPr>
            <w:tcW w:w="7300" w:type="dxa"/>
            <w:vAlign w:val="bottom"/>
            <w:gridSpan w:val="19"/>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Financial Statements</w:t>
              </w:r>
            </w:hyperlink>
          </w:p>
        </w:tc>
        <w:tc>
          <w:tcPr>
            <w:tcW w:w="520" w:type="dxa"/>
            <w:vAlign w:val="bottom"/>
            <w:gridSpan w:val="5"/>
          </w:tcPr>
          <w:p>
            <w:pPr>
              <w:jc w:val="center"/>
              <w:ind w:left="250"/>
              <w:spacing w:after="0"/>
              <w:rPr>
                <w:rFonts w:ascii="Arial" w:cs="Arial" w:eastAsia="Arial" w:hAnsi="Arial"/>
                <w:sz w:val="18"/>
                <w:szCs w:val="18"/>
                <w:color w:val="0000EE"/>
                <w:w w:val="99"/>
              </w:rPr>
            </w:pPr>
            <w:hyperlink w:anchor="page4">
              <w:r>
                <w:rPr>
                  <w:rFonts w:ascii="Arial" w:cs="Arial" w:eastAsia="Arial" w:hAnsi="Arial"/>
                  <w:sz w:val="18"/>
                  <w:szCs w:val="18"/>
                  <w:color w:val="0000EE"/>
                  <w:w w:val="99"/>
                </w:rPr>
                <w:t>4</w:t>
              </w:r>
            </w:hyperlink>
          </w:p>
        </w:tc>
        <w:tc>
          <w:tcPr>
            <w:tcW w:w="120" w:type="dxa"/>
            <w:vAlign w:val="bottom"/>
          </w:tcPr>
          <w:p>
            <w:pPr>
              <w:spacing w:after="0"/>
              <w:rPr>
                <w:sz w:val="24"/>
                <w:szCs w:val="24"/>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50"/>
        </w:trPr>
        <w:tc>
          <w:tcPr>
            <w:tcW w:w="5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120" w:type="dxa"/>
            <w:vAlign w:val="bottom"/>
            <w:gridSpan w:val="12"/>
          </w:tcPr>
          <w:p>
            <w:pPr>
              <w:spacing w:after="0"/>
              <w:rPr>
                <w:rFonts w:ascii="Arial" w:cs="Arial" w:eastAsia="Arial" w:hAnsi="Arial"/>
                <w:sz w:val="18"/>
                <w:szCs w:val="18"/>
                <w:color w:val="0000EE"/>
                <w:w w:val="99"/>
              </w:rPr>
            </w:pPr>
            <w:hyperlink w:anchor="page4">
              <w:r>
                <w:rPr>
                  <w:rFonts w:ascii="Arial" w:cs="Arial" w:eastAsia="Arial" w:hAnsi="Arial"/>
                  <w:sz w:val="18"/>
                  <w:szCs w:val="18"/>
                  <w:color w:val="0000EE"/>
                  <w:w w:val="99"/>
                </w:rPr>
                <w:t>Consolidated Condensed Statements of Operations</w:t>
              </w:r>
            </w:hyperlink>
          </w:p>
        </w:tc>
        <w:tc>
          <w:tcPr>
            <w:tcW w:w="2940" w:type="dxa"/>
            <w:vAlign w:val="bottom"/>
            <w:gridSpan w:val="6"/>
          </w:tcPr>
          <w:p>
            <w:pPr>
              <w:spacing w:after="0"/>
              <w:rPr>
                <w:sz w:val="21"/>
                <w:szCs w:val="21"/>
                <w:color w:val="auto"/>
              </w:rPr>
            </w:pPr>
          </w:p>
        </w:tc>
        <w:tc>
          <w:tcPr>
            <w:tcW w:w="520" w:type="dxa"/>
            <w:vAlign w:val="bottom"/>
            <w:gridSpan w:val="5"/>
          </w:tcPr>
          <w:p>
            <w:pPr>
              <w:jc w:val="center"/>
              <w:ind w:left="250"/>
              <w:spacing w:after="0"/>
              <w:rPr>
                <w:rFonts w:ascii="Arial" w:cs="Arial" w:eastAsia="Arial" w:hAnsi="Arial"/>
                <w:sz w:val="18"/>
                <w:szCs w:val="18"/>
                <w:color w:val="0000EE"/>
                <w:w w:val="99"/>
              </w:rPr>
            </w:pPr>
            <w:hyperlink w:anchor="page4">
              <w:r>
                <w:rPr>
                  <w:rFonts w:ascii="Arial" w:cs="Arial" w:eastAsia="Arial" w:hAnsi="Arial"/>
                  <w:sz w:val="18"/>
                  <w:szCs w:val="18"/>
                  <w:color w:val="0000EE"/>
                  <w:w w:val="99"/>
                </w:rPr>
                <w:t>4</w:t>
              </w:r>
            </w:hyperlink>
          </w:p>
        </w:tc>
        <w:tc>
          <w:tcPr>
            <w:tcW w:w="120" w:type="dxa"/>
            <w:vAlign w:val="bottom"/>
          </w:tcPr>
          <w:p>
            <w:pPr>
              <w:spacing w:after="0"/>
              <w:rPr>
                <w:sz w:val="21"/>
                <w:szCs w:val="21"/>
                <w:color w:val="auto"/>
              </w:rPr>
            </w:pPr>
          </w:p>
        </w:tc>
      </w:tr>
      <w:tr>
        <w:trPr>
          <w:trHeight w:val="20"/>
        </w:trPr>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50"/>
        </w:trPr>
        <w:tc>
          <w:tcPr>
            <w:tcW w:w="5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140" w:type="dxa"/>
            <w:vAlign w:val="bottom"/>
            <w:gridSpan w:val="16"/>
          </w:tcPr>
          <w:p>
            <w:pPr>
              <w:spacing w:after="0"/>
              <w:rPr>
                <w:rFonts w:ascii="Arial" w:cs="Arial" w:eastAsia="Arial" w:hAnsi="Arial"/>
                <w:sz w:val="18"/>
                <w:szCs w:val="18"/>
                <w:color w:val="0000EE"/>
                <w:w w:val="99"/>
              </w:rPr>
            </w:pPr>
            <w:hyperlink w:anchor="page5">
              <w:r>
                <w:rPr>
                  <w:rFonts w:ascii="Arial" w:cs="Arial" w:eastAsia="Arial" w:hAnsi="Arial"/>
                  <w:sz w:val="18"/>
                  <w:szCs w:val="18"/>
                  <w:color w:val="0000EE"/>
                  <w:w w:val="99"/>
                </w:rPr>
                <w:t>Consolidated Condensed Statements of Comprehensive Income</w:t>
              </w:r>
            </w:hyperlink>
          </w:p>
        </w:tc>
        <w:tc>
          <w:tcPr>
            <w:tcW w:w="1920" w:type="dxa"/>
            <w:vAlign w:val="bottom"/>
            <w:gridSpan w:val="2"/>
          </w:tcPr>
          <w:p>
            <w:pPr>
              <w:spacing w:after="0"/>
              <w:rPr>
                <w:sz w:val="21"/>
                <w:szCs w:val="21"/>
                <w:color w:val="auto"/>
              </w:rPr>
            </w:pPr>
          </w:p>
        </w:tc>
        <w:tc>
          <w:tcPr>
            <w:tcW w:w="520" w:type="dxa"/>
            <w:vAlign w:val="bottom"/>
            <w:gridSpan w:val="5"/>
          </w:tcPr>
          <w:p>
            <w:pPr>
              <w:jc w:val="center"/>
              <w:ind w:left="250"/>
              <w:spacing w:after="0"/>
              <w:rPr>
                <w:rFonts w:ascii="Arial" w:cs="Arial" w:eastAsia="Arial" w:hAnsi="Arial"/>
                <w:sz w:val="18"/>
                <w:szCs w:val="18"/>
                <w:color w:val="0000EE"/>
                <w:w w:val="99"/>
              </w:rPr>
            </w:pPr>
            <w:hyperlink w:anchor="page5">
              <w:r>
                <w:rPr>
                  <w:rFonts w:ascii="Arial" w:cs="Arial" w:eastAsia="Arial" w:hAnsi="Arial"/>
                  <w:sz w:val="18"/>
                  <w:szCs w:val="18"/>
                  <w:color w:val="0000EE"/>
                  <w:w w:val="99"/>
                </w:rPr>
                <w:t>5</w:t>
              </w:r>
            </w:hyperlink>
          </w:p>
        </w:tc>
        <w:tc>
          <w:tcPr>
            <w:tcW w:w="120" w:type="dxa"/>
            <w:vAlign w:val="bottom"/>
          </w:tcPr>
          <w:p>
            <w:pPr>
              <w:spacing w:after="0"/>
              <w:rPr>
                <w:sz w:val="21"/>
                <w:szCs w:val="21"/>
                <w:color w:val="auto"/>
              </w:rPr>
            </w:pPr>
          </w:p>
        </w:tc>
      </w:tr>
      <w:tr>
        <w:trPr>
          <w:trHeight w:val="20"/>
        </w:trPr>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84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50"/>
        </w:trPr>
        <w:tc>
          <w:tcPr>
            <w:tcW w:w="5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340" w:type="dxa"/>
            <w:vAlign w:val="bottom"/>
            <w:gridSpan w:val="11"/>
          </w:tcPr>
          <w:p>
            <w:pPr>
              <w:spacing w:after="0"/>
              <w:rPr>
                <w:rFonts w:ascii="Arial" w:cs="Arial" w:eastAsia="Arial" w:hAnsi="Arial"/>
                <w:sz w:val="18"/>
                <w:szCs w:val="18"/>
                <w:color w:val="0000EE"/>
                <w:w w:val="99"/>
              </w:rPr>
            </w:pPr>
            <w:hyperlink w:anchor="page6">
              <w:r>
                <w:rPr>
                  <w:rFonts w:ascii="Arial" w:cs="Arial" w:eastAsia="Arial" w:hAnsi="Arial"/>
                  <w:sz w:val="18"/>
                  <w:szCs w:val="18"/>
                  <w:color w:val="0000EE"/>
                  <w:w w:val="99"/>
                </w:rPr>
                <w:t>Consolidated Condensed Balance Sheets</w:t>
              </w:r>
            </w:hyperlink>
          </w:p>
        </w:tc>
        <w:tc>
          <w:tcPr>
            <w:tcW w:w="1800" w:type="dxa"/>
            <w:vAlign w:val="bottom"/>
            <w:gridSpan w:val="5"/>
          </w:tcPr>
          <w:p>
            <w:pPr>
              <w:spacing w:after="0"/>
              <w:rPr>
                <w:sz w:val="21"/>
                <w:szCs w:val="21"/>
                <w:color w:val="auto"/>
              </w:rPr>
            </w:pPr>
          </w:p>
        </w:tc>
        <w:tc>
          <w:tcPr>
            <w:tcW w:w="1920" w:type="dxa"/>
            <w:vAlign w:val="bottom"/>
            <w:gridSpan w:val="2"/>
          </w:tcPr>
          <w:p>
            <w:pPr>
              <w:spacing w:after="0"/>
              <w:rPr>
                <w:sz w:val="21"/>
                <w:szCs w:val="21"/>
                <w:color w:val="auto"/>
              </w:rPr>
            </w:pPr>
          </w:p>
        </w:tc>
        <w:tc>
          <w:tcPr>
            <w:tcW w:w="520" w:type="dxa"/>
            <w:vAlign w:val="bottom"/>
            <w:gridSpan w:val="5"/>
          </w:tcPr>
          <w:p>
            <w:pPr>
              <w:jc w:val="center"/>
              <w:ind w:left="250"/>
              <w:spacing w:after="0"/>
              <w:rPr>
                <w:rFonts w:ascii="Arial" w:cs="Arial" w:eastAsia="Arial" w:hAnsi="Arial"/>
                <w:sz w:val="18"/>
                <w:szCs w:val="18"/>
                <w:color w:val="0000EE"/>
                <w:w w:val="99"/>
              </w:rPr>
            </w:pPr>
            <w:hyperlink w:anchor="page6">
              <w:r>
                <w:rPr>
                  <w:rFonts w:ascii="Arial" w:cs="Arial" w:eastAsia="Arial" w:hAnsi="Arial"/>
                  <w:sz w:val="18"/>
                  <w:szCs w:val="18"/>
                  <w:color w:val="0000EE"/>
                  <w:w w:val="99"/>
                </w:rPr>
                <w:t>6</w:t>
              </w:r>
            </w:hyperlink>
          </w:p>
        </w:tc>
        <w:tc>
          <w:tcPr>
            <w:tcW w:w="120" w:type="dxa"/>
            <w:vAlign w:val="bottom"/>
          </w:tcPr>
          <w:p>
            <w:pPr>
              <w:spacing w:after="0"/>
              <w:rPr>
                <w:sz w:val="21"/>
                <w:szCs w:val="21"/>
                <w:color w:val="auto"/>
              </w:rPr>
            </w:pPr>
          </w:p>
        </w:tc>
      </w:tr>
      <w:tr>
        <w:trPr>
          <w:trHeight w:val="20"/>
        </w:trPr>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50"/>
        </w:trPr>
        <w:tc>
          <w:tcPr>
            <w:tcW w:w="5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180" w:type="dxa"/>
            <w:vAlign w:val="bottom"/>
            <w:gridSpan w:val="13"/>
          </w:tcPr>
          <w:p>
            <w:pPr>
              <w:spacing w:after="0"/>
              <w:rPr>
                <w:rFonts w:ascii="Arial" w:cs="Arial" w:eastAsia="Arial" w:hAnsi="Arial"/>
                <w:sz w:val="18"/>
                <w:szCs w:val="18"/>
                <w:color w:val="0000EE"/>
                <w:w w:val="99"/>
              </w:rPr>
            </w:pPr>
            <w:hyperlink w:anchor="page7">
              <w:r>
                <w:rPr>
                  <w:rFonts w:ascii="Arial" w:cs="Arial" w:eastAsia="Arial" w:hAnsi="Arial"/>
                  <w:sz w:val="18"/>
                  <w:szCs w:val="18"/>
                  <w:color w:val="0000EE"/>
                  <w:w w:val="99"/>
                </w:rPr>
                <w:t>Consolidated Condensed Statements of Cash Flows</w:t>
              </w:r>
            </w:hyperlink>
          </w:p>
        </w:tc>
        <w:tc>
          <w:tcPr>
            <w:tcW w:w="2880" w:type="dxa"/>
            <w:vAlign w:val="bottom"/>
            <w:gridSpan w:val="5"/>
          </w:tcPr>
          <w:p>
            <w:pPr>
              <w:spacing w:after="0"/>
              <w:rPr>
                <w:sz w:val="21"/>
                <w:szCs w:val="21"/>
                <w:color w:val="auto"/>
              </w:rPr>
            </w:pPr>
          </w:p>
        </w:tc>
        <w:tc>
          <w:tcPr>
            <w:tcW w:w="520" w:type="dxa"/>
            <w:vAlign w:val="bottom"/>
            <w:gridSpan w:val="5"/>
          </w:tcPr>
          <w:p>
            <w:pPr>
              <w:jc w:val="center"/>
              <w:ind w:left="250"/>
              <w:spacing w:after="0"/>
              <w:rPr>
                <w:rFonts w:ascii="Arial" w:cs="Arial" w:eastAsia="Arial" w:hAnsi="Arial"/>
                <w:sz w:val="18"/>
                <w:szCs w:val="18"/>
                <w:color w:val="0000EE"/>
                <w:w w:val="99"/>
              </w:rPr>
            </w:pPr>
            <w:hyperlink w:anchor="page7">
              <w:r>
                <w:rPr>
                  <w:rFonts w:ascii="Arial" w:cs="Arial" w:eastAsia="Arial" w:hAnsi="Arial"/>
                  <w:sz w:val="18"/>
                  <w:szCs w:val="18"/>
                  <w:color w:val="0000EE"/>
                  <w:w w:val="99"/>
                </w:rPr>
                <w:t>7</w:t>
              </w:r>
            </w:hyperlink>
          </w:p>
        </w:tc>
        <w:tc>
          <w:tcPr>
            <w:tcW w:w="120" w:type="dxa"/>
            <w:vAlign w:val="bottom"/>
          </w:tcPr>
          <w:p>
            <w:pPr>
              <w:spacing w:after="0"/>
              <w:rPr>
                <w:sz w:val="21"/>
                <w:szCs w:val="21"/>
                <w:color w:val="auto"/>
              </w:rPr>
            </w:pPr>
          </w:p>
        </w:tc>
      </w:tr>
      <w:tr>
        <w:trPr>
          <w:trHeight w:val="20"/>
        </w:trPr>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300" w:type="dxa"/>
            <w:vAlign w:val="bottom"/>
            <w:gridSpan w:val="3"/>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50"/>
        </w:trPr>
        <w:tc>
          <w:tcPr>
            <w:tcW w:w="5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4480" w:type="dxa"/>
            <w:vAlign w:val="bottom"/>
            <w:gridSpan w:val="15"/>
          </w:tcPr>
          <w:p>
            <w:pPr>
              <w:spacing w:after="0"/>
              <w:rPr>
                <w:rFonts w:ascii="Arial" w:cs="Arial" w:eastAsia="Arial" w:hAnsi="Arial"/>
                <w:sz w:val="18"/>
                <w:szCs w:val="18"/>
                <w:color w:val="0000EE"/>
                <w:w w:val="99"/>
              </w:rPr>
            </w:pPr>
            <w:hyperlink w:anchor="page8">
              <w:r>
                <w:rPr>
                  <w:rFonts w:ascii="Arial" w:cs="Arial" w:eastAsia="Arial" w:hAnsi="Arial"/>
                  <w:sz w:val="18"/>
                  <w:szCs w:val="18"/>
                  <w:color w:val="0000EE"/>
                  <w:w w:val="99"/>
                </w:rPr>
                <w:t>Notes to Consolidated Condensed Financial Statements</w:t>
              </w:r>
            </w:hyperlink>
          </w:p>
        </w:tc>
        <w:tc>
          <w:tcPr>
            <w:tcW w:w="2820" w:type="dxa"/>
            <w:vAlign w:val="bottom"/>
            <w:gridSpan w:val="4"/>
          </w:tcPr>
          <w:p>
            <w:pPr>
              <w:spacing w:after="0"/>
              <w:rPr>
                <w:sz w:val="21"/>
                <w:szCs w:val="21"/>
                <w:color w:val="auto"/>
              </w:rPr>
            </w:pPr>
          </w:p>
        </w:tc>
        <w:tc>
          <w:tcPr>
            <w:tcW w:w="520" w:type="dxa"/>
            <w:vAlign w:val="bottom"/>
            <w:gridSpan w:val="5"/>
          </w:tcPr>
          <w:p>
            <w:pPr>
              <w:jc w:val="center"/>
              <w:ind w:left="250"/>
              <w:spacing w:after="0"/>
              <w:rPr>
                <w:rFonts w:ascii="Arial" w:cs="Arial" w:eastAsia="Arial" w:hAnsi="Arial"/>
                <w:sz w:val="18"/>
                <w:szCs w:val="18"/>
                <w:color w:val="0000EE"/>
                <w:w w:val="99"/>
              </w:rPr>
            </w:pPr>
            <w:hyperlink w:anchor="page8">
              <w:r>
                <w:rPr>
                  <w:rFonts w:ascii="Arial" w:cs="Arial" w:eastAsia="Arial" w:hAnsi="Arial"/>
                  <w:sz w:val="18"/>
                  <w:szCs w:val="18"/>
                  <w:color w:val="0000EE"/>
                  <w:w w:val="99"/>
                </w:rPr>
                <w:t>8</w:t>
              </w:r>
            </w:hyperlink>
          </w:p>
        </w:tc>
        <w:tc>
          <w:tcPr>
            <w:tcW w:w="120" w:type="dxa"/>
            <w:vAlign w:val="bottom"/>
          </w:tcPr>
          <w:p>
            <w:pPr>
              <w:spacing w:after="0"/>
              <w:rPr>
                <w:sz w:val="21"/>
                <w:szCs w:val="21"/>
                <w:color w:val="auto"/>
              </w:rPr>
            </w:pPr>
          </w:p>
        </w:tc>
      </w:tr>
      <w:tr>
        <w:trPr>
          <w:trHeight w:val="20"/>
        </w:trPr>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360" w:type="dxa"/>
            <w:vAlign w:val="bottom"/>
            <w:gridSpan w:val="4"/>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37"/>
        </w:trPr>
        <w:tc>
          <w:tcPr>
            <w:tcW w:w="3320" w:type="dxa"/>
            <w:vAlign w:val="bottom"/>
            <w:gridSpan w:val="7"/>
          </w:tcPr>
          <w:p>
            <w:pPr>
              <w:spacing w:after="0"/>
              <w:rPr>
                <w:rFonts w:ascii="Arial" w:cs="Arial" w:eastAsia="Arial" w:hAnsi="Arial"/>
                <w:sz w:val="18"/>
                <w:szCs w:val="18"/>
                <w:color w:val="0000EE"/>
              </w:rPr>
            </w:pPr>
            <w:hyperlink w:anchor="page35">
              <w:r>
                <w:rPr>
                  <w:rFonts w:ascii="Arial" w:cs="Arial" w:eastAsia="Arial" w:hAnsi="Arial"/>
                  <w:sz w:val="18"/>
                  <w:szCs w:val="18"/>
                  <w:color w:val="0000EE"/>
                </w:rPr>
                <w:t>Item 2.</w:t>
              </w:r>
            </w:hyperlink>
          </w:p>
        </w:tc>
        <w:tc>
          <w:tcPr>
            <w:tcW w:w="7300" w:type="dxa"/>
            <w:vAlign w:val="bottom"/>
            <w:gridSpan w:val="19"/>
          </w:tcPr>
          <w:p>
            <w:pPr>
              <w:spacing w:after="0"/>
              <w:rPr>
                <w:rFonts w:ascii="Arial" w:cs="Arial" w:eastAsia="Arial" w:hAnsi="Arial"/>
                <w:sz w:val="18"/>
                <w:szCs w:val="18"/>
                <w:color w:val="0000EE"/>
              </w:rPr>
            </w:pPr>
            <w:hyperlink w:anchor="page35">
              <w:r>
                <w:rPr>
                  <w:rFonts w:ascii="Arial" w:cs="Arial" w:eastAsia="Arial" w:hAnsi="Arial"/>
                  <w:sz w:val="18"/>
                  <w:szCs w:val="18"/>
                  <w:color w:val="0000EE"/>
                </w:rPr>
                <w:t>Management's Discussion and Analysis of Results of Operations and Financial Condition</w:t>
              </w:r>
            </w:hyperlink>
          </w:p>
        </w:tc>
        <w:tc>
          <w:tcPr>
            <w:tcW w:w="640" w:type="dxa"/>
            <w:vAlign w:val="bottom"/>
            <w:gridSpan w:val="6"/>
          </w:tcPr>
          <w:p>
            <w:pPr>
              <w:jc w:val="center"/>
              <w:ind w:left="110"/>
              <w:spacing w:after="0"/>
              <w:rPr>
                <w:rFonts w:ascii="Arial" w:cs="Arial" w:eastAsia="Arial" w:hAnsi="Arial"/>
                <w:sz w:val="18"/>
                <w:szCs w:val="18"/>
                <w:color w:val="0000EE"/>
                <w:w w:val="99"/>
              </w:rPr>
            </w:pPr>
            <w:hyperlink w:anchor="page35">
              <w:r>
                <w:rPr>
                  <w:rFonts w:ascii="Arial" w:cs="Arial" w:eastAsia="Arial" w:hAnsi="Arial"/>
                  <w:sz w:val="18"/>
                  <w:szCs w:val="18"/>
                  <w:color w:val="0000EE"/>
                  <w:w w:val="99"/>
                </w:rPr>
                <w:t>35</w:t>
              </w:r>
            </w:hyperlink>
          </w:p>
        </w:tc>
      </w:tr>
      <w:tr>
        <w:trPr>
          <w:trHeight w:val="27"/>
        </w:trPr>
        <w:tc>
          <w:tcPr>
            <w:tcW w:w="540" w:type="dxa"/>
            <w:vAlign w:val="bottom"/>
            <w:shd w:val="clear" w:color="auto" w:fill="0000EE"/>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460" w:type="dxa"/>
            <w:vAlign w:val="bottom"/>
          </w:tcPr>
          <w:p>
            <w:pPr>
              <w:spacing w:after="0"/>
              <w:rPr>
                <w:sz w:val="2"/>
                <w:szCs w:val="2"/>
                <w:color w:val="auto"/>
              </w:rPr>
            </w:pPr>
          </w:p>
        </w:tc>
        <w:tc>
          <w:tcPr>
            <w:tcW w:w="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40" w:type="dxa"/>
            <w:vAlign w:val="bottom"/>
            <w:shd w:val="clear" w:color="auto" w:fill="0000EE"/>
          </w:tcPr>
          <w:p>
            <w:pPr>
              <w:spacing w:after="0"/>
              <w:rPr>
                <w:sz w:val="2"/>
                <w:szCs w:val="2"/>
                <w:color w:val="auto"/>
              </w:rPr>
            </w:pPr>
          </w:p>
        </w:tc>
        <w:tc>
          <w:tcPr>
            <w:tcW w:w="380" w:type="dxa"/>
            <w:vAlign w:val="bottom"/>
            <w:shd w:val="clear" w:color="auto" w:fill="0000EE"/>
          </w:tcPr>
          <w:p>
            <w:pPr>
              <w:spacing w:after="0"/>
              <w:rPr>
                <w:sz w:val="2"/>
                <w:szCs w:val="2"/>
                <w:color w:val="auto"/>
              </w:rPr>
            </w:pPr>
          </w:p>
        </w:tc>
        <w:tc>
          <w:tcPr>
            <w:tcW w:w="340" w:type="dxa"/>
            <w:vAlign w:val="bottom"/>
            <w:shd w:val="clear" w:color="auto" w:fill="0000EE"/>
          </w:tcPr>
          <w:p>
            <w:pPr>
              <w:spacing w:after="0"/>
              <w:rPr>
                <w:sz w:val="2"/>
                <w:szCs w:val="2"/>
                <w:color w:val="auto"/>
              </w:rPr>
            </w:pPr>
          </w:p>
        </w:tc>
        <w:tc>
          <w:tcPr>
            <w:tcW w:w="40" w:type="dxa"/>
            <w:vAlign w:val="bottom"/>
            <w:shd w:val="clear" w:color="auto" w:fill="0000EE"/>
          </w:tcPr>
          <w:p>
            <w:pPr>
              <w:spacing w:after="0"/>
              <w:rPr>
                <w:sz w:val="2"/>
                <w:szCs w:val="2"/>
                <w:color w:val="auto"/>
              </w:rPr>
            </w:pPr>
          </w:p>
        </w:tc>
        <w:tc>
          <w:tcPr>
            <w:tcW w:w="480" w:type="dxa"/>
            <w:vAlign w:val="bottom"/>
            <w:shd w:val="clear" w:color="auto" w:fill="0000EE"/>
          </w:tcPr>
          <w:p>
            <w:pPr>
              <w:spacing w:after="0"/>
              <w:rPr>
                <w:sz w:val="2"/>
                <w:szCs w:val="2"/>
                <w:color w:val="auto"/>
              </w:rPr>
            </w:pPr>
          </w:p>
        </w:tc>
        <w:tc>
          <w:tcPr>
            <w:tcW w:w="300" w:type="dxa"/>
            <w:vAlign w:val="bottom"/>
            <w:gridSpan w:val="2"/>
            <w:shd w:val="clear" w:color="auto" w:fill="0000EE"/>
          </w:tcPr>
          <w:p>
            <w:pPr>
              <w:spacing w:after="0"/>
              <w:rPr>
                <w:sz w:val="2"/>
                <w:szCs w:val="2"/>
                <w:color w:val="auto"/>
              </w:rPr>
            </w:pPr>
          </w:p>
        </w:tc>
        <w:tc>
          <w:tcPr>
            <w:tcW w:w="20" w:type="dxa"/>
            <w:vAlign w:val="bottom"/>
            <w:shd w:val="clear" w:color="auto" w:fill="0000EE"/>
          </w:tcPr>
          <w:p>
            <w:pPr>
              <w:spacing w:after="0"/>
              <w:rPr>
                <w:sz w:val="2"/>
                <w:szCs w:val="2"/>
                <w:color w:val="auto"/>
              </w:rPr>
            </w:pPr>
          </w:p>
        </w:tc>
        <w:tc>
          <w:tcPr>
            <w:tcW w:w="180" w:type="dxa"/>
            <w:vAlign w:val="bottom"/>
            <w:tcBorders>
              <w:left w:val="single" w:sz="8" w:color="0000EE"/>
            </w:tcBorders>
            <w:shd w:val="clear" w:color="auto" w:fill="0000EE"/>
          </w:tcPr>
          <w:p>
            <w:pPr>
              <w:spacing w:after="0"/>
              <w:rPr>
                <w:sz w:val="2"/>
                <w:szCs w:val="2"/>
                <w:color w:val="auto"/>
              </w:rPr>
            </w:pPr>
          </w:p>
        </w:tc>
        <w:tc>
          <w:tcPr>
            <w:tcW w:w="960" w:type="dxa"/>
            <w:vAlign w:val="bottom"/>
            <w:shd w:val="clear" w:color="auto" w:fill="0000EE"/>
          </w:tcPr>
          <w:p>
            <w:pPr>
              <w:spacing w:after="0"/>
              <w:rPr>
                <w:sz w:val="2"/>
                <w:szCs w:val="2"/>
                <w:color w:val="auto"/>
              </w:rPr>
            </w:pPr>
          </w:p>
        </w:tc>
        <w:tc>
          <w:tcPr>
            <w:tcW w:w="180" w:type="dxa"/>
            <w:vAlign w:val="bottom"/>
            <w:shd w:val="clear" w:color="auto" w:fill="0000EE"/>
          </w:tcPr>
          <w:p>
            <w:pPr>
              <w:spacing w:after="0"/>
              <w:rPr>
                <w:sz w:val="2"/>
                <w:szCs w:val="2"/>
                <w:color w:val="auto"/>
              </w:rPr>
            </w:pPr>
          </w:p>
        </w:tc>
        <w:tc>
          <w:tcPr>
            <w:tcW w:w="1720" w:type="dxa"/>
            <w:vAlign w:val="bottom"/>
            <w:gridSpan w:val="5"/>
            <w:shd w:val="clear" w:color="auto" w:fill="0000EE"/>
          </w:tcPr>
          <w:p>
            <w:pPr>
              <w:spacing w:after="0"/>
              <w:rPr>
                <w:sz w:val="2"/>
                <w:szCs w:val="2"/>
                <w:color w:val="auto"/>
              </w:rPr>
            </w:pPr>
          </w:p>
        </w:tc>
        <w:tc>
          <w:tcPr>
            <w:tcW w:w="2240" w:type="dxa"/>
            <w:vAlign w:val="bottom"/>
            <w:gridSpan w:val="2"/>
            <w:shd w:val="clear" w:color="auto" w:fill="0000EE"/>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gridSpan w:val="2"/>
          </w:tcPr>
          <w:p>
            <w:pPr>
              <w:spacing w:after="0"/>
              <w:rPr>
                <w:sz w:val="2"/>
                <w:szCs w:val="2"/>
                <w:color w:val="auto"/>
              </w:rPr>
            </w:pPr>
          </w:p>
        </w:tc>
        <w:tc>
          <w:tcPr>
            <w:tcW w:w="200" w:type="dxa"/>
            <w:vAlign w:val="bottom"/>
            <w:gridSpan w:val="3"/>
            <w:shd w:val="clear" w:color="auto" w:fill="0000EE"/>
          </w:tcPr>
          <w:p>
            <w:pPr>
              <w:spacing w:after="0"/>
              <w:rPr>
                <w:sz w:val="2"/>
                <w:szCs w:val="2"/>
                <w:color w:val="auto"/>
              </w:rPr>
            </w:pPr>
          </w:p>
        </w:tc>
        <w:tc>
          <w:tcPr>
            <w:tcW w:w="120" w:type="dxa"/>
            <w:vAlign w:val="bottom"/>
          </w:tcPr>
          <w:p>
            <w:pPr>
              <w:spacing w:after="0"/>
              <w:rPr>
                <w:sz w:val="2"/>
                <w:szCs w:val="2"/>
                <w:color w:val="auto"/>
              </w:rPr>
            </w:pPr>
          </w:p>
        </w:tc>
      </w:tr>
      <w:tr>
        <w:trPr>
          <w:trHeight w:val="257"/>
        </w:trPr>
        <w:tc>
          <w:tcPr>
            <w:tcW w:w="5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840" w:type="dxa"/>
            <w:vAlign w:val="bottom"/>
            <w:gridSpan w:val="17"/>
          </w:tcPr>
          <w:p>
            <w:pPr>
              <w:spacing w:after="0"/>
              <w:rPr>
                <w:rFonts w:ascii="Arial" w:cs="Arial" w:eastAsia="Arial" w:hAnsi="Arial"/>
                <w:sz w:val="18"/>
                <w:szCs w:val="18"/>
                <w:color w:val="0000EE"/>
              </w:rPr>
            </w:pPr>
            <w:hyperlink w:anchor="page35">
              <w:r>
                <w:rPr>
                  <w:rFonts w:ascii="Arial" w:cs="Arial" w:eastAsia="Arial" w:hAnsi="Arial"/>
                  <w:sz w:val="18"/>
                  <w:szCs w:val="18"/>
                  <w:color w:val="0000EE"/>
                </w:rPr>
                <w:t>Executive Overview</w:t>
              </w:r>
            </w:hyperlink>
          </w:p>
        </w:tc>
        <w:tc>
          <w:tcPr>
            <w:tcW w:w="220" w:type="dxa"/>
            <w:vAlign w:val="bottom"/>
          </w:tcPr>
          <w:p>
            <w:pPr>
              <w:spacing w:after="0"/>
              <w:rPr>
                <w:sz w:val="22"/>
                <w:szCs w:val="22"/>
                <w:color w:val="auto"/>
              </w:rPr>
            </w:pPr>
          </w:p>
        </w:tc>
        <w:tc>
          <w:tcPr>
            <w:tcW w:w="320" w:type="dxa"/>
            <w:vAlign w:val="bottom"/>
            <w:gridSpan w:val="2"/>
          </w:tcPr>
          <w:p>
            <w:pPr>
              <w:spacing w:after="0"/>
              <w:rPr>
                <w:sz w:val="22"/>
                <w:szCs w:val="22"/>
                <w:color w:val="auto"/>
              </w:rPr>
            </w:pPr>
          </w:p>
        </w:tc>
        <w:tc>
          <w:tcPr>
            <w:tcW w:w="320" w:type="dxa"/>
            <w:vAlign w:val="bottom"/>
            <w:gridSpan w:val="4"/>
          </w:tcPr>
          <w:p>
            <w:pPr>
              <w:jc w:val="center"/>
              <w:ind w:right="120"/>
              <w:spacing w:after="0"/>
              <w:rPr>
                <w:rFonts w:ascii="Arial" w:cs="Arial" w:eastAsia="Arial" w:hAnsi="Arial"/>
                <w:sz w:val="18"/>
                <w:szCs w:val="18"/>
                <w:color w:val="0000EE"/>
                <w:w w:val="99"/>
              </w:rPr>
            </w:pPr>
            <w:hyperlink w:anchor="page35">
              <w:r>
                <w:rPr>
                  <w:rFonts w:ascii="Arial" w:cs="Arial" w:eastAsia="Arial" w:hAnsi="Arial"/>
                  <w:sz w:val="18"/>
                  <w:szCs w:val="18"/>
                  <w:color w:val="0000EE"/>
                  <w:w w:val="99"/>
                </w:rPr>
                <w:t>35</w:t>
              </w:r>
            </w:hyperlink>
          </w:p>
        </w:tc>
      </w:tr>
      <w:tr>
        <w:trPr>
          <w:trHeight w:val="20"/>
        </w:trPr>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720" w:type="dxa"/>
            <w:vAlign w:val="bottom"/>
            <w:gridSpan w:val="5"/>
          </w:tcPr>
          <w:p>
            <w:pPr>
              <w:spacing w:after="0" w:line="20" w:lineRule="exact"/>
              <w:rPr>
                <w:sz w:val="1"/>
                <w:szCs w:val="1"/>
                <w:color w:val="auto"/>
              </w:rPr>
            </w:pPr>
          </w:p>
        </w:tc>
        <w:tc>
          <w:tcPr>
            <w:tcW w:w="2460" w:type="dxa"/>
            <w:vAlign w:val="bottom"/>
            <w:gridSpan w:val="3"/>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50"/>
        </w:trPr>
        <w:tc>
          <w:tcPr>
            <w:tcW w:w="5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60" w:type="dxa"/>
            <w:vAlign w:val="bottom"/>
            <w:gridSpan w:val="7"/>
          </w:tcPr>
          <w:p>
            <w:pPr>
              <w:spacing w:after="0"/>
              <w:rPr>
                <w:rFonts w:ascii="Arial" w:cs="Arial" w:eastAsia="Arial" w:hAnsi="Arial"/>
                <w:sz w:val="18"/>
                <w:szCs w:val="18"/>
                <w:color w:val="0000EE"/>
              </w:rPr>
            </w:pPr>
            <w:hyperlink w:anchor="page41">
              <w:r>
                <w:rPr>
                  <w:rFonts w:ascii="Arial" w:cs="Arial" w:eastAsia="Arial" w:hAnsi="Arial"/>
                  <w:sz w:val="18"/>
                  <w:szCs w:val="18"/>
                  <w:color w:val="0000EE"/>
                </w:rPr>
                <w:t>Revenue</w:t>
              </w:r>
            </w:hyperlink>
          </w:p>
        </w:tc>
        <w:tc>
          <w:tcPr>
            <w:tcW w:w="5500" w:type="dxa"/>
            <w:vAlign w:val="bottom"/>
            <w:gridSpan w:val="11"/>
          </w:tcPr>
          <w:p>
            <w:pPr>
              <w:spacing w:after="0"/>
              <w:rPr>
                <w:sz w:val="21"/>
                <w:szCs w:val="21"/>
                <w:color w:val="auto"/>
              </w:rPr>
            </w:pPr>
          </w:p>
        </w:tc>
        <w:tc>
          <w:tcPr>
            <w:tcW w:w="320" w:type="dxa"/>
            <w:vAlign w:val="bottom"/>
            <w:gridSpan w:val="2"/>
          </w:tcPr>
          <w:p>
            <w:pPr>
              <w:spacing w:after="0"/>
              <w:rPr>
                <w:sz w:val="21"/>
                <w:szCs w:val="21"/>
                <w:color w:val="auto"/>
              </w:rPr>
            </w:pPr>
          </w:p>
        </w:tc>
        <w:tc>
          <w:tcPr>
            <w:tcW w:w="320" w:type="dxa"/>
            <w:vAlign w:val="bottom"/>
            <w:gridSpan w:val="4"/>
          </w:tcPr>
          <w:p>
            <w:pPr>
              <w:jc w:val="center"/>
              <w:ind w:right="120"/>
              <w:spacing w:after="0"/>
              <w:rPr>
                <w:rFonts w:ascii="Arial" w:cs="Arial" w:eastAsia="Arial" w:hAnsi="Arial"/>
                <w:sz w:val="18"/>
                <w:szCs w:val="18"/>
                <w:color w:val="0000EE"/>
                <w:w w:val="99"/>
              </w:rPr>
            </w:pPr>
            <w:hyperlink w:anchor="page41">
              <w:r>
                <w:rPr>
                  <w:rFonts w:ascii="Arial" w:cs="Arial" w:eastAsia="Arial" w:hAnsi="Arial"/>
                  <w:sz w:val="18"/>
                  <w:szCs w:val="18"/>
                  <w:color w:val="0000EE"/>
                  <w:w w:val="99"/>
                </w:rPr>
                <w:t>41</w:t>
              </w:r>
            </w:hyperlink>
          </w:p>
        </w:tc>
      </w:tr>
      <w:tr>
        <w:trPr>
          <w:trHeight w:val="20"/>
        </w:trPr>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720" w:type="dxa"/>
            <w:vAlign w:val="bottom"/>
            <w:gridSpan w:val="5"/>
          </w:tcPr>
          <w:p>
            <w:pPr>
              <w:spacing w:after="0" w:line="20" w:lineRule="exact"/>
              <w:rPr>
                <w:sz w:val="1"/>
                <w:szCs w:val="1"/>
                <w:color w:val="auto"/>
              </w:rPr>
            </w:pPr>
          </w:p>
        </w:tc>
        <w:tc>
          <w:tcPr>
            <w:tcW w:w="2460" w:type="dxa"/>
            <w:vAlign w:val="bottom"/>
            <w:gridSpan w:val="3"/>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50"/>
        </w:trPr>
        <w:tc>
          <w:tcPr>
            <w:tcW w:w="5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060" w:type="dxa"/>
            <w:vAlign w:val="bottom"/>
            <w:gridSpan w:val="18"/>
          </w:tcPr>
          <w:p>
            <w:pPr>
              <w:spacing w:after="0"/>
              <w:rPr>
                <w:rFonts w:ascii="Arial" w:cs="Arial" w:eastAsia="Arial" w:hAnsi="Arial"/>
                <w:sz w:val="18"/>
                <w:szCs w:val="18"/>
                <w:color w:val="0000EE"/>
              </w:rPr>
            </w:pPr>
            <w:hyperlink w:anchor="page44">
              <w:r>
                <w:rPr>
                  <w:rFonts w:ascii="Arial" w:cs="Arial" w:eastAsia="Arial" w:hAnsi="Arial"/>
                  <w:sz w:val="18"/>
                  <w:szCs w:val="18"/>
                  <w:color w:val="0000EE"/>
                </w:rPr>
                <w:t>Gross Margin, Costs, and Expenses</w:t>
              </w:r>
            </w:hyperlink>
          </w:p>
        </w:tc>
        <w:tc>
          <w:tcPr>
            <w:tcW w:w="640" w:type="dxa"/>
            <w:vAlign w:val="bottom"/>
            <w:gridSpan w:val="6"/>
          </w:tcPr>
          <w:p>
            <w:pPr>
              <w:jc w:val="center"/>
              <w:ind w:left="110"/>
              <w:spacing w:after="0"/>
              <w:rPr>
                <w:rFonts w:ascii="Arial" w:cs="Arial" w:eastAsia="Arial" w:hAnsi="Arial"/>
                <w:sz w:val="18"/>
                <w:szCs w:val="18"/>
                <w:color w:val="0000EE"/>
                <w:w w:val="99"/>
              </w:rPr>
            </w:pPr>
            <w:hyperlink w:anchor="page44">
              <w:r>
                <w:rPr>
                  <w:rFonts w:ascii="Arial" w:cs="Arial" w:eastAsia="Arial" w:hAnsi="Arial"/>
                  <w:sz w:val="18"/>
                  <w:szCs w:val="18"/>
                  <w:color w:val="0000EE"/>
                  <w:w w:val="99"/>
                </w:rPr>
                <w:t>44</w:t>
              </w:r>
            </w:hyperlink>
          </w:p>
        </w:tc>
      </w:tr>
      <w:tr>
        <w:trPr>
          <w:trHeight w:val="20"/>
        </w:trPr>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720" w:type="dxa"/>
            <w:vAlign w:val="bottom"/>
            <w:gridSpan w:val="5"/>
          </w:tcPr>
          <w:p>
            <w:pPr>
              <w:spacing w:after="0" w:line="20" w:lineRule="exact"/>
              <w:rPr>
                <w:sz w:val="1"/>
                <w:szCs w:val="1"/>
                <w:color w:val="auto"/>
              </w:rPr>
            </w:pPr>
          </w:p>
        </w:tc>
        <w:tc>
          <w:tcPr>
            <w:tcW w:w="2460" w:type="dxa"/>
            <w:vAlign w:val="bottom"/>
            <w:gridSpan w:val="3"/>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50"/>
        </w:trPr>
        <w:tc>
          <w:tcPr>
            <w:tcW w:w="5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40" w:type="dxa"/>
            <w:vAlign w:val="bottom"/>
            <w:gridSpan w:val="6"/>
          </w:tcPr>
          <w:p>
            <w:pPr>
              <w:spacing w:after="0"/>
              <w:rPr>
                <w:rFonts w:ascii="Arial" w:cs="Arial" w:eastAsia="Arial" w:hAnsi="Arial"/>
                <w:sz w:val="18"/>
                <w:szCs w:val="18"/>
                <w:color w:val="0000EE"/>
                <w:w w:val="99"/>
              </w:rPr>
            </w:pPr>
            <w:hyperlink w:anchor="page44">
              <w:r>
                <w:rPr>
                  <w:rFonts w:ascii="Arial" w:cs="Arial" w:eastAsia="Arial" w:hAnsi="Arial"/>
                  <w:sz w:val="18"/>
                  <w:szCs w:val="18"/>
                  <w:color w:val="0000EE"/>
                  <w:w w:val="99"/>
                </w:rPr>
                <w:t>Financial Condition</w:t>
              </w:r>
            </w:hyperlink>
          </w:p>
        </w:tc>
        <w:tc>
          <w:tcPr>
            <w:tcW w:w="1340" w:type="dxa"/>
            <w:vAlign w:val="bottom"/>
            <w:gridSpan w:val="4"/>
          </w:tcPr>
          <w:p>
            <w:pPr>
              <w:spacing w:after="0"/>
              <w:rPr>
                <w:sz w:val="21"/>
                <w:szCs w:val="21"/>
                <w:color w:val="auto"/>
              </w:rPr>
            </w:pPr>
          </w:p>
        </w:tc>
        <w:tc>
          <w:tcPr>
            <w:tcW w:w="4180" w:type="dxa"/>
            <w:vAlign w:val="bottom"/>
            <w:gridSpan w:val="8"/>
          </w:tcPr>
          <w:p>
            <w:pPr>
              <w:spacing w:after="0"/>
              <w:rPr>
                <w:sz w:val="21"/>
                <w:szCs w:val="21"/>
                <w:color w:val="auto"/>
              </w:rPr>
            </w:pPr>
          </w:p>
        </w:tc>
        <w:tc>
          <w:tcPr>
            <w:tcW w:w="320" w:type="dxa"/>
            <w:vAlign w:val="bottom"/>
            <w:gridSpan w:val="2"/>
          </w:tcPr>
          <w:p>
            <w:pPr>
              <w:spacing w:after="0"/>
              <w:rPr>
                <w:sz w:val="21"/>
                <w:szCs w:val="21"/>
                <w:color w:val="auto"/>
              </w:rPr>
            </w:pPr>
          </w:p>
        </w:tc>
        <w:tc>
          <w:tcPr>
            <w:tcW w:w="320" w:type="dxa"/>
            <w:vAlign w:val="bottom"/>
            <w:gridSpan w:val="4"/>
          </w:tcPr>
          <w:p>
            <w:pPr>
              <w:jc w:val="center"/>
              <w:ind w:right="120"/>
              <w:spacing w:after="0"/>
              <w:rPr>
                <w:rFonts w:ascii="Arial" w:cs="Arial" w:eastAsia="Arial" w:hAnsi="Arial"/>
                <w:sz w:val="18"/>
                <w:szCs w:val="18"/>
                <w:color w:val="0000EE"/>
                <w:w w:val="99"/>
              </w:rPr>
            </w:pPr>
            <w:hyperlink w:anchor="page44">
              <w:r>
                <w:rPr>
                  <w:rFonts w:ascii="Arial" w:cs="Arial" w:eastAsia="Arial" w:hAnsi="Arial"/>
                  <w:sz w:val="18"/>
                  <w:szCs w:val="18"/>
                  <w:color w:val="0000EE"/>
                  <w:w w:val="99"/>
                </w:rPr>
                <w:t>44</w:t>
              </w:r>
            </w:hyperlink>
          </w:p>
        </w:tc>
      </w:tr>
      <w:tr>
        <w:trPr>
          <w:trHeight w:val="20"/>
        </w:trPr>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900" w:type="dxa"/>
            <w:vAlign w:val="bottom"/>
            <w:gridSpan w:val="6"/>
          </w:tcPr>
          <w:p>
            <w:pPr>
              <w:spacing w:after="0" w:line="20" w:lineRule="exact"/>
              <w:rPr>
                <w:sz w:val="1"/>
                <w:szCs w:val="1"/>
                <w:color w:val="auto"/>
              </w:rPr>
            </w:pPr>
          </w:p>
        </w:tc>
        <w:tc>
          <w:tcPr>
            <w:tcW w:w="2460" w:type="dxa"/>
            <w:vAlign w:val="bottom"/>
            <w:gridSpan w:val="3"/>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50"/>
        </w:trPr>
        <w:tc>
          <w:tcPr>
            <w:tcW w:w="5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800" w:type="dxa"/>
            <w:vAlign w:val="bottom"/>
            <w:gridSpan w:val="8"/>
          </w:tcPr>
          <w:p>
            <w:pPr>
              <w:spacing w:after="0"/>
              <w:rPr>
                <w:rFonts w:ascii="Arial" w:cs="Arial" w:eastAsia="Arial" w:hAnsi="Arial"/>
                <w:sz w:val="18"/>
                <w:szCs w:val="18"/>
                <w:color w:val="0000EE"/>
                <w:w w:val="97"/>
              </w:rPr>
            </w:pPr>
            <w:hyperlink w:anchor="page45">
              <w:r>
                <w:rPr>
                  <w:rFonts w:ascii="Arial" w:cs="Arial" w:eastAsia="Arial" w:hAnsi="Arial"/>
                  <w:sz w:val="18"/>
                  <w:szCs w:val="18"/>
                  <w:color w:val="0000EE"/>
                  <w:w w:val="97"/>
                </w:rPr>
                <w:t>Financial Expectations</w:t>
              </w:r>
            </w:hyperlink>
          </w:p>
        </w:tc>
        <w:tc>
          <w:tcPr>
            <w:tcW w:w="5500" w:type="dxa"/>
            <w:vAlign w:val="bottom"/>
            <w:gridSpan w:val="11"/>
          </w:tcPr>
          <w:p>
            <w:pPr>
              <w:spacing w:after="0"/>
              <w:rPr>
                <w:sz w:val="21"/>
                <w:szCs w:val="21"/>
                <w:color w:val="auto"/>
              </w:rPr>
            </w:pPr>
          </w:p>
        </w:tc>
        <w:tc>
          <w:tcPr>
            <w:tcW w:w="320" w:type="dxa"/>
            <w:vAlign w:val="bottom"/>
            <w:gridSpan w:val="2"/>
          </w:tcPr>
          <w:p>
            <w:pPr>
              <w:spacing w:after="0"/>
              <w:rPr>
                <w:sz w:val="21"/>
                <w:szCs w:val="21"/>
                <w:color w:val="auto"/>
              </w:rPr>
            </w:pPr>
          </w:p>
        </w:tc>
        <w:tc>
          <w:tcPr>
            <w:tcW w:w="320" w:type="dxa"/>
            <w:vAlign w:val="bottom"/>
            <w:gridSpan w:val="4"/>
          </w:tcPr>
          <w:p>
            <w:pPr>
              <w:jc w:val="center"/>
              <w:ind w:right="120"/>
              <w:spacing w:after="0"/>
              <w:rPr>
                <w:rFonts w:ascii="Arial" w:cs="Arial" w:eastAsia="Arial" w:hAnsi="Arial"/>
                <w:sz w:val="18"/>
                <w:szCs w:val="18"/>
                <w:color w:val="0000EE"/>
                <w:w w:val="99"/>
              </w:rPr>
            </w:pPr>
            <w:hyperlink w:anchor="page45">
              <w:r>
                <w:rPr>
                  <w:rFonts w:ascii="Arial" w:cs="Arial" w:eastAsia="Arial" w:hAnsi="Arial"/>
                  <w:sz w:val="18"/>
                  <w:szCs w:val="18"/>
                  <w:color w:val="0000EE"/>
                  <w:w w:val="99"/>
                </w:rPr>
                <w:t>45</w:t>
              </w:r>
            </w:hyperlink>
          </w:p>
        </w:tc>
      </w:tr>
      <w:tr>
        <w:trPr>
          <w:trHeight w:val="20"/>
        </w:trPr>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320" w:type="dxa"/>
            <w:vAlign w:val="bottom"/>
            <w:gridSpan w:val="3"/>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900" w:type="dxa"/>
            <w:vAlign w:val="bottom"/>
            <w:gridSpan w:val="6"/>
          </w:tcPr>
          <w:p>
            <w:pPr>
              <w:spacing w:after="0" w:line="20" w:lineRule="exact"/>
              <w:rPr>
                <w:sz w:val="1"/>
                <w:szCs w:val="1"/>
                <w:color w:val="auto"/>
              </w:rPr>
            </w:pPr>
          </w:p>
        </w:tc>
        <w:tc>
          <w:tcPr>
            <w:tcW w:w="2460" w:type="dxa"/>
            <w:vAlign w:val="bottom"/>
            <w:gridSpan w:val="3"/>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50"/>
        </w:trPr>
        <w:tc>
          <w:tcPr>
            <w:tcW w:w="5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940" w:type="dxa"/>
            <w:vAlign w:val="bottom"/>
            <w:gridSpan w:val="10"/>
          </w:tcPr>
          <w:p>
            <w:pPr>
              <w:spacing w:after="0"/>
              <w:rPr>
                <w:rFonts w:ascii="Arial" w:cs="Arial" w:eastAsia="Arial" w:hAnsi="Arial"/>
                <w:sz w:val="18"/>
                <w:szCs w:val="18"/>
                <w:color w:val="0000EE"/>
                <w:w w:val="99"/>
              </w:rPr>
            </w:pPr>
            <w:hyperlink w:anchor="page45">
              <w:r>
                <w:rPr>
                  <w:rFonts w:ascii="Arial" w:cs="Arial" w:eastAsia="Arial" w:hAnsi="Arial"/>
                  <w:sz w:val="18"/>
                  <w:szCs w:val="18"/>
                  <w:color w:val="0000EE"/>
                  <w:w w:val="99"/>
                </w:rPr>
                <w:t>Available Information on our Website</w:t>
              </w:r>
            </w:hyperlink>
          </w:p>
        </w:tc>
        <w:tc>
          <w:tcPr>
            <w:tcW w:w="4360" w:type="dxa"/>
            <w:vAlign w:val="bottom"/>
            <w:gridSpan w:val="9"/>
          </w:tcPr>
          <w:p>
            <w:pPr>
              <w:spacing w:after="0"/>
              <w:rPr>
                <w:sz w:val="21"/>
                <w:szCs w:val="21"/>
                <w:color w:val="auto"/>
              </w:rPr>
            </w:pPr>
          </w:p>
        </w:tc>
        <w:tc>
          <w:tcPr>
            <w:tcW w:w="320" w:type="dxa"/>
            <w:vAlign w:val="bottom"/>
            <w:gridSpan w:val="2"/>
          </w:tcPr>
          <w:p>
            <w:pPr>
              <w:spacing w:after="0"/>
              <w:rPr>
                <w:sz w:val="21"/>
                <w:szCs w:val="21"/>
                <w:color w:val="auto"/>
              </w:rPr>
            </w:pPr>
          </w:p>
        </w:tc>
        <w:tc>
          <w:tcPr>
            <w:tcW w:w="320" w:type="dxa"/>
            <w:vAlign w:val="bottom"/>
            <w:gridSpan w:val="4"/>
          </w:tcPr>
          <w:p>
            <w:pPr>
              <w:jc w:val="center"/>
              <w:ind w:right="120"/>
              <w:spacing w:after="0"/>
              <w:rPr>
                <w:rFonts w:ascii="Arial" w:cs="Arial" w:eastAsia="Arial" w:hAnsi="Arial"/>
                <w:sz w:val="18"/>
                <w:szCs w:val="18"/>
                <w:color w:val="0000EE"/>
                <w:w w:val="99"/>
              </w:rPr>
            </w:pPr>
            <w:hyperlink w:anchor="page45">
              <w:r>
                <w:rPr>
                  <w:rFonts w:ascii="Arial" w:cs="Arial" w:eastAsia="Arial" w:hAnsi="Arial"/>
                  <w:sz w:val="18"/>
                  <w:szCs w:val="18"/>
                  <w:color w:val="0000EE"/>
                  <w:w w:val="99"/>
                </w:rPr>
                <w:t>45</w:t>
              </w:r>
            </w:hyperlink>
          </w:p>
        </w:tc>
      </w:tr>
      <w:tr>
        <w:trPr>
          <w:trHeight w:val="20"/>
        </w:trPr>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500" w:type="dxa"/>
            <w:vAlign w:val="bottom"/>
            <w:gridSpan w:val="4"/>
            <w:shd w:val="clear" w:color="auto" w:fill="0000EE"/>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1900" w:type="dxa"/>
            <w:vAlign w:val="bottom"/>
            <w:gridSpan w:val="6"/>
          </w:tcPr>
          <w:p>
            <w:pPr>
              <w:spacing w:after="0" w:line="20" w:lineRule="exact"/>
              <w:rPr>
                <w:sz w:val="1"/>
                <w:szCs w:val="1"/>
                <w:color w:val="auto"/>
              </w:rPr>
            </w:pPr>
          </w:p>
        </w:tc>
        <w:tc>
          <w:tcPr>
            <w:tcW w:w="2460" w:type="dxa"/>
            <w:vAlign w:val="bottom"/>
            <w:gridSpan w:val="3"/>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50"/>
        </w:trPr>
        <w:tc>
          <w:tcPr>
            <w:tcW w:w="3320" w:type="dxa"/>
            <w:vAlign w:val="bottom"/>
            <w:gridSpan w:val="7"/>
          </w:tcPr>
          <w:p>
            <w:pPr>
              <w:spacing w:after="0"/>
              <w:rPr>
                <w:rFonts w:ascii="Arial" w:cs="Arial" w:eastAsia="Arial" w:hAnsi="Arial"/>
                <w:sz w:val="18"/>
                <w:szCs w:val="18"/>
                <w:color w:val="0000EE"/>
              </w:rPr>
            </w:pPr>
            <w:hyperlink w:anchor="page45">
              <w:r>
                <w:rPr>
                  <w:rFonts w:ascii="Arial" w:cs="Arial" w:eastAsia="Arial" w:hAnsi="Arial"/>
                  <w:sz w:val="18"/>
                  <w:szCs w:val="18"/>
                  <w:color w:val="0000EE"/>
                </w:rPr>
                <w:t>Item 4.</w:t>
              </w:r>
            </w:hyperlink>
          </w:p>
        </w:tc>
        <w:tc>
          <w:tcPr>
            <w:tcW w:w="2940" w:type="dxa"/>
            <w:vAlign w:val="bottom"/>
            <w:gridSpan w:val="10"/>
          </w:tcPr>
          <w:p>
            <w:pPr>
              <w:spacing w:after="0"/>
              <w:rPr>
                <w:rFonts w:ascii="Arial" w:cs="Arial" w:eastAsia="Arial" w:hAnsi="Arial"/>
                <w:sz w:val="18"/>
                <w:szCs w:val="18"/>
                <w:color w:val="0000EE"/>
              </w:rPr>
            </w:pPr>
            <w:hyperlink w:anchor="page45">
              <w:r>
                <w:rPr>
                  <w:rFonts w:ascii="Arial" w:cs="Arial" w:eastAsia="Arial" w:hAnsi="Arial"/>
                  <w:sz w:val="18"/>
                  <w:szCs w:val="18"/>
                  <w:color w:val="0000EE"/>
                </w:rPr>
                <w:t>Controls and Procedures</w:t>
              </w:r>
            </w:hyperlink>
          </w:p>
        </w:tc>
        <w:tc>
          <w:tcPr>
            <w:tcW w:w="4360" w:type="dxa"/>
            <w:vAlign w:val="bottom"/>
            <w:gridSpan w:val="9"/>
          </w:tcPr>
          <w:p>
            <w:pPr>
              <w:spacing w:after="0"/>
              <w:rPr>
                <w:sz w:val="21"/>
                <w:szCs w:val="21"/>
                <w:color w:val="auto"/>
              </w:rPr>
            </w:pPr>
          </w:p>
        </w:tc>
        <w:tc>
          <w:tcPr>
            <w:tcW w:w="320" w:type="dxa"/>
            <w:vAlign w:val="bottom"/>
            <w:gridSpan w:val="2"/>
          </w:tcPr>
          <w:p>
            <w:pPr>
              <w:spacing w:after="0"/>
              <w:rPr>
                <w:sz w:val="21"/>
                <w:szCs w:val="21"/>
                <w:color w:val="auto"/>
              </w:rPr>
            </w:pPr>
          </w:p>
        </w:tc>
        <w:tc>
          <w:tcPr>
            <w:tcW w:w="320" w:type="dxa"/>
            <w:vAlign w:val="bottom"/>
            <w:gridSpan w:val="4"/>
          </w:tcPr>
          <w:p>
            <w:pPr>
              <w:jc w:val="center"/>
              <w:ind w:right="120"/>
              <w:spacing w:after="0"/>
              <w:rPr>
                <w:rFonts w:ascii="Arial" w:cs="Arial" w:eastAsia="Arial" w:hAnsi="Arial"/>
                <w:sz w:val="18"/>
                <w:szCs w:val="18"/>
                <w:color w:val="0000EE"/>
                <w:w w:val="99"/>
              </w:rPr>
            </w:pPr>
            <w:hyperlink w:anchor="page45">
              <w:r>
                <w:rPr>
                  <w:rFonts w:ascii="Arial" w:cs="Arial" w:eastAsia="Arial" w:hAnsi="Arial"/>
                  <w:sz w:val="18"/>
                  <w:szCs w:val="18"/>
                  <w:color w:val="0000EE"/>
                  <w:w w:val="99"/>
                </w:rPr>
                <w:t>45</w:t>
              </w:r>
            </w:hyperlink>
          </w:p>
        </w:tc>
      </w:tr>
      <w:tr>
        <w:trPr>
          <w:trHeight w:val="20"/>
        </w:trPr>
        <w:tc>
          <w:tcPr>
            <w:tcW w:w="54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574"/>
        </w:trPr>
        <w:tc>
          <w:tcPr>
            <w:tcW w:w="3320" w:type="dxa"/>
            <w:vAlign w:val="bottom"/>
            <w:gridSpan w:val="7"/>
          </w:tcPr>
          <w:p>
            <w:pPr>
              <w:spacing w:after="0"/>
              <w:rPr>
                <w:rFonts w:ascii="Arial" w:cs="Arial" w:eastAsia="Arial" w:hAnsi="Arial"/>
                <w:sz w:val="18"/>
                <w:szCs w:val="18"/>
                <w:color w:val="0000EE"/>
              </w:rPr>
            </w:pPr>
            <w:hyperlink w:anchor="page46">
              <w:r>
                <w:rPr>
                  <w:rFonts w:ascii="Arial" w:cs="Arial" w:eastAsia="Arial" w:hAnsi="Arial"/>
                  <w:sz w:val="18"/>
                  <w:szCs w:val="18"/>
                  <w:color w:val="0000EE"/>
                </w:rPr>
                <w:t>PART II. Other Information</w:t>
              </w:r>
            </w:hyperlink>
          </w:p>
        </w:tc>
        <w:tc>
          <w:tcPr>
            <w:tcW w:w="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gridSpan w:val="6"/>
          </w:tcPr>
          <w:p>
            <w:pPr>
              <w:jc w:val="center"/>
              <w:ind w:left="110"/>
              <w:spacing w:after="0"/>
              <w:rPr>
                <w:rFonts w:ascii="Arial" w:cs="Arial" w:eastAsia="Arial" w:hAnsi="Arial"/>
                <w:sz w:val="18"/>
                <w:szCs w:val="18"/>
                <w:color w:val="0000EE"/>
                <w:w w:val="99"/>
              </w:rPr>
            </w:pPr>
            <w:hyperlink w:anchor="page46">
              <w:r>
                <w:rPr>
                  <w:rFonts w:ascii="Arial" w:cs="Arial" w:eastAsia="Arial" w:hAnsi="Arial"/>
                  <w:sz w:val="18"/>
                  <w:szCs w:val="18"/>
                  <w:color w:val="0000EE"/>
                  <w:w w:val="99"/>
                </w:rPr>
                <w:t>46</w:t>
              </w:r>
            </w:hyperlink>
          </w:p>
        </w:tc>
      </w:tr>
      <w:tr>
        <w:trPr>
          <w:trHeight w:val="20"/>
        </w:trPr>
        <w:tc>
          <w:tcPr>
            <w:tcW w:w="66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360" w:type="dxa"/>
            <w:vAlign w:val="bottom"/>
            <w:gridSpan w:val="11"/>
          </w:tcPr>
          <w:p>
            <w:pPr>
              <w:spacing w:after="0" w:line="20" w:lineRule="exact"/>
              <w:rPr>
                <w:sz w:val="1"/>
                <w:szCs w:val="1"/>
                <w:color w:val="auto"/>
              </w:rPr>
            </w:pPr>
          </w:p>
        </w:tc>
        <w:tc>
          <w:tcPr>
            <w:tcW w:w="2460" w:type="dxa"/>
            <w:vAlign w:val="bottom"/>
            <w:gridSpan w:val="3"/>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574"/>
        </w:trPr>
        <w:tc>
          <w:tcPr>
            <w:tcW w:w="2100" w:type="dxa"/>
            <w:vAlign w:val="bottom"/>
            <w:gridSpan w:val="5"/>
          </w:tcPr>
          <w:p>
            <w:pPr>
              <w:spacing w:after="0"/>
              <w:rPr>
                <w:rFonts w:ascii="Arial" w:cs="Arial" w:eastAsia="Arial" w:hAnsi="Arial"/>
                <w:sz w:val="18"/>
                <w:szCs w:val="18"/>
                <w:color w:val="0000EE"/>
              </w:rPr>
            </w:pPr>
            <w:hyperlink w:anchor="page46">
              <w:r>
                <w:rPr>
                  <w:rFonts w:ascii="Arial" w:cs="Arial" w:eastAsia="Arial" w:hAnsi="Arial"/>
                  <w:sz w:val="18"/>
                  <w:szCs w:val="18"/>
                  <w:color w:val="0000EE"/>
                </w:rPr>
                <w:t>Item 1.</w:t>
              </w:r>
            </w:hyperlink>
          </w:p>
        </w:tc>
        <w:tc>
          <w:tcPr>
            <w:tcW w:w="1220" w:type="dxa"/>
            <w:vAlign w:val="bottom"/>
            <w:gridSpan w:val="2"/>
          </w:tcPr>
          <w:p>
            <w:pPr>
              <w:spacing w:after="0"/>
              <w:rPr>
                <w:sz w:val="24"/>
                <w:szCs w:val="24"/>
                <w:color w:val="auto"/>
              </w:rPr>
            </w:pPr>
          </w:p>
        </w:tc>
        <w:tc>
          <w:tcPr>
            <w:tcW w:w="7300" w:type="dxa"/>
            <w:vAlign w:val="bottom"/>
            <w:gridSpan w:val="19"/>
          </w:tcPr>
          <w:p>
            <w:pPr>
              <w:spacing w:after="0"/>
              <w:rPr>
                <w:rFonts w:ascii="Arial" w:cs="Arial" w:eastAsia="Arial" w:hAnsi="Arial"/>
                <w:sz w:val="18"/>
                <w:szCs w:val="18"/>
                <w:color w:val="0000EE"/>
              </w:rPr>
            </w:pPr>
            <w:hyperlink w:anchor="page46">
              <w:r>
                <w:rPr>
                  <w:rFonts w:ascii="Arial" w:cs="Arial" w:eastAsia="Arial" w:hAnsi="Arial"/>
                  <w:sz w:val="18"/>
                  <w:szCs w:val="18"/>
                  <w:color w:val="0000EE"/>
                </w:rPr>
                <w:t>Legal Proceedings</w:t>
              </w:r>
            </w:hyperlink>
          </w:p>
        </w:tc>
        <w:tc>
          <w:tcPr>
            <w:tcW w:w="320" w:type="dxa"/>
            <w:vAlign w:val="bottom"/>
            <w:gridSpan w:val="2"/>
          </w:tcPr>
          <w:p>
            <w:pPr>
              <w:spacing w:after="0"/>
              <w:rPr>
                <w:sz w:val="24"/>
                <w:szCs w:val="24"/>
                <w:color w:val="auto"/>
              </w:rPr>
            </w:pPr>
          </w:p>
        </w:tc>
        <w:tc>
          <w:tcPr>
            <w:tcW w:w="320" w:type="dxa"/>
            <w:vAlign w:val="bottom"/>
            <w:gridSpan w:val="4"/>
          </w:tcPr>
          <w:p>
            <w:pPr>
              <w:jc w:val="center"/>
              <w:ind w:right="120"/>
              <w:spacing w:after="0"/>
              <w:rPr>
                <w:rFonts w:ascii="Arial" w:cs="Arial" w:eastAsia="Arial" w:hAnsi="Arial"/>
                <w:sz w:val="18"/>
                <w:szCs w:val="18"/>
                <w:color w:val="0000EE"/>
                <w:w w:val="99"/>
              </w:rPr>
            </w:pPr>
            <w:hyperlink w:anchor="page46">
              <w:r>
                <w:rPr>
                  <w:rFonts w:ascii="Arial" w:cs="Arial" w:eastAsia="Arial" w:hAnsi="Arial"/>
                  <w:sz w:val="18"/>
                  <w:szCs w:val="18"/>
                  <w:color w:val="0000EE"/>
                  <w:w w:val="99"/>
                </w:rPr>
                <w:t>46</w:t>
              </w:r>
            </w:hyperlink>
          </w:p>
        </w:tc>
      </w:tr>
      <w:tr>
        <w:trPr>
          <w:trHeight w:val="20"/>
        </w:trPr>
        <w:tc>
          <w:tcPr>
            <w:tcW w:w="54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0" w:type="dxa"/>
            <w:vAlign w:val="bottom"/>
            <w:gridSpan w:val="3"/>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3360" w:type="dxa"/>
            <w:vAlign w:val="bottom"/>
            <w:gridSpan w:val="11"/>
          </w:tcPr>
          <w:p>
            <w:pPr>
              <w:spacing w:after="0" w:line="20" w:lineRule="exact"/>
              <w:rPr>
                <w:sz w:val="1"/>
                <w:szCs w:val="1"/>
                <w:color w:val="auto"/>
              </w:rPr>
            </w:pPr>
          </w:p>
        </w:tc>
        <w:tc>
          <w:tcPr>
            <w:tcW w:w="2460" w:type="dxa"/>
            <w:vAlign w:val="bottom"/>
            <w:gridSpan w:val="3"/>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50"/>
        </w:trPr>
        <w:tc>
          <w:tcPr>
            <w:tcW w:w="3320" w:type="dxa"/>
            <w:vAlign w:val="bottom"/>
            <w:gridSpan w:val="7"/>
          </w:tcPr>
          <w:p>
            <w:pPr>
              <w:spacing w:after="0"/>
              <w:rPr>
                <w:rFonts w:ascii="Arial" w:cs="Arial" w:eastAsia="Arial" w:hAnsi="Arial"/>
                <w:sz w:val="18"/>
                <w:szCs w:val="18"/>
                <w:color w:val="0000EE"/>
              </w:rPr>
            </w:pPr>
            <w:hyperlink w:anchor="page47">
              <w:r>
                <w:rPr>
                  <w:rFonts w:ascii="Arial" w:cs="Arial" w:eastAsia="Arial" w:hAnsi="Arial"/>
                  <w:sz w:val="18"/>
                  <w:szCs w:val="18"/>
                  <w:color w:val="0000EE"/>
                </w:rPr>
                <w:t>Item 1A.</w:t>
              </w:r>
            </w:hyperlink>
          </w:p>
        </w:tc>
        <w:tc>
          <w:tcPr>
            <w:tcW w:w="7300" w:type="dxa"/>
            <w:vAlign w:val="bottom"/>
            <w:gridSpan w:val="19"/>
          </w:tcPr>
          <w:p>
            <w:pPr>
              <w:spacing w:after="0"/>
              <w:rPr>
                <w:rFonts w:ascii="Arial" w:cs="Arial" w:eastAsia="Arial" w:hAnsi="Arial"/>
                <w:sz w:val="18"/>
                <w:szCs w:val="18"/>
                <w:color w:val="0000EE"/>
              </w:rPr>
            </w:pPr>
            <w:hyperlink w:anchor="page47">
              <w:r>
                <w:rPr>
                  <w:rFonts w:ascii="Arial" w:cs="Arial" w:eastAsia="Arial" w:hAnsi="Arial"/>
                  <w:sz w:val="18"/>
                  <w:szCs w:val="18"/>
                  <w:color w:val="0000EE"/>
                </w:rPr>
                <w:t>Risk Factors</w:t>
              </w:r>
            </w:hyperlink>
          </w:p>
        </w:tc>
        <w:tc>
          <w:tcPr>
            <w:tcW w:w="640" w:type="dxa"/>
            <w:vAlign w:val="bottom"/>
            <w:gridSpan w:val="6"/>
          </w:tcPr>
          <w:p>
            <w:pPr>
              <w:jc w:val="center"/>
              <w:ind w:left="110"/>
              <w:spacing w:after="0"/>
              <w:rPr>
                <w:rFonts w:ascii="Arial" w:cs="Arial" w:eastAsia="Arial" w:hAnsi="Arial"/>
                <w:sz w:val="18"/>
                <w:szCs w:val="18"/>
                <w:color w:val="0000EE"/>
                <w:w w:val="99"/>
              </w:rPr>
            </w:pPr>
            <w:hyperlink w:anchor="page47">
              <w:r>
                <w:rPr>
                  <w:rFonts w:ascii="Arial" w:cs="Arial" w:eastAsia="Arial" w:hAnsi="Arial"/>
                  <w:sz w:val="18"/>
                  <w:szCs w:val="18"/>
                  <w:color w:val="0000EE"/>
                  <w:w w:val="99"/>
                </w:rPr>
                <w:t>47</w:t>
              </w:r>
            </w:hyperlink>
          </w:p>
        </w:tc>
      </w:tr>
      <w:tr>
        <w:trPr>
          <w:trHeight w:val="20"/>
        </w:trPr>
        <w:tc>
          <w:tcPr>
            <w:tcW w:w="660" w:type="dxa"/>
            <w:vAlign w:val="bottom"/>
            <w:gridSpan w:val="2"/>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0" w:type="dxa"/>
            <w:vAlign w:val="bottom"/>
            <w:gridSpan w:val="3"/>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3840" w:type="dxa"/>
            <w:vAlign w:val="bottom"/>
            <w:gridSpan w:val="12"/>
          </w:tcPr>
          <w:p>
            <w:pPr>
              <w:spacing w:after="0" w:line="20" w:lineRule="exact"/>
              <w:rPr>
                <w:sz w:val="1"/>
                <w:szCs w:val="1"/>
                <w:color w:val="auto"/>
              </w:rPr>
            </w:pPr>
          </w:p>
        </w:tc>
        <w:tc>
          <w:tcPr>
            <w:tcW w:w="2460" w:type="dxa"/>
            <w:vAlign w:val="bottom"/>
            <w:gridSpan w:val="3"/>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50"/>
        </w:trPr>
        <w:tc>
          <w:tcPr>
            <w:tcW w:w="660" w:type="dxa"/>
            <w:vAlign w:val="bottom"/>
            <w:gridSpan w:val="2"/>
          </w:tcPr>
          <w:p>
            <w:pPr>
              <w:spacing w:after="0"/>
              <w:rPr>
                <w:rFonts w:ascii="Arial" w:cs="Arial" w:eastAsia="Arial" w:hAnsi="Arial"/>
                <w:sz w:val="18"/>
                <w:szCs w:val="18"/>
                <w:color w:val="0000EE"/>
              </w:rPr>
            </w:pPr>
            <w:hyperlink w:anchor="page47">
              <w:r>
                <w:rPr>
                  <w:rFonts w:ascii="Arial" w:cs="Arial" w:eastAsia="Arial" w:hAnsi="Arial"/>
                  <w:sz w:val="18"/>
                  <w:szCs w:val="18"/>
                  <w:color w:val="0000EE"/>
                </w:rPr>
                <w:t>Item 2.</w:t>
              </w:r>
            </w:hyperlink>
          </w:p>
        </w:tc>
        <w:tc>
          <w:tcPr>
            <w:tcW w:w="2660" w:type="dxa"/>
            <w:vAlign w:val="bottom"/>
            <w:gridSpan w:val="5"/>
          </w:tcPr>
          <w:p>
            <w:pPr>
              <w:spacing w:after="0"/>
              <w:rPr>
                <w:sz w:val="21"/>
                <w:szCs w:val="21"/>
                <w:color w:val="auto"/>
              </w:rPr>
            </w:pPr>
          </w:p>
        </w:tc>
        <w:tc>
          <w:tcPr>
            <w:tcW w:w="7300" w:type="dxa"/>
            <w:vAlign w:val="bottom"/>
            <w:gridSpan w:val="19"/>
          </w:tcPr>
          <w:p>
            <w:pPr>
              <w:spacing w:after="0"/>
              <w:rPr>
                <w:rFonts w:ascii="Arial" w:cs="Arial" w:eastAsia="Arial" w:hAnsi="Arial"/>
                <w:sz w:val="18"/>
                <w:szCs w:val="18"/>
                <w:color w:val="0000EE"/>
              </w:rPr>
            </w:pPr>
            <w:hyperlink w:anchor="page47">
              <w:r>
                <w:rPr>
                  <w:rFonts w:ascii="Arial" w:cs="Arial" w:eastAsia="Arial" w:hAnsi="Arial"/>
                  <w:sz w:val="18"/>
                  <w:szCs w:val="18"/>
                  <w:color w:val="0000EE"/>
                </w:rPr>
                <w:t>Unregistered Sales of Equity Securities and Use of Proceeds</w:t>
              </w:r>
            </w:hyperlink>
          </w:p>
        </w:tc>
        <w:tc>
          <w:tcPr>
            <w:tcW w:w="640" w:type="dxa"/>
            <w:vAlign w:val="bottom"/>
            <w:gridSpan w:val="6"/>
          </w:tcPr>
          <w:p>
            <w:pPr>
              <w:jc w:val="center"/>
              <w:ind w:left="110"/>
              <w:spacing w:after="0"/>
              <w:rPr>
                <w:rFonts w:ascii="Arial" w:cs="Arial" w:eastAsia="Arial" w:hAnsi="Arial"/>
                <w:sz w:val="18"/>
                <w:szCs w:val="18"/>
                <w:color w:val="0000EE"/>
                <w:w w:val="99"/>
              </w:rPr>
            </w:pPr>
            <w:hyperlink w:anchor="page47">
              <w:r>
                <w:rPr>
                  <w:rFonts w:ascii="Arial" w:cs="Arial" w:eastAsia="Arial" w:hAnsi="Arial"/>
                  <w:sz w:val="18"/>
                  <w:szCs w:val="18"/>
                  <w:color w:val="0000EE"/>
                  <w:w w:val="99"/>
                </w:rPr>
                <w:t>47</w:t>
              </w:r>
            </w:hyperlink>
          </w:p>
        </w:tc>
      </w:tr>
      <w:tr>
        <w:trPr>
          <w:trHeight w:val="20"/>
        </w:trPr>
        <w:tc>
          <w:tcPr>
            <w:tcW w:w="540" w:type="dxa"/>
            <w:vAlign w:val="bottom"/>
            <w:shd w:val="clear" w:color="auto" w:fill="0000EE"/>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0" w:type="dxa"/>
            <w:vAlign w:val="bottom"/>
            <w:gridSpan w:val="3"/>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4220" w:type="dxa"/>
            <w:vAlign w:val="bottom"/>
            <w:gridSpan w:val="14"/>
            <w:shd w:val="clear" w:color="auto" w:fill="0000EE"/>
          </w:tcPr>
          <w:p>
            <w:pPr>
              <w:spacing w:after="0" w:line="20" w:lineRule="exact"/>
              <w:rPr>
                <w:sz w:val="1"/>
                <w:szCs w:val="1"/>
                <w:color w:val="auto"/>
              </w:rPr>
            </w:pPr>
          </w:p>
        </w:tc>
        <w:tc>
          <w:tcPr>
            <w:tcW w:w="2460" w:type="dxa"/>
            <w:vAlign w:val="bottom"/>
            <w:gridSpan w:val="3"/>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50"/>
        </w:trPr>
        <w:tc>
          <w:tcPr>
            <w:tcW w:w="3320" w:type="dxa"/>
            <w:vAlign w:val="bottom"/>
            <w:gridSpan w:val="7"/>
          </w:tcPr>
          <w:p>
            <w:pPr>
              <w:spacing w:after="0"/>
              <w:rPr>
                <w:rFonts w:ascii="Arial" w:cs="Arial" w:eastAsia="Arial" w:hAnsi="Arial"/>
                <w:sz w:val="18"/>
                <w:szCs w:val="18"/>
                <w:color w:val="0000EE"/>
              </w:rPr>
            </w:pPr>
            <w:hyperlink w:anchor="page47">
              <w:r>
                <w:rPr>
                  <w:rFonts w:ascii="Arial" w:cs="Arial" w:eastAsia="Arial" w:hAnsi="Arial"/>
                  <w:sz w:val="18"/>
                  <w:szCs w:val="18"/>
                  <w:color w:val="0000EE"/>
                </w:rPr>
                <w:t>Item 6.</w:t>
              </w:r>
            </w:hyperlink>
          </w:p>
        </w:tc>
        <w:tc>
          <w:tcPr>
            <w:tcW w:w="7300" w:type="dxa"/>
            <w:vAlign w:val="bottom"/>
            <w:gridSpan w:val="19"/>
          </w:tcPr>
          <w:p>
            <w:pPr>
              <w:spacing w:after="0"/>
              <w:rPr>
                <w:rFonts w:ascii="Arial" w:cs="Arial" w:eastAsia="Arial" w:hAnsi="Arial"/>
                <w:sz w:val="18"/>
                <w:szCs w:val="18"/>
                <w:color w:val="0000EE"/>
              </w:rPr>
            </w:pPr>
            <w:hyperlink w:anchor="page47">
              <w:r>
                <w:rPr>
                  <w:rFonts w:ascii="Arial" w:cs="Arial" w:eastAsia="Arial" w:hAnsi="Arial"/>
                  <w:sz w:val="18"/>
                  <w:szCs w:val="18"/>
                  <w:color w:val="0000EE"/>
                </w:rPr>
                <w:t>Exhibits</w:t>
              </w:r>
            </w:hyperlink>
          </w:p>
        </w:tc>
        <w:tc>
          <w:tcPr>
            <w:tcW w:w="640" w:type="dxa"/>
            <w:vAlign w:val="bottom"/>
            <w:gridSpan w:val="6"/>
          </w:tcPr>
          <w:p>
            <w:pPr>
              <w:jc w:val="center"/>
              <w:ind w:left="110"/>
              <w:spacing w:after="0"/>
              <w:rPr>
                <w:rFonts w:ascii="Arial" w:cs="Arial" w:eastAsia="Arial" w:hAnsi="Arial"/>
                <w:sz w:val="18"/>
                <w:szCs w:val="18"/>
                <w:color w:val="0000EE"/>
                <w:w w:val="99"/>
              </w:rPr>
            </w:pPr>
            <w:hyperlink w:anchor="page47">
              <w:r>
                <w:rPr>
                  <w:rFonts w:ascii="Arial" w:cs="Arial" w:eastAsia="Arial" w:hAnsi="Arial"/>
                  <w:sz w:val="18"/>
                  <w:szCs w:val="18"/>
                  <w:color w:val="0000EE"/>
                  <w:w w:val="99"/>
                </w:rPr>
                <w:t>47</w:t>
              </w:r>
            </w:hyperlink>
          </w:p>
        </w:tc>
      </w:tr>
      <w:tr>
        <w:trPr>
          <w:trHeight w:val="20"/>
        </w:trPr>
        <w:tc>
          <w:tcPr>
            <w:tcW w:w="540" w:type="dxa"/>
            <w:vAlign w:val="bottom"/>
            <w:shd w:val="clear" w:color="auto" w:fill="0000EE"/>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0" w:type="dxa"/>
            <w:vAlign w:val="bottom"/>
            <w:gridSpan w:val="3"/>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574"/>
        </w:trPr>
        <w:tc>
          <w:tcPr>
            <w:tcW w:w="860" w:type="dxa"/>
            <w:vAlign w:val="bottom"/>
            <w:gridSpan w:val="3"/>
          </w:tcPr>
          <w:p>
            <w:pPr>
              <w:spacing w:after="0"/>
              <w:rPr>
                <w:rFonts w:ascii="Arial" w:cs="Arial" w:eastAsia="Arial" w:hAnsi="Arial"/>
                <w:sz w:val="18"/>
                <w:szCs w:val="18"/>
                <w:color w:val="0000EE"/>
                <w:w w:val="97"/>
              </w:rPr>
            </w:pPr>
            <w:hyperlink w:anchor="page48">
              <w:r>
                <w:rPr>
                  <w:rFonts w:ascii="Arial" w:cs="Arial" w:eastAsia="Arial" w:hAnsi="Arial"/>
                  <w:sz w:val="18"/>
                  <w:szCs w:val="18"/>
                  <w:color w:val="0000EE"/>
                  <w:w w:val="97"/>
                </w:rPr>
                <w:t>Signatures</w:t>
              </w:r>
            </w:hyperlink>
          </w:p>
        </w:tc>
        <w:tc>
          <w:tcPr>
            <w:tcW w:w="2460" w:type="dxa"/>
            <w:vAlign w:val="bottom"/>
            <w:gridSpan w:val="4"/>
          </w:tcPr>
          <w:p>
            <w:pPr>
              <w:spacing w:after="0"/>
              <w:rPr>
                <w:sz w:val="24"/>
                <w:szCs w:val="24"/>
                <w:color w:val="auto"/>
              </w:rPr>
            </w:pPr>
          </w:p>
        </w:tc>
        <w:tc>
          <w:tcPr>
            <w:tcW w:w="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gridSpan w:val="2"/>
          </w:tcPr>
          <w:p>
            <w:pPr>
              <w:spacing w:after="0"/>
              <w:rPr>
                <w:sz w:val="24"/>
                <w:szCs w:val="24"/>
                <w:color w:val="auto"/>
              </w:rPr>
            </w:pPr>
          </w:p>
        </w:tc>
        <w:tc>
          <w:tcPr>
            <w:tcW w:w="320" w:type="dxa"/>
            <w:vAlign w:val="bottom"/>
            <w:gridSpan w:val="4"/>
          </w:tcPr>
          <w:p>
            <w:pPr>
              <w:jc w:val="center"/>
              <w:ind w:right="120"/>
              <w:spacing w:after="0"/>
              <w:rPr>
                <w:rFonts w:ascii="Arial" w:cs="Arial" w:eastAsia="Arial" w:hAnsi="Arial"/>
                <w:sz w:val="18"/>
                <w:szCs w:val="18"/>
                <w:color w:val="0000EE"/>
                <w:w w:val="99"/>
              </w:rPr>
            </w:pPr>
            <w:hyperlink w:anchor="page48">
              <w:r>
                <w:rPr>
                  <w:rFonts w:ascii="Arial" w:cs="Arial" w:eastAsia="Arial" w:hAnsi="Arial"/>
                  <w:sz w:val="18"/>
                  <w:szCs w:val="18"/>
                  <w:color w:val="0000EE"/>
                  <w:w w:val="99"/>
                </w:rPr>
                <w:t>48</w:t>
              </w:r>
            </w:hyperlink>
          </w:p>
        </w:tc>
      </w:tr>
      <w:tr>
        <w:trPr>
          <w:trHeight w:val="20"/>
        </w:trPr>
        <w:tc>
          <w:tcPr>
            <w:tcW w:w="860" w:type="dxa"/>
            <w:vAlign w:val="bottom"/>
            <w:gridSpan w:val="3"/>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50"/>
        </w:trPr>
        <w:tc>
          <w:tcPr>
            <w:tcW w:w="3320" w:type="dxa"/>
            <w:vAlign w:val="bottom"/>
            <w:gridSpan w:val="7"/>
          </w:tcPr>
          <w:p>
            <w:pPr>
              <w:spacing w:after="0"/>
              <w:rPr>
                <w:rFonts w:ascii="Arial" w:cs="Arial" w:eastAsia="Arial" w:hAnsi="Arial"/>
                <w:sz w:val="18"/>
                <w:szCs w:val="18"/>
                <w:color w:val="0000EE"/>
              </w:rPr>
            </w:pPr>
            <w:hyperlink w:anchor="page49">
              <w:r>
                <w:rPr>
                  <w:rFonts w:ascii="Arial" w:cs="Arial" w:eastAsia="Arial" w:hAnsi="Arial"/>
                  <w:sz w:val="18"/>
                  <w:szCs w:val="18"/>
                  <w:color w:val="0000EE"/>
                </w:rPr>
                <w:t>Index to Exhibits</w:t>
              </w:r>
            </w:hyperlink>
          </w:p>
        </w:tc>
        <w:tc>
          <w:tcPr>
            <w:tcW w:w="2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40" w:type="dxa"/>
            <w:vAlign w:val="bottom"/>
            <w:gridSpan w:val="6"/>
          </w:tcPr>
          <w:p>
            <w:pPr>
              <w:jc w:val="center"/>
              <w:ind w:left="110"/>
              <w:spacing w:after="0"/>
              <w:rPr>
                <w:rFonts w:ascii="Arial" w:cs="Arial" w:eastAsia="Arial" w:hAnsi="Arial"/>
                <w:sz w:val="18"/>
                <w:szCs w:val="18"/>
                <w:color w:val="0000EE"/>
                <w:w w:val="99"/>
              </w:rPr>
            </w:pPr>
            <w:hyperlink w:anchor="page49">
              <w:r>
                <w:rPr>
                  <w:rFonts w:ascii="Arial" w:cs="Arial" w:eastAsia="Arial" w:hAnsi="Arial"/>
                  <w:sz w:val="18"/>
                  <w:szCs w:val="18"/>
                  <w:color w:val="0000EE"/>
                  <w:w w:val="99"/>
                </w:rPr>
                <w:t>49</w:t>
              </w:r>
            </w:hyperlink>
          </w:p>
        </w:tc>
      </w:tr>
      <w:tr>
        <w:trPr>
          <w:trHeight w:val="493"/>
        </w:trPr>
        <w:tc>
          <w:tcPr>
            <w:tcW w:w="54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460" w:type="dxa"/>
            <w:vAlign w:val="bottom"/>
            <w:tcBorders>
              <w:top w:val="single" w:sz="8" w:color="0000EE"/>
            </w:tcBorders>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940" w:type="dxa"/>
            <w:vAlign w:val="bottom"/>
            <w:gridSpan w:val="10"/>
          </w:tcPr>
          <w:p>
            <w:pPr>
              <w:ind w:left="2300"/>
              <w:spacing w:after="0"/>
              <w:rPr>
                <w:sz w:val="20"/>
                <w:szCs w:val="20"/>
                <w:color w:val="auto"/>
              </w:rPr>
            </w:pPr>
            <w:r>
              <w:rPr>
                <w:rFonts w:ascii="Arial" w:cs="Arial" w:eastAsia="Arial" w:hAnsi="Arial"/>
                <w:sz w:val="18"/>
                <w:szCs w:val="18"/>
                <w:color w:val="auto"/>
              </w:rPr>
              <w:t>2</w:t>
            </w: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20" w:type="dxa"/>
            <w:vAlign w:val="bottom"/>
          </w:tcPr>
          <w:p>
            <w:pPr>
              <w:spacing w:after="0"/>
              <w:rPr>
                <w:sz w:val="24"/>
                <w:szCs w:val="24"/>
                <w:color w:val="auto"/>
              </w:rPr>
            </w:pPr>
          </w:p>
        </w:tc>
      </w:tr>
    </w:tbl>
    <w:p>
      <w:pPr>
        <w:sectPr>
          <w:pgSz w:w="11900" w:h="16838" w:orient="portrait"/>
          <w:cols w:equalWidth="0" w:num="1">
            <w:col w:w="11260"/>
          </w:cols>
          <w:pgMar w:left="280" w:top="576" w:right="359" w:bottom="1440" w:gutter="0" w:footer="0" w:header="0"/>
        </w:sectPr>
      </w:pPr>
    </w:p>
    <w:bookmarkStart w:id="2" w:name="page3"/>
    <w:bookmarkEnd w:id="2"/>
    <w:p>
      <w:pPr>
        <w:spacing w:after="0"/>
        <w:rPr>
          <w:sz w:val="20"/>
          <w:szCs w:val="20"/>
          <w:color w:val="auto"/>
        </w:rPr>
      </w:pPr>
      <w:r>
        <w:rPr>
          <w:rFonts w:ascii="Arial" w:cs="Arial" w:eastAsia="Arial" w:hAnsi="Arial"/>
          <w:sz w:val="25"/>
          <w:szCs w:val="25"/>
          <w:i w:val="1"/>
          <w:iCs w:val="1"/>
          <w:color w:val="auto"/>
        </w:rPr>
        <w:t>Forward-Looking Statements</w:t>
      </w:r>
    </w:p>
    <w:p>
      <w:pPr>
        <w:spacing w:after="0" w:line="193" w:lineRule="exact"/>
        <w:rPr>
          <w:sz w:val="20"/>
          <w:szCs w:val="20"/>
          <w:color w:val="auto"/>
        </w:rPr>
      </w:pPr>
    </w:p>
    <w:p>
      <w:pPr>
        <w:ind w:right="160"/>
        <w:spacing w:after="0" w:line="257" w:lineRule="auto"/>
        <w:rPr>
          <w:sz w:val="20"/>
          <w:szCs w:val="20"/>
          <w:color w:val="auto"/>
        </w:rPr>
      </w:pPr>
      <w:r>
        <w:rPr>
          <w:rFonts w:ascii="Arial" w:cs="Arial" w:eastAsia="Arial" w:hAnsi="Arial"/>
          <w:sz w:val="20"/>
          <w:szCs w:val="20"/>
          <w:color w:val="auto"/>
        </w:rPr>
        <w:t>T</w:t>
      </w:r>
      <w:r>
        <w:rPr>
          <w:rFonts w:ascii="Arial" w:cs="Arial" w:eastAsia="Arial" w:hAnsi="Arial"/>
          <w:sz w:val="18"/>
          <w:szCs w:val="18"/>
          <w:color w:val="auto"/>
        </w:rPr>
        <w:t>his Quarterly Report on Form 10-Q includes forward-looking statements within the meaning of Section 27A of the Securities Act of 1933 and</w:t>
      </w:r>
      <w:r>
        <w:rPr>
          <w:rFonts w:ascii="Arial" w:cs="Arial" w:eastAsia="Arial" w:hAnsi="Arial"/>
          <w:sz w:val="20"/>
          <w:szCs w:val="20"/>
          <w:color w:val="auto"/>
        </w:rPr>
        <w:t xml:space="preserve"> </w:t>
      </w:r>
      <w:r>
        <w:rPr>
          <w:rFonts w:ascii="Arial" w:cs="Arial" w:eastAsia="Arial" w:hAnsi="Arial"/>
          <w:sz w:val="18"/>
          <w:szCs w:val="18"/>
          <w:color w:val="auto"/>
        </w:rPr>
        <w:t>Section 21E of the Securities Exchange Act of 1934 (Exchange Act). Forward-looking statements include all statements that do not relate solely to historical or current facts, and can generally be identified by the use of words such as “may,” “believe,” “will,” “expect,” “project,” “estimate,” “intend,” “anticipate,” “plan,” “continue” or similar expressions.</w:t>
      </w:r>
    </w:p>
    <w:p>
      <w:pPr>
        <w:spacing w:after="0" w:line="93"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In particular, information appearing under “Management's Discussion and Analysis of Results of Operations and Financial Condition” includes forward-looking statements. Forward-looking statements inherently involve many risks and uncertainties that could cause actual results to differ materially from those projected in these statements. Where, in any forward-looking statement, we (Lilly or the company) express an expectation or belief as to future results or events, it is based on management's current plans and expectations, expressed in good faith and believed to have a reasonable basis. However, we can give no assurance that any such expectation or belief will result or will be achieved or accomplished. The following include some but not all of the factors that could cause actual results or events to differ materially from those anticipated:</w:t>
      </w:r>
    </w:p>
    <w:p>
      <w:pPr>
        <w:spacing w:after="0" w:line="45" w:lineRule="exact"/>
        <w:rPr>
          <w:sz w:val="20"/>
          <w:szCs w:val="20"/>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timing of anticipated regulatory approvals and launches of new products;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market uptake of recently launched products;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competitive developments affecting current products;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expiration of intellectual property protection for certain of our products;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ability to protect and enforce patents and other intellectual property;</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impact of actions of governmental and private payers affecting pricing of, reimbursement for, and access to pharmaceuticals;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regulatory compliance problems or government investigations;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regulatory actions regarding currently marketed products;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unexpected safety or efficacy concerns associated with our products;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issues with product supply stemming from manufacturing difficulties or disruptions;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regulatory changes or other developments;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changes in patent law or regulations related to data-package exclusivity;</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litigation involving past, current, or future products as we are largely self-insured;</w:t>
      </w:r>
    </w:p>
    <w:p>
      <w:pPr>
        <w:spacing w:after="0" w:line="63" w:lineRule="exact"/>
        <w:rPr>
          <w:rFonts w:ascii="Arial" w:cs="Arial" w:eastAsia="Arial" w:hAnsi="Arial"/>
          <w:sz w:val="18"/>
          <w:szCs w:val="18"/>
          <w:color w:val="auto"/>
        </w:rPr>
      </w:pPr>
    </w:p>
    <w:p>
      <w:pPr>
        <w:ind w:left="1300" w:right="20" w:hanging="968"/>
        <w:spacing w:after="0" w:line="262" w:lineRule="auto"/>
        <w:tabs>
          <w:tab w:leader="none" w:pos="652" w:val="left"/>
        </w:tabs>
        <w:numPr>
          <w:ilvl w:val="0"/>
          <w:numId w:val="1"/>
        </w:numPr>
        <w:rPr>
          <w:rFonts w:ascii="Arial" w:cs="Arial" w:eastAsia="Arial" w:hAnsi="Arial"/>
          <w:sz w:val="18"/>
          <w:szCs w:val="18"/>
          <w:color w:val="auto"/>
        </w:rPr>
      </w:pPr>
      <w:r>
        <w:rPr>
          <w:rFonts w:ascii="Arial" w:cs="Arial" w:eastAsia="Arial" w:hAnsi="Arial"/>
          <w:sz w:val="18"/>
          <w:szCs w:val="18"/>
          <w:color w:val="auto"/>
        </w:rPr>
        <w:t>unauthorized disclosure or misappropriation of trade secrets or other confidential data stored in our information systems, networks, and facilities, or those of third parties with whom we share our data;</w:t>
      </w:r>
    </w:p>
    <w:p>
      <w:pPr>
        <w:spacing w:after="0" w:line="34"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changes in tax law;</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changes in foreign currency exchange rates, interest rates, and inflation;</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asset impairments and restructuring charges;</w:t>
      </w:r>
    </w:p>
    <w:p>
      <w:pPr>
        <w:spacing w:after="0" w:line="63" w:lineRule="exact"/>
        <w:rPr>
          <w:rFonts w:ascii="Arial" w:cs="Arial" w:eastAsia="Arial" w:hAnsi="Arial"/>
          <w:sz w:val="18"/>
          <w:szCs w:val="18"/>
          <w:color w:val="auto"/>
        </w:rPr>
      </w:pPr>
    </w:p>
    <w:p>
      <w:pPr>
        <w:ind w:left="1300" w:right="740" w:hanging="968"/>
        <w:spacing w:after="0" w:line="262" w:lineRule="auto"/>
        <w:tabs>
          <w:tab w:leader="none" w:pos="652" w:val="left"/>
        </w:tabs>
        <w:numPr>
          <w:ilvl w:val="0"/>
          <w:numId w:val="1"/>
        </w:numPr>
        <w:rPr>
          <w:rFonts w:ascii="Arial" w:cs="Arial" w:eastAsia="Arial" w:hAnsi="Arial"/>
          <w:sz w:val="18"/>
          <w:szCs w:val="18"/>
          <w:color w:val="auto"/>
        </w:rPr>
      </w:pPr>
      <w:r>
        <w:rPr>
          <w:rFonts w:ascii="Arial" w:cs="Arial" w:eastAsia="Arial" w:hAnsi="Arial"/>
          <w:sz w:val="18"/>
          <w:szCs w:val="18"/>
          <w:color w:val="auto"/>
        </w:rPr>
        <w:t>changes in accounting standards promulgated by the Financial Accounting Standards Board and the Securities and Exchange Commission (SEC);</w:t>
      </w:r>
    </w:p>
    <w:p>
      <w:pPr>
        <w:spacing w:after="0" w:line="34"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acquisitions and business development transactions and related integration costs;</w:t>
      </w:r>
    </w:p>
    <w:p>
      <w:pPr>
        <w:spacing w:after="0" w:line="63" w:lineRule="exact"/>
        <w:rPr>
          <w:rFonts w:ascii="Arial" w:cs="Arial" w:eastAsia="Arial" w:hAnsi="Arial"/>
          <w:sz w:val="18"/>
          <w:szCs w:val="18"/>
          <w:color w:val="auto"/>
        </w:rPr>
      </w:pPr>
    </w:p>
    <w:p>
      <w:pPr>
        <w:ind w:left="1300" w:right="720" w:hanging="968"/>
        <w:spacing w:after="0" w:line="262" w:lineRule="auto"/>
        <w:tabs>
          <w:tab w:leader="none" w:pos="652"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strategic review of our animal health business, including any potential initial public offering, merger, sale, or retention of the business;</w:t>
      </w:r>
    </w:p>
    <w:p>
      <w:pPr>
        <w:spacing w:after="0" w:line="34"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information technology system inadequacies or operating failures;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reliance on third-party relationships and outsourcing arrangements; and</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impact of global macroeconomic conditions.</w:t>
      </w:r>
    </w:p>
    <w:p>
      <w:pPr>
        <w:spacing w:after="0" w:line="117" w:lineRule="exact"/>
        <w:rPr>
          <w:sz w:val="20"/>
          <w:szCs w:val="20"/>
          <w:color w:val="auto"/>
        </w:rPr>
      </w:pPr>
    </w:p>
    <w:p>
      <w:pPr>
        <w:ind w:right="200"/>
        <w:spacing w:after="0" w:line="256" w:lineRule="auto"/>
        <w:rPr>
          <w:sz w:val="20"/>
          <w:szCs w:val="20"/>
          <w:color w:val="auto"/>
        </w:rPr>
      </w:pPr>
      <w:r>
        <w:rPr>
          <w:rFonts w:ascii="Arial" w:cs="Arial" w:eastAsia="Arial" w:hAnsi="Arial"/>
          <w:sz w:val="18"/>
          <w:szCs w:val="18"/>
          <w:color w:val="auto"/>
        </w:rPr>
        <w:t>More information on factors that could cause actual results or events to differ materially from those anticipated is included from time to time in our reports filed with the SEC, including our Annual Report on Form 10-K for the year ended December 31, 2017, particularly under the captions “Risk Factors.”</w:t>
      </w:r>
    </w:p>
    <w:p>
      <w:pPr>
        <w:spacing w:after="0" w:line="94" w:lineRule="exact"/>
        <w:rPr>
          <w:sz w:val="20"/>
          <w:szCs w:val="20"/>
          <w:color w:val="auto"/>
        </w:rPr>
      </w:pPr>
    </w:p>
    <w:p>
      <w:pPr>
        <w:jc w:val="both"/>
        <w:ind w:right="500"/>
        <w:spacing w:after="0" w:line="256" w:lineRule="auto"/>
        <w:rPr>
          <w:sz w:val="20"/>
          <w:szCs w:val="20"/>
          <w:color w:val="auto"/>
        </w:rPr>
      </w:pPr>
      <w:r>
        <w:rPr>
          <w:rFonts w:ascii="Arial" w:cs="Arial" w:eastAsia="Arial" w:hAnsi="Arial"/>
          <w:sz w:val="18"/>
          <w:szCs w:val="18"/>
          <w:color w:val="auto"/>
        </w:rPr>
        <w:t>All forward-looking statements herein speak only as of the date of this report and are expressly qualified in their entirety by the cautionary statements included in or incorporated by reference into this report. Except as is required by law, we expressly disclaim any obligation to publicly release any revisions to forward-looking statements to reflect events after the date of this report.</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574" w:right="239" w:bottom="1440" w:gutter="0" w:footer="0" w:header="0"/>
        </w:sectPr>
      </w:pPr>
    </w:p>
    <w:bookmarkStart w:id="3" w:name="page4"/>
    <w:bookmarkEnd w:id="3"/>
    <w:p>
      <w:pPr>
        <w:spacing w:after="0"/>
        <w:rPr>
          <w:sz w:val="20"/>
          <w:szCs w:val="20"/>
          <w:color w:val="auto"/>
        </w:rPr>
      </w:pPr>
      <w:r>
        <w:rPr>
          <w:rFonts w:ascii="Arial" w:cs="Arial" w:eastAsia="Arial" w:hAnsi="Arial"/>
          <w:sz w:val="29"/>
          <w:szCs w:val="29"/>
          <w:u w:val="single" w:color="auto"/>
          <w:color w:val="auto"/>
        </w:rPr>
        <w:t>PART I. Financial Information</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Item 1.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Condensed Statements of Operations</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ELI LILLY AND COMPANY AND SUBSIDIARIES</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(Dollars and shares in millions, except per-share data)</w:t>
      </w:r>
    </w:p>
    <w:p>
      <w:pPr>
        <w:spacing w:after="0" w:line="339" w:lineRule="exact"/>
        <w:rPr>
          <w:sz w:val="20"/>
          <w:szCs w:val="20"/>
          <w:color w:val="auto"/>
        </w:rPr>
      </w:pPr>
    </w:p>
    <w:p>
      <w:pPr>
        <w:ind w:left="9380"/>
        <w:spacing w:after="0"/>
        <w:rPr>
          <w:sz w:val="20"/>
          <w:szCs w:val="20"/>
          <w:color w:val="auto"/>
        </w:rPr>
      </w:pPr>
      <w:r>
        <w:rPr>
          <w:rFonts w:ascii="Arial" w:cs="Arial" w:eastAsia="Arial" w:hAnsi="Arial"/>
          <w:sz w:val="14"/>
          <w:szCs w:val="14"/>
          <w:b w:val="1"/>
          <w:bCs w:val="1"/>
          <w:color w:val="auto"/>
        </w:rPr>
        <w:t>Three Months Ended</w:t>
      </w:r>
    </w:p>
    <w:p>
      <w:pPr>
        <w:spacing w:after="0" w:line="19" w:lineRule="exact"/>
        <w:rPr>
          <w:sz w:val="20"/>
          <w:szCs w:val="20"/>
          <w:color w:val="auto"/>
        </w:rPr>
      </w:pPr>
    </w:p>
    <w:p>
      <w:pPr>
        <w:ind w:left="978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5570855</wp:posOffset>
            </wp:positionH>
            <wp:positionV relativeFrom="paragraph">
              <wp:posOffset>14605</wp:posOffset>
            </wp:positionV>
            <wp:extent cx="168084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680845" cy="8890"/>
                    </a:xfrm>
                    <a:prstGeom prst="rect">
                      <a:avLst/>
                    </a:prstGeom>
                    <a:noFill/>
                  </pic:spPr>
                </pic:pic>
              </a:graphicData>
            </a:graphic>
          </wp:anchor>
        </w:drawing>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600" w:type="dxa"/>
            <w:vAlign w:val="bottom"/>
            <w:tcBorders>
              <w:bottom w:val="single" w:sz="8" w:color="CCEEFF"/>
            </w:tcBorders>
          </w:tcPr>
          <w:p>
            <w:pPr>
              <w:spacing w:after="0"/>
              <w:rPr>
                <w:sz w:val="17"/>
                <w:szCs w:val="17"/>
                <w:color w:val="auto"/>
              </w:rPr>
            </w:pPr>
          </w:p>
        </w:tc>
        <w:tc>
          <w:tcPr>
            <w:tcW w:w="318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2018</w:t>
            </w:r>
          </w:p>
        </w:tc>
        <w:tc>
          <w:tcPr>
            <w:tcW w:w="3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2017</w:t>
            </w:r>
          </w:p>
        </w:tc>
      </w:tr>
      <w:tr>
        <w:trPr>
          <w:trHeight w:val="270"/>
        </w:trPr>
        <w:tc>
          <w:tcPr>
            <w:tcW w:w="5600" w:type="dxa"/>
            <w:vAlign w:val="bottom"/>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348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w:t>
            </w:r>
          </w:p>
        </w:tc>
        <w:tc>
          <w:tcPr>
            <w:tcW w:w="1000" w:type="dxa"/>
            <w:vAlign w:val="bottom"/>
            <w:shd w:val="clear" w:color="auto" w:fill="CCEEFF"/>
          </w:tcPr>
          <w:p>
            <w:pPr>
              <w:jc w:val="right"/>
              <w:ind w:right="51"/>
              <w:spacing w:after="0"/>
              <w:rPr>
                <w:sz w:val="20"/>
                <w:szCs w:val="20"/>
                <w:color w:val="auto"/>
              </w:rPr>
            </w:pPr>
            <w:r>
              <w:rPr>
                <w:rFonts w:ascii="Arial" w:cs="Arial" w:eastAsia="Arial" w:hAnsi="Arial"/>
                <w:sz w:val="18"/>
                <w:szCs w:val="18"/>
                <w:b w:val="1"/>
                <w:bCs w:val="1"/>
                <w:color w:val="auto"/>
              </w:rPr>
              <w:t>5,700.0</w:t>
            </w:r>
          </w:p>
        </w:tc>
        <w:tc>
          <w:tcPr>
            <w:tcW w:w="3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5,228.3</w:t>
            </w:r>
          </w:p>
        </w:tc>
      </w:tr>
      <w:tr>
        <w:trPr>
          <w:trHeight w:val="263"/>
        </w:trPr>
        <w:tc>
          <w:tcPr>
            <w:tcW w:w="5600" w:type="dxa"/>
            <w:vAlign w:val="bottom"/>
          </w:tcPr>
          <w:p>
            <w:pPr>
              <w:ind w:left="40"/>
              <w:spacing w:after="0"/>
              <w:rPr>
                <w:sz w:val="20"/>
                <w:szCs w:val="20"/>
                <w:color w:val="auto"/>
              </w:rPr>
            </w:pPr>
            <w:r>
              <w:rPr>
                <w:rFonts w:ascii="Arial" w:cs="Arial" w:eastAsia="Arial" w:hAnsi="Arial"/>
                <w:sz w:val="18"/>
                <w:szCs w:val="18"/>
                <w:color w:val="auto"/>
              </w:rPr>
              <w:t>Costs, expenses, and other:</w:t>
            </w:r>
          </w:p>
        </w:tc>
        <w:tc>
          <w:tcPr>
            <w:tcW w:w="31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960" w:type="dxa"/>
            <w:vAlign w:val="bottom"/>
          </w:tcPr>
          <w:p>
            <w:pPr>
              <w:spacing w:after="0"/>
              <w:rPr>
                <w:sz w:val="22"/>
                <w:szCs w:val="22"/>
                <w:color w:val="auto"/>
              </w:rPr>
            </w:pPr>
          </w:p>
        </w:tc>
      </w:tr>
      <w:tr>
        <w:trPr>
          <w:trHeight w:val="277"/>
        </w:trPr>
        <w:tc>
          <w:tcPr>
            <w:tcW w:w="56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Cost of sales</w:t>
            </w:r>
          </w:p>
        </w:tc>
        <w:tc>
          <w:tcPr>
            <w:tcW w:w="318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51"/>
              <w:spacing w:after="0"/>
              <w:rPr>
                <w:sz w:val="20"/>
                <w:szCs w:val="20"/>
                <w:color w:val="auto"/>
              </w:rPr>
            </w:pPr>
            <w:r>
              <w:rPr>
                <w:rFonts w:ascii="Arial" w:cs="Arial" w:eastAsia="Arial" w:hAnsi="Arial"/>
                <w:sz w:val="18"/>
                <w:szCs w:val="18"/>
                <w:b w:val="1"/>
                <w:bCs w:val="1"/>
                <w:color w:val="auto"/>
              </w:rPr>
              <w:t>1,571.3</w:t>
            </w:r>
          </w:p>
        </w:tc>
        <w:tc>
          <w:tcPr>
            <w:tcW w:w="38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1,347.9</w:t>
            </w:r>
          </w:p>
        </w:tc>
      </w:tr>
      <w:tr>
        <w:trPr>
          <w:trHeight w:val="263"/>
        </w:trPr>
        <w:tc>
          <w:tcPr>
            <w:tcW w:w="5600" w:type="dxa"/>
            <w:vAlign w:val="bottom"/>
          </w:tcPr>
          <w:p>
            <w:pPr>
              <w:ind w:left="180"/>
              <w:spacing w:after="0"/>
              <w:rPr>
                <w:sz w:val="20"/>
                <w:szCs w:val="20"/>
                <w:color w:val="auto"/>
              </w:rPr>
            </w:pPr>
            <w:r>
              <w:rPr>
                <w:rFonts w:ascii="Arial" w:cs="Arial" w:eastAsia="Arial" w:hAnsi="Arial"/>
                <w:sz w:val="18"/>
                <w:szCs w:val="18"/>
                <w:color w:val="auto"/>
              </w:rPr>
              <w:t>Research and development</w:t>
            </w:r>
          </w:p>
        </w:tc>
        <w:tc>
          <w:tcPr>
            <w:tcW w:w="31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00" w:type="dxa"/>
            <w:vAlign w:val="bottom"/>
          </w:tcPr>
          <w:p>
            <w:pPr>
              <w:jc w:val="right"/>
              <w:ind w:right="51"/>
              <w:spacing w:after="0"/>
              <w:rPr>
                <w:sz w:val="20"/>
                <w:szCs w:val="20"/>
                <w:color w:val="auto"/>
              </w:rPr>
            </w:pPr>
            <w:r>
              <w:rPr>
                <w:rFonts w:ascii="Arial" w:cs="Arial" w:eastAsia="Arial" w:hAnsi="Arial"/>
                <w:sz w:val="18"/>
                <w:szCs w:val="18"/>
                <w:b w:val="1"/>
                <w:bCs w:val="1"/>
                <w:color w:val="auto"/>
              </w:rPr>
              <w:t>1,176.9</w:t>
            </w:r>
          </w:p>
        </w:tc>
        <w:tc>
          <w:tcPr>
            <w:tcW w:w="380" w:type="dxa"/>
            <w:vAlign w:val="bottom"/>
          </w:tcPr>
          <w:p>
            <w:pPr>
              <w:spacing w:after="0"/>
              <w:rPr>
                <w:sz w:val="22"/>
                <w:szCs w:val="22"/>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1,258.3</w:t>
            </w:r>
          </w:p>
        </w:tc>
      </w:tr>
      <w:tr>
        <w:trPr>
          <w:trHeight w:val="277"/>
        </w:trPr>
        <w:tc>
          <w:tcPr>
            <w:tcW w:w="56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Marketing, selling, and administrative</w:t>
            </w:r>
          </w:p>
        </w:tc>
        <w:tc>
          <w:tcPr>
            <w:tcW w:w="318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51"/>
              <w:spacing w:after="0"/>
              <w:rPr>
                <w:sz w:val="20"/>
                <w:szCs w:val="20"/>
                <w:color w:val="auto"/>
              </w:rPr>
            </w:pPr>
            <w:r>
              <w:rPr>
                <w:rFonts w:ascii="Arial" w:cs="Arial" w:eastAsia="Arial" w:hAnsi="Arial"/>
                <w:sz w:val="18"/>
                <w:szCs w:val="18"/>
                <w:b w:val="1"/>
                <w:bCs w:val="1"/>
                <w:color w:val="auto"/>
              </w:rPr>
              <w:t>1,500.0</w:t>
            </w:r>
          </w:p>
        </w:tc>
        <w:tc>
          <w:tcPr>
            <w:tcW w:w="38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1,567.7</w:t>
            </w:r>
          </w:p>
        </w:tc>
      </w:tr>
      <w:tr>
        <w:trPr>
          <w:trHeight w:val="263"/>
        </w:trPr>
        <w:tc>
          <w:tcPr>
            <w:tcW w:w="5600" w:type="dxa"/>
            <w:vAlign w:val="bottom"/>
          </w:tcPr>
          <w:p>
            <w:pPr>
              <w:ind w:left="180"/>
              <w:spacing w:after="0"/>
              <w:rPr>
                <w:sz w:val="20"/>
                <w:szCs w:val="20"/>
                <w:color w:val="auto"/>
              </w:rPr>
            </w:pPr>
            <w:r>
              <w:rPr>
                <w:rFonts w:ascii="Arial" w:cs="Arial" w:eastAsia="Arial" w:hAnsi="Arial"/>
                <w:sz w:val="18"/>
                <w:szCs w:val="18"/>
                <w:color w:val="auto"/>
              </w:rPr>
              <w:t>Acquired in-process research and development (Note 3)</w:t>
            </w:r>
          </w:p>
        </w:tc>
        <w:tc>
          <w:tcPr>
            <w:tcW w:w="31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00" w:type="dxa"/>
            <w:vAlign w:val="bottom"/>
          </w:tcPr>
          <w:p>
            <w:pPr>
              <w:jc w:val="right"/>
              <w:ind w:right="51"/>
              <w:spacing w:after="0"/>
              <w:rPr>
                <w:sz w:val="20"/>
                <w:szCs w:val="20"/>
                <w:color w:val="auto"/>
              </w:rPr>
            </w:pPr>
            <w:r>
              <w:rPr>
                <w:rFonts w:ascii="Arial" w:cs="Arial" w:eastAsia="Arial" w:hAnsi="Arial"/>
                <w:sz w:val="18"/>
                <w:szCs w:val="18"/>
                <w:b w:val="1"/>
                <w:bCs w:val="1"/>
                <w:color w:val="auto"/>
              </w:rPr>
              <w:t>—</w:t>
            </w:r>
          </w:p>
        </w:tc>
        <w:tc>
          <w:tcPr>
            <w:tcW w:w="380" w:type="dxa"/>
            <w:vAlign w:val="bottom"/>
          </w:tcPr>
          <w:p>
            <w:pPr>
              <w:spacing w:after="0"/>
              <w:rPr>
                <w:sz w:val="22"/>
                <w:szCs w:val="22"/>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857.6</w:t>
            </w:r>
          </w:p>
        </w:tc>
      </w:tr>
      <w:tr>
        <w:trPr>
          <w:trHeight w:val="277"/>
        </w:trPr>
        <w:tc>
          <w:tcPr>
            <w:tcW w:w="56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Asset impairment, restructuring, and other special charges (Note 5)</w:t>
            </w:r>
          </w:p>
        </w:tc>
        <w:tc>
          <w:tcPr>
            <w:tcW w:w="318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51"/>
              <w:spacing w:after="0"/>
              <w:rPr>
                <w:sz w:val="20"/>
                <w:szCs w:val="20"/>
                <w:color w:val="auto"/>
              </w:rPr>
            </w:pPr>
            <w:r>
              <w:rPr>
                <w:rFonts w:ascii="Arial" w:cs="Arial" w:eastAsia="Arial" w:hAnsi="Arial"/>
                <w:sz w:val="18"/>
                <w:szCs w:val="18"/>
                <w:b w:val="1"/>
                <w:bCs w:val="1"/>
                <w:color w:val="auto"/>
              </w:rPr>
              <w:t>78.3</w:t>
            </w:r>
          </w:p>
        </w:tc>
        <w:tc>
          <w:tcPr>
            <w:tcW w:w="38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213.9</w:t>
            </w:r>
          </w:p>
        </w:tc>
      </w:tr>
      <w:tr>
        <w:trPr>
          <w:trHeight w:val="264"/>
        </w:trPr>
        <w:tc>
          <w:tcPr>
            <w:tcW w:w="560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Other–net, (income) expense (Note 12)</w:t>
            </w:r>
          </w:p>
        </w:tc>
        <w:tc>
          <w:tcPr>
            <w:tcW w:w="318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(67.5)</w:t>
            </w:r>
          </w:p>
        </w:tc>
        <w:tc>
          <w:tcPr>
            <w:tcW w:w="3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(78.3)</w:t>
            </w:r>
          </w:p>
        </w:tc>
      </w:tr>
      <w:tr>
        <w:trPr>
          <w:trHeight w:val="250"/>
        </w:trPr>
        <w:tc>
          <w:tcPr>
            <w:tcW w:w="5600" w:type="dxa"/>
            <w:vAlign w:val="bottom"/>
            <w:shd w:val="clear" w:color="auto" w:fill="CCEEFF"/>
          </w:tcPr>
          <w:p>
            <w:pPr>
              <w:spacing w:after="0"/>
              <w:rPr>
                <w:sz w:val="21"/>
                <w:szCs w:val="21"/>
                <w:color w:val="auto"/>
              </w:rPr>
            </w:pPr>
          </w:p>
        </w:tc>
        <w:tc>
          <w:tcPr>
            <w:tcW w:w="318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b w:val="1"/>
                <w:bCs w:val="1"/>
                <w:color w:val="auto"/>
              </w:rPr>
              <w:t>4,259.0</w:t>
            </w:r>
          </w:p>
        </w:tc>
        <w:tc>
          <w:tcPr>
            <w:tcW w:w="38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5,167.1</w:t>
            </w:r>
          </w:p>
        </w:tc>
      </w:tr>
      <w:tr>
        <w:trPr>
          <w:trHeight w:val="250"/>
        </w:trPr>
        <w:tc>
          <w:tcPr>
            <w:tcW w:w="5600" w:type="dxa"/>
            <w:vAlign w:val="bottom"/>
          </w:tcPr>
          <w:p>
            <w:pPr>
              <w:ind w:left="40"/>
              <w:spacing w:after="0"/>
              <w:rPr>
                <w:sz w:val="20"/>
                <w:szCs w:val="20"/>
                <w:color w:val="auto"/>
              </w:rPr>
            </w:pPr>
            <w:r>
              <w:rPr>
                <w:rFonts w:ascii="Arial" w:cs="Arial" w:eastAsia="Arial" w:hAnsi="Arial"/>
                <w:sz w:val="18"/>
                <w:szCs w:val="18"/>
                <w:color w:val="auto"/>
              </w:rPr>
              <w:t>Income before income taxes</w:t>
            </w:r>
          </w:p>
        </w:tc>
        <w:tc>
          <w:tcPr>
            <w:tcW w:w="31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right"/>
              <w:ind w:right="51"/>
              <w:spacing w:after="0"/>
              <w:rPr>
                <w:sz w:val="20"/>
                <w:szCs w:val="20"/>
                <w:color w:val="auto"/>
              </w:rPr>
            </w:pPr>
            <w:r>
              <w:rPr>
                <w:rFonts w:ascii="Arial" w:cs="Arial" w:eastAsia="Arial" w:hAnsi="Arial"/>
                <w:sz w:val="18"/>
                <w:szCs w:val="18"/>
                <w:b w:val="1"/>
                <w:bCs w:val="1"/>
                <w:color w:val="auto"/>
              </w:rPr>
              <w:t>1,441.0</w:t>
            </w:r>
          </w:p>
        </w:tc>
        <w:tc>
          <w:tcPr>
            <w:tcW w:w="38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61.2</w:t>
            </w:r>
          </w:p>
        </w:tc>
      </w:tr>
      <w:tr>
        <w:trPr>
          <w:trHeight w:val="270"/>
        </w:trPr>
        <w:tc>
          <w:tcPr>
            <w:tcW w:w="560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Income taxes (Note 8)</w:t>
            </w:r>
          </w:p>
        </w:tc>
        <w:tc>
          <w:tcPr>
            <w:tcW w:w="318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b w:val="1"/>
                <w:bCs w:val="1"/>
                <w:color w:val="auto"/>
              </w:rPr>
              <w:t>223.6</w:t>
            </w:r>
          </w:p>
        </w:tc>
        <w:tc>
          <w:tcPr>
            <w:tcW w:w="38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172.0</w:t>
            </w:r>
          </w:p>
        </w:tc>
      </w:tr>
      <w:tr>
        <w:trPr>
          <w:trHeight w:val="264"/>
        </w:trPr>
        <w:tc>
          <w:tcPr>
            <w:tcW w:w="5600" w:type="dxa"/>
            <w:vAlign w:val="bottom"/>
          </w:tcPr>
          <w:p>
            <w:pPr>
              <w:ind w:left="40"/>
              <w:spacing w:after="0"/>
              <w:rPr>
                <w:sz w:val="20"/>
                <w:szCs w:val="20"/>
                <w:color w:val="auto"/>
              </w:rPr>
            </w:pPr>
            <w:r>
              <w:rPr>
                <w:rFonts w:ascii="Arial" w:cs="Arial" w:eastAsia="Arial" w:hAnsi="Arial"/>
                <w:sz w:val="18"/>
                <w:szCs w:val="18"/>
                <w:color w:val="auto"/>
              </w:rPr>
              <w:t>Net income (loss)</w:t>
            </w:r>
          </w:p>
        </w:tc>
        <w:tc>
          <w:tcPr>
            <w:tcW w:w="3480" w:type="dxa"/>
            <w:vAlign w:val="bottom"/>
            <w:gridSpan w:val="2"/>
          </w:tcPr>
          <w:p>
            <w:pPr>
              <w:jc w:val="right"/>
              <w:ind w:right="90"/>
              <w:spacing w:after="0"/>
              <w:rPr>
                <w:sz w:val="20"/>
                <w:szCs w:val="20"/>
                <w:color w:val="auto"/>
              </w:rPr>
            </w:pPr>
            <w:r>
              <w:rPr>
                <w:rFonts w:ascii="Arial" w:cs="Arial" w:eastAsia="Arial" w:hAnsi="Arial"/>
                <w:sz w:val="18"/>
                <w:szCs w:val="18"/>
                <w:b w:val="1"/>
                <w:bCs w:val="1"/>
                <w:color w:val="auto"/>
              </w:rPr>
              <w:t>$</w:t>
            </w:r>
          </w:p>
        </w:tc>
        <w:tc>
          <w:tcPr>
            <w:tcW w:w="1000" w:type="dxa"/>
            <w:vAlign w:val="bottom"/>
          </w:tcPr>
          <w:p>
            <w:pPr>
              <w:jc w:val="right"/>
              <w:ind w:right="51"/>
              <w:spacing w:after="0"/>
              <w:rPr>
                <w:sz w:val="20"/>
                <w:szCs w:val="20"/>
                <w:color w:val="auto"/>
              </w:rPr>
            </w:pPr>
            <w:r>
              <w:rPr>
                <w:rFonts w:ascii="Arial" w:cs="Arial" w:eastAsia="Arial" w:hAnsi="Arial"/>
                <w:sz w:val="18"/>
                <w:szCs w:val="18"/>
                <w:b w:val="1"/>
                <w:bCs w:val="1"/>
                <w:color w:val="auto"/>
              </w:rPr>
              <w:t>1,217.4</w:t>
            </w:r>
          </w:p>
        </w:tc>
        <w:tc>
          <w:tcPr>
            <w:tcW w:w="38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(110.8)</w:t>
            </w:r>
          </w:p>
        </w:tc>
      </w:tr>
      <w:tr>
        <w:trPr>
          <w:trHeight w:val="324"/>
        </w:trPr>
        <w:tc>
          <w:tcPr>
            <w:tcW w:w="5600" w:type="dxa"/>
            <w:vAlign w:val="bottom"/>
            <w:tcBorders>
              <w:top w:val="single" w:sz="8" w:color="CCEEFF"/>
            </w:tcBorders>
            <w:shd w:val="clear" w:color="auto" w:fill="CCEEFF"/>
          </w:tcPr>
          <w:p>
            <w:pPr>
              <w:spacing w:after="0"/>
              <w:rPr>
                <w:sz w:val="24"/>
                <w:szCs w:val="24"/>
                <w:color w:val="auto"/>
              </w:rPr>
            </w:pPr>
          </w:p>
        </w:tc>
        <w:tc>
          <w:tcPr>
            <w:tcW w:w="3180" w:type="dxa"/>
            <w:vAlign w:val="bottom"/>
            <w:tcBorders>
              <w:top w:val="single" w:sz="8" w:color="CCEEFF"/>
            </w:tcBorders>
            <w:shd w:val="clear" w:color="auto" w:fill="CCEEFF"/>
          </w:tcPr>
          <w:p>
            <w:pPr>
              <w:spacing w:after="0"/>
              <w:rPr>
                <w:sz w:val="24"/>
                <w:szCs w:val="24"/>
                <w:color w:val="auto"/>
              </w:rPr>
            </w:pPr>
          </w:p>
        </w:tc>
        <w:tc>
          <w:tcPr>
            <w:tcW w:w="300" w:type="dxa"/>
            <w:vAlign w:val="bottom"/>
            <w:tcBorders>
              <w:top w:val="single" w:sz="8" w:color="auto"/>
            </w:tcBorders>
            <w:shd w:val="clear" w:color="auto" w:fill="CCEEFF"/>
          </w:tcPr>
          <w:p>
            <w:pPr>
              <w:spacing w:after="0"/>
              <w:rPr>
                <w:sz w:val="24"/>
                <w:szCs w:val="24"/>
                <w:color w:val="auto"/>
              </w:rPr>
            </w:pPr>
          </w:p>
        </w:tc>
        <w:tc>
          <w:tcPr>
            <w:tcW w:w="1000" w:type="dxa"/>
            <w:vAlign w:val="bottom"/>
            <w:tcBorders>
              <w:top w:val="single" w:sz="8" w:color="auto"/>
            </w:tcBorders>
            <w:shd w:val="clear" w:color="auto" w:fill="CCEEFF"/>
          </w:tcPr>
          <w:p>
            <w:pPr>
              <w:spacing w:after="0"/>
              <w:rPr>
                <w:sz w:val="24"/>
                <w:szCs w:val="24"/>
                <w:color w:val="auto"/>
              </w:rPr>
            </w:pPr>
          </w:p>
        </w:tc>
        <w:tc>
          <w:tcPr>
            <w:tcW w:w="380" w:type="dxa"/>
            <w:vAlign w:val="bottom"/>
            <w:tcBorders>
              <w:top w:val="single" w:sz="8" w:color="auto"/>
            </w:tcBorders>
            <w:shd w:val="clear" w:color="auto" w:fill="CCEEFF"/>
          </w:tcPr>
          <w:p>
            <w:pPr>
              <w:spacing w:after="0"/>
              <w:rPr>
                <w:sz w:val="24"/>
                <w:szCs w:val="24"/>
                <w:color w:val="auto"/>
              </w:rPr>
            </w:pPr>
          </w:p>
        </w:tc>
        <w:tc>
          <w:tcPr>
            <w:tcW w:w="960" w:type="dxa"/>
            <w:vAlign w:val="bottom"/>
            <w:tcBorders>
              <w:top w:val="single" w:sz="8" w:color="auto"/>
            </w:tcBorders>
            <w:shd w:val="clear" w:color="auto" w:fill="CCEEFF"/>
          </w:tcPr>
          <w:p>
            <w:pPr>
              <w:spacing w:after="0"/>
              <w:rPr>
                <w:sz w:val="24"/>
                <w:szCs w:val="24"/>
                <w:color w:val="auto"/>
              </w:rPr>
            </w:pPr>
          </w:p>
        </w:tc>
      </w:tr>
      <w:tr>
        <w:trPr>
          <w:trHeight w:val="263"/>
        </w:trPr>
        <w:tc>
          <w:tcPr>
            <w:tcW w:w="5600" w:type="dxa"/>
            <w:vAlign w:val="bottom"/>
          </w:tcPr>
          <w:p>
            <w:pPr>
              <w:ind w:left="40"/>
              <w:spacing w:after="0"/>
              <w:rPr>
                <w:sz w:val="20"/>
                <w:szCs w:val="20"/>
                <w:color w:val="auto"/>
              </w:rPr>
            </w:pPr>
            <w:r>
              <w:rPr>
                <w:rFonts w:ascii="Arial" w:cs="Arial" w:eastAsia="Arial" w:hAnsi="Arial"/>
                <w:sz w:val="18"/>
                <w:szCs w:val="18"/>
                <w:color w:val="auto"/>
              </w:rPr>
              <w:t>Earnings (loss) per share:</w:t>
            </w:r>
          </w:p>
        </w:tc>
        <w:tc>
          <w:tcPr>
            <w:tcW w:w="31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960" w:type="dxa"/>
            <w:vAlign w:val="bottom"/>
          </w:tcPr>
          <w:p>
            <w:pPr>
              <w:spacing w:after="0"/>
              <w:rPr>
                <w:sz w:val="22"/>
                <w:szCs w:val="22"/>
                <w:color w:val="auto"/>
              </w:rPr>
            </w:pPr>
          </w:p>
        </w:tc>
      </w:tr>
      <w:tr>
        <w:trPr>
          <w:trHeight w:val="284"/>
        </w:trPr>
        <w:tc>
          <w:tcPr>
            <w:tcW w:w="56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Basic</w:t>
            </w:r>
          </w:p>
        </w:tc>
        <w:tc>
          <w:tcPr>
            <w:tcW w:w="318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b w:val="1"/>
                <w:bCs w:val="1"/>
                <w:color w:val="auto"/>
              </w:rPr>
              <w:t>1.16</w:t>
            </w:r>
          </w:p>
        </w:tc>
        <w:tc>
          <w:tcPr>
            <w:tcW w:w="3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(0.10)</w:t>
            </w:r>
          </w:p>
        </w:tc>
      </w:tr>
      <w:tr>
        <w:trPr>
          <w:trHeight w:val="277"/>
        </w:trPr>
        <w:tc>
          <w:tcPr>
            <w:tcW w:w="5600" w:type="dxa"/>
            <w:vAlign w:val="bottom"/>
          </w:tcPr>
          <w:p>
            <w:pPr>
              <w:ind w:left="180"/>
              <w:spacing w:after="0"/>
              <w:rPr>
                <w:sz w:val="20"/>
                <w:szCs w:val="20"/>
                <w:color w:val="auto"/>
              </w:rPr>
            </w:pPr>
            <w:r>
              <w:rPr>
                <w:rFonts w:ascii="Arial" w:cs="Arial" w:eastAsia="Arial" w:hAnsi="Arial"/>
                <w:sz w:val="18"/>
                <w:szCs w:val="18"/>
                <w:color w:val="auto"/>
              </w:rPr>
              <w:t>Diluted</w:t>
            </w:r>
          </w:p>
        </w:tc>
        <w:tc>
          <w:tcPr>
            <w:tcW w:w="3480" w:type="dxa"/>
            <w:vAlign w:val="bottom"/>
            <w:gridSpan w:val="2"/>
          </w:tcPr>
          <w:p>
            <w:pPr>
              <w:jc w:val="right"/>
              <w:ind w:right="90"/>
              <w:spacing w:after="0"/>
              <w:rPr>
                <w:sz w:val="20"/>
                <w:szCs w:val="20"/>
                <w:color w:val="auto"/>
              </w:rPr>
            </w:pPr>
            <w:r>
              <w:rPr>
                <w:rFonts w:ascii="Arial" w:cs="Arial" w:eastAsia="Arial" w:hAnsi="Arial"/>
                <w:sz w:val="18"/>
                <w:szCs w:val="18"/>
                <w:b w:val="1"/>
                <w:bCs w:val="1"/>
                <w:color w:val="auto"/>
              </w:rPr>
              <w:t>$</w:t>
            </w:r>
          </w:p>
        </w:tc>
        <w:tc>
          <w:tcPr>
            <w:tcW w:w="1000" w:type="dxa"/>
            <w:vAlign w:val="bottom"/>
          </w:tcPr>
          <w:p>
            <w:pPr>
              <w:jc w:val="right"/>
              <w:ind w:right="51"/>
              <w:spacing w:after="0"/>
              <w:rPr>
                <w:sz w:val="20"/>
                <w:szCs w:val="20"/>
                <w:color w:val="auto"/>
              </w:rPr>
            </w:pPr>
            <w:r>
              <w:rPr>
                <w:rFonts w:ascii="Arial" w:cs="Arial" w:eastAsia="Arial" w:hAnsi="Arial"/>
                <w:sz w:val="18"/>
                <w:szCs w:val="18"/>
                <w:b w:val="1"/>
                <w:bCs w:val="1"/>
                <w:color w:val="auto"/>
              </w:rPr>
              <w:t>1.16</w:t>
            </w:r>
          </w:p>
        </w:tc>
        <w:tc>
          <w:tcPr>
            <w:tcW w:w="38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(0.10)</w:t>
            </w:r>
          </w:p>
        </w:tc>
      </w:tr>
      <w:tr>
        <w:trPr>
          <w:trHeight w:val="270"/>
        </w:trPr>
        <w:tc>
          <w:tcPr>
            <w:tcW w:w="560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Shares used in calculation of earnings (loss) per share:</w:t>
            </w:r>
          </w:p>
        </w:tc>
        <w:tc>
          <w:tcPr>
            <w:tcW w:w="3180" w:type="dxa"/>
            <w:vAlign w:val="bottom"/>
            <w:tcBorders>
              <w:top w:val="single" w:sz="8" w:color="CCEEFF"/>
            </w:tcBorders>
            <w:shd w:val="clear" w:color="auto" w:fill="CCEEFF"/>
          </w:tcPr>
          <w:p>
            <w:pPr>
              <w:spacing w:after="0"/>
              <w:rPr>
                <w:sz w:val="23"/>
                <w:szCs w:val="23"/>
                <w:color w:val="auto"/>
              </w:rPr>
            </w:pPr>
          </w:p>
        </w:tc>
        <w:tc>
          <w:tcPr>
            <w:tcW w:w="300" w:type="dxa"/>
            <w:vAlign w:val="bottom"/>
            <w:tcBorders>
              <w:top w:val="single" w:sz="8" w:color="auto"/>
            </w:tcBorders>
            <w:shd w:val="clear" w:color="auto" w:fill="CCEEFF"/>
          </w:tcPr>
          <w:p>
            <w:pPr>
              <w:spacing w:after="0"/>
              <w:rPr>
                <w:sz w:val="23"/>
                <w:szCs w:val="23"/>
                <w:color w:val="auto"/>
              </w:rPr>
            </w:pPr>
          </w:p>
        </w:tc>
        <w:tc>
          <w:tcPr>
            <w:tcW w:w="1000" w:type="dxa"/>
            <w:vAlign w:val="bottom"/>
            <w:tcBorders>
              <w:top w:val="single" w:sz="8" w:color="auto"/>
            </w:tcBorders>
            <w:shd w:val="clear" w:color="auto" w:fill="CCEEFF"/>
          </w:tcPr>
          <w:p>
            <w:pPr>
              <w:spacing w:after="0"/>
              <w:rPr>
                <w:sz w:val="23"/>
                <w:szCs w:val="23"/>
                <w:color w:val="auto"/>
              </w:rPr>
            </w:pPr>
          </w:p>
        </w:tc>
        <w:tc>
          <w:tcPr>
            <w:tcW w:w="380" w:type="dxa"/>
            <w:vAlign w:val="bottom"/>
            <w:tcBorders>
              <w:top w:val="single" w:sz="8" w:color="auto"/>
            </w:tcBorders>
            <w:shd w:val="clear" w:color="auto" w:fill="CCEEFF"/>
          </w:tcPr>
          <w:p>
            <w:pPr>
              <w:spacing w:after="0"/>
              <w:rPr>
                <w:sz w:val="23"/>
                <w:szCs w:val="23"/>
                <w:color w:val="auto"/>
              </w:rPr>
            </w:pPr>
          </w:p>
        </w:tc>
        <w:tc>
          <w:tcPr>
            <w:tcW w:w="960" w:type="dxa"/>
            <w:vAlign w:val="bottom"/>
            <w:tcBorders>
              <w:top w:val="single" w:sz="8" w:color="auto"/>
            </w:tcBorders>
            <w:shd w:val="clear" w:color="auto" w:fill="CCEEFF"/>
          </w:tcPr>
          <w:p>
            <w:pPr>
              <w:spacing w:after="0"/>
              <w:rPr>
                <w:sz w:val="23"/>
                <w:szCs w:val="23"/>
                <w:color w:val="auto"/>
              </w:rPr>
            </w:pPr>
          </w:p>
        </w:tc>
      </w:tr>
      <w:tr>
        <w:trPr>
          <w:trHeight w:val="263"/>
        </w:trPr>
        <w:tc>
          <w:tcPr>
            <w:tcW w:w="5600" w:type="dxa"/>
            <w:vAlign w:val="bottom"/>
          </w:tcPr>
          <w:p>
            <w:pPr>
              <w:ind w:left="180"/>
              <w:spacing w:after="0"/>
              <w:rPr>
                <w:sz w:val="20"/>
                <w:szCs w:val="20"/>
                <w:color w:val="auto"/>
              </w:rPr>
            </w:pPr>
            <w:r>
              <w:rPr>
                <w:rFonts w:ascii="Arial" w:cs="Arial" w:eastAsia="Arial" w:hAnsi="Arial"/>
                <w:sz w:val="18"/>
                <w:szCs w:val="18"/>
                <w:color w:val="auto"/>
              </w:rPr>
              <w:t>Basic</w:t>
            </w:r>
          </w:p>
        </w:tc>
        <w:tc>
          <w:tcPr>
            <w:tcW w:w="31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00" w:type="dxa"/>
            <w:vAlign w:val="bottom"/>
          </w:tcPr>
          <w:p>
            <w:pPr>
              <w:jc w:val="right"/>
              <w:ind w:right="51"/>
              <w:spacing w:after="0"/>
              <w:rPr>
                <w:sz w:val="20"/>
                <w:szCs w:val="20"/>
                <w:color w:val="auto"/>
              </w:rPr>
            </w:pPr>
            <w:r>
              <w:rPr>
                <w:rFonts w:ascii="Arial" w:cs="Arial" w:eastAsia="Arial" w:hAnsi="Arial"/>
                <w:sz w:val="18"/>
                <w:szCs w:val="18"/>
                <w:b w:val="1"/>
                <w:bCs w:val="1"/>
                <w:color w:val="auto"/>
              </w:rPr>
              <w:t>1,048.0</w:t>
            </w:r>
          </w:p>
        </w:tc>
        <w:tc>
          <w:tcPr>
            <w:tcW w:w="380" w:type="dxa"/>
            <w:vAlign w:val="bottom"/>
          </w:tcPr>
          <w:p>
            <w:pPr>
              <w:spacing w:after="0"/>
              <w:rPr>
                <w:sz w:val="22"/>
                <w:szCs w:val="22"/>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1,056.3</w:t>
            </w:r>
          </w:p>
        </w:tc>
      </w:tr>
      <w:tr>
        <w:trPr>
          <w:trHeight w:val="277"/>
        </w:trPr>
        <w:tc>
          <w:tcPr>
            <w:tcW w:w="56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Diluted</w:t>
            </w:r>
          </w:p>
        </w:tc>
        <w:tc>
          <w:tcPr>
            <w:tcW w:w="318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51"/>
              <w:spacing w:after="0"/>
              <w:rPr>
                <w:sz w:val="20"/>
                <w:szCs w:val="20"/>
                <w:color w:val="auto"/>
              </w:rPr>
            </w:pPr>
            <w:r>
              <w:rPr>
                <w:rFonts w:ascii="Arial" w:cs="Arial" w:eastAsia="Arial" w:hAnsi="Arial"/>
                <w:sz w:val="18"/>
                <w:szCs w:val="18"/>
                <w:b w:val="1"/>
                <w:bCs w:val="1"/>
                <w:color w:val="auto"/>
              </w:rPr>
              <w:t>1,049.8</w:t>
            </w:r>
          </w:p>
        </w:tc>
        <w:tc>
          <w:tcPr>
            <w:tcW w:w="38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1,056.3</w:t>
            </w:r>
          </w:p>
        </w:tc>
      </w:tr>
      <w:tr>
        <w:trPr>
          <w:trHeight w:val="324"/>
        </w:trPr>
        <w:tc>
          <w:tcPr>
            <w:tcW w:w="560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90"/>
        </w:trPr>
        <w:tc>
          <w:tcPr>
            <w:tcW w:w="5600" w:type="dxa"/>
            <w:vAlign w:val="bottom"/>
            <w:shd w:val="clear" w:color="auto" w:fill="CCEEFF"/>
          </w:tcPr>
          <w:p>
            <w:pPr>
              <w:ind w:left="40"/>
              <w:spacing w:after="0"/>
              <w:rPr>
                <w:sz w:val="20"/>
                <w:szCs w:val="20"/>
                <w:color w:val="auto"/>
              </w:rPr>
            </w:pPr>
            <w:r>
              <w:rPr>
                <w:rFonts w:ascii="Arial" w:cs="Arial" w:eastAsia="Arial" w:hAnsi="Arial"/>
                <w:sz w:val="18"/>
                <w:szCs w:val="18"/>
                <w:color w:val="auto"/>
              </w:rPr>
              <w:t>Dividends paid per share</w:t>
            </w:r>
          </w:p>
        </w:tc>
        <w:tc>
          <w:tcPr>
            <w:tcW w:w="348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w:t>
            </w:r>
          </w:p>
        </w:tc>
        <w:tc>
          <w:tcPr>
            <w:tcW w:w="1000" w:type="dxa"/>
            <w:vAlign w:val="bottom"/>
            <w:shd w:val="clear" w:color="auto" w:fill="CCEEFF"/>
          </w:tcPr>
          <w:p>
            <w:pPr>
              <w:jc w:val="right"/>
              <w:ind w:right="51"/>
              <w:spacing w:after="0"/>
              <w:rPr>
                <w:sz w:val="20"/>
                <w:szCs w:val="20"/>
                <w:color w:val="auto"/>
              </w:rPr>
            </w:pPr>
            <w:r>
              <w:rPr>
                <w:rFonts w:ascii="Arial" w:cs="Arial" w:eastAsia="Arial" w:hAnsi="Arial"/>
                <w:sz w:val="18"/>
                <w:szCs w:val="18"/>
                <w:b w:val="1"/>
                <w:bCs w:val="1"/>
                <w:color w:val="auto"/>
              </w:rPr>
              <w:t>0.5625</w:t>
            </w:r>
          </w:p>
        </w:tc>
        <w:tc>
          <w:tcPr>
            <w:tcW w:w="3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0.52</w:t>
            </w:r>
          </w:p>
        </w:tc>
      </w:tr>
      <w:tr>
        <w:trPr>
          <w:trHeight w:val="365"/>
        </w:trPr>
        <w:tc>
          <w:tcPr>
            <w:tcW w:w="560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See notes to consolidated condensed financial statements.</w:t>
            </w:r>
          </w:p>
        </w:tc>
        <w:tc>
          <w:tcPr>
            <w:tcW w:w="3180" w:type="dxa"/>
            <w:vAlign w:val="bottom"/>
            <w:tcBorders>
              <w:top w:val="single" w:sz="8" w:color="CCEEFF"/>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r>
      <w:tr>
        <w:trPr>
          <w:trHeight w:val="459"/>
        </w:trPr>
        <w:tc>
          <w:tcPr>
            <w:tcW w:w="5600" w:type="dxa"/>
            <w:vAlign w:val="bottom"/>
          </w:tcPr>
          <w:p>
            <w:pPr>
              <w:spacing w:after="0"/>
              <w:rPr>
                <w:sz w:val="24"/>
                <w:szCs w:val="24"/>
                <w:color w:val="auto"/>
              </w:rPr>
            </w:pPr>
          </w:p>
        </w:tc>
        <w:tc>
          <w:tcPr>
            <w:tcW w:w="3180" w:type="dxa"/>
            <w:vAlign w:val="bottom"/>
          </w:tcPr>
          <w:p>
            <w:pPr>
              <w:jc w:val="right"/>
              <w:ind w:right="2930"/>
              <w:spacing w:after="0"/>
              <w:rPr>
                <w:sz w:val="20"/>
                <w:szCs w:val="20"/>
                <w:color w:val="auto"/>
              </w:rPr>
            </w:pPr>
            <w:r>
              <w:rPr>
                <w:rFonts w:ascii="Arial" w:cs="Arial" w:eastAsia="Arial" w:hAnsi="Arial"/>
                <w:sz w:val="18"/>
                <w:szCs w:val="18"/>
                <w:color w:val="auto"/>
              </w:rPr>
              <w:t>4</w:t>
            </w: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60" w:type="dxa"/>
            <w:vAlign w:val="bottom"/>
          </w:tcPr>
          <w:p>
            <w:pPr>
              <w:spacing w:after="0"/>
              <w:rPr>
                <w:sz w:val="24"/>
                <w:szCs w:val="24"/>
                <w:color w:val="auto"/>
              </w:rPr>
            </w:pPr>
          </w:p>
        </w:tc>
      </w:tr>
    </w:tbl>
    <w:p>
      <w:pPr>
        <w:sectPr>
          <w:pgSz w:w="11900" w:h="16838" w:orient="portrait"/>
          <w:cols w:equalWidth="0" w:num="1">
            <w:col w:w="11420"/>
          </w:cols>
          <w:pgMar w:left="240" w:top="595"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Consolidated Condensed Statements of Comprehensive Income</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ELI LILLY AND COMPANY AND SUBSIDIARIES</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(Dollars in millions)</w:t>
      </w:r>
    </w:p>
    <w:p>
      <w:pPr>
        <w:spacing w:after="0" w:line="339" w:lineRule="exact"/>
        <w:rPr>
          <w:sz w:val="20"/>
          <w:szCs w:val="20"/>
          <w:color w:val="auto"/>
        </w:rPr>
      </w:pPr>
    </w:p>
    <w:p>
      <w:pPr>
        <w:ind w:left="9380"/>
        <w:spacing w:after="0"/>
        <w:rPr>
          <w:sz w:val="20"/>
          <w:szCs w:val="20"/>
          <w:color w:val="auto"/>
        </w:rPr>
      </w:pPr>
      <w:r>
        <w:rPr>
          <w:rFonts w:ascii="Arial" w:cs="Arial" w:eastAsia="Arial" w:hAnsi="Arial"/>
          <w:sz w:val="14"/>
          <w:szCs w:val="14"/>
          <w:b w:val="1"/>
          <w:bCs w:val="1"/>
          <w:color w:val="auto"/>
        </w:rPr>
        <w:t>Three Months Ended</w:t>
      </w:r>
    </w:p>
    <w:p>
      <w:pPr>
        <w:spacing w:after="0" w:line="19" w:lineRule="exact"/>
        <w:rPr>
          <w:sz w:val="20"/>
          <w:szCs w:val="20"/>
          <w:color w:val="auto"/>
        </w:rPr>
      </w:pPr>
    </w:p>
    <w:p>
      <w:pPr>
        <w:ind w:left="978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5570855</wp:posOffset>
            </wp:positionH>
            <wp:positionV relativeFrom="paragraph">
              <wp:posOffset>14605</wp:posOffset>
            </wp:positionV>
            <wp:extent cx="168084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680845" cy="8890"/>
                    </a:xfrm>
                    <a:prstGeom prst="rect">
                      <a:avLst/>
                    </a:prstGeom>
                    <a:noFill/>
                  </pic:spPr>
                </pic:pic>
              </a:graphicData>
            </a:graphic>
          </wp:anchor>
        </w:drawing>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878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2018</w:t>
            </w:r>
          </w:p>
        </w:tc>
        <w:tc>
          <w:tcPr>
            <w:tcW w:w="4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2017</w:t>
            </w:r>
          </w:p>
        </w:tc>
      </w:tr>
      <w:tr>
        <w:trPr>
          <w:trHeight w:val="270"/>
        </w:trPr>
        <w:tc>
          <w:tcPr>
            <w:tcW w:w="878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income (loss)</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980" w:type="dxa"/>
            <w:vAlign w:val="bottom"/>
            <w:shd w:val="clear" w:color="auto" w:fill="CCEEFF"/>
          </w:tcPr>
          <w:p>
            <w:pPr>
              <w:jc w:val="right"/>
              <w:ind w:right="34"/>
              <w:spacing w:after="0"/>
              <w:rPr>
                <w:sz w:val="20"/>
                <w:szCs w:val="20"/>
                <w:color w:val="auto"/>
              </w:rPr>
            </w:pPr>
            <w:r>
              <w:rPr>
                <w:rFonts w:ascii="Arial" w:cs="Arial" w:eastAsia="Arial" w:hAnsi="Arial"/>
                <w:sz w:val="18"/>
                <w:szCs w:val="18"/>
                <w:b w:val="1"/>
                <w:bCs w:val="1"/>
                <w:color w:val="auto"/>
              </w:rPr>
              <w:t>1,217.4</w:t>
            </w:r>
          </w:p>
        </w:tc>
        <w:tc>
          <w:tcPr>
            <w:tcW w:w="4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(110.8)</w:t>
            </w:r>
          </w:p>
        </w:tc>
      </w:tr>
      <w:tr>
        <w:trPr>
          <w:trHeight w:val="270"/>
        </w:trPr>
        <w:tc>
          <w:tcPr>
            <w:tcW w:w="878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 xml:space="preserve">Other comprehensive income, net of tax (Note 11) </w:t>
            </w:r>
            <w:r>
              <w:rPr>
                <w:rFonts w:ascii="Arial" w:cs="Arial" w:eastAsia="Arial" w:hAnsi="Arial"/>
                <w:sz w:val="21"/>
                <w:szCs w:val="21"/>
                <w:color w:val="auto"/>
                <w:vertAlign w:val="superscript"/>
              </w:rPr>
              <w:t>(1)</w:t>
            </w:r>
          </w:p>
        </w:tc>
        <w:tc>
          <w:tcPr>
            <w:tcW w:w="30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b w:val="1"/>
                <w:bCs w:val="1"/>
                <w:color w:val="auto"/>
              </w:rPr>
              <w:t>386.3</w:t>
            </w:r>
          </w:p>
        </w:tc>
        <w:tc>
          <w:tcPr>
            <w:tcW w:w="40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198.7</w:t>
            </w:r>
          </w:p>
        </w:tc>
      </w:tr>
      <w:tr>
        <w:trPr>
          <w:trHeight w:val="257"/>
        </w:trPr>
        <w:tc>
          <w:tcPr>
            <w:tcW w:w="8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Comprehensive income</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98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b w:val="1"/>
                <w:bCs w:val="1"/>
                <w:color w:val="auto"/>
              </w:rPr>
              <w:t>1,603.7</w:t>
            </w:r>
          </w:p>
        </w:tc>
        <w:tc>
          <w:tcPr>
            <w:tcW w:w="4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87.9</w:t>
            </w:r>
          </w:p>
        </w:tc>
      </w:tr>
    </w:tbl>
    <w:p>
      <w:pPr>
        <w:spacing w:after="0" w:line="167" w:lineRule="exact"/>
        <w:rPr>
          <w:sz w:val="20"/>
          <w:szCs w:val="20"/>
          <w:color w:val="auto"/>
        </w:rPr>
      </w:pPr>
    </w:p>
    <w:p>
      <w:pPr>
        <w:ind w:left="180" w:right="260" w:hanging="172"/>
        <w:spacing w:after="0" w:line="230" w:lineRule="auto"/>
        <w:tabs>
          <w:tab w:leader="none" w:pos="153" w:val="left"/>
        </w:tabs>
        <w:numPr>
          <w:ilvl w:val="0"/>
          <w:numId w:val="2"/>
        </w:numPr>
        <w:rPr>
          <w:rFonts w:ascii="Arial" w:cs="Arial" w:eastAsia="Arial" w:hAnsi="Arial"/>
          <w:sz w:val="17"/>
          <w:szCs w:val="17"/>
          <w:color w:val="auto"/>
          <w:vertAlign w:val="superscript"/>
        </w:rPr>
      </w:pPr>
      <w:r>
        <w:rPr>
          <w:rFonts w:ascii="Arial" w:cs="Arial" w:eastAsia="Arial" w:hAnsi="Arial"/>
          <w:sz w:val="14"/>
          <w:szCs w:val="14"/>
          <w:color w:val="auto"/>
        </w:rPr>
        <w:t>Other comprehensive income for the three months ended March 31, 2018 was all attributable to controlling interest. Other comprehensive income for the three months ended March 31, 2017 consisted of $209.7 million of other comprehensive income attributable to controlling interest and $(11.0) million of other comprehensive income (loss) attributable to non-controlling interest.</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See notes to consolidated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576"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Consolidated Condensed Balance Sheets</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ELI LILLY AND COMPANY AND SUBSIDIARIES</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(Dollars in millions)</w:t>
      </w: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64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tcPr>
          <w:p>
            <w:pPr>
              <w:jc w:val="right"/>
              <w:ind w:right="371"/>
              <w:spacing w:after="0"/>
              <w:rPr>
                <w:sz w:val="20"/>
                <w:szCs w:val="20"/>
                <w:color w:val="auto"/>
              </w:rPr>
            </w:pPr>
            <w:r>
              <w:rPr>
                <w:rFonts w:ascii="Arial" w:cs="Arial" w:eastAsia="Arial" w:hAnsi="Arial"/>
                <w:sz w:val="14"/>
                <w:szCs w:val="14"/>
                <w:b w:val="1"/>
                <w:bCs w:val="1"/>
                <w:color w:val="auto"/>
              </w:rPr>
              <w:t>March 31, 2018</w:t>
            </w:r>
          </w:p>
        </w:tc>
        <w:tc>
          <w:tcPr>
            <w:tcW w:w="26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tcPr>
          <w:p>
            <w:pPr>
              <w:jc w:val="right"/>
              <w:ind w:right="190"/>
              <w:spacing w:after="0"/>
              <w:rPr>
                <w:sz w:val="20"/>
                <w:szCs w:val="20"/>
                <w:color w:val="auto"/>
              </w:rPr>
            </w:pPr>
            <w:r>
              <w:rPr>
                <w:rFonts w:ascii="Arial" w:cs="Arial" w:eastAsia="Arial" w:hAnsi="Arial"/>
                <w:sz w:val="14"/>
                <w:szCs w:val="14"/>
                <w:b w:val="1"/>
                <w:bCs w:val="1"/>
                <w:color w:val="auto"/>
              </w:rPr>
              <w:t>December 31, 2017</w:t>
            </w:r>
          </w:p>
        </w:tc>
        <w:tc>
          <w:tcPr>
            <w:tcW w:w="0" w:type="dxa"/>
            <w:vAlign w:val="bottom"/>
          </w:tcPr>
          <w:p>
            <w:pPr>
              <w:spacing w:after="0"/>
              <w:rPr>
                <w:sz w:val="1"/>
                <w:szCs w:val="1"/>
                <w:color w:val="auto"/>
              </w:rPr>
            </w:pPr>
          </w:p>
        </w:tc>
      </w:tr>
      <w:tr>
        <w:trPr>
          <w:trHeight w:val="270"/>
        </w:trPr>
        <w:tc>
          <w:tcPr>
            <w:tcW w:w="764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260" w:type="dxa"/>
            <w:vAlign w:val="bottom"/>
            <w:shd w:val="clear" w:color="auto" w:fill="CCEEFF"/>
          </w:tcPr>
          <w:p>
            <w:pPr>
              <w:spacing w:after="0"/>
              <w:rPr>
                <w:sz w:val="23"/>
                <w:szCs w:val="23"/>
                <w:color w:val="auto"/>
              </w:rPr>
            </w:pPr>
          </w:p>
        </w:tc>
        <w:tc>
          <w:tcPr>
            <w:tcW w:w="1620" w:type="dxa"/>
            <w:vAlign w:val="bottom"/>
            <w:shd w:val="clear" w:color="auto" w:fill="CCEEFF"/>
          </w:tcPr>
          <w:p>
            <w:pPr>
              <w:jc w:val="right"/>
              <w:ind w:right="471"/>
              <w:spacing w:after="0"/>
              <w:rPr>
                <w:sz w:val="20"/>
                <w:szCs w:val="20"/>
                <w:color w:val="auto"/>
              </w:rPr>
            </w:pPr>
            <w:r>
              <w:rPr>
                <w:rFonts w:ascii="Arial" w:cs="Arial" w:eastAsia="Arial" w:hAnsi="Arial"/>
                <w:sz w:val="14"/>
                <w:szCs w:val="14"/>
                <w:b w:val="1"/>
                <w:bCs w:val="1"/>
                <w:color w:val="auto"/>
              </w:rPr>
              <w:t>(Unaudited)</w:t>
            </w:r>
          </w:p>
        </w:tc>
        <w:tc>
          <w:tcPr>
            <w:tcW w:w="260" w:type="dxa"/>
            <w:vAlign w:val="bottom"/>
            <w:shd w:val="clear" w:color="auto" w:fill="CCEEFF"/>
          </w:tcPr>
          <w:p>
            <w:pPr>
              <w:spacing w:after="0"/>
              <w:rPr>
                <w:sz w:val="23"/>
                <w:szCs w:val="23"/>
                <w:color w:val="auto"/>
              </w:rPr>
            </w:pPr>
          </w:p>
        </w:tc>
        <w:tc>
          <w:tcPr>
            <w:tcW w:w="16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3"/>
        </w:trPr>
        <w:tc>
          <w:tcPr>
            <w:tcW w:w="7640" w:type="dxa"/>
            <w:vAlign w:val="bottom"/>
          </w:tcPr>
          <w:p>
            <w:pPr>
              <w:ind w:left="40"/>
              <w:spacing w:after="0"/>
              <w:rPr>
                <w:sz w:val="20"/>
                <w:szCs w:val="20"/>
                <w:color w:val="auto"/>
              </w:rPr>
            </w:pPr>
            <w:r>
              <w:rPr>
                <w:rFonts w:ascii="Arial" w:cs="Arial" w:eastAsia="Arial" w:hAnsi="Arial"/>
                <w:sz w:val="18"/>
                <w:szCs w:val="18"/>
                <w:i w:val="1"/>
                <w:iCs w:val="1"/>
                <w:color w:val="auto"/>
              </w:rPr>
              <w:t>Current Assets</w:t>
            </w:r>
          </w:p>
        </w:tc>
        <w:tc>
          <w:tcPr>
            <w:tcW w:w="260" w:type="dxa"/>
            <w:vAlign w:val="bottom"/>
          </w:tcPr>
          <w:p>
            <w:pPr>
              <w:spacing w:after="0"/>
              <w:rPr>
                <w:sz w:val="22"/>
                <w:szCs w:val="22"/>
                <w:color w:val="auto"/>
              </w:rPr>
            </w:pPr>
          </w:p>
        </w:tc>
        <w:tc>
          <w:tcPr>
            <w:tcW w:w="16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6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7"/>
        </w:trPr>
        <w:tc>
          <w:tcPr>
            <w:tcW w:w="7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Cash and cash equivalents (Note 6)</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620" w:type="dxa"/>
            <w:vAlign w:val="bottom"/>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3,084.3</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6,536.2</w:t>
            </w:r>
          </w:p>
        </w:tc>
        <w:tc>
          <w:tcPr>
            <w:tcW w:w="0" w:type="dxa"/>
            <w:vAlign w:val="bottom"/>
          </w:tcPr>
          <w:p>
            <w:pPr>
              <w:spacing w:after="0"/>
              <w:rPr>
                <w:sz w:val="1"/>
                <w:szCs w:val="1"/>
                <w:color w:val="auto"/>
              </w:rPr>
            </w:pPr>
          </w:p>
        </w:tc>
      </w:tr>
      <w:tr>
        <w:trPr>
          <w:trHeight w:val="263"/>
        </w:trPr>
        <w:tc>
          <w:tcPr>
            <w:tcW w:w="7640" w:type="dxa"/>
            <w:vAlign w:val="bottom"/>
          </w:tcPr>
          <w:p>
            <w:pPr>
              <w:ind w:left="180"/>
              <w:spacing w:after="0"/>
              <w:rPr>
                <w:sz w:val="20"/>
                <w:szCs w:val="20"/>
                <w:color w:val="auto"/>
              </w:rPr>
            </w:pPr>
            <w:r>
              <w:rPr>
                <w:rFonts w:ascii="Arial" w:cs="Arial" w:eastAsia="Arial" w:hAnsi="Arial"/>
                <w:sz w:val="18"/>
                <w:szCs w:val="18"/>
                <w:color w:val="auto"/>
              </w:rPr>
              <w:t>Short-term investments (Note 6)</w:t>
            </w:r>
          </w:p>
        </w:tc>
        <w:tc>
          <w:tcPr>
            <w:tcW w:w="260" w:type="dxa"/>
            <w:vAlign w:val="bottom"/>
          </w:tcPr>
          <w:p>
            <w:pPr>
              <w:spacing w:after="0"/>
              <w:rPr>
                <w:sz w:val="22"/>
                <w:szCs w:val="22"/>
                <w:color w:val="auto"/>
              </w:rPr>
            </w:pPr>
          </w:p>
        </w:tc>
        <w:tc>
          <w:tcPr>
            <w:tcW w:w="1620" w:type="dxa"/>
            <w:vAlign w:val="bottom"/>
          </w:tcPr>
          <w:p>
            <w:pPr>
              <w:jc w:val="right"/>
              <w:ind w:right="71"/>
              <w:spacing w:after="0"/>
              <w:rPr>
                <w:sz w:val="20"/>
                <w:szCs w:val="20"/>
                <w:color w:val="auto"/>
              </w:rPr>
            </w:pPr>
            <w:r>
              <w:rPr>
                <w:rFonts w:ascii="Arial" w:cs="Arial" w:eastAsia="Arial" w:hAnsi="Arial"/>
                <w:sz w:val="18"/>
                <w:szCs w:val="18"/>
                <w:b w:val="1"/>
                <w:bCs w:val="1"/>
                <w:color w:val="auto"/>
              </w:rPr>
              <w:t>1,705.2</w:t>
            </w:r>
          </w:p>
        </w:tc>
        <w:tc>
          <w:tcPr>
            <w:tcW w:w="260" w:type="dxa"/>
            <w:vAlign w:val="bottom"/>
          </w:tcPr>
          <w:p>
            <w:pPr>
              <w:spacing w:after="0"/>
              <w:rPr>
                <w:sz w:val="22"/>
                <w:szCs w:val="22"/>
                <w:color w:val="auto"/>
              </w:rPr>
            </w:pP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1,497.9</w:t>
            </w:r>
          </w:p>
        </w:tc>
        <w:tc>
          <w:tcPr>
            <w:tcW w:w="0" w:type="dxa"/>
            <w:vAlign w:val="bottom"/>
          </w:tcPr>
          <w:p>
            <w:pPr>
              <w:spacing w:after="0"/>
              <w:rPr>
                <w:sz w:val="1"/>
                <w:szCs w:val="1"/>
                <w:color w:val="auto"/>
              </w:rPr>
            </w:pPr>
          </w:p>
        </w:tc>
      </w:tr>
      <w:tr>
        <w:trPr>
          <w:trHeight w:val="277"/>
        </w:trPr>
        <w:tc>
          <w:tcPr>
            <w:tcW w:w="7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 xml:space="preserve">Accounts receivable, net of allowances of </w:t>
            </w:r>
            <w:r>
              <w:rPr>
                <w:rFonts w:ascii="Arial" w:cs="Arial" w:eastAsia="Arial" w:hAnsi="Arial"/>
                <w:sz w:val="18"/>
                <w:szCs w:val="18"/>
                <w:b w:val="1"/>
                <w:bCs w:val="1"/>
                <w:color w:val="auto"/>
              </w:rPr>
              <w:t>$40.1 (2018)</w:t>
            </w:r>
            <w:r>
              <w:rPr>
                <w:rFonts w:ascii="Arial" w:cs="Arial" w:eastAsia="Arial" w:hAnsi="Arial"/>
                <w:sz w:val="18"/>
                <w:szCs w:val="18"/>
                <w:color w:val="auto"/>
              </w:rPr>
              <w:t xml:space="preserve"> and $38.7 (2017)</w:t>
            </w:r>
          </w:p>
        </w:tc>
        <w:tc>
          <w:tcPr>
            <w:tcW w:w="260" w:type="dxa"/>
            <w:vAlign w:val="bottom"/>
            <w:shd w:val="clear" w:color="auto" w:fill="CCEEFF"/>
          </w:tcPr>
          <w:p>
            <w:pPr>
              <w:spacing w:after="0"/>
              <w:rPr>
                <w:sz w:val="24"/>
                <w:szCs w:val="24"/>
                <w:color w:val="auto"/>
              </w:rPr>
            </w:pPr>
          </w:p>
        </w:tc>
        <w:tc>
          <w:tcPr>
            <w:tcW w:w="1620" w:type="dxa"/>
            <w:vAlign w:val="bottom"/>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4,495.1</w:t>
            </w:r>
          </w:p>
        </w:tc>
        <w:tc>
          <w:tcPr>
            <w:tcW w:w="260" w:type="dxa"/>
            <w:vAlign w:val="bottom"/>
            <w:shd w:val="clear" w:color="auto" w:fill="CCEEFF"/>
          </w:tcPr>
          <w:p>
            <w:pPr>
              <w:spacing w:after="0"/>
              <w:rPr>
                <w:sz w:val="24"/>
                <w:szCs w:val="24"/>
                <w:color w:val="auto"/>
              </w:rPr>
            </w:pPr>
          </w:p>
        </w:tc>
        <w:tc>
          <w:tcPr>
            <w:tcW w:w="16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4,546.3</w:t>
            </w:r>
          </w:p>
        </w:tc>
        <w:tc>
          <w:tcPr>
            <w:tcW w:w="0" w:type="dxa"/>
            <w:vAlign w:val="bottom"/>
          </w:tcPr>
          <w:p>
            <w:pPr>
              <w:spacing w:after="0"/>
              <w:rPr>
                <w:sz w:val="1"/>
                <w:szCs w:val="1"/>
                <w:color w:val="auto"/>
              </w:rPr>
            </w:pPr>
          </w:p>
        </w:tc>
      </w:tr>
      <w:tr>
        <w:trPr>
          <w:trHeight w:val="263"/>
        </w:trPr>
        <w:tc>
          <w:tcPr>
            <w:tcW w:w="7640" w:type="dxa"/>
            <w:vAlign w:val="bottom"/>
          </w:tcPr>
          <w:p>
            <w:pPr>
              <w:ind w:left="180"/>
              <w:spacing w:after="0"/>
              <w:rPr>
                <w:sz w:val="20"/>
                <w:szCs w:val="20"/>
                <w:color w:val="auto"/>
              </w:rPr>
            </w:pPr>
            <w:r>
              <w:rPr>
                <w:rFonts w:ascii="Arial" w:cs="Arial" w:eastAsia="Arial" w:hAnsi="Arial"/>
                <w:sz w:val="18"/>
                <w:szCs w:val="18"/>
                <w:color w:val="auto"/>
              </w:rPr>
              <w:t>Other receivables</w:t>
            </w:r>
          </w:p>
        </w:tc>
        <w:tc>
          <w:tcPr>
            <w:tcW w:w="260" w:type="dxa"/>
            <w:vAlign w:val="bottom"/>
          </w:tcPr>
          <w:p>
            <w:pPr>
              <w:spacing w:after="0"/>
              <w:rPr>
                <w:sz w:val="22"/>
                <w:szCs w:val="22"/>
                <w:color w:val="auto"/>
              </w:rPr>
            </w:pPr>
          </w:p>
        </w:tc>
        <w:tc>
          <w:tcPr>
            <w:tcW w:w="1620" w:type="dxa"/>
            <w:vAlign w:val="bottom"/>
          </w:tcPr>
          <w:p>
            <w:pPr>
              <w:jc w:val="right"/>
              <w:ind w:right="71"/>
              <w:spacing w:after="0"/>
              <w:rPr>
                <w:sz w:val="20"/>
                <w:szCs w:val="20"/>
                <w:color w:val="auto"/>
              </w:rPr>
            </w:pPr>
            <w:r>
              <w:rPr>
                <w:rFonts w:ascii="Arial" w:cs="Arial" w:eastAsia="Arial" w:hAnsi="Arial"/>
                <w:sz w:val="18"/>
                <w:szCs w:val="18"/>
                <w:b w:val="1"/>
                <w:bCs w:val="1"/>
                <w:color w:val="auto"/>
              </w:rPr>
              <w:t>775.6</w:t>
            </w:r>
          </w:p>
        </w:tc>
        <w:tc>
          <w:tcPr>
            <w:tcW w:w="260" w:type="dxa"/>
            <w:vAlign w:val="bottom"/>
          </w:tcPr>
          <w:p>
            <w:pPr>
              <w:spacing w:after="0"/>
              <w:rPr>
                <w:sz w:val="22"/>
                <w:szCs w:val="22"/>
                <w:color w:val="auto"/>
              </w:rPr>
            </w:pP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715.9</w:t>
            </w:r>
          </w:p>
        </w:tc>
        <w:tc>
          <w:tcPr>
            <w:tcW w:w="0" w:type="dxa"/>
            <w:vAlign w:val="bottom"/>
          </w:tcPr>
          <w:p>
            <w:pPr>
              <w:spacing w:after="0"/>
              <w:rPr>
                <w:sz w:val="1"/>
                <w:szCs w:val="1"/>
                <w:color w:val="auto"/>
              </w:rPr>
            </w:pPr>
          </w:p>
        </w:tc>
      </w:tr>
      <w:tr>
        <w:trPr>
          <w:trHeight w:val="277"/>
        </w:trPr>
        <w:tc>
          <w:tcPr>
            <w:tcW w:w="7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Inventories</w:t>
            </w:r>
          </w:p>
        </w:tc>
        <w:tc>
          <w:tcPr>
            <w:tcW w:w="260" w:type="dxa"/>
            <w:vAlign w:val="bottom"/>
            <w:shd w:val="clear" w:color="auto" w:fill="CCEEFF"/>
          </w:tcPr>
          <w:p>
            <w:pPr>
              <w:spacing w:after="0"/>
              <w:rPr>
                <w:sz w:val="24"/>
                <w:szCs w:val="24"/>
                <w:color w:val="auto"/>
              </w:rPr>
            </w:pPr>
          </w:p>
        </w:tc>
        <w:tc>
          <w:tcPr>
            <w:tcW w:w="1620" w:type="dxa"/>
            <w:vAlign w:val="bottom"/>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4,631.3</w:t>
            </w:r>
          </w:p>
        </w:tc>
        <w:tc>
          <w:tcPr>
            <w:tcW w:w="260" w:type="dxa"/>
            <w:vAlign w:val="bottom"/>
            <w:shd w:val="clear" w:color="auto" w:fill="CCEEFF"/>
          </w:tcPr>
          <w:p>
            <w:pPr>
              <w:spacing w:after="0"/>
              <w:rPr>
                <w:sz w:val="24"/>
                <w:szCs w:val="24"/>
                <w:color w:val="auto"/>
              </w:rPr>
            </w:pPr>
          </w:p>
        </w:tc>
        <w:tc>
          <w:tcPr>
            <w:tcW w:w="16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4,458.3</w:t>
            </w:r>
          </w:p>
        </w:tc>
        <w:tc>
          <w:tcPr>
            <w:tcW w:w="0" w:type="dxa"/>
            <w:vAlign w:val="bottom"/>
          </w:tcPr>
          <w:p>
            <w:pPr>
              <w:spacing w:after="0"/>
              <w:rPr>
                <w:sz w:val="1"/>
                <w:szCs w:val="1"/>
                <w:color w:val="auto"/>
              </w:rPr>
            </w:pPr>
          </w:p>
        </w:tc>
      </w:tr>
      <w:tr>
        <w:trPr>
          <w:trHeight w:val="264"/>
        </w:trPr>
        <w:tc>
          <w:tcPr>
            <w:tcW w:w="764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Prepaid expenses and other</w:t>
            </w:r>
          </w:p>
        </w:tc>
        <w:tc>
          <w:tcPr>
            <w:tcW w:w="260" w:type="dxa"/>
            <w:vAlign w:val="bottom"/>
            <w:tcBorders>
              <w:bottom w:val="single" w:sz="8" w:color="auto"/>
            </w:tcBorders>
          </w:tcPr>
          <w:p>
            <w:pPr>
              <w:spacing w:after="0"/>
              <w:rPr>
                <w:sz w:val="22"/>
                <w:szCs w:val="22"/>
                <w:color w:val="auto"/>
              </w:rPr>
            </w:pPr>
          </w:p>
        </w:tc>
        <w:tc>
          <w:tcPr>
            <w:tcW w:w="162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b w:val="1"/>
                <w:bCs w:val="1"/>
                <w:color w:val="auto"/>
              </w:rPr>
              <w:t>1,570.0</w:t>
            </w:r>
          </w:p>
        </w:tc>
        <w:tc>
          <w:tcPr>
            <w:tcW w:w="260" w:type="dxa"/>
            <w:vAlign w:val="bottom"/>
            <w:tcBorders>
              <w:bottom w:val="single" w:sz="8" w:color="auto"/>
            </w:tcBorders>
          </w:tcPr>
          <w:p>
            <w:pPr>
              <w:spacing w:after="0"/>
              <w:rPr>
                <w:sz w:val="22"/>
                <w:szCs w:val="22"/>
                <w:color w:val="auto"/>
              </w:rPr>
            </w:pPr>
          </w:p>
        </w:tc>
        <w:tc>
          <w:tcPr>
            <w:tcW w:w="16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1,447.5</w:t>
            </w:r>
          </w:p>
        </w:tc>
        <w:tc>
          <w:tcPr>
            <w:tcW w:w="0" w:type="dxa"/>
            <w:vAlign w:val="bottom"/>
          </w:tcPr>
          <w:p>
            <w:pPr>
              <w:spacing w:after="0"/>
              <w:rPr>
                <w:sz w:val="1"/>
                <w:szCs w:val="1"/>
                <w:color w:val="auto"/>
              </w:rPr>
            </w:pPr>
          </w:p>
        </w:tc>
      </w:tr>
      <w:tr>
        <w:trPr>
          <w:trHeight w:val="270"/>
        </w:trPr>
        <w:tc>
          <w:tcPr>
            <w:tcW w:w="764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current assets</w:t>
            </w:r>
          </w:p>
        </w:tc>
        <w:tc>
          <w:tcPr>
            <w:tcW w:w="260" w:type="dxa"/>
            <w:vAlign w:val="bottom"/>
            <w:shd w:val="clear" w:color="auto" w:fill="CCEEFF"/>
          </w:tcPr>
          <w:p>
            <w:pPr>
              <w:spacing w:after="0"/>
              <w:rPr>
                <w:sz w:val="23"/>
                <w:szCs w:val="23"/>
                <w:color w:val="auto"/>
              </w:rPr>
            </w:pPr>
          </w:p>
        </w:tc>
        <w:tc>
          <w:tcPr>
            <w:tcW w:w="1620" w:type="dxa"/>
            <w:vAlign w:val="bottom"/>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16,261.5</w:t>
            </w:r>
          </w:p>
        </w:tc>
        <w:tc>
          <w:tcPr>
            <w:tcW w:w="260" w:type="dxa"/>
            <w:vAlign w:val="bottom"/>
            <w:shd w:val="clear" w:color="auto" w:fill="CCEEFF"/>
          </w:tcPr>
          <w:p>
            <w:pPr>
              <w:spacing w:after="0"/>
              <w:rPr>
                <w:sz w:val="23"/>
                <w:szCs w:val="23"/>
                <w:color w:val="auto"/>
              </w:rPr>
            </w:pPr>
          </w:p>
        </w:tc>
        <w:tc>
          <w:tcPr>
            <w:tcW w:w="16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19,202.1</w:t>
            </w:r>
          </w:p>
        </w:tc>
        <w:tc>
          <w:tcPr>
            <w:tcW w:w="0" w:type="dxa"/>
            <w:vAlign w:val="bottom"/>
          </w:tcPr>
          <w:p>
            <w:pPr>
              <w:spacing w:after="0"/>
              <w:rPr>
                <w:sz w:val="1"/>
                <w:szCs w:val="1"/>
                <w:color w:val="auto"/>
              </w:rPr>
            </w:pPr>
          </w:p>
        </w:tc>
      </w:tr>
      <w:tr>
        <w:trPr>
          <w:trHeight w:val="263"/>
        </w:trPr>
        <w:tc>
          <w:tcPr>
            <w:tcW w:w="7640" w:type="dxa"/>
            <w:vAlign w:val="bottom"/>
          </w:tcPr>
          <w:p>
            <w:pPr>
              <w:ind w:left="40"/>
              <w:spacing w:after="0"/>
              <w:rPr>
                <w:sz w:val="20"/>
                <w:szCs w:val="20"/>
                <w:color w:val="auto"/>
              </w:rPr>
            </w:pPr>
            <w:r>
              <w:rPr>
                <w:rFonts w:ascii="Arial" w:cs="Arial" w:eastAsia="Arial" w:hAnsi="Arial"/>
                <w:sz w:val="18"/>
                <w:szCs w:val="18"/>
                <w:i w:val="1"/>
                <w:iCs w:val="1"/>
                <w:color w:val="auto"/>
              </w:rPr>
              <w:t>Other Assets</w:t>
            </w:r>
          </w:p>
        </w:tc>
        <w:tc>
          <w:tcPr>
            <w:tcW w:w="260" w:type="dxa"/>
            <w:vAlign w:val="bottom"/>
          </w:tcPr>
          <w:p>
            <w:pPr>
              <w:spacing w:after="0"/>
              <w:rPr>
                <w:sz w:val="22"/>
                <w:szCs w:val="22"/>
                <w:color w:val="auto"/>
              </w:rPr>
            </w:pPr>
          </w:p>
        </w:tc>
        <w:tc>
          <w:tcPr>
            <w:tcW w:w="16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6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7"/>
        </w:trPr>
        <w:tc>
          <w:tcPr>
            <w:tcW w:w="7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Investments (Note 6)</w:t>
            </w:r>
          </w:p>
        </w:tc>
        <w:tc>
          <w:tcPr>
            <w:tcW w:w="260" w:type="dxa"/>
            <w:vAlign w:val="bottom"/>
            <w:shd w:val="clear" w:color="auto" w:fill="CCEEFF"/>
          </w:tcPr>
          <w:p>
            <w:pPr>
              <w:spacing w:after="0"/>
              <w:rPr>
                <w:sz w:val="24"/>
                <w:szCs w:val="24"/>
                <w:color w:val="auto"/>
              </w:rPr>
            </w:pPr>
          </w:p>
        </w:tc>
        <w:tc>
          <w:tcPr>
            <w:tcW w:w="1620" w:type="dxa"/>
            <w:vAlign w:val="bottom"/>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5,375.1</w:t>
            </w:r>
          </w:p>
        </w:tc>
        <w:tc>
          <w:tcPr>
            <w:tcW w:w="260" w:type="dxa"/>
            <w:vAlign w:val="bottom"/>
            <w:shd w:val="clear" w:color="auto" w:fill="CCEEFF"/>
          </w:tcPr>
          <w:p>
            <w:pPr>
              <w:spacing w:after="0"/>
              <w:rPr>
                <w:sz w:val="24"/>
                <w:szCs w:val="24"/>
                <w:color w:val="auto"/>
              </w:rPr>
            </w:pPr>
          </w:p>
        </w:tc>
        <w:tc>
          <w:tcPr>
            <w:tcW w:w="16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5,678.8</w:t>
            </w:r>
          </w:p>
        </w:tc>
        <w:tc>
          <w:tcPr>
            <w:tcW w:w="0" w:type="dxa"/>
            <w:vAlign w:val="bottom"/>
          </w:tcPr>
          <w:p>
            <w:pPr>
              <w:spacing w:after="0"/>
              <w:rPr>
                <w:sz w:val="1"/>
                <w:szCs w:val="1"/>
                <w:color w:val="auto"/>
              </w:rPr>
            </w:pPr>
          </w:p>
        </w:tc>
      </w:tr>
      <w:tr>
        <w:trPr>
          <w:trHeight w:val="263"/>
        </w:trPr>
        <w:tc>
          <w:tcPr>
            <w:tcW w:w="7640" w:type="dxa"/>
            <w:vAlign w:val="bottom"/>
          </w:tcPr>
          <w:p>
            <w:pPr>
              <w:ind w:left="180"/>
              <w:spacing w:after="0"/>
              <w:rPr>
                <w:sz w:val="20"/>
                <w:szCs w:val="20"/>
                <w:color w:val="auto"/>
              </w:rPr>
            </w:pPr>
            <w:r>
              <w:rPr>
                <w:rFonts w:ascii="Arial" w:cs="Arial" w:eastAsia="Arial" w:hAnsi="Arial"/>
                <w:sz w:val="18"/>
                <w:szCs w:val="18"/>
                <w:color w:val="auto"/>
              </w:rPr>
              <w:t>Goodwill</w:t>
            </w:r>
          </w:p>
        </w:tc>
        <w:tc>
          <w:tcPr>
            <w:tcW w:w="260" w:type="dxa"/>
            <w:vAlign w:val="bottom"/>
          </w:tcPr>
          <w:p>
            <w:pPr>
              <w:spacing w:after="0"/>
              <w:rPr>
                <w:sz w:val="22"/>
                <w:szCs w:val="22"/>
                <w:color w:val="auto"/>
              </w:rPr>
            </w:pPr>
          </w:p>
        </w:tc>
        <w:tc>
          <w:tcPr>
            <w:tcW w:w="1620" w:type="dxa"/>
            <w:vAlign w:val="bottom"/>
          </w:tcPr>
          <w:p>
            <w:pPr>
              <w:jc w:val="right"/>
              <w:ind w:right="71"/>
              <w:spacing w:after="0"/>
              <w:rPr>
                <w:sz w:val="20"/>
                <w:szCs w:val="20"/>
                <w:color w:val="auto"/>
              </w:rPr>
            </w:pPr>
            <w:r>
              <w:rPr>
                <w:rFonts w:ascii="Arial" w:cs="Arial" w:eastAsia="Arial" w:hAnsi="Arial"/>
                <w:sz w:val="18"/>
                <w:szCs w:val="18"/>
                <w:b w:val="1"/>
                <w:bCs w:val="1"/>
                <w:color w:val="auto"/>
              </w:rPr>
              <w:t>4,412.4</w:t>
            </w:r>
          </w:p>
        </w:tc>
        <w:tc>
          <w:tcPr>
            <w:tcW w:w="260" w:type="dxa"/>
            <w:vAlign w:val="bottom"/>
          </w:tcPr>
          <w:p>
            <w:pPr>
              <w:spacing w:after="0"/>
              <w:rPr>
                <w:sz w:val="22"/>
                <w:szCs w:val="22"/>
                <w:color w:val="auto"/>
              </w:rPr>
            </w:pP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4,370.1</w:t>
            </w:r>
          </w:p>
        </w:tc>
        <w:tc>
          <w:tcPr>
            <w:tcW w:w="0" w:type="dxa"/>
            <w:vAlign w:val="bottom"/>
          </w:tcPr>
          <w:p>
            <w:pPr>
              <w:spacing w:after="0"/>
              <w:rPr>
                <w:sz w:val="1"/>
                <w:szCs w:val="1"/>
                <w:color w:val="auto"/>
              </w:rPr>
            </w:pPr>
          </w:p>
        </w:tc>
      </w:tr>
      <w:tr>
        <w:trPr>
          <w:trHeight w:val="277"/>
        </w:trPr>
        <w:tc>
          <w:tcPr>
            <w:tcW w:w="7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intangibles</w:t>
            </w:r>
          </w:p>
        </w:tc>
        <w:tc>
          <w:tcPr>
            <w:tcW w:w="260" w:type="dxa"/>
            <w:vAlign w:val="bottom"/>
            <w:shd w:val="clear" w:color="auto" w:fill="CCEEFF"/>
          </w:tcPr>
          <w:p>
            <w:pPr>
              <w:spacing w:after="0"/>
              <w:rPr>
                <w:sz w:val="24"/>
                <w:szCs w:val="24"/>
                <w:color w:val="auto"/>
              </w:rPr>
            </w:pPr>
          </w:p>
        </w:tc>
        <w:tc>
          <w:tcPr>
            <w:tcW w:w="1620" w:type="dxa"/>
            <w:vAlign w:val="bottom"/>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3,920.0</w:t>
            </w:r>
          </w:p>
        </w:tc>
        <w:tc>
          <w:tcPr>
            <w:tcW w:w="260" w:type="dxa"/>
            <w:vAlign w:val="bottom"/>
            <w:shd w:val="clear" w:color="auto" w:fill="CCEEFF"/>
          </w:tcPr>
          <w:p>
            <w:pPr>
              <w:spacing w:after="0"/>
              <w:rPr>
                <w:sz w:val="24"/>
                <w:szCs w:val="24"/>
                <w:color w:val="auto"/>
              </w:rPr>
            </w:pPr>
          </w:p>
        </w:tc>
        <w:tc>
          <w:tcPr>
            <w:tcW w:w="16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4,029.2</w:t>
            </w:r>
          </w:p>
        </w:tc>
        <w:tc>
          <w:tcPr>
            <w:tcW w:w="0" w:type="dxa"/>
            <w:vAlign w:val="bottom"/>
          </w:tcPr>
          <w:p>
            <w:pPr>
              <w:spacing w:after="0"/>
              <w:rPr>
                <w:sz w:val="1"/>
                <w:szCs w:val="1"/>
                <w:color w:val="auto"/>
              </w:rPr>
            </w:pPr>
          </w:p>
        </w:tc>
      </w:tr>
      <w:tr>
        <w:trPr>
          <w:trHeight w:val="263"/>
        </w:trPr>
        <w:tc>
          <w:tcPr>
            <w:tcW w:w="7640" w:type="dxa"/>
            <w:vAlign w:val="bottom"/>
          </w:tcPr>
          <w:p>
            <w:pPr>
              <w:ind w:left="180"/>
              <w:spacing w:after="0"/>
              <w:rPr>
                <w:sz w:val="20"/>
                <w:szCs w:val="20"/>
                <w:color w:val="auto"/>
              </w:rPr>
            </w:pPr>
            <w:r>
              <w:rPr>
                <w:rFonts w:ascii="Arial" w:cs="Arial" w:eastAsia="Arial" w:hAnsi="Arial"/>
                <w:sz w:val="18"/>
                <w:szCs w:val="18"/>
                <w:color w:val="auto"/>
              </w:rPr>
              <w:t>Deferred tax assets</w:t>
            </w:r>
          </w:p>
        </w:tc>
        <w:tc>
          <w:tcPr>
            <w:tcW w:w="260" w:type="dxa"/>
            <w:vAlign w:val="bottom"/>
          </w:tcPr>
          <w:p>
            <w:pPr>
              <w:spacing w:after="0"/>
              <w:rPr>
                <w:sz w:val="22"/>
                <w:szCs w:val="22"/>
                <w:color w:val="auto"/>
              </w:rPr>
            </w:pPr>
          </w:p>
        </w:tc>
        <w:tc>
          <w:tcPr>
            <w:tcW w:w="1620" w:type="dxa"/>
            <w:vAlign w:val="bottom"/>
          </w:tcPr>
          <w:p>
            <w:pPr>
              <w:jc w:val="right"/>
              <w:ind w:right="71"/>
              <w:spacing w:after="0"/>
              <w:rPr>
                <w:sz w:val="20"/>
                <w:szCs w:val="20"/>
                <w:color w:val="auto"/>
              </w:rPr>
            </w:pPr>
            <w:r>
              <w:rPr>
                <w:rFonts w:ascii="Arial" w:cs="Arial" w:eastAsia="Arial" w:hAnsi="Arial"/>
                <w:sz w:val="18"/>
                <w:szCs w:val="18"/>
                <w:b w:val="1"/>
                <w:bCs w:val="1"/>
                <w:color w:val="auto"/>
              </w:rPr>
              <w:t>3,681.6</w:t>
            </w:r>
          </w:p>
        </w:tc>
        <w:tc>
          <w:tcPr>
            <w:tcW w:w="260" w:type="dxa"/>
            <w:vAlign w:val="bottom"/>
          </w:tcPr>
          <w:p>
            <w:pPr>
              <w:spacing w:after="0"/>
              <w:rPr>
                <w:sz w:val="22"/>
                <w:szCs w:val="22"/>
                <w:color w:val="auto"/>
              </w:rPr>
            </w:pP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1,166.4</w:t>
            </w:r>
          </w:p>
        </w:tc>
        <w:tc>
          <w:tcPr>
            <w:tcW w:w="0" w:type="dxa"/>
            <w:vAlign w:val="bottom"/>
          </w:tcPr>
          <w:p>
            <w:pPr>
              <w:spacing w:after="0"/>
              <w:rPr>
                <w:sz w:val="1"/>
                <w:szCs w:val="1"/>
                <w:color w:val="auto"/>
              </w:rPr>
            </w:pPr>
          </w:p>
        </w:tc>
      </w:tr>
      <w:tr>
        <w:trPr>
          <w:trHeight w:val="270"/>
        </w:trPr>
        <w:tc>
          <w:tcPr>
            <w:tcW w:w="7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Sundry</w:t>
            </w:r>
          </w:p>
        </w:tc>
        <w:tc>
          <w:tcPr>
            <w:tcW w:w="260" w:type="dxa"/>
            <w:vAlign w:val="bottom"/>
            <w:tcBorders>
              <w:bottom w:val="single" w:sz="8" w:color="auto"/>
            </w:tcBorders>
            <w:shd w:val="clear" w:color="auto" w:fill="CCEEFF"/>
          </w:tcPr>
          <w:p>
            <w:pPr>
              <w:spacing w:after="0"/>
              <w:rPr>
                <w:sz w:val="23"/>
                <w:szCs w:val="23"/>
                <w:color w:val="auto"/>
              </w:rPr>
            </w:pPr>
          </w:p>
        </w:tc>
        <w:tc>
          <w:tcPr>
            <w:tcW w:w="162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1,746.8</w:t>
            </w:r>
          </w:p>
        </w:tc>
        <w:tc>
          <w:tcPr>
            <w:tcW w:w="260" w:type="dxa"/>
            <w:vAlign w:val="bottom"/>
            <w:tcBorders>
              <w:bottom w:val="single" w:sz="8" w:color="auto"/>
            </w:tcBorders>
            <w:shd w:val="clear" w:color="auto" w:fill="CCEEFF"/>
          </w:tcPr>
          <w:p>
            <w:pPr>
              <w:spacing w:after="0"/>
              <w:rPr>
                <w:sz w:val="23"/>
                <w:szCs w:val="23"/>
                <w:color w:val="auto"/>
              </w:rPr>
            </w:pPr>
          </w:p>
        </w:tc>
        <w:tc>
          <w:tcPr>
            <w:tcW w:w="16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1,707.9</w:t>
            </w:r>
          </w:p>
        </w:tc>
        <w:tc>
          <w:tcPr>
            <w:tcW w:w="0" w:type="dxa"/>
            <w:vAlign w:val="bottom"/>
          </w:tcPr>
          <w:p>
            <w:pPr>
              <w:spacing w:after="0"/>
              <w:rPr>
                <w:sz w:val="1"/>
                <w:szCs w:val="1"/>
                <w:color w:val="auto"/>
              </w:rPr>
            </w:pPr>
          </w:p>
        </w:tc>
      </w:tr>
      <w:tr>
        <w:trPr>
          <w:trHeight w:val="263"/>
        </w:trPr>
        <w:tc>
          <w:tcPr>
            <w:tcW w:w="7640" w:type="dxa"/>
            <w:vAlign w:val="bottom"/>
          </w:tcPr>
          <w:p>
            <w:pPr>
              <w:ind w:left="40"/>
              <w:spacing w:after="0"/>
              <w:rPr>
                <w:sz w:val="20"/>
                <w:szCs w:val="20"/>
                <w:color w:val="auto"/>
              </w:rPr>
            </w:pPr>
            <w:r>
              <w:rPr>
                <w:rFonts w:ascii="Arial" w:cs="Arial" w:eastAsia="Arial" w:hAnsi="Arial"/>
                <w:sz w:val="18"/>
                <w:szCs w:val="18"/>
                <w:color w:val="auto"/>
              </w:rPr>
              <w:t>Total other assets</w:t>
            </w:r>
          </w:p>
        </w:tc>
        <w:tc>
          <w:tcPr>
            <w:tcW w:w="260" w:type="dxa"/>
            <w:vAlign w:val="bottom"/>
          </w:tcPr>
          <w:p>
            <w:pPr>
              <w:spacing w:after="0"/>
              <w:rPr>
                <w:sz w:val="22"/>
                <w:szCs w:val="22"/>
                <w:color w:val="auto"/>
              </w:rPr>
            </w:pPr>
          </w:p>
        </w:tc>
        <w:tc>
          <w:tcPr>
            <w:tcW w:w="1620" w:type="dxa"/>
            <w:vAlign w:val="bottom"/>
          </w:tcPr>
          <w:p>
            <w:pPr>
              <w:jc w:val="right"/>
              <w:ind w:right="71"/>
              <w:spacing w:after="0"/>
              <w:rPr>
                <w:sz w:val="20"/>
                <w:szCs w:val="20"/>
                <w:color w:val="auto"/>
              </w:rPr>
            </w:pPr>
            <w:r>
              <w:rPr>
                <w:rFonts w:ascii="Arial" w:cs="Arial" w:eastAsia="Arial" w:hAnsi="Arial"/>
                <w:sz w:val="18"/>
                <w:szCs w:val="18"/>
                <w:b w:val="1"/>
                <w:bCs w:val="1"/>
                <w:color w:val="auto"/>
              </w:rPr>
              <w:t>19,135.9</w:t>
            </w:r>
          </w:p>
        </w:tc>
        <w:tc>
          <w:tcPr>
            <w:tcW w:w="260" w:type="dxa"/>
            <w:vAlign w:val="bottom"/>
          </w:tcPr>
          <w:p>
            <w:pPr>
              <w:spacing w:after="0"/>
              <w:rPr>
                <w:sz w:val="22"/>
                <w:szCs w:val="22"/>
                <w:color w:val="auto"/>
              </w:rPr>
            </w:pP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16,952.4</w:t>
            </w:r>
          </w:p>
        </w:tc>
        <w:tc>
          <w:tcPr>
            <w:tcW w:w="0" w:type="dxa"/>
            <w:vAlign w:val="bottom"/>
          </w:tcPr>
          <w:p>
            <w:pPr>
              <w:spacing w:after="0"/>
              <w:rPr>
                <w:sz w:val="1"/>
                <w:szCs w:val="1"/>
                <w:color w:val="auto"/>
              </w:rPr>
            </w:pPr>
          </w:p>
        </w:tc>
      </w:tr>
      <w:tr>
        <w:trPr>
          <w:trHeight w:val="235"/>
        </w:trPr>
        <w:tc>
          <w:tcPr>
            <w:tcW w:w="7640" w:type="dxa"/>
            <w:vAlign w:val="bottom"/>
            <w:shd w:val="clear" w:color="auto" w:fill="CCEEFF"/>
          </w:tcPr>
          <w:p>
            <w:pPr>
              <w:ind w:left="40"/>
              <w:spacing w:after="0"/>
              <w:rPr>
                <w:sz w:val="20"/>
                <w:szCs w:val="20"/>
                <w:color w:val="auto"/>
              </w:rPr>
            </w:pPr>
            <w:r>
              <w:rPr>
                <w:rFonts w:ascii="Arial" w:cs="Arial" w:eastAsia="Arial" w:hAnsi="Arial"/>
                <w:sz w:val="18"/>
                <w:szCs w:val="18"/>
                <w:color w:val="auto"/>
              </w:rPr>
              <w:t xml:space="preserve">Property and equipment, net of accumulated depreciation of </w:t>
            </w:r>
            <w:r>
              <w:rPr>
                <w:rFonts w:ascii="Arial" w:cs="Arial" w:eastAsia="Arial" w:hAnsi="Arial"/>
                <w:sz w:val="18"/>
                <w:szCs w:val="18"/>
                <w:b w:val="1"/>
                <w:bCs w:val="1"/>
                <w:color w:val="auto"/>
              </w:rPr>
              <w:t>$9,539.6 (2018)</w:t>
            </w:r>
            <w:r>
              <w:rPr>
                <w:rFonts w:ascii="Arial" w:cs="Arial" w:eastAsia="Arial" w:hAnsi="Arial"/>
                <w:sz w:val="18"/>
                <w:szCs w:val="18"/>
                <w:color w:val="auto"/>
              </w:rPr>
              <w:t xml:space="preserve"> and $9,264.6</w:t>
            </w:r>
          </w:p>
        </w:tc>
        <w:tc>
          <w:tcPr>
            <w:tcW w:w="260" w:type="dxa"/>
            <w:vAlign w:val="bottom"/>
            <w:shd w:val="clear" w:color="auto" w:fill="CCEEFF"/>
          </w:tcPr>
          <w:p>
            <w:pPr>
              <w:spacing w:after="0"/>
              <w:rPr>
                <w:sz w:val="20"/>
                <w:szCs w:val="20"/>
                <w:color w:val="auto"/>
              </w:rPr>
            </w:pPr>
          </w:p>
        </w:tc>
        <w:tc>
          <w:tcPr>
            <w:tcW w:w="1620" w:type="dxa"/>
            <w:vAlign w:val="bottom"/>
            <w:vMerge w:val="restart"/>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8,958.2</w:t>
            </w:r>
          </w:p>
        </w:tc>
        <w:tc>
          <w:tcPr>
            <w:tcW w:w="260" w:type="dxa"/>
            <w:vAlign w:val="bottom"/>
            <w:shd w:val="clear" w:color="auto" w:fill="CCEEFF"/>
          </w:tcPr>
          <w:p>
            <w:pPr>
              <w:spacing w:after="0"/>
              <w:rPr>
                <w:sz w:val="20"/>
                <w:szCs w:val="20"/>
                <w:color w:val="auto"/>
              </w:rPr>
            </w:pPr>
          </w:p>
        </w:tc>
        <w:tc>
          <w:tcPr>
            <w:tcW w:w="16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7640" w:type="dxa"/>
            <w:vAlign w:val="bottom"/>
            <w:shd w:val="clear" w:color="auto" w:fill="CCEEFF"/>
          </w:tcPr>
          <w:p>
            <w:pPr>
              <w:ind w:left="40"/>
              <w:spacing w:after="0"/>
              <w:rPr>
                <w:sz w:val="20"/>
                <w:szCs w:val="20"/>
                <w:color w:val="auto"/>
              </w:rPr>
            </w:pPr>
            <w:r>
              <w:rPr>
                <w:rFonts w:ascii="Arial" w:cs="Arial" w:eastAsia="Arial" w:hAnsi="Arial"/>
                <w:sz w:val="18"/>
                <w:szCs w:val="18"/>
                <w:color w:val="auto"/>
              </w:rPr>
              <w:t>(2017)</w:t>
            </w:r>
          </w:p>
        </w:tc>
        <w:tc>
          <w:tcPr>
            <w:tcW w:w="26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vMerge w:val="continue"/>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8,826.5</w:t>
            </w:r>
          </w:p>
        </w:tc>
        <w:tc>
          <w:tcPr>
            <w:tcW w:w="0" w:type="dxa"/>
            <w:vAlign w:val="bottom"/>
          </w:tcPr>
          <w:p>
            <w:pPr>
              <w:spacing w:after="0"/>
              <w:rPr>
                <w:sz w:val="1"/>
                <w:szCs w:val="1"/>
                <w:color w:val="auto"/>
              </w:rPr>
            </w:pPr>
          </w:p>
        </w:tc>
      </w:tr>
      <w:tr>
        <w:trPr>
          <w:trHeight w:val="277"/>
        </w:trPr>
        <w:tc>
          <w:tcPr>
            <w:tcW w:w="76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Total assets</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62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b w:val="1"/>
                <w:bCs w:val="1"/>
                <w:color w:val="auto"/>
              </w:rPr>
              <w:t>44,355.6</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44,981.0</w:t>
            </w:r>
          </w:p>
        </w:tc>
        <w:tc>
          <w:tcPr>
            <w:tcW w:w="0" w:type="dxa"/>
            <w:vAlign w:val="bottom"/>
          </w:tcPr>
          <w:p>
            <w:pPr>
              <w:spacing w:after="0"/>
              <w:rPr>
                <w:sz w:val="1"/>
                <w:szCs w:val="1"/>
                <w:color w:val="auto"/>
              </w:rPr>
            </w:pPr>
          </w:p>
        </w:tc>
      </w:tr>
      <w:tr>
        <w:trPr>
          <w:trHeight w:val="270"/>
        </w:trPr>
        <w:tc>
          <w:tcPr>
            <w:tcW w:w="764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Liabilities and Equity</w:t>
            </w:r>
          </w:p>
        </w:tc>
        <w:tc>
          <w:tcPr>
            <w:tcW w:w="260" w:type="dxa"/>
            <w:vAlign w:val="bottom"/>
            <w:shd w:val="clear" w:color="auto" w:fill="CCEEFF"/>
          </w:tcPr>
          <w:p>
            <w:pPr>
              <w:spacing w:after="0"/>
              <w:rPr>
                <w:sz w:val="23"/>
                <w:szCs w:val="23"/>
                <w:color w:val="auto"/>
              </w:rPr>
            </w:pPr>
          </w:p>
        </w:tc>
        <w:tc>
          <w:tcPr>
            <w:tcW w:w="16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6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3"/>
        </w:trPr>
        <w:tc>
          <w:tcPr>
            <w:tcW w:w="7640" w:type="dxa"/>
            <w:vAlign w:val="bottom"/>
          </w:tcPr>
          <w:p>
            <w:pPr>
              <w:ind w:left="40"/>
              <w:spacing w:after="0"/>
              <w:rPr>
                <w:sz w:val="20"/>
                <w:szCs w:val="20"/>
                <w:color w:val="auto"/>
              </w:rPr>
            </w:pPr>
            <w:r>
              <w:rPr>
                <w:rFonts w:ascii="Arial" w:cs="Arial" w:eastAsia="Arial" w:hAnsi="Arial"/>
                <w:sz w:val="18"/>
                <w:szCs w:val="18"/>
                <w:i w:val="1"/>
                <w:iCs w:val="1"/>
                <w:color w:val="auto"/>
              </w:rPr>
              <w:t>Current Liabilities</w:t>
            </w:r>
          </w:p>
        </w:tc>
        <w:tc>
          <w:tcPr>
            <w:tcW w:w="260" w:type="dxa"/>
            <w:vAlign w:val="bottom"/>
          </w:tcPr>
          <w:p>
            <w:pPr>
              <w:spacing w:after="0"/>
              <w:rPr>
                <w:sz w:val="22"/>
                <w:szCs w:val="22"/>
                <w:color w:val="auto"/>
              </w:rPr>
            </w:pPr>
          </w:p>
        </w:tc>
        <w:tc>
          <w:tcPr>
            <w:tcW w:w="16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6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7"/>
        </w:trPr>
        <w:tc>
          <w:tcPr>
            <w:tcW w:w="7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Short-term borrowings and current maturities of long-term debt</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620" w:type="dxa"/>
            <w:vAlign w:val="bottom"/>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2,304.2</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3,706.6</w:t>
            </w:r>
          </w:p>
        </w:tc>
        <w:tc>
          <w:tcPr>
            <w:tcW w:w="0" w:type="dxa"/>
            <w:vAlign w:val="bottom"/>
          </w:tcPr>
          <w:p>
            <w:pPr>
              <w:spacing w:after="0"/>
              <w:rPr>
                <w:sz w:val="1"/>
                <w:szCs w:val="1"/>
                <w:color w:val="auto"/>
              </w:rPr>
            </w:pPr>
          </w:p>
        </w:tc>
      </w:tr>
      <w:tr>
        <w:trPr>
          <w:trHeight w:val="263"/>
        </w:trPr>
        <w:tc>
          <w:tcPr>
            <w:tcW w:w="7640" w:type="dxa"/>
            <w:vAlign w:val="bottom"/>
          </w:tcPr>
          <w:p>
            <w:pPr>
              <w:ind w:left="180"/>
              <w:spacing w:after="0"/>
              <w:rPr>
                <w:sz w:val="20"/>
                <w:szCs w:val="20"/>
                <w:color w:val="auto"/>
              </w:rPr>
            </w:pPr>
            <w:r>
              <w:rPr>
                <w:rFonts w:ascii="Arial" w:cs="Arial" w:eastAsia="Arial" w:hAnsi="Arial"/>
                <w:sz w:val="18"/>
                <w:szCs w:val="18"/>
                <w:color w:val="auto"/>
              </w:rPr>
              <w:t>Accounts payable</w:t>
            </w:r>
          </w:p>
        </w:tc>
        <w:tc>
          <w:tcPr>
            <w:tcW w:w="260" w:type="dxa"/>
            <w:vAlign w:val="bottom"/>
          </w:tcPr>
          <w:p>
            <w:pPr>
              <w:spacing w:after="0"/>
              <w:rPr>
                <w:sz w:val="22"/>
                <w:szCs w:val="22"/>
                <w:color w:val="auto"/>
              </w:rPr>
            </w:pPr>
          </w:p>
        </w:tc>
        <w:tc>
          <w:tcPr>
            <w:tcW w:w="1620" w:type="dxa"/>
            <w:vAlign w:val="bottom"/>
          </w:tcPr>
          <w:p>
            <w:pPr>
              <w:jc w:val="right"/>
              <w:ind w:right="71"/>
              <w:spacing w:after="0"/>
              <w:rPr>
                <w:sz w:val="20"/>
                <w:szCs w:val="20"/>
                <w:color w:val="auto"/>
              </w:rPr>
            </w:pPr>
            <w:r>
              <w:rPr>
                <w:rFonts w:ascii="Arial" w:cs="Arial" w:eastAsia="Arial" w:hAnsi="Arial"/>
                <w:sz w:val="18"/>
                <w:szCs w:val="18"/>
                <w:b w:val="1"/>
                <w:bCs w:val="1"/>
                <w:color w:val="auto"/>
              </w:rPr>
              <w:t>1,267.4</w:t>
            </w:r>
          </w:p>
        </w:tc>
        <w:tc>
          <w:tcPr>
            <w:tcW w:w="260" w:type="dxa"/>
            <w:vAlign w:val="bottom"/>
          </w:tcPr>
          <w:p>
            <w:pPr>
              <w:spacing w:after="0"/>
              <w:rPr>
                <w:sz w:val="22"/>
                <w:szCs w:val="22"/>
                <w:color w:val="auto"/>
              </w:rPr>
            </w:pP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1,410.7</w:t>
            </w:r>
          </w:p>
        </w:tc>
        <w:tc>
          <w:tcPr>
            <w:tcW w:w="0" w:type="dxa"/>
            <w:vAlign w:val="bottom"/>
          </w:tcPr>
          <w:p>
            <w:pPr>
              <w:spacing w:after="0"/>
              <w:rPr>
                <w:sz w:val="1"/>
                <w:szCs w:val="1"/>
                <w:color w:val="auto"/>
              </w:rPr>
            </w:pPr>
          </w:p>
        </w:tc>
      </w:tr>
      <w:tr>
        <w:trPr>
          <w:trHeight w:val="277"/>
        </w:trPr>
        <w:tc>
          <w:tcPr>
            <w:tcW w:w="7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Employee compensation</w:t>
            </w:r>
          </w:p>
        </w:tc>
        <w:tc>
          <w:tcPr>
            <w:tcW w:w="260" w:type="dxa"/>
            <w:vAlign w:val="bottom"/>
            <w:shd w:val="clear" w:color="auto" w:fill="CCEEFF"/>
          </w:tcPr>
          <w:p>
            <w:pPr>
              <w:spacing w:after="0"/>
              <w:rPr>
                <w:sz w:val="24"/>
                <w:szCs w:val="24"/>
                <w:color w:val="auto"/>
              </w:rPr>
            </w:pPr>
          </w:p>
        </w:tc>
        <w:tc>
          <w:tcPr>
            <w:tcW w:w="1620" w:type="dxa"/>
            <w:vAlign w:val="bottom"/>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588.1</w:t>
            </w:r>
          </w:p>
        </w:tc>
        <w:tc>
          <w:tcPr>
            <w:tcW w:w="260" w:type="dxa"/>
            <w:vAlign w:val="bottom"/>
            <w:shd w:val="clear" w:color="auto" w:fill="CCEEFF"/>
          </w:tcPr>
          <w:p>
            <w:pPr>
              <w:spacing w:after="0"/>
              <w:rPr>
                <w:sz w:val="24"/>
                <w:szCs w:val="24"/>
                <w:color w:val="auto"/>
              </w:rPr>
            </w:pPr>
          </w:p>
        </w:tc>
        <w:tc>
          <w:tcPr>
            <w:tcW w:w="16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997.9</w:t>
            </w:r>
          </w:p>
        </w:tc>
        <w:tc>
          <w:tcPr>
            <w:tcW w:w="0" w:type="dxa"/>
            <w:vAlign w:val="bottom"/>
          </w:tcPr>
          <w:p>
            <w:pPr>
              <w:spacing w:after="0"/>
              <w:rPr>
                <w:sz w:val="1"/>
                <w:szCs w:val="1"/>
                <w:color w:val="auto"/>
              </w:rPr>
            </w:pPr>
          </w:p>
        </w:tc>
      </w:tr>
      <w:tr>
        <w:trPr>
          <w:trHeight w:val="263"/>
        </w:trPr>
        <w:tc>
          <w:tcPr>
            <w:tcW w:w="7640" w:type="dxa"/>
            <w:vAlign w:val="bottom"/>
          </w:tcPr>
          <w:p>
            <w:pPr>
              <w:ind w:left="180"/>
              <w:spacing w:after="0"/>
              <w:rPr>
                <w:sz w:val="20"/>
                <w:szCs w:val="20"/>
                <w:color w:val="auto"/>
              </w:rPr>
            </w:pPr>
            <w:r>
              <w:rPr>
                <w:rFonts w:ascii="Arial" w:cs="Arial" w:eastAsia="Arial" w:hAnsi="Arial"/>
                <w:sz w:val="18"/>
                <w:szCs w:val="18"/>
                <w:color w:val="auto"/>
              </w:rPr>
              <w:t>Sales rebates and discounts</w:t>
            </w:r>
          </w:p>
        </w:tc>
        <w:tc>
          <w:tcPr>
            <w:tcW w:w="260" w:type="dxa"/>
            <w:vAlign w:val="bottom"/>
          </w:tcPr>
          <w:p>
            <w:pPr>
              <w:spacing w:after="0"/>
              <w:rPr>
                <w:sz w:val="22"/>
                <w:szCs w:val="22"/>
                <w:color w:val="auto"/>
              </w:rPr>
            </w:pPr>
          </w:p>
        </w:tc>
        <w:tc>
          <w:tcPr>
            <w:tcW w:w="1620" w:type="dxa"/>
            <w:vAlign w:val="bottom"/>
          </w:tcPr>
          <w:p>
            <w:pPr>
              <w:jc w:val="right"/>
              <w:ind w:right="71"/>
              <w:spacing w:after="0"/>
              <w:rPr>
                <w:sz w:val="20"/>
                <w:szCs w:val="20"/>
                <w:color w:val="auto"/>
              </w:rPr>
            </w:pPr>
            <w:r>
              <w:rPr>
                <w:rFonts w:ascii="Arial" w:cs="Arial" w:eastAsia="Arial" w:hAnsi="Arial"/>
                <w:sz w:val="18"/>
                <w:szCs w:val="18"/>
                <w:b w:val="1"/>
                <w:bCs w:val="1"/>
                <w:color w:val="auto"/>
              </w:rPr>
              <w:t>4,348.0</w:t>
            </w:r>
          </w:p>
        </w:tc>
        <w:tc>
          <w:tcPr>
            <w:tcW w:w="260" w:type="dxa"/>
            <w:vAlign w:val="bottom"/>
          </w:tcPr>
          <w:p>
            <w:pPr>
              <w:spacing w:after="0"/>
              <w:rPr>
                <w:sz w:val="22"/>
                <w:szCs w:val="22"/>
                <w:color w:val="auto"/>
              </w:rPr>
            </w:pP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4,465.1</w:t>
            </w:r>
          </w:p>
        </w:tc>
        <w:tc>
          <w:tcPr>
            <w:tcW w:w="0" w:type="dxa"/>
            <w:vAlign w:val="bottom"/>
          </w:tcPr>
          <w:p>
            <w:pPr>
              <w:spacing w:after="0"/>
              <w:rPr>
                <w:sz w:val="1"/>
                <w:szCs w:val="1"/>
                <w:color w:val="auto"/>
              </w:rPr>
            </w:pPr>
          </w:p>
        </w:tc>
      </w:tr>
      <w:tr>
        <w:trPr>
          <w:trHeight w:val="277"/>
        </w:trPr>
        <w:tc>
          <w:tcPr>
            <w:tcW w:w="7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Dividends payable</w:t>
            </w:r>
          </w:p>
        </w:tc>
        <w:tc>
          <w:tcPr>
            <w:tcW w:w="260" w:type="dxa"/>
            <w:vAlign w:val="bottom"/>
            <w:shd w:val="clear" w:color="auto" w:fill="CCEEFF"/>
          </w:tcPr>
          <w:p>
            <w:pPr>
              <w:spacing w:after="0"/>
              <w:rPr>
                <w:sz w:val="24"/>
                <w:szCs w:val="24"/>
                <w:color w:val="auto"/>
              </w:rPr>
            </w:pPr>
          </w:p>
        </w:tc>
        <w:tc>
          <w:tcPr>
            <w:tcW w:w="1620" w:type="dxa"/>
            <w:vAlign w:val="bottom"/>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w:t>
            </w:r>
          </w:p>
        </w:tc>
        <w:tc>
          <w:tcPr>
            <w:tcW w:w="260" w:type="dxa"/>
            <w:vAlign w:val="bottom"/>
            <w:shd w:val="clear" w:color="auto" w:fill="CCEEFF"/>
          </w:tcPr>
          <w:p>
            <w:pPr>
              <w:spacing w:after="0"/>
              <w:rPr>
                <w:sz w:val="24"/>
                <w:szCs w:val="24"/>
                <w:color w:val="auto"/>
              </w:rPr>
            </w:pPr>
          </w:p>
        </w:tc>
        <w:tc>
          <w:tcPr>
            <w:tcW w:w="16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590.6</w:t>
            </w:r>
          </w:p>
        </w:tc>
        <w:tc>
          <w:tcPr>
            <w:tcW w:w="0" w:type="dxa"/>
            <w:vAlign w:val="bottom"/>
          </w:tcPr>
          <w:p>
            <w:pPr>
              <w:spacing w:after="0"/>
              <w:rPr>
                <w:sz w:val="1"/>
                <w:szCs w:val="1"/>
                <w:color w:val="auto"/>
              </w:rPr>
            </w:pPr>
          </w:p>
        </w:tc>
      </w:tr>
      <w:tr>
        <w:trPr>
          <w:trHeight w:val="263"/>
        </w:trPr>
        <w:tc>
          <w:tcPr>
            <w:tcW w:w="7640" w:type="dxa"/>
            <w:vAlign w:val="bottom"/>
          </w:tcPr>
          <w:p>
            <w:pPr>
              <w:ind w:left="180"/>
              <w:spacing w:after="0"/>
              <w:rPr>
                <w:sz w:val="20"/>
                <w:szCs w:val="20"/>
                <w:color w:val="auto"/>
              </w:rPr>
            </w:pPr>
            <w:r>
              <w:rPr>
                <w:rFonts w:ascii="Arial" w:cs="Arial" w:eastAsia="Arial" w:hAnsi="Arial"/>
                <w:sz w:val="18"/>
                <w:szCs w:val="18"/>
                <w:color w:val="auto"/>
              </w:rPr>
              <w:t>Income taxes payable</w:t>
            </w:r>
          </w:p>
        </w:tc>
        <w:tc>
          <w:tcPr>
            <w:tcW w:w="260" w:type="dxa"/>
            <w:vAlign w:val="bottom"/>
          </w:tcPr>
          <w:p>
            <w:pPr>
              <w:spacing w:after="0"/>
              <w:rPr>
                <w:sz w:val="22"/>
                <w:szCs w:val="22"/>
                <w:color w:val="auto"/>
              </w:rPr>
            </w:pPr>
          </w:p>
        </w:tc>
        <w:tc>
          <w:tcPr>
            <w:tcW w:w="1620" w:type="dxa"/>
            <w:vAlign w:val="bottom"/>
          </w:tcPr>
          <w:p>
            <w:pPr>
              <w:jc w:val="right"/>
              <w:ind w:right="71"/>
              <w:spacing w:after="0"/>
              <w:rPr>
                <w:sz w:val="20"/>
                <w:szCs w:val="20"/>
                <w:color w:val="auto"/>
              </w:rPr>
            </w:pPr>
            <w:r>
              <w:rPr>
                <w:rFonts w:ascii="Arial" w:cs="Arial" w:eastAsia="Arial" w:hAnsi="Arial"/>
                <w:sz w:val="18"/>
                <w:szCs w:val="18"/>
                <w:b w:val="1"/>
                <w:bCs w:val="1"/>
                <w:color w:val="auto"/>
              </w:rPr>
              <w:t>693.0</w:t>
            </w:r>
          </w:p>
        </w:tc>
        <w:tc>
          <w:tcPr>
            <w:tcW w:w="260" w:type="dxa"/>
            <w:vAlign w:val="bottom"/>
          </w:tcPr>
          <w:p>
            <w:pPr>
              <w:spacing w:after="0"/>
              <w:rPr>
                <w:sz w:val="22"/>
                <w:szCs w:val="22"/>
                <w:color w:val="auto"/>
              </w:rPr>
            </w:pP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532.9</w:t>
            </w:r>
          </w:p>
        </w:tc>
        <w:tc>
          <w:tcPr>
            <w:tcW w:w="0" w:type="dxa"/>
            <w:vAlign w:val="bottom"/>
          </w:tcPr>
          <w:p>
            <w:pPr>
              <w:spacing w:after="0"/>
              <w:rPr>
                <w:sz w:val="1"/>
                <w:szCs w:val="1"/>
                <w:color w:val="auto"/>
              </w:rPr>
            </w:pPr>
          </w:p>
        </w:tc>
      </w:tr>
      <w:tr>
        <w:trPr>
          <w:trHeight w:val="270"/>
        </w:trPr>
        <w:tc>
          <w:tcPr>
            <w:tcW w:w="7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current liabilities</w:t>
            </w:r>
          </w:p>
        </w:tc>
        <w:tc>
          <w:tcPr>
            <w:tcW w:w="260" w:type="dxa"/>
            <w:vAlign w:val="bottom"/>
            <w:tcBorders>
              <w:bottom w:val="single" w:sz="8" w:color="auto"/>
            </w:tcBorders>
            <w:shd w:val="clear" w:color="auto" w:fill="CCEEFF"/>
          </w:tcPr>
          <w:p>
            <w:pPr>
              <w:spacing w:after="0"/>
              <w:rPr>
                <w:sz w:val="23"/>
                <w:szCs w:val="23"/>
                <w:color w:val="auto"/>
              </w:rPr>
            </w:pPr>
          </w:p>
        </w:tc>
        <w:tc>
          <w:tcPr>
            <w:tcW w:w="162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2,346.3</w:t>
            </w:r>
          </w:p>
        </w:tc>
        <w:tc>
          <w:tcPr>
            <w:tcW w:w="260" w:type="dxa"/>
            <w:vAlign w:val="bottom"/>
            <w:tcBorders>
              <w:bottom w:val="single" w:sz="8" w:color="auto"/>
            </w:tcBorders>
            <w:shd w:val="clear" w:color="auto" w:fill="CCEEFF"/>
          </w:tcPr>
          <w:p>
            <w:pPr>
              <w:spacing w:after="0"/>
              <w:rPr>
                <w:sz w:val="23"/>
                <w:szCs w:val="23"/>
                <w:color w:val="auto"/>
              </w:rPr>
            </w:pPr>
          </w:p>
        </w:tc>
        <w:tc>
          <w:tcPr>
            <w:tcW w:w="16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2,832.1</w:t>
            </w:r>
          </w:p>
        </w:tc>
        <w:tc>
          <w:tcPr>
            <w:tcW w:w="0" w:type="dxa"/>
            <w:vAlign w:val="bottom"/>
          </w:tcPr>
          <w:p>
            <w:pPr>
              <w:spacing w:after="0"/>
              <w:rPr>
                <w:sz w:val="1"/>
                <w:szCs w:val="1"/>
                <w:color w:val="auto"/>
              </w:rPr>
            </w:pPr>
          </w:p>
        </w:tc>
      </w:tr>
      <w:tr>
        <w:trPr>
          <w:trHeight w:val="263"/>
        </w:trPr>
        <w:tc>
          <w:tcPr>
            <w:tcW w:w="7640" w:type="dxa"/>
            <w:vAlign w:val="bottom"/>
          </w:tcPr>
          <w:p>
            <w:pPr>
              <w:ind w:left="40"/>
              <w:spacing w:after="0"/>
              <w:rPr>
                <w:sz w:val="20"/>
                <w:szCs w:val="20"/>
                <w:color w:val="auto"/>
              </w:rPr>
            </w:pPr>
            <w:r>
              <w:rPr>
                <w:rFonts w:ascii="Arial" w:cs="Arial" w:eastAsia="Arial" w:hAnsi="Arial"/>
                <w:sz w:val="18"/>
                <w:szCs w:val="18"/>
                <w:color w:val="auto"/>
              </w:rPr>
              <w:t>Total current liabilities</w:t>
            </w:r>
          </w:p>
        </w:tc>
        <w:tc>
          <w:tcPr>
            <w:tcW w:w="260" w:type="dxa"/>
            <w:vAlign w:val="bottom"/>
          </w:tcPr>
          <w:p>
            <w:pPr>
              <w:spacing w:after="0"/>
              <w:rPr>
                <w:sz w:val="22"/>
                <w:szCs w:val="22"/>
                <w:color w:val="auto"/>
              </w:rPr>
            </w:pPr>
          </w:p>
        </w:tc>
        <w:tc>
          <w:tcPr>
            <w:tcW w:w="1620" w:type="dxa"/>
            <w:vAlign w:val="bottom"/>
          </w:tcPr>
          <w:p>
            <w:pPr>
              <w:jc w:val="right"/>
              <w:ind w:right="71"/>
              <w:spacing w:after="0"/>
              <w:rPr>
                <w:sz w:val="20"/>
                <w:szCs w:val="20"/>
                <w:color w:val="auto"/>
              </w:rPr>
            </w:pPr>
            <w:r>
              <w:rPr>
                <w:rFonts w:ascii="Arial" w:cs="Arial" w:eastAsia="Arial" w:hAnsi="Arial"/>
                <w:sz w:val="18"/>
                <w:szCs w:val="18"/>
                <w:b w:val="1"/>
                <w:bCs w:val="1"/>
                <w:color w:val="auto"/>
              </w:rPr>
              <w:t>11,547.0</w:t>
            </w:r>
          </w:p>
        </w:tc>
        <w:tc>
          <w:tcPr>
            <w:tcW w:w="260" w:type="dxa"/>
            <w:vAlign w:val="bottom"/>
          </w:tcPr>
          <w:p>
            <w:pPr>
              <w:spacing w:after="0"/>
              <w:rPr>
                <w:sz w:val="22"/>
                <w:szCs w:val="22"/>
                <w:color w:val="auto"/>
              </w:rPr>
            </w:pP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14,535.9</w:t>
            </w:r>
          </w:p>
        </w:tc>
        <w:tc>
          <w:tcPr>
            <w:tcW w:w="0" w:type="dxa"/>
            <w:vAlign w:val="bottom"/>
          </w:tcPr>
          <w:p>
            <w:pPr>
              <w:spacing w:after="0"/>
              <w:rPr>
                <w:sz w:val="1"/>
                <w:szCs w:val="1"/>
                <w:color w:val="auto"/>
              </w:rPr>
            </w:pPr>
          </w:p>
        </w:tc>
      </w:tr>
      <w:tr>
        <w:trPr>
          <w:trHeight w:val="277"/>
        </w:trPr>
        <w:tc>
          <w:tcPr>
            <w:tcW w:w="7640" w:type="dxa"/>
            <w:vAlign w:val="bottom"/>
            <w:shd w:val="clear" w:color="auto" w:fill="CCEEFF"/>
          </w:tcPr>
          <w:p>
            <w:pPr>
              <w:ind w:left="40"/>
              <w:spacing w:after="0"/>
              <w:rPr>
                <w:sz w:val="20"/>
                <w:szCs w:val="20"/>
                <w:color w:val="auto"/>
              </w:rPr>
            </w:pPr>
            <w:r>
              <w:rPr>
                <w:rFonts w:ascii="Arial" w:cs="Arial" w:eastAsia="Arial" w:hAnsi="Arial"/>
                <w:sz w:val="18"/>
                <w:szCs w:val="18"/>
                <w:i w:val="1"/>
                <w:iCs w:val="1"/>
                <w:color w:val="auto"/>
              </w:rPr>
              <w:t>Other Liabilities</w:t>
            </w:r>
          </w:p>
        </w:tc>
        <w:tc>
          <w:tcPr>
            <w:tcW w:w="260" w:type="dxa"/>
            <w:vAlign w:val="bottom"/>
            <w:shd w:val="clear" w:color="auto" w:fill="CCEEFF"/>
          </w:tcPr>
          <w:p>
            <w:pPr>
              <w:spacing w:after="0"/>
              <w:rPr>
                <w:sz w:val="24"/>
                <w:szCs w:val="24"/>
                <w:color w:val="auto"/>
              </w:rPr>
            </w:pPr>
          </w:p>
        </w:tc>
        <w:tc>
          <w:tcPr>
            <w:tcW w:w="16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6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7640" w:type="dxa"/>
            <w:vAlign w:val="bottom"/>
          </w:tcPr>
          <w:p>
            <w:pPr>
              <w:ind w:left="180"/>
              <w:spacing w:after="0"/>
              <w:rPr>
                <w:sz w:val="20"/>
                <w:szCs w:val="20"/>
                <w:color w:val="auto"/>
              </w:rPr>
            </w:pPr>
            <w:r>
              <w:rPr>
                <w:rFonts w:ascii="Arial" w:cs="Arial" w:eastAsia="Arial" w:hAnsi="Arial"/>
                <w:sz w:val="18"/>
                <w:szCs w:val="18"/>
                <w:color w:val="auto"/>
              </w:rPr>
              <w:t>Long-term debt</w:t>
            </w:r>
          </w:p>
        </w:tc>
        <w:tc>
          <w:tcPr>
            <w:tcW w:w="260" w:type="dxa"/>
            <w:vAlign w:val="bottom"/>
          </w:tcPr>
          <w:p>
            <w:pPr>
              <w:spacing w:after="0"/>
              <w:rPr>
                <w:sz w:val="22"/>
                <w:szCs w:val="22"/>
                <w:color w:val="auto"/>
              </w:rPr>
            </w:pPr>
          </w:p>
        </w:tc>
        <w:tc>
          <w:tcPr>
            <w:tcW w:w="1620" w:type="dxa"/>
            <w:vAlign w:val="bottom"/>
          </w:tcPr>
          <w:p>
            <w:pPr>
              <w:jc w:val="right"/>
              <w:ind w:right="71"/>
              <w:spacing w:after="0"/>
              <w:rPr>
                <w:sz w:val="20"/>
                <w:szCs w:val="20"/>
                <w:color w:val="auto"/>
              </w:rPr>
            </w:pPr>
            <w:r>
              <w:rPr>
                <w:rFonts w:ascii="Arial" w:cs="Arial" w:eastAsia="Arial" w:hAnsi="Arial"/>
                <w:sz w:val="18"/>
                <w:szCs w:val="18"/>
                <w:b w:val="1"/>
                <w:bCs w:val="1"/>
                <w:color w:val="auto"/>
              </w:rPr>
              <w:t>9,393.5</w:t>
            </w:r>
          </w:p>
        </w:tc>
        <w:tc>
          <w:tcPr>
            <w:tcW w:w="260" w:type="dxa"/>
            <w:vAlign w:val="bottom"/>
          </w:tcPr>
          <w:p>
            <w:pPr>
              <w:spacing w:after="0"/>
              <w:rPr>
                <w:sz w:val="22"/>
                <w:szCs w:val="22"/>
                <w:color w:val="auto"/>
              </w:rPr>
            </w:pP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9,940.5</w:t>
            </w:r>
          </w:p>
        </w:tc>
        <w:tc>
          <w:tcPr>
            <w:tcW w:w="0" w:type="dxa"/>
            <w:vAlign w:val="bottom"/>
          </w:tcPr>
          <w:p>
            <w:pPr>
              <w:spacing w:after="0"/>
              <w:rPr>
                <w:sz w:val="1"/>
                <w:szCs w:val="1"/>
                <w:color w:val="auto"/>
              </w:rPr>
            </w:pPr>
          </w:p>
        </w:tc>
      </w:tr>
      <w:tr>
        <w:trPr>
          <w:trHeight w:val="277"/>
        </w:trPr>
        <w:tc>
          <w:tcPr>
            <w:tcW w:w="7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Accrued retirement benefits (Note 9)</w:t>
            </w:r>
          </w:p>
        </w:tc>
        <w:tc>
          <w:tcPr>
            <w:tcW w:w="260" w:type="dxa"/>
            <w:vAlign w:val="bottom"/>
            <w:shd w:val="clear" w:color="auto" w:fill="CCEEFF"/>
          </w:tcPr>
          <w:p>
            <w:pPr>
              <w:spacing w:after="0"/>
              <w:rPr>
                <w:sz w:val="24"/>
                <w:szCs w:val="24"/>
                <w:color w:val="auto"/>
              </w:rPr>
            </w:pPr>
          </w:p>
        </w:tc>
        <w:tc>
          <w:tcPr>
            <w:tcW w:w="1620" w:type="dxa"/>
            <w:vAlign w:val="bottom"/>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3,505.1</w:t>
            </w:r>
          </w:p>
        </w:tc>
        <w:tc>
          <w:tcPr>
            <w:tcW w:w="260" w:type="dxa"/>
            <w:vAlign w:val="bottom"/>
            <w:shd w:val="clear" w:color="auto" w:fill="CCEEFF"/>
          </w:tcPr>
          <w:p>
            <w:pPr>
              <w:spacing w:after="0"/>
              <w:rPr>
                <w:sz w:val="24"/>
                <w:szCs w:val="24"/>
                <w:color w:val="auto"/>
              </w:rPr>
            </w:pPr>
          </w:p>
        </w:tc>
        <w:tc>
          <w:tcPr>
            <w:tcW w:w="16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3,513.9</w:t>
            </w:r>
          </w:p>
        </w:tc>
        <w:tc>
          <w:tcPr>
            <w:tcW w:w="0" w:type="dxa"/>
            <w:vAlign w:val="bottom"/>
          </w:tcPr>
          <w:p>
            <w:pPr>
              <w:spacing w:after="0"/>
              <w:rPr>
                <w:sz w:val="1"/>
                <w:szCs w:val="1"/>
                <w:color w:val="auto"/>
              </w:rPr>
            </w:pPr>
          </w:p>
        </w:tc>
      </w:tr>
      <w:tr>
        <w:trPr>
          <w:trHeight w:val="263"/>
        </w:trPr>
        <w:tc>
          <w:tcPr>
            <w:tcW w:w="7640" w:type="dxa"/>
            <w:vAlign w:val="bottom"/>
          </w:tcPr>
          <w:p>
            <w:pPr>
              <w:ind w:left="180"/>
              <w:spacing w:after="0"/>
              <w:rPr>
                <w:sz w:val="20"/>
                <w:szCs w:val="20"/>
                <w:color w:val="auto"/>
              </w:rPr>
            </w:pPr>
            <w:r>
              <w:rPr>
                <w:rFonts w:ascii="Arial" w:cs="Arial" w:eastAsia="Arial" w:hAnsi="Arial"/>
                <w:sz w:val="18"/>
                <w:szCs w:val="18"/>
                <w:color w:val="auto"/>
              </w:rPr>
              <w:t>Long-term income taxes payable</w:t>
            </w:r>
          </w:p>
        </w:tc>
        <w:tc>
          <w:tcPr>
            <w:tcW w:w="260" w:type="dxa"/>
            <w:vAlign w:val="bottom"/>
          </w:tcPr>
          <w:p>
            <w:pPr>
              <w:spacing w:after="0"/>
              <w:rPr>
                <w:sz w:val="22"/>
                <w:szCs w:val="22"/>
                <w:color w:val="auto"/>
              </w:rPr>
            </w:pPr>
          </w:p>
        </w:tc>
        <w:tc>
          <w:tcPr>
            <w:tcW w:w="1620" w:type="dxa"/>
            <w:vAlign w:val="bottom"/>
          </w:tcPr>
          <w:p>
            <w:pPr>
              <w:jc w:val="right"/>
              <w:ind w:right="71"/>
              <w:spacing w:after="0"/>
              <w:rPr>
                <w:sz w:val="20"/>
                <w:szCs w:val="20"/>
                <w:color w:val="auto"/>
              </w:rPr>
            </w:pPr>
            <w:r>
              <w:rPr>
                <w:rFonts w:ascii="Arial" w:cs="Arial" w:eastAsia="Arial" w:hAnsi="Arial"/>
                <w:sz w:val="18"/>
                <w:szCs w:val="18"/>
                <w:b w:val="1"/>
                <w:bCs w:val="1"/>
                <w:color w:val="auto"/>
              </w:rPr>
              <w:t>3,748.1</w:t>
            </w:r>
          </w:p>
        </w:tc>
        <w:tc>
          <w:tcPr>
            <w:tcW w:w="260" w:type="dxa"/>
            <w:vAlign w:val="bottom"/>
          </w:tcPr>
          <w:p>
            <w:pPr>
              <w:spacing w:after="0"/>
              <w:rPr>
                <w:sz w:val="22"/>
                <w:szCs w:val="22"/>
                <w:color w:val="auto"/>
              </w:rPr>
            </w:pP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3,776.5</w:t>
            </w:r>
          </w:p>
        </w:tc>
        <w:tc>
          <w:tcPr>
            <w:tcW w:w="0" w:type="dxa"/>
            <w:vAlign w:val="bottom"/>
          </w:tcPr>
          <w:p>
            <w:pPr>
              <w:spacing w:after="0"/>
              <w:rPr>
                <w:sz w:val="1"/>
                <w:szCs w:val="1"/>
                <w:color w:val="auto"/>
              </w:rPr>
            </w:pPr>
          </w:p>
        </w:tc>
      </w:tr>
      <w:tr>
        <w:trPr>
          <w:trHeight w:val="270"/>
        </w:trPr>
        <w:tc>
          <w:tcPr>
            <w:tcW w:w="7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noncurrent liabilities</w:t>
            </w:r>
          </w:p>
        </w:tc>
        <w:tc>
          <w:tcPr>
            <w:tcW w:w="260" w:type="dxa"/>
            <w:vAlign w:val="bottom"/>
            <w:tcBorders>
              <w:bottom w:val="single" w:sz="8" w:color="auto"/>
            </w:tcBorders>
            <w:shd w:val="clear" w:color="auto" w:fill="CCEEFF"/>
          </w:tcPr>
          <w:p>
            <w:pPr>
              <w:spacing w:after="0"/>
              <w:rPr>
                <w:sz w:val="23"/>
                <w:szCs w:val="23"/>
                <w:color w:val="auto"/>
              </w:rPr>
            </w:pPr>
          </w:p>
        </w:tc>
        <w:tc>
          <w:tcPr>
            <w:tcW w:w="162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1,574.1</w:t>
            </w:r>
          </w:p>
        </w:tc>
        <w:tc>
          <w:tcPr>
            <w:tcW w:w="260" w:type="dxa"/>
            <w:vAlign w:val="bottom"/>
            <w:tcBorders>
              <w:bottom w:val="single" w:sz="8" w:color="auto"/>
            </w:tcBorders>
            <w:shd w:val="clear" w:color="auto" w:fill="CCEEFF"/>
          </w:tcPr>
          <w:p>
            <w:pPr>
              <w:spacing w:after="0"/>
              <w:rPr>
                <w:sz w:val="23"/>
                <w:szCs w:val="23"/>
                <w:color w:val="auto"/>
              </w:rPr>
            </w:pPr>
          </w:p>
        </w:tc>
        <w:tc>
          <w:tcPr>
            <w:tcW w:w="16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1,546.3</w:t>
            </w:r>
          </w:p>
        </w:tc>
        <w:tc>
          <w:tcPr>
            <w:tcW w:w="0" w:type="dxa"/>
            <w:vAlign w:val="bottom"/>
          </w:tcPr>
          <w:p>
            <w:pPr>
              <w:spacing w:after="0"/>
              <w:rPr>
                <w:sz w:val="1"/>
                <w:szCs w:val="1"/>
                <w:color w:val="auto"/>
              </w:rPr>
            </w:pPr>
          </w:p>
        </w:tc>
      </w:tr>
      <w:tr>
        <w:trPr>
          <w:trHeight w:val="263"/>
        </w:trPr>
        <w:tc>
          <w:tcPr>
            <w:tcW w:w="7640" w:type="dxa"/>
            <w:vAlign w:val="bottom"/>
          </w:tcPr>
          <w:p>
            <w:pPr>
              <w:ind w:left="40"/>
              <w:spacing w:after="0"/>
              <w:rPr>
                <w:sz w:val="20"/>
                <w:szCs w:val="20"/>
                <w:color w:val="auto"/>
              </w:rPr>
            </w:pPr>
            <w:r>
              <w:rPr>
                <w:rFonts w:ascii="Arial" w:cs="Arial" w:eastAsia="Arial" w:hAnsi="Arial"/>
                <w:sz w:val="18"/>
                <w:szCs w:val="18"/>
                <w:color w:val="auto"/>
              </w:rPr>
              <w:t>Total other liabilities</w:t>
            </w:r>
          </w:p>
        </w:tc>
        <w:tc>
          <w:tcPr>
            <w:tcW w:w="260" w:type="dxa"/>
            <w:vAlign w:val="bottom"/>
          </w:tcPr>
          <w:p>
            <w:pPr>
              <w:spacing w:after="0"/>
              <w:rPr>
                <w:sz w:val="22"/>
                <w:szCs w:val="22"/>
                <w:color w:val="auto"/>
              </w:rPr>
            </w:pPr>
          </w:p>
        </w:tc>
        <w:tc>
          <w:tcPr>
            <w:tcW w:w="1620" w:type="dxa"/>
            <w:vAlign w:val="bottom"/>
          </w:tcPr>
          <w:p>
            <w:pPr>
              <w:jc w:val="right"/>
              <w:ind w:right="71"/>
              <w:spacing w:after="0"/>
              <w:rPr>
                <w:sz w:val="20"/>
                <w:szCs w:val="20"/>
                <w:color w:val="auto"/>
              </w:rPr>
            </w:pPr>
            <w:r>
              <w:rPr>
                <w:rFonts w:ascii="Arial" w:cs="Arial" w:eastAsia="Arial" w:hAnsi="Arial"/>
                <w:sz w:val="18"/>
                <w:szCs w:val="18"/>
                <w:b w:val="1"/>
                <w:bCs w:val="1"/>
                <w:color w:val="auto"/>
              </w:rPr>
              <w:t>18,220.8</w:t>
            </w:r>
          </w:p>
        </w:tc>
        <w:tc>
          <w:tcPr>
            <w:tcW w:w="260" w:type="dxa"/>
            <w:vAlign w:val="bottom"/>
          </w:tcPr>
          <w:p>
            <w:pPr>
              <w:spacing w:after="0"/>
              <w:rPr>
                <w:sz w:val="22"/>
                <w:szCs w:val="22"/>
                <w:color w:val="auto"/>
              </w:rPr>
            </w:pP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18,777.2</w:t>
            </w:r>
          </w:p>
        </w:tc>
        <w:tc>
          <w:tcPr>
            <w:tcW w:w="0" w:type="dxa"/>
            <w:vAlign w:val="bottom"/>
          </w:tcPr>
          <w:p>
            <w:pPr>
              <w:spacing w:after="0"/>
              <w:rPr>
                <w:sz w:val="1"/>
                <w:szCs w:val="1"/>
                <w:color w:val="auto"/>
              </w:rPr>
            </w:pPr>
          </w:p>
        </w:tc>
      </w:tr>
      <w:tr>
        <w:trPr>
          <w:trHeight w:val="277"/>
        </w:trPr>
        <w:tc>
          <w:tcPr>
            <w:tcW w:w="7640" w:type="dxa"/>
            <w:vAlign w:val="bottom"/>
            <w:shd w:val="clear" w:color="auto" w:fill="CCEEFF"/>
          </w:tcPr>
          <w:p>
            <w:pPr>
              <w:ind w:left="40"/>
              <w:spacing w:after="0"/>
              <w:rPr>
                <w:sz w:val="20"/>
                <w:szCs w:val="20"/>
                <w:color w:val="auto"/>
              </w:rPr>
            </w:pPr>
            <w:r>
              <w:rPr>
                <w:rFonts w:ascii="Arial" w:cs="Arial" w:eastAsia="Arial" w:hAnsi="Arial"/>
                <w:sz w:val="18"/>
                <w:szCs w:val="18"/>
                <w:i w:val="1"/>
                <w:iCs w:val="1"/>
                <w:color w:val="auto"/>
              </w:rPr>
              <w:t>Commitments and Contingencies (Note 10)</w:t>
            </w:r>
          </w:p>
        </w:tc>
        <w:tc>
          <w:tcPr>
            <w:tcW w:w="260" w:type="dxa"/>
            <w:vAlign w:val="bottom"/>
            <w:shd w:val="clear" w:color="auto" w:fill="CCEEFF"/>
          </w:tcPr>
          <w:p>
            <w:pPr>
              <w:spacing w:after="0"/>
              <w:rPr>
                <w:sz w:val="24"/>
                <w:szCs w:val="24"/>
                <w:color w:val="auto"/>
              </w:rPr>
            </w:pPr>
          </w:p>
        </w:tc>
        <w:tc>
          <w:tcPr>
            <w:tcW w:w="16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6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7640" w:type="dxa"/>
            <w:vAlign w:val="bottom"/>
          </w:tcPr>
          <w:p>
            <w:pPr>
              <w:ind w:left="40"/>
              <w:spacing w:after="0"/>
              <w:rPr>
                <w:sz w:val="20"/>
                <w:szCs w:val="20"/>
                <w:color w:val="auto"/>
              </w:rPr>
            </w:pPr>
            <w:r>
              <w:rPr>
                <w:rFonts w:ascii="Arial" w:cs="Arial" w:eastAsia="Arial" w:hAnsi="Arial"/>
                <w:sz w:val="18"/>
                <w:szCs w:val="18"/>
                <w:i w:val="1"/>
                <w:iCs w:val="1"/>
                <w:color w:val="auto"/>
              </w:rPr>
              <w:t>Eli Lilly and Company Shareholders’ Equity (Note 7)</w:t>
            </w:r>
          </w:p>
        </w:tc>
        <w:tc>
          <w:tcPr>
            <w:tcW w:w="260" w:type="dxa"/>
            <w:vAlign w:val="bottom"/>
          </w:tcPr>
          <w:p>
            <w:pPr>
              <w:spacing w:after="0"/>
              <w:rPr>
                <w:sz w:val="22"/>
                <w:szCs w:val="22"/>
                <w:color w:val="auto"/>
              </w:rPr>
            </w:pPr>
          </w:p>
        </w:tc>
        <w:tc>
          <w:tcPr>
            <w:tcW w:w="16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6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7"/>
        </w:trPr>
        <w:tc>
          <w:tcPr>
            <w:tcW w:w="7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Common stock</w:t>
            </w:r>
          </w:p>
        </w:tc>
        <w:tc>
          <w:tcPr>
            <w:tcW w:w="260" w:type="dxa"/>
            <w:vAlign w:val="bottom"/>
            <w:shd w:val="clear" w:color="auto" w:fill="CCEEFF"/>
          </w:tcPr>
          <w:p>
            <w:pPr>
              <w:spacing w:after="0"/>
              <w:rPr>
                <w:sz w:val="24"/>
                <w:szCs w:val="24"/>
                <w:color w:val="auto"/>
              </w:rPr>
            </w:pPr>
          </w:p>
        </w:tc>
        <w:tc>
          <w:tcPr>
            <w:tcW w:w="1620" w:type="dxa"/>
            <w:vAlign w:val="bottom"/>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680.8</w:t>
            </w:r>
          </w:p>
        </w:tc>
        <w:tc>
          <w:tcPr>
            <w:tcW w:w="260" w:type="dxa"/>
            <w:vAlign w:val="bottom"/>
            <w:shd w:val="clear" w:color="auto" w:fill="CCEEFF"/>
          </w:tcPr>
          <w:p>
            <w:pPr>
              <w:spacing w:after="0"/>
              <w:rPr>
                <w:sz w:val="24"/>
                <w:szCs w:val="24"/>
                <w:color w:val="auto"/>
              </w:rPr>
            </w:pPr>
          </w:p>
        </w:tc>
        <w:tc>
          <w:tcPr>
            <w:tcW w:w="16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687.9</w:t>
            </w:r>
          </w:p>
        </w:tc>
        <w:tc>
          <w:tcPr>
            <w:tcW w:w="0" w:type="dxa"/>
            <w:vAlign w:val="bottom"/>
          </w:tcPr>
          <w:p>
            <w:pPr>
              <w:spacing w:after="0"/>
              <w:rPr>
                <w:sz w:val="1"/>
                <w:szCs w:val="1"/>
                <w:color w:val="auto"/>
              </w:rPr>
            </w:pPr>
          </w:p>
        </w:tc>
      </w:tr>
      <w:tr>
        <w:trPr>
          <w:trHeight w:val="263"/>
        </w:trPr>
        <w:tc>
          <w:tcPr>
            <w:tcW w:w="7640" w:type="dxa"/>
            <w:vAlign w:val="bottom"/>
          </w:tcPr>
          <w:p>
            <w:pPr>
              <w:ind w:left="180"/>
              <w:spacing w:after="0"/>
              <w:rPr>
                <w:sz w:val="20"/>
                <w:szCs w:val="20"/>
                <w:color w:val="auto"/>
              </w:rPr>
            </w:pPr>
            <w:r>
              <w:rPr>
                <w:rFonts w:ascii="Arial" w:cs="Arial" w:eastAsia="Arial" w:hAnsi="Arial"/>
                <w:sz w:val="18"/>
                <w:szCs w:val="18"/>
                <w:color w:val="auto"/>
              </w:rPr>
              <w:t>Additional paid-in capital</w:t>
            </w:r>
          </w:p>
        </w:tc>
        <w:tc>
          <w:tcPr>
            <w:tcW w:w="260" w:type="dxa"/>
            <w:vAlign w:val="bottom"/>
          </w:tcPr>
          <w:p>
            <w:pPr>
              <w:spacing w:after="0"/>
              <w:rPr>
                <w:sz w:val="22"/>
                <w:szCs w:val="22"/>
                <w:color w:val="auto"/>
              </w:rPr>
            </w:pPr>
          </w:p>
        </w:tc>
        <w:tc>
          <w:tcPr>
            <w:tcW w:w="1620" w:type="dxa"/>
            <w:vAlign w:val="bottom"/>
          </w:tcPr>
          <w:p>
            <w:pPr>
              <w:jc w:val="right"/>
              <w:ind w:right="71"/>
              <w:spacing w:after="0"/>
              <w:rPr>
                <w:sz w:val="20"/>
                <w:szCs w:val="20"/>
                <w:color w:val="auto"/>
              </w:rPr>
            </w:pPr>
            <w:r>
              <w:rPr>
                <w:rFonts w:ascii="Arial" w:cs="Arial" w:eastAsia="Arial" w:hAnsi="Arial"/>
                <w:sz w:val="18"/>
                <w:szCs w:val="18"/>
                <w:b w:val="1"/>
                <w:bCs w:val="1"/>
                <w:color w:val="auto"/>
              </w:rPr>
              <w:t>5,758.0</w:t>
            </w:r>
          </w:p>
        </w:tc>
        <w:tc>
          <w:tcPr>
            <w:tcW w:w="260" w:type="dxa"/>
            <w:vAlign w:val="bottom"/>
          </w:tcPr>
          <w:p>
            <w:pPr>
              <w:spacing w:after="0"/>
              <w:rPr>
                <w:sz w:val="22"/>
                <w:szCs w:val="22"/>
                <w:color w:val="auto"/>
              </w:rPr>
            </w:pP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5,817.8</w:t>
            </w:r>
          </w:p>
        </w:tc>
        <w:tc>
          <w:tcPr>
            <w:tcW w:w="0" w:type="dxa"/>
            <w:vAlign w:val="bottom"/>
          </w:tcPr>
          <w:p>
            <w:pPr>
              <w:spacing w:after="0"/>
              <w:rPr>
                <w:sz w:val="1"/>
                <w:szCs w:val="1"/>
                <w:color w:val="auto"/>
              </w:rPr>
            </w:pPr>
          </w:p>
        </w:tc>
      </w:tr>
      <w:tr>
        <w:trPr>
          <w:trHeight w:val="277"/>
        </w:trPr>
        <w:tc>
          <w:tcPr>
            <w:tcW w:w="7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Retained earnings</w:t>
            </w:r>
          </w:p>
        </w:tc>
        <w:tc>
          <w:tcPr>
            <w:tcW w:w="260" w:type="dxa"/>
            <w:vAlign w:val="bottom"/>
            <w:shd w:val="clear" w:color="auto" w:fill="CCEEFF"/>
          </w:tcPr>
          <w:p>
            <w:pPr>
              <w:spacing w:after="0"/>
              <w:rPr>
                <w:sz w:val="24"/>
                <w:szCs w:val="24"/>
                <w:color w:val="auto"/>
              </w:rPr>
            </w:pPr>
          </w:p>
        </w:tc>
        <w:tc>
          <w:tcPr>
            <w:tcW w:w="1620" w:type="dxa"/>
            <w:vAlign w:val="bottom"/>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16,608.2</w:t>
            </w:r>
          </w:p>
        </w:tc>
        <w:tc>
          <w:tcPr>
            <w:tcW w:w="260" w:type="dxa"/>
            <w:vAlign w:val="bottom"/>
            <w:shd w:val="clear" w:color="auto" w:fill="CCEEFF"/>
          </w:tcPr>
          <w:p>
            <w:pPr>
              <w:spacing w:after="0"/>
              <w:rPr>
                <w:sz w:val="24"/>
                <w:szCs w:val="24"/>
                <w:color w:val="auto"/>
              </w:rPr>
            </w:pPr>
          </w:p>
        </w:tc>
        <w:tc>
          <w:tcPr>
            <w:tcW w:w="16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13,894.1</w:t>
            </w:r>
          </w:p>
        </w:tc>
        <w:tc>
          <w:tcPr>
            <w:tcW w:w="0" w:type="dxa"/>
            <w:vAlign w:val="bottom"/>
          </w:tcPr>
          <w:p>
            <w:pPr>
              <w:spacing w:after="0"/>
              <w:rPr>
                <w:sz w:val="1"/>
                <w:szCs w:val="1"/>
                <w:color w:val="auto"/>
              </w:rPr>
            </w:pPr>
          </w:p>
        </w:tc>
      </w:tr>
      <w:tr>
        <w:trPr>
          <w:trHeight w:val="263"/>
        </w:trPr>
        <w:tc>
          <w:tcPr>
            <w:tcW w:w="7640" w:type="dxa"/>
            <w:vAlign w:val="bottom"/>
          </w:tcPr>
          <w:p>
            <w:pPr>
              <w:ind w:left="180"/>
              <w:spacing w:after="0"/>
              <w:rPr>
                <w:sz w:val="20"/>
                <w:szCs w:val="20"/>
                <w:color w:val="auto"/>
              </w:rPr>
            </w:pPr>
            <w:r>
              <w:rPr>
                <w:rFonts w:ascii="Arial" w:cs="Arial" w:eastAsia="Arial" w:hAnsi="Arial"/>
                <w:sz w:val="18"/>
                <w:szCs w:val="18"/>
                <w:color w:val="auto"/>
              </w:rPr>
              <w:t>Employee benefit trust</w:t>
            </w:r>
          </w:p>
        </w:tc>
        <w:tc>
          <w:tcPr>
            <w:tcW w:w="260" w:type="dxa"/>
            <w:vAlign w:val="bottom"/>
          </w:tcPr>
          <w:p>
            <w:pPr>
              <w:spacing w:after="0"/>
              <w:rPr>
                <w:sz w:val="22"/>
                <w:szCs w:val="22"/>
                <w:color w:val="auto"/>
              </w:rPr>
            </w:pPr>
          </w:p>
        </w:tc>
        <w:tc>
          <w:tcPr>
            <w:tcW w:w="1620" w:type="dxa"/>
            <w:vAlign w:val="bottom"/>
          </w:tcPr>
          <w:p>
            <w:pPr>
              <w:jc w:val="right"/>
              <w:ind w:right="11"/>
              <w:spacing w:after="0"/>
              <w:rPr>
                <w:sz w:val="20"/>
                <w:szCs w:val="20"/>
                <w:color w:val="auto"/>
              </w:rPr>
            </w:pPr>
            <w:r>
              <w:rPr>
                <w:rFonts w:ascii="Arial" w:cs="Arial" w:eastAsia="Arial" w:hAnsi="Arial"/>
                <w:sz w:val="18"/>
                <w:szCs w:val="18"/>
                <w:b w:val="1"/>
                <w:bCs w:val="1"/>
                <w:color w:val="auto"/>
              </w:rPr>
              <w:t>(3,013.2)</w:t>
            </w:r>
          </w:p>
        </w:tc>
        <w:tc>
          <w:tcPr>
            <w:tcW w:w="260" w:type="dxa"/>
            <w:vAlign w:val="bottom"/>
          </w:tcPr>
          <w:p>
            <w:pPr>
              <w:spacing w:after="0"/>
              <w:rPr>
                <w:sz w:val="22"/>
                <w:szCs w:val="22"/>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(3,013.2)</w:t>
            </w:r>
          </w:p>
        </w:tc>
        <w:tc>
          <w:tcPr>
            <w:tcW w:w="0" w:type="dxa"/>
            <w:vAlign w:val="bottom"/>
          </w:tcPr>
          <w:p>
            <w:pPr>
              <w:spacing w:after="0"/>
              <w:rPr>
                <w:sz w:val="1"/>
                <w:szCs w:val="1"/>
                <w:color w:val="auto"/>
              </w:rPr>
            </w:pPr>
          </w:p>
        </w:tc>
      </w:tr>
      <w:tr>
        <w:trPr>
          <w:trHeight w:val="277"/>
        </w:trPr>
        <w:tc>
          <w:tcPr>
            <w:tcW w:w="7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Accumulated other comprehensive loss (Note 11)</w:t>
            </w:r>
          </w:p>
        </w:tc>
        <w:tc>
          <w:tcPr>
            <w:tcW w:w="260" w:type="dxa"/>
            <w:vAlign w:val="bottom"/>
            <w:shd w:val="clear" w:color="auto" w:fill="CCEEFF"/>
          </w:tcPr>
          <w:p>
            <w:pPr>
              <w:spacing w:after="0"/>
              <w:rPr>
                <w:sz w:val="24"/>
                <w:szCs w:val="24"/>
                <w:color w:val="auto"/>
              </w:rPr>
            </w:pPr>
          </w:p>
        </w:tc>
        <w:tc>
          <w:tcPr>
            <w:tcW w:w="1620" w:type="dxa"/>
            <w:vAlign w:val="bottom"/>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(5,437.5)</w:t>
            </w:r>
          </w:p>
        </w:tc>
        <w:tc>
          <w:tcPr>
            <w:tcW w:w="260" w:type="dxa"/>
            <w:vAlign w:val="bottom"/>
            <w:shd w:val="clear" w:color="auto" w:fill="CCEEFF"/>
          </w:tcPr>
          <w:p>
            <w:pPr>
              <w:spacing w:after="0"/>
              <w:rPr>
                <w:sz w:val="24"/>
                <w:szCs w:val="24"/>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(5,718.6)</w:t>
            </w:r>
          </w:p>
        </w:tc>
        <w:tc>
          <w:tcPr>
            <w:tcW w:w="0" w:type="dxa"/>
            <w:vAlign w:val="bottom"/>
          </w:tcPr>
          <w:p>
            <w:pPr>
              <w:spacing w:after="0"/>
              <w:rPr>
                <w:sz w:val="1"/>
                <w:szCs w:val="1"/>
                <w:color w:val="auto"/>
              </w:rPr>
            </w:pPr>
          </w:p>
        </w:tc>
      </w:tr>
      <w:tr>
        <w:trPr>
          <w:trHeight w:val="264"/>
        </w:trPr>
        <w:tc>
          <w:tcPr>
            <w:tcW w:w="764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Cost of common stock in treasury</w:t>
            </w:r>
          </w:p>
        </w:tc>
        <w:tc>
          <w:tcPr>
            <w:tcW w:w="260" w:type="dxa"/>
            <w:vAlign w:val="bottom"/>
            <w:tcBorders>
              <w:bottom w:val="single" w:sz="8" w:color="auto"/>
            </w:tcBorders>
          </w:tcPr>
          <w:p>
            <w:pPr>
              <w:spacing w:after="0"/>
              <w:rPr>
                <w:sz w:val="22"/>
                <w:szCs w:val="22"/>
                <w:color w:val="auto"/>
              </w:rPr>
            </w:pPr>
          </w:p>
        </w:tc>
        <w:tc>
          <w:tcPr>
            <w:tcW w:w="16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(69.3)</w:t>
            </w:r>
          </w:p>
        </w:tc>
        <w:tc>
          <w:tcPr>
            <w:tcW w:w="260" w:type="dxa"/>
            <w:vAlign w:val="bottom"/>
            <w:tcBorders>
              <w:bottom w:val="single" w:sz="8" w:color="auto"/>
            </w:tcBorders>
          </w:tcPr>
          <w:p>
            <w:pPr>
              <w:spacing w:after="0"/>
              <w:rPr>
                <w:sz w:val="22"/>
                <w:szCs w:val="22"/>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(75.8)</w:t>
            </w:r>
          </w:p>
        </w:tc>
        <w:tc>
          <w:tcPr>
            <w:tcW w:w="0" w:type="dxa"/>
            <w:vAlign w:val="bottom"/>
          </w:tcPr>
          <w:p>
            <w:pPr>
              <w:spacing w:after="0"/>
              <w:rPr>
                <w:sz w:val="1"/>
                <w:szCs w:val="1"/>
                <w:color w:val="auto"/>
              </w:rPr>
            </w:pPr>
          </w:p>
        </w:tc>
      </w:tr>
      <w:tr>
        <w:trPr>
          <w:trHeight w:val="270"/>
        </w:trPr>
        <w:tc>
          <w:tcPr>
            <w:tcW w:w="764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Eli Lilly and Company shareholders’ equity</w:t>
            </w:r>
          </w:p>
        </w:tc>
        <w:tc>
          <w:tcPr>
            <w:tcW w:w="260" w:type="dxa"/>
            <w:vAlign w:val="bottom"/>
            <w:shd w:val="clear" w:color="auto" w:fill="CCEEFF"/>
          </w:tcPr>
          <w:p>
            <w:pPr>
              <w:spacing w:after="0"/>
              <w:rPr>
                <w:sz w:val="23"/>
                <w:szCs w:val="23"/>
                <w:color w:val="auto"/>
              </w:rPr>
            </w:pPr>
          </w:p>
        </w:tc>
        <w:tc>
          <w:tcPr>
            <w:tcW w:w="1620" w:type="dxa"/>
            <w:vAlign w:val="bottom"/>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14,527.0</w:t>
            </w:r>
          </w:p>
        </w:tc>
        <w:tc>
          <w:tcPr>
            <w:tcW w:w="260" w:type="dxa"/>
            <w:vAlign w:val="bottom"/>
            <w:shd w:val="clear" w:color="auto" w:fill="CCEEFF"/>
          </w:tcPr>
          <w:p>
            <w:pPr>
              <w:spacing w:after="0"/>
              <w:rPr>
                <w:sz w:val="23"/>
                <w:szCs w:val="23"/>
                <w:color w:val="auto"/>
              </w:rPr>
            </w:pPr>
          </w:p>
        </w:tc>
        <w:tc>
          <w:tcPr>
            <w:tcW w:w="16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11,592.2</w:t>
            </w:r>
          </w:p>
        </w:tc>
        <w:tc>
          <w:tcPr>
            <w:tcW w:w="0" w:type="dxa"/>
            <w:vAlign w:val="bottom"/>
          </w:tcPr>
          <w:p>
            <w:pPr>
              <w:spacing w:after="0"/>
              <w:rPr>
                <w:sz w:val="1"/>
                <w:szCs w:val="1"/>
                <w:color w:val="auto"/>
              </w:rPr>
            </w:pPr>
          </w:p>
        </w:tc>
      </w:tr>
      <w:tr>
        <w:trPr>
          <w:trHeight w:val="264"/>
        </w:trPr>
        <w:tc>
          <w:tcPr>
            <w:tcW w:w="76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Noncontrolling interests</w:t>
            </w:r>
          </w:p>
        </w:tc>
        <w:tc>
          <w:tcPr>
            <w:tcW w:w="260" w:type="dxa"/>
            <w:vAlign w:val="bottom"/>
            <w:tcBorders>
              <w:bottom w:val="single" w:sz="8" w:color="auto"/>
            </w:tcBorders>
          </w:tcPr>
          <w:p>
            <w:pPr>
              <w:spacing w:after="0"/>
              <w:rPr>
                <w:sz w:val="22"/>
                <w:szCs w:val="22"/>
                <w:color w:val="auto"/>
              </w:rPr>
            </w:pPr>
          </w:p>
        </w:tc>
        <w:tc>
          <w:tcPr>
            <w:tcW w:w="162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b w:val="1"/>
                <w:bCs w:val="1"/>
                <w:color w:val="auto"/>
              </w:rPr>
              <w:t>60.8</w:t>
            </w:r>
          </w:p>
        </w:tc>
        <w:tc>
          <w:tcPr>
            <w:tcW w:w="260" w:type="dxa"/>
            <w:vAlign w:val="bottom"/>
            <w:tcBorders>
              <w:bottom w:val="single" w:sz="8" w:color="auto"/>
            </w:tcBorders>
          </w:tcPr>
          <w:p>
            <w:pPr>
              <w:spacing w:after="0"/>
              <w:rPr>
                <w:sz w:val="22"/>
                <w:szCs w:val="22"/>
                <w:color w:val="auto"/>
              </w:rPr>
            </w:pPr>
          </w:p>
        </w:tc>
        <w:tc>
          <w:tcPr>
            <w:tcW w:w="16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75.7</w:t>
            </w:r>
          </w:p>
        </w:tc>
        <w:tc>
          <w:tcPr>
            <w:tcW w:w="0" w:type="dxa"/>
            <w:vAlign w:val="bottom"/>
          </w:tcPr>
          <w:p>
            <w:pPr>
              <w:spacing w:after="0"/>
              <w:rPr>
                <w:sz w:val="1"/>
                <w:szCs w:val="1"/>
                <w:color w:val="auto"/>
              </w:rPr>
            </w:pPr>
          </w:p>
        </w:tc>
      </w:tr>
      <w:tr>
        <w:trPr>
          <w:trHeight w:val="264"/>
        </w:trPr>
        <w:tc>
          <w:tcPr>
            <w:tcW w:w="764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equity</w:t>
            </w:r>
          </w:p>
        </w:tc>
        <w:tc>
          <w:tcPr>
            <w:tcW w:w="260" w:type="dxa"/>
            <w:vAlign w:val="bottom"/>
            <w:tcBorders>
              <w:bottom w:val="single" w:sz="8" w:color="auto"/>
            </w:tcBorders>
            <w:shd w:val="clear" w:color="auto" w:fill="CCEEFF"/>
          </w:tcPr>
          <w:p>
            <w:pPr>
              <w:spacing w:after="0"/>
              <w:rPr>
                <w:sz w:val="22"/>
                <w:szCs w:val="22"/>
                <w:color w:val="auto"/>
              </w:rPr>
            </w:pPr>
          </w:p>
        </w:tc>
        <w:tc>
          <w:tcPr>
            <w:tcW w:w="162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14,587.8</w:t>
            </w:r>
          </w:p>
        </w:tc>
        <w:tc>
          <w:tcPr>
            <w:tcW w:w="260" w:type="dxa"/>
            <w:vAlign w:val="bottom"/>
            <w:tcBorders>
              <w:bottom w:val="single" w:sz="8" w:color="auto"/>
            </w:tcBorders>
            <w:shd w:val="clear" w:color="auto" w:fill="CCEEFF"/>
          </w:tcPr>
          <w:p>
            <w:pPr>
              <w:spacing w:after="0"/>
              <w:rPr>
                <w:sz w:val="22"/>
                <w:szCs w:val="22"/>
                <w:color w:val="auto"/>
              </w:rPr>
            </w:pPr>
          </w:p>
        </w:tc>
        <w:tc>
          <w:tcPr>
            <w:tcW w:w="16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11,667.9</w:t>
            </w:r>
          </w:p>
        </w:tc>
        <w:tc>
          <w:tcPr>
            <w:tcW w:w="0" w:type="dxa"/>
            <w:vAlign w:val="bottom"/>
          </w:tcPr>
          <w:p>
            <w:pPr>
              <w:spacing w:after="0"/>
              <w:rPr>
                <w:sz w:val="1"/>
                <w:szCs w:val="1"/>
                <w:color w:val="auto"/>
              </w:rPr>
            </w:pPr>
          </w:p>
        </w:tc>
      </w:tr>
      <w:tr>
        <w:trPr>
          <w:trHeight w:val="277"/>
        </w:trPr>
        <w:tc>
          <w:tcPr>
            <w:tcW w:w="7640" w:type="dxa"/>
            <w:vAlign w:val="bottom"/>
          </w:tcPr>
          <w:p>
            <w:pPr>
              <w:ind w:left="40"/>
              <w:spacing w:after="0"/>
              <w:rPr>
                <w:sz w:val="20"/>
                <w:szCs w:val="20"/>
                <w:color w:val="auto"/>
              </w:rPr>
            </w:pPr>
            <w:r>
              <w:rPr>
                <w:rFonts w:ascii="Arial" w:cs="Arial" w:eastAsia="Arial" w:hAnsi="Arial"/>
                <w:sz w:val="18"/>
                <w:szCs w:val="18"/>
                <w:color w:val="auto"/>
              </w:rPr>
              <w:t>Total liabilities and equity</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62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b w:val="1"/>
                <w:bCs w:val="1"/>
                <w:color w:val="auto"/>
              </w:rPr>
              <w:t>44,355.6</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44,981.0</w:t>
            </w:r>
          </w:p>
        </w:tc>
        <w:tc>
          <w:tcPr>
            <w:tcW w:w="0" w:type="dxa"/>
            <w:vAlign w:val="bottom"/>
          </w:tcPr>
          <w:p>
            <w:pPr>
              <w:spacing w:after="0"/>
              <w:rPr>
                <w:sz w:val="1"/>
                <w:szCs w:val="1"/>
                <w:color w:val="auto"/>
              </w:rPr>
            </w:pPr>
          </w:p>
        </w:tc>
      </w:tr>
    </w:tbl>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See notes to consolidated condensed financial statements.</w:t>
      </w:r>
    </w:p>
    <w:p>
      <w:pPr>
        <w:sectPr>
          <w:pgSz w:w="11900" w:h="16838" w:orient="portrait"/>
          <w:cols w:equalWidth="0" w:num="1">
            <w:col w:w="11420"/>
          </w:cols>
          <w:pgMar w:left="240" w:top="576" w:right="239" w:bottom="908"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ectPr>
          <w:pgSz w:w="11900" w:h="16838" w:orient="portrait"/>
          <w:cols w:equalWidth="0" w:num="1">
            <w:col w:w="11420"/>
          </w:cols>
          <w:pgMar w:left="240" w:top="576" w:right="239" w:bottom="908" w:gutter="0" w:footer="0" w:header="0"/>
          <w:type w:val="continuous"/>
        </w:sectPr>
      </w:pPr>
    </w:p>
    <w:bookmarkStart w:id="6" w:name="page7"/>
    <w:bookmarkEnd w:id="6"/>
    <w:p>
      <w:pPr>
        <w:jc w:val="center"/>
        <w:ind w:right="-19"/>
        <w:spacing w:after="0"/>
        <w:rPr>
          <w:sz w:val="20"/>
          <w:szCs w:val="20"/>
          <w:color w:val="auto"/>
        </w:rPr>
      </w:pPr>
      <w:r>
        <w:rPr>
          <w:rFonts w:ascii="Arial" w:cs="Arial" w:eastAsia="Arial" w:hAnsi="Arial"/>
          <w:sz w:val="17"/>
          <w:szCs w:val="17"/>
          <w:b w:val="1"/>
          <w:bCs w:val="1"/>
          <w:color w:val="auto"/>
        </w:rPr>
        <w:t>Consolidated Condensed Statements of Cash Flows</w:t>
      </w:r>
    </w:p>
    <w:p>
      <w:pPr>
        <w:spacing w:after="0" w:line="4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ELI LILLY AND COMPANY AND SUBSIDIARIES</w:t>
      </w:r>
    </w:p>
    <w:p>
      <w:pPr>
        <w:sectPr>
          <w:pgSz w:w="11900" w:h="16838" w:orient="portrait"/>
          <w:cols w:equalWidth="0" w:num="1">
            <w:col w:w="11400"/>
          </w:cols>
          <w:pgMar w:left="240" w:top="576" w:right="259" w:bottom="1440" w:gutter="0" w:footer="0" w:header="0"/>
        </w:sectPr>
      </w:pPr>
    </w:p>
    <w:p>
      <w:pPr>
        <w:spacing w:after="0" w:line="10" w:lineRule="exact"/>
        <w:rPr>
          <w:sz w:val="20"/>
          <w:szCs w:val="20"/>
          <w:color w:val="auto"/>
        </w:rPr>
      </w:pPr>
    </w:p>
    <w:p>
      <w:pPr>
        <w:ind w:left="5040"/>
        <w:spacing w:after="0"/>
        <w:rPr>
          <w:sz w:val="20"/>
          <w:szCs w:val="20"/>
          <w:color w:val="auto"/>
        </w:rPr>
      </w:pPr>
      <w:r>
        <w:rPr>
          <w:rFonts w:ascii="Arial" w:cs="Arial" w:eastAsia="Arial" w:hAnsi="Arial"/>
          <w:sz w:val="14"/>
          <w:szCs w:val="14"/>
          <w:b w:val="1"/>
          <w:bCs w:val="1"/>
          <w:color w:val="auto"/>
        </w:rPr>
        <w:t>(Dollars in millions)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Cash Flows from 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7229475" cy="1714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65" w:lineRule="exact"/>
        <w:rPr>
          <w:sz w:val="20"/>
          <w:szCs w:val="20"/>
          <w:color w:val="auto"/>
        </w:rPr>
      </w:pPr>
    </w:p>
    <w:p>
      <w:pPr>
        <w:ind w:left="40"/>
        <w:spacing w:after="0"/>
        <w:rPr>
          <w:sz w:val="20"/>
          <w:szCs w:val="20"/>
          <w:color w:val="auto"/>
        </w:rPr>
      </w:pPr>
      <w:r>
        <w:rPr>
          <w:rFonts w:ascii="Arial" w:cs="Arial" w:eastAsia="Arial" w:hAnsi="Arial"/>
          <w:sz w:val="18"/>
          <w:szCs w:val="18"/>
          <w:color w:val="auto"/>
        </w:rPr>
        <w:t>Net income (loss)</w:t>
      </w:r>
    </w:p>
    <w:p>
      <w:pPr>
        <w:spacing w:after="0" w:line="41"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Adjustments to Reconcile Net Income (Loss) to Cash Flows from 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36195</wp:posOffset>
            </wp:positionV>
            <wp:extent cx="7229475" cy="1714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77" w:lineRule="exact"/>
        <w:rPr>
          <w:sz w:val="20"/>
          <w:szCs w:val="20"/>
          <w:color w:val="auto"/>
        </w:rPr>
      </w:pPr>
    </w:p>
    <w:p>
      <w:pPr>
        <w:ind w:left="180"/>
        <w:spacing w:after="0"/>
        <w:rPr>
          <w:sz w:val="20"/>
          <w:szCs w:val="20"/>
          <w:color w:val="auto"/>
        </w:rPr>
      </w:pPr>
      <w:r>
        <w:rPr>
          <w:rFonts w:ascii="Arial" w:cs="Arial" w:eastAsia="Arial" w:hAnsi="Arial"/>
          <w:sz w:val="18"/>
          <w:szCs w:val="18"/>
          <w:color w:val="auto"/>
        </w:rPr>
        <w:t>Depreciation and amortization</w:t>
      </w:r>
    </w:p>
    <w:p>
      <w:pPr>
        <w:spacing w:after="0" w:line="6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Change in deferred income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29475" cy="1714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4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Stock-based compensation expense</w:t>
      </w:r>
    </w:p>
    <w:p>
      <w:pPr>
        <w:spacing w:after="0" w:line="50" w:lineRule="exact"/>
        <w:rPr>
          <w:sz w:val="20"/>
          <w:szCs w:val="20"/>
          <w:color w:val="auto"/>
        </w:rPr>
      </w:pPr>
    </w:p>
    <w:p>
      <w:pPr>
        <w:ind w:left="180"/>
        <w:spacing w:after="0"/>
        <w:rPr>
          <w:sz w:val="20"/>
          <w:szCs w:val="20"/>
          <w:color w:val="auto"/>
        </w:rPr>
      </w:pPr>
      <w:r>
        <w:rPr>
          <w:rFonts w:ascii="Arial" w:cs="Arial" w:eastAsia="Arial" w:hAnsi="Arial"/>
          <w:sz w:val="18"/>
          <w:szCs w:val="18"/>
          <w:color w:val="auto"/>
        </w:rPr>
        <w:t>Acquired in-process research and development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29475" cy="1714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57" w:lineRule="exact"/>
        <w:rPr>
          <w:sz w:val="20"/>
          <w:szCs w:val="20"/>
          <w:color w:val="auto"/>
        </w:rPr>
      </w:pPr>
    </w:p>
    <w:p>
      <w:pPr>
        <w:ind w:left="180"/>
        <w:spacing w:after="0"/>
        <w:rPr>
          <w:sz w:val="20"/>
          <w:szCs w:val="20"/>
          <w:color w:val="auto"/>
        </w:rPr>
      </w:pPr>
      <w:r>
        <w:rPr>
          <w:rFonts w:ascii="Arial" w:cs="Arial" w:eastAsia="Arial" w:hAnsi="Arial"/>
          <w:sz w:val="18"/>
          <w:szCs w:val="18"/>
          <w:color w:val="auto"/>
        </w:rPr>
        <w:t>Other changes in operating assets and liabilities, net of acquisitions</w:t>
      </w:r>
    </w:p>
    <w:p>
      <w:pPr>
        <w:spacing w:after="0" w:line="6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Other non-cash operating activities,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29475" cy="1803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29475" cy="180340"/>
                    </a:xfrm>
                    <a:prstGeom prst="rect">
                      <a:avLst/>
                    </a:prstGeom>
                    <a:noFill/>
                  </pic:spPr>
                </pic:pic>
              </a:graphicData>
            </a:graphic>
          </wp:anchor>
        </w:drawing>
      </w:r>
    </w:p>
    <w:p>
      <w:pPr>
        <w:spacing w:after="0" w:line="35"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Net Cash Provided by Operating Activities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Cash Flows from Investing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7229475" cy="1714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65" w:lineRule="exact"/>
        <w:rPr>
          <w:sz w:val="20"/>
          <w:szCs w:val="20"/>
          <w:color w:val="auto"/>
        </w:rPr>
      </w:pPr>
    </w:p>
    <w:p>
      <w:pPr>
        <w:ind w:left="40"/>
        <w:spacing w:after="0"/>
        <w:rPr>
          <w:sz w:val="20"/>
          <w:szCs w:val="20"/>
          <w:color w:val="auto"/>
        </w:rPr>
      </w:pPr>
      <w:r>
        <w:rPr>
          <w:rFonts w:ascii="Arial" w:cs="Arial" w:eastAsia="Arial" w:hAnsi="Arial"/>
          <w:sz w:val="18"/>
          <w:szCs w:val="18"/>
          <w:color w:val="auto"/>
        </w:rPr>
        <w:t>Net purchases of property and equipment</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Proceeds from sales and maturities of short-term investments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29475" cy="1714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43" w:lineRule="exact"/>
        <w:rPr>
          <w:sz w:val="20"/>
          <w:szCs w:val="20"/>
          <w:color w:val="auto"/>
        </w:rPr>
      </w:pPr>
    </w:p>
    <w:p>
      <w:pPr>
        <w:ind w:left="40"/>
        <w:spacing w:after="0"/>
        <w:rPr>
          <w:sz w:val="20"/>
          <w:szCs w:val="20"/>
          <w:color w:val="auto"/>
        </w:rPr>
      </w:pPr>
      <w:r>
        <w:rPr>
          <w:rFonts w:ascii="Arial" w:cs="Arial" w:eastAsia="Arial" w:hAnsi="Arial"/>
          <w:sz w:val="18"/>
          <w:szCs w:val="18"/>
          <w:color w:val="auto"/>
        </w:rPr>
        <w:t>Purchases of short-term investments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Proceeds from sales of noncurrent investments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29475" cy="1714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43" w:lineRule="exact"/>
        <w:rPr>
          <w:sz w:val="20"/>
          <w:szCs w:val="20"/>
          <w:color w:val="auto"/>
        </w:rPr>
      </w:pPr>
    </w:p>
    <w:p>
      <w:pPr>
        <w:ind w:left="40"/>
        <w:spacing w:after="0"/>
        <w:rPr>
          <w:sz w:val="20"/>
          <w:szCs w:val="20"/>
          <w:color w:val="auto"/>
        </w:rPr>
      </w:pPr>
      <w:r>
        <w:rPr>
          <w:rFonts w:ascii="Arial" w:cs="Arial" w:eastAsia="Arial" w:hAnsi="Arial"/>
          <w:sz w:val="18"/>
          <w:szCs w:val="18"/>
          <w:color w:val="auto"/>
        </w:rPr>
        <w:t>Purchases of noncurrent investments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Cash paid for acquisitions, net of cash acquired (Note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29475" cy="1714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30" w:lineRule="exact"/>
        <w:rPr>
          <w:sz w:val="20"/>
          <w:szCs w:val="20"/>
          <w:color w:val="auto"/>
        </w:rPr>
      </w:pPr>
    </w:p>
    <w:p>
      <w:pPr>
        <w:ind w:left="40"/>
        <w:spacing w:after="0"/>
        <w:rPr>
          <w:sz w:val="20"/>
          <w:szCs w:val="20"/>
          <w:color w:val="auto"/>
        </w:rPr>
      </w:pPr>
      <w:r>
        <w:rPr>
          <w:rFonts w:ascii="Arial" w:cs="Arial" w:eastAsia="Arial" w:hAnsi="Arial"/>
          <w:sz w:val="18"/>
          <w:szCs w:val="18"/>
          <w:color w:val="auto"/>
        </w:rPr>
        <w:t>Purchase of in-process research and development (Note 3)</w:t>
      </w:r>
    </w:p>
    <w:p>
      <w:pPr>
        <w:spacing w:after="0" w:line="77" w:lineRule="exact"/>
        <w:rPr>
          <w:sz w:val="20"/>
          <w:szCs w:val="20"/>
          <w:color w:val="auto"/>
        </w:rPr>
      </w:pPr>
    </w:p>
    <w:p>
      <w:pPr>
        <w:ind w:left="40"/>
        <w:spacing w:after="0"/>
        <w:rPr>
          <w:sz w:val="20"/>
          <w:szCs w:val="20"/>
          <w:color w:val="auto"/>
        </w:rPr>
      </w:pPr>
      <w:r>
        <w:rPr>
          <w:rFonts w:ascii="Arial" w:cs="Arial" w:eastAsia="Arial" w:hAnsi="Arial"/>
          <w:sz w:val="18"/>
          <w:szCs w:val="18"/>
          <w:color w:val="auto"/>
        </w:rPr>
        <w:t>Other investing activities,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29475" cy="1803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29475" cy="180340"/>
                    </a:xfrm>
                    <a:prstGeom prst="rect">
                      <a:avLst/>
                    </a:prstGeom>
                    <a:noFill/>
                  </pic:spPr>
                </pic:pic>
              </a:graphicData>
            </a:graphic>
          </wp:anchor>
        </w:drawing>
      </w:r>
    </w:p>
    <w:p>
      <w:pPr>
        <w:spacing w:after="0" w:line="35"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Net Cash Used for Investing Activities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Cash Flows from 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7229475" cy="1714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65" w:lineRule="exact"/>
        <w:rPr>
          <w:sz w:val="20"/>
          <w:szCs w:val="20"/>
          <w:color w:val="auto"/>
        </w:rPr>
      </w:pPr>
    </w:p>
    <w:p>
      <w:pPr>
        <w:ind w:left="40"/>
        <w:spacing w:after="0"/>
        <w:rPr>
          <w:sz w:val="20"/>
          <w:szCs w:val="20"/>
          <w:color w:val="auto"/>
        </w:rPr>
      </w:pPr>
      <w:r>
        <w:rPr>
          <w:rFonts w:ascii="Arial" w:cs="Arial" w:eastAsia="Arial" w:hAnsi="Arial"/>
          <w:sz w:val="18"/>
          <w:szCs w:val="18"/>
          <w:color w:val="auto"/>
        </w:rPr>
        <w:t>Dividends paid</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Net change in short-term borrowings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29475" cy="1714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43" w:lineRule="exact"/>
        <w:rPr>
          <w:sz w:val="20"/>
          <w:szCs w:val="20"/>
          <w:color w:val="auto"/>
        </w:rPr>
      </w:pPr>
    </w:p>
    <w:p>
      <w:pPr>
        <w:ind w:left="40"/>
        <w:spacing w:after="0"/>
        <w:rPr>
          <w:sz w:val="20"/>
          <w:szCs w:val="20"/>
          <w:color w:val="auto"/>
        </w:rPr>
      </w:pPr>
      <w:r>
        <w:rPr>
          <w:rFonts w:ascii="Arial" w:cs="Arial" w:eastAsia="Arial" w:hAnsi="Arial"/>
          <w:sz w:val="18"/>
          <w:szCs w:val="18"/>
          <w:color w:val="auto"/>
        </w:rPr>
        <w:t>Repayments of long-term debt</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Purchases of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29475" cy="1714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43" w:lineRule="exact"/>
        <w:rPr>
          <w:sz w:val="20"/>
          <w:szCs w:val="20"/>
          <w:color w:val="auto"/>
        </w:rPr>
      </w:pPr>
    </w:p>
    <w:p>
      <w:pPr>
        <w:ind w:left="40"/>
        <w:spacing w:after="0"/>
        <w:rPr>
          <w:sz w:val="20"/>
          <w:szCs w:val="20"/>
          <w:color w:val="auto"/>
        </w:rPr>
      </w:pPr>
      <w:r>
        <w:rPr>
          <w:rFonts w:ascii="Arial" w:cs="Arial" w:eastAsia="Arial" w:hAnsi="Arial"/>
          <w:sz w:val="18"/>
          <w:szCs w:val="18"/>
          <w:color w:val="auto"/>
        </w:rPr>
        <w:t>Other financing activities, net</w:t>
      </w:r>
    </w:p>
    <w:p>
      <w:pPr>
        <w:spacing w:after="0" w:line="55"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Net Cash Used for 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7229475" cy="1714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65" w:lineRule="exact"/>
        <w:rPr>
          <w:sz w:val="20"/>
          <w:szCs w:val="20"/>
          <w:color w:val="auto"/>
        </w:rPr>
      </w:pPr>
    </w:p>
    <w:p>
      <w:pPr>
        <w:ind w:left="40"/>
        <w:spacing w:after="0"/>
        <w:rPr>
          <w:sz w:val="20"/>
          <w:szCs w:val="20"/>
          <w:color w:val="auto"/>
        </w:rPr>
      </w:pPr>
      <w:r>
        <w:rPr>
          <w:rFonts w:ascii="Arial" w:cs="Arial" w:eastAsia="Arial" w:hAnsi="Arial"/>
          <w:sz w:val="18"/>
          <w:szCs w:val="18"/>
          <w:color w:val="auto"/>
        </w:rPr>
        <w:t>Effect of exchange rate changes on cash and cash equivalents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203835</wp:posOffset>
            </wp:positionV>
            <wp:extent cx="7229475" cy="1714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340" w:lineRule="exact"/>
        <w:rPr>
          <w:sz w:val="20"/>
          <w:szCs w:val="20"/>
          <w:color w:val="auto"/>
        </w:rPr>
      </w:pPr>
    </w:p>
    <w:p>
      <w:pPr>
        <w:ind w:left="40"/>
        <w:spacing w:after="0"/>
        <w:rPr>
          <w:sz w:val="20"/>
          <w:szCs w:val="20"/>
          <w:color w:val="auto"/>
        </w:rPr>
      </w:pPr>
      <w:r>
        <w:rPr>
          <w:rFonts w:ascii="Arial" w:cs="Arial" w:eastAsia="Arial" w:hAnsi="Arial"/>
          <w:sz w:val="18"/>
          <w:szCs w:val="18"/>
          <w:color w:val="auto"/>
        </w:rPr>
        <w:t>Net decrease in cash and cash equivalents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Cash and cash equivalents at January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29475" cy="18859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29475" cy="188595"/>
                    </a:xfrm>
                    <a:prstGeom prst="rect">
                      <a:avLst/>
                    </a:prstGeom>
                    <a:noFill/>
                  </pic:spPr>
                </pic:pic>
              </a:graphicData>
            </a:graphic>
          </wp:anchor>
        </w:drawing>
      </w:r>
    </w:p>
    <w:p>
      <w:pPr>
        <w:spacing w:after="0" w:line="48"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Cash and Cash Equivalents at March 31</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See notes to consolidated condensed financial statements.</w:t>
      </w:r>
    </w:p>
    <w:p>
      <w:pPr>
        <w:spacing w:after="0" w:line="252"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0" w:lineRule="exact"/>
        <w:rPr>
          <w:sz w:val="20"/>
          <w:szCs w:val="20"/>
          <w:color w:val="auto"/>
        </w:rPr>
      </w:pPr>
    </w:p>
    <w:p>
      <w:pPr>
        <w:ind w:left="1160"/>
        <w:spacing w:after="0"/>
        <w:rPr>
          <w:sz w:val="20"/>
          <w:szCs w:val="20"/>
          <w:color w:val="auto"/>
        </w:rPr>
      </w:pPr>
      <w:r>
        <w:rPr>
          <w:rFonts w:ascii="Arial" w:cs="Arial" w:eastAsia="Arial" w:hAnsi="Arial"/>
          <w:sz w:val="14"/>
          <w:szCs w:val="14"/>
          <w:b w:val="1"/>
          <w:bCs w:val="1"/>
          <w:color w:val="auto"/>
        </w:rPr>
        <w:t>Three Months Ended</w:t>
      </w:r>
    </w:p>
    <w:p>
      <w:pPr>
        <w:spacing w:after="0" w:line="19" w:lineRule="exact"/>
        <w:rPr>
          <w:sz w:val="20"/>
          <w:szCs w:val="20"/>
          <w:color w:val="auto"/>
        </w:rPr>
      </w:pPr>
    </w:p>
    <w:p>
      <w:pPr>
        <w:ind w:left="1560"/>
        <w:spacing w:after="0"/>
        <w:rPr>
          <w:sz w:val="20"/>
          <w:szCs w:val="20"/>
          <w:color w:val="auto"/>
        </w:rPr>
      </w:pPr>
      <w:r>
        <w:rPr>
          <w:rFonts w:ascii="Arial" w:cs="Arial" w:eastAsia="Arial" w:hAnsi="Arial"/>
          <w:sz w:val="14"/>
          <w:szCs w:val="14"/>
          <w:b w:val="1"/>
          <w:bCs w:val="1"/>
          <w:color w:val="auto"/>
        </w:rPr>
        <w:t>March 31,</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4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ind w:right="731"/>
              <w:spacing w:after="0"/>
              <w:rPr>
                <w:sz w:val="20"/>
                <w:szCs w:val="20"/>
                <w:color w:val="auto"/>
              </w:rPr>
            </w:pPr>
            <w:r>
              <w:rPr>
                <w:rFonts w:ascii="Arial" w:cs="Arial" w:eastAsia="Arial" w:hAnsi="Arial"/>
                <w:sz w:val="14"/>
                <w:szCs w:val="14"/>
                <w:b w:val="1"/>
                <w:bCs w:val="1"/>
                <w:color w:val="auto"/>
              </w:rPr>
              <w:t>2018</w:t>
            </w:r>
          </w:p>
        </w:tc>
        <w:tc>
          <w:tcPr>
            <w:tcW w:w="50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ind w:right="671"/>
              <w:spacing w:after="0"/>
              <w:rPr>
                <w:sz w:val="20"/>
                <w:szCs w:val="20"/>
                <w:color w:val="auto"/>
              </w:rPr>
            </w:pPr>
            <w:r>
              <w:rPr>
                <w:rFonts w:ascii="Arial" w:cs="Arial" w:eastAsia="Arial" w:hAnsi="Arial"/>
                <w:sz w:val="14"/>
                <w:szCs w:val="14"/>
                <w:b w:val="1"/>
                <w:bCs w:val="1"/>
                <w:color w:val="auto"/>
              </w:rPr>
              <w:t>2017</w:t>
            </w:r>
          </w:p>
        </w:tc>
      </w:tr>
      <w:tr>
        <w:trPr>
          <w:trHeight w:val="526"/>
        </w:trPr>
        <w:tc>
          <w:tcPr>
            <w:tcW w:w="440" w:type="dxa"/>
            <w:vAlign w:val="bottom"/>
          </w:tcPr>
          <w:p>
            <w:pPr>
              <w:jc w:val="right"/>
              <w:ind w:right="230"/>
              <w:spacing w:after="0"/>
              <w:rPr>
                <w:sz w:val="20"/>
                <w:szCs w:val="20"/>
                <w:color w:val="auto"/>
              </w:rPr>
            </w:pPr>
            <w:r>
              <w:rPr>
                <w:rFonts w:ascii="Arial" w:cs="Arial" w:eastAsia="Arial" w:hAnsi="Arial"/>
                <w:sz w:val="18"/>
                <w:szCs w:val="18"/>
                <w:b w:val="1"/>
                <w:bCs w:val="1"/>
                <w:color w:val="auto"/>
                <w:w w:val="99"/>
              </w:rPr>
              <w:t>$</w:t>
            </w:r>
          </w:p>
        </w:tc>
        <w:tc>
          <w:tcPr>
            <w:tcW w:w="1440" w:type="dxa"/>
            <w:vAlign w:val="bottom"/>
          </w:tcPr>
          <w:p>
            <w:pPr>
              <w:jc w:val="right"/>
              <w:ind w:right="71"/>
              <w:spacing w:after="0"/>
              <w:rPr>
                <w:sz w:val="20"/>
                <w:szCs w:val="20"/>
                <w:color w:val="auto"/>
              </w:rPr>
            </w:pPr>
            <w:r>
              <w:rPr>
                <w:rFonts w:ascii="Arial" w:cs="Arial" w:eastAsia="Arial" w:hAnsi="Arial"/>
                <w:sz w:val="18"/>
                <w:szCs w:val="18"/>
                <w:b w:val="1"/>
                <w:bCs w:val="1"/>
                <w:color w:val="auto"/>
              </w:rPr>
              <w:t>1,217.4</w:t>
            </w:r>
          </w:p>
        </w:tc>
        <w:tc>
          <w:tcPr>
            <w:tcW w:w="50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(110.8)</w:t>
            </w:r>
          </w:p>
        </w:tc>
      </w:tr>
      <w:tr>
        <w:trPr>
          <w:trHeight w:val="540"/>
        </w:trPr>
        <w:tc>
          <w:tcPr>
            <w:tcW w:w="440" w:type="dxa"/>
            <w:vAlign w:val="bottom"/>
          </w:tcPr>
          <w:p>
            <w:pPr>
              <w:spacing w:after="0"/>
              <w:rPr>
                <w:sz w:val="24"/>
                <w:szCs w:val="24"/>
                <w:color w:val="auto"/>
              </w:rPr>
            </w:pPr>
          </w:p>
        </w:tc>
        <w:tc>
          <w:tcPr>
            <w:tcW w:w="1440" w:type="dxa"/>
            <w:vAlign w:val="bottom"/>
          </w:tcPr>
          <w:p>
            <w:pPr>
              <w:jc w:val="right"/>
              <w:ind w:right="71"/>
              <w:spacing w:after="0"/>
              <w:rPr>
                <w:sz w:val="20"/>
                <w:szCs w:val="20"/>
                <w:color w:val="auto"/>
              </w:rPr>
            </w:pPr>
            <w:r>
              <w:rPr>
                <w:rFonts w:ascii="Arial" w:cs="Arial" w:eastAsia="Arial" w:hAnsi="Arial"/>
                <w:sz w:val="18"/>
                <w:szCs w:val="18"/>
                <w:b w:val="1"/>
                <w:bCs w:val="1"/>
                <w:color w:val="auto"/>
              </w:rPr>
              <w:t>422.8</w:t>
            </w:r>
          </w:p>
        </w:tc>
        <w:tc>
          <w:tcPr>
            <w:tcW w:w="500" w:type="dxa"/>
            <w:vAlign w:val="bottom"/>
          </w:tcPr>
          <w:p>
            <w:pPr>
              <w:spacing w:after="0"/>
              <w:rPr>
                <w:sz w:val="24"/>
                <w:szCs w:val="24"/>
                <w:color w:val="auto"/>
              </w:rPr>
            </w:pPr>
          </w:p>
        </w:tc>
        <w:tc>
          <w:tcPr>
            <w:tcW w:w="1400" w:type="dxa"/>
            <w:vAlign w:val="bottom"/>
          </w:tcPr>
          <w:p>
            <w:pPr>
              <w:jc w:val="right"/>
              <w:ind w:right="31"/>
              <w:spacing w:after="0"/>
              <w:rPr>
                <w:sz w:val="20"/>
                <w:szCs w:val="20"/>
                <w:color w:val="auto"/>
              </w:rPr>
            </w:pPr>
            <w:r>
              <w:rPr>
                <w:rFonts w:ascii="Arial" w:cs="Arial" w:eastAsia="Arial" w:hAnsi="Arial"/>
                <w:sz w:val="18"/>
                <w:szCs w:val="18"/>
                <w:color w:val="auto"/>
              </w:rPr>
              <w:t>386.9</w:t>
            </w:r>
          </w:p>
        </w:tc>
      </w:tr>
      <w:tr>
        <w:trPr>
          <w:trHeight w:val="270"/>
        </w:trPr>
        <w:tc>
          <w:tcPr>
            <w:tcW w:w="440" w:type="dxa"/>
            <w:vAlign w:val="bottom"/>
          </w:tcPr>
          <w:p>
            <w:pPr>
              <w:spacing w:after="0"/>
              <w:rPr>
                <w:sz w:val="23"/>
                <w:szCs w:val="23"/>
                <w:color w:val="auto"/>
              </w:rPr>
            </w:pPr>
          </w:p>
        </w:tc>
        <w:tc>
          <w:tcPr>
            <w:tcW w:w="1440" w:type="dxa"/>
            <w:vAlign w:val="bottom"/>
          </w:tcPr>
          <w:p>
            <w:pPr>
              <w:jc w:val="right"/>
              <w:ind w:right="11"/>
              <w:spacing w:after="0"/>
              <w:rPr>
                <w:sz w:val="20"/>
                <w:szCs w:val="20"/>
                <w:color w:val="auto"/>
              </w:rPr>
            </w:pPr>
            <w:r>
              <w:rPr>
                <w:rFonts w:ascii="Arial" w:cs="Arial" w:eastAsia="Arial" w:hAnsi="Arial"/>
                <w:sz w:val="18"/>
                <w:szCs w:val="18"/>
                <w:b w:val="1"/>
                <w:bCs w:val="1"/>
                <w:color w:val="auto"/>
              </w:rPr>
              <w:t>(22.7)</w:t>
            </w:r>
          </w:p>
        </w:tc>
        <w:tc>
          <w:tcPr>
            <w:tcW w:w="500" w:type="dxa"/>
            <w:vAlign w:val="bottom"/>
          </w:tcPr>
          <w:p>
            <w:pPr>
              <w:spacing w:after="0"/>
              <w:rPr>
                <w:sz w:val="23"/>
                <w:szCs w:val="23"/>
                <w:color w:val="auto"/>
              </w:rPr>
            </w:pPr>
          </w:p>
        </w:tc>
        <w:tc>
          <w:tcPr>
            <w:tcW w:w="1400" w:type="dxa"/>
            <w:vAlign w:val="bottom"/>
          </w:tcPr>
          <w:p>
            <w:pPr>
              <w:jc w:val="right"/>
              <w:ind w:right="31"/>
              <w:spacing w:after="0"/>
              <w:rPr>
                <w:sz w:val="20"/>
                <w:szCs w:val="20"/>
                <w:color w:val="auto"/>
              </w:rPr>
            </w:pPr>
            <w:r>
              <w:rPr>
                <w:rFonts w:ascii="Arial" w:cs="Arial" w:eastAsia="Arial" w:hAnsi="Arial"/>
                <w:sz w:val="18"/>
                <w:szCs w:val="18"/>
                <w:color w:val="auto"/>
              </w:rPr>
              <w:t>128.8</w:t>
            </w:r>
          </w:p>
        </w:tc>
      </w:tr>
      <w:tr>
        <w:trPr>
          <w:trHeight w:val="270"/>
        </w:trPr>
        <w:tc>
          <w:tcPr>
            <w:tcW w:w="440" w:type="dxa"/>
            <w:vAlign w:val="bottom"/>
          </w:tcPr>
          <w:p>
            <w:pPr>
              <w:spacing w:after="0"/>
              <w:rPr>
                <w:sz w:val="23"/>
                <w:szCs w:val="23"/>
                <w:color w:val="auto"/>
              </w:rPr>
            </w:pPr>
          </w:p>
        </w:tc>
        <w:tc>
          <w:tcPr>
            <w:tcW w:w="1440" w:type="dxa"/>
            <w:vAlign w:val="bottom"/>
          </w:tcPr>
          <w:p>
            <w:pPr>
              <w:jc w:val="right"/>
              <w:ind w:right="71"/>
              <w:spacing w:after="0"/>
              <w:rPr>
                <w:sz w:val="20"/>
                <w:szCs w:val="20"/>
                <w:color w:val="auto"/>
              </w:rPr>
            </w:pPr>
            <w:r>
              <w:rPr>
                <w:rFonts w:ascii="Arial" w:cs="Arial" w:eastAsia="Arial" w:hAnsi="Arial"/>
                <w:sz w:val="18"/>
                <w:szCs w:val="18"/>
                <w:b w:val="1"/>
                <w:bCs w:val="1"/>
                <w:color w:val="auto"/>
              </w:rPr>
              <w:t>68.0</w:t>
            </w:r>
          </w:p>
        </w:tc>
        <w:tc>
          <w:tcPr>
            <w:tcW w:w="500" w:type="dxa"/>
            <w:vAlign w:val="bottom"/>
          </w:tcPr>
          <w:p>
            <w:pPr>
              <w:spacing w:after="0"/>
              <w:rPr>
                <w:sz w:val="23"/>
                <w:szCs w:val="23"/>
                <w:color w:val="auto"/>
              </w:rPr>
            </w:pPr>
          </w:p>
        </w:tc>
        <w:tc>
          <w:tcPr>
            <w:tcW w:w="1400" w:type="dxa"/>
            <w:vAlign w:val="bottom"/>
          </w:tcPr>
          <w:p>
            <w:pPr>
              <w:jc w:val="right"/>
              <w:ind w:right="31"/>
              <w:spacing w:after="0"/>
              <w:rPr>
                <w:sz w:val="20"/>
                <w:szCs w:val="20"/>
                <w:color w:val="auto"/>
              </w:rPr>
            </w:pPr>
            <w:r>
              <w:rPr>
                <w:rFonts w:ascii="Arial" w:cs="Arial" w:eastAsia="Arial" w:hAnsi="Arial"/>
                <w:sz w:val="18"/>
                <w:szCs w:val="18"/>
                <w:color w:val="auto"/>
              </w:rPr>
              <w:t>69.3</w:t>
            </w:r>
          </w:p>
        </w:tc>
      </w:tr>
      <w:tr>
        <w:trPr>
          <w:trHeight w:val="270"/>
        </w:trPr>
        <w:tc>
          <w:tcPr>
            <w:tcW w:w="440" w:type="dxa"/>
            <w:vAlign w:val="bottom"/>
          </w:tcPr>
          <w:p>
            <w:pPr>
              <w:spacing w:after="0"/>
              <w:rPr>
                <w:sz w:val="23"/>
                <w:szCs w:val="23"/>
                <w:color w:val="auto"/>
              </w:rPr>
            </w:pPr>
          </w:p>
        </w:tc>
        <w:tc>
          <w:tcPr>
            <w:tcW w:w="1440" w:type="dxa"/>
            <w:vAlign w:val="bottom"/>
          </w:tcPr>
          <w:p>
            <w:pPr>
              <w:jc w:val="right"/>
              <w:ind w:right="71"/>
              <w:spacing w:after="0"/>
              <w:rPr>
                <w:sz w:val="20"/>
                <w:szCs w:val="20"/>
                <w:color w:val="auto"/>
              </w:rPr>
            </w:pPr>
            <w:r>
              <w:rPr>
                <w:rFonts w:ascii="Arial" w:cs="Arial" w:eastAsia="Arial" w:hAnsi="Arial"/>
                <w:sz w:val="18"/>
                <w:szCs w:val="18"/>
                <w:b w:val="1"/>
                <w:bCs w:val="1"/>
                <w:color w:val="auto"/>
              </w:rPr>
              <w:t>—</w:t>
            </w:r>
          </w:p>
        </w:tc>
        <w:tc>
          <w:tcPr>
            <w:tcW w:w="500" w:type="dxa"/>
            <w:vAlign w:val="bottom"/>
          </w:tcPr>
          <w:p>
            <w:pPr>
              <w:spacing w:after="0"/>
              <w:rPr>
                <w:sz w:val="23"/>
                <w:szCs w:val="23"/>
                <w:color w:val="auto"/>
              </w:rPr>
            </w:pPr>
          </w:p>
        </w:tc>
        <w:tc>
          <w:tcPr>
            <w:tcW w:w="1400" w:type="dxa"/>
            <w:vAlign w:val="bottom"/>
          </w:tcPr>
          <w:p>
            <w:pPr>
              <w:jc w:val="right"/>
              <w:ind w:right="31"/>
              <w:spacing w:after="0"/>
              <w:rPr>
                <w:sz w:val="20"/>
                <w:szCs w:val="20"/>
                <w:color w:val="auto"/>
              </w:rPr>
            </w:pPr>
            <w:r>
              <w:rPr>
                <w:rFonts w:ascii="Arial" w:cs="Arial" w:eastAsia="Arial" w:hAnsi="Arial"/>
                <w:sz w:val="18"/>
                <w:szCs w:val="18"/>
                <w:color w:val="auto"/>
              </w:rPr>
              <w:t>857.6</w:t>
            </w:r>
          </w:p>
        </w:tc>
      </w:tr>
      <w:tr>
        <w:trPr>
          <w:trHeight w:val="270"/>
        </w:trPr>
        <w:tc>
          <w:tcPr>
            <w:tcW w:w="440" w:type="dxa"/>
            <w:vAlign w:val="bottom"/>
          </w:tcPr>
          <w:p>
            <w:pPr>
              <w:spacing w:after="0"/>
              <w:rPr>
                <w:sz w:val="23"/>
                <w:szCs w:val="23"/>
                <w:color w:val="auto"/>
              </w:rPr>
            </w:pPr>
          </w:p>
        </w:tc>
        <w:tc>
          <w:tcPr>
            <w:tcW w:w="1440" w:type="dxa"/>
            <w:vAlign w:val="bottom"/>
          </w:tcPr>
          <w:p>
            <w:pPr>
              <w:jc w:val="right"/>
              <w:ind w:right="11"/>
              <w:spacing w:after="0"/>
              <w:rPr>
                <w:sz w:val="20"/>
                <w:szCs w:val="20"/>
                <w:color w:val="auto"/>
              </w:rPr>
            </w:pPr>
            <w:r>
              <w:rPr>
                <w:rFonts w:ascii="Arial" w:cs="Arial" w:eastAsia="Arial" w:hAnsi="Arial"/>
                <w:sz w:val="18"/>
                <w:szCs w:val="18"/>
                <w:b w:val="1"/>
                <w:bCs w:val="1"/>
                <w:color w:val="auto"/>
              </w:rPr>
              <w:t>(1,270.0)</w:t>
            </w:r>
          </w:p>
        </w:tc>
        <w:tc>
          <w:tcPr>
            <w:tcW w:w="500" w:type="dxa"/>
            <w:vAlign w:val="bottom"/>
          </w:tcPr>
          <w:p>
            <w:pPr>
              <w:spacing w:after="0"/>
              <w:rPr>
                <w:sz w:val="23"/>
                <w:szCs w:val="23"/>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(995.0)</w:t>
            </w:r>
          </w:p>
        </w:tc>
      </w:tr>
      <w:tr>
        <w:trPr>
          <w:trHeight w:val="277"/>
        </w:trPr>
        <w:tc>
          <w:tcPr>
            <w:tcW w:w="44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b w:val="1"/>
                <w:bCs w:val="1"/>
                <w:color w:val="auto"/>
              </w:rPr>
              <w:t>21.0</w:t>
            </w:r>
          </w:p>
        </w:tc>
        <w:tc>
          <w:tcPr>
            <w:tcW w:w="50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3.1</w:t>
            </w:r>
          </w:p>
        </w:tc>
      </w:tr>
      <w:tr>
        <w:trPr>
          <w:trHeight w:val="243"/>
        </w:trPr>
        <w:tc>
          <w:tcPr>
            <w:tcW w:w="440" w:type="dxa"/>
            <w:vAlign w:val="bottom"/>
          </w:tcPr>
          <w:p>
            <w:pPr>
              <w:spacing w:after="0"/>
              <w:rPr>
                <w:sz w:val="21"/>
                <w:szCs w:val="21"/>
                <w:color w:val="auto"/>
              </w:rPr>
            </w:pPr>
          </w:p>
        </w:tc>
        <w:tc>
          <w:tcPr>
            <w:tcW w:w="1440" w:type="dxa"/>
            <w:vAlign w:val="bottom"/>
          </w:tcPr>
          <w:p>
            <w:pPr>
              <w:jc w:val="right"/>
              <w:ind w:right="71"/>
              <w:spacing w:after="0"/>
              <w:rPr>
                <w:sz w:val="20"/>
                <w:szCs w:val="20"/>
                <w:color w:val="auto"/>
              </w:rPr>
            </w:pPr>
            <w:r>
              <w:rPr>
                <w:rFonts w:ascii="Arial" w:cs="Arial" w:eastAsia="Arial" w:hAnsi="Arial"/>
                <w:sz w:val="18"/>
                <w:szCs w:val="18"/>
                <w:b w:val="1"/>
                <w:bCs w:val="1"/>
                <w:color w:val="auto"/>
              </w:rPr>
              <w:t>436.5</w:t>
            </w:r>
          </w:p>
        </w:tc>
        <w:tc>
          <w:tcPr>
            <w:tcW w:w="500" w:type="dxa"/>
            <w:vAlign w:val="bottom"/>
          </w:tcPr>
          <w:p>
            <w:pPr>
              <w:spacing w:after="0"/>
              <w:rPr>
                <w:sz w:val="21"/>
                <w:szCs w:val="21"/>
                <w:color w:val="auto"/>
              </w:rPr>
            </w:pPr>
          </w:p>
        </w:tc>
        <w:tc>
          <w:tcPr>
            <w:tcW w:w="1400" w:type="dxa"/>
            <w:vAlign w:val="bottom"/>
          </w:tcPr>
          <w:p>
            <w:pPr>
              <w:jc w:val="right"/>
              <w:ind w:right="31"/>
              <w:spacing w:after="0"/>
              <w:rPr>
                <w:sz w:val="20"/>
                <w:szCs w:val="20"/>
                <w:color w:val="auto"/>
              </w:rPr>
            </w:pPr>
            <w:r>
              <w:rPr>
                <w:rFonts w:ascii="Arial" w:cs="Arial" w:eastAsia="Arial" w:hAnsi="Arial"/>
                <w:sz w:val="18"/>
                <w:szCs w:val="18"/>
                <w:color w:val="auto"/>
              </w:rPr>
              <w:t>339.9</w:t>
            </w:r>
          </w:p>
        </w:tc>
      </w:tr>
      <w:tr>
        <w:trPr>
          <w:trHeight w:val="554"/>
        </w:trPr>
        <w:tc>
          <w:tcPr>
            <w:tcW w:w="440" w:type="dxa"/>
            <w:vAlign w:val="bottom"/>
          </w:tcPr>
          <w:p>
            <w:pPr>
              <w:spacing w:after="0"/>
              <w:rPr>
                <w:sz w:val="24"/>
                <w:szCs w:val="24"/>
                <w:color w:val="auto"/>
              </w:rPr>
            </w:pPr>
          </w:p>
        </w:tc>
        <w:tc>
          <w:tcPr>
            <w:tcW w:w="1440" w:type="dxa"/>
            <w:vAlign w:val="bottom"/>
          </w:tcPr>
          <w:p>
            <w:pPr>
              <w:jc w:val="right"/>
              <w:ind w:right="11"/>
              <w:spacing w:after="0"/>
              <w:rPr>
                <w:sz w:val="20"/>
                <w:szCs w:val="20"/>
                <w:color w:val="auto"/>
              </w:rPr>
            </w:pPr>
            <w:r>
              <w:rPr>
                <w:rFonts w:ascii="Arial" w:cs="Arial" w:eastAsia="Arial" w:hAnsi="Arial"/>
                <w:sz w:val="18"/>
                <w:szCs w:val="18"/>
                <w:b w:val="1"/>
                <w:bCs w:val="1"/>
                <w:color w:val="auto"/>
              </w:rPr>
              <w:t>(236.5)</w:t>
            </w:r>
          </w:p>
        </w:tc>
        <w:tc>
          <w:tcPr>
            <w:tcW w:w="500" w:type="dxa"/>
            <w:vAlign w:val="bottom"/>
          </w:tcPr>
          <w:p>
            <w:pPr>
              <w:spacing w:after="0"/>
              <w:rPr>
                <w:sz w:val="24"/>
                <w:szCs w:val="24"/>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(169.0)</w:t>
            </w:r>
          </w:p>
        </w:tc>
      </w:tr>
      <w:tr>
        <w:trPr>
          <w:trHeight w:val="270"/>
        </w:trPr>
        <w:tc>
          <w:tcPr>
            <w:tcW w:w="440" w:type="dxa"/>
            <w:vAlign w:val="bottom"/>
          </w:tcPr>
          <w:p>
            <w:pPr>
              <w:spacing w:after="0"/>
              <w:rPr>
                <w:sz w:val="23"/>
                <w:szCs w:val="23"/>
                <w:color w:val="auto"/>
              </w:rPr>
            </w:pPr>
          </w:p>
        </w:tc>
        <w:tc>
          <w:tcPr>
            <w:tcW w:w="1440" w:type="dxa"/>
            <w:vAlign w:val="bottom"/>
          </w:tcPr>
          <w:p>
            <w:pPr>
              <w:jc w:val="right"/>
              <w:ind w:right="71"/>
              <w:spacing w:after="0"/>
              <w:rPr>
                <w:sz w:val="20"/>
                <w:szCs w:val="20"/>
                <w:color w:val="auto"/>
              </w:rPr>
            </w:pPr>
            <w:r>
              <w:rPr>
                <w:rFonts w:ascii="Arial" w:cs="Arial" w:eastAsia="Arial" w:hAnsi="Arial"/>
                <w:sz w:val="18"/>
                <w:szCs w:val="18"/>
                <w:b w:val="1"/>
                <w:bCs w:val="1"/>
                <w:color w:val="auto"/>
              </w:rPr>
              <w:t>450.7</w:t>
            </w:r>
          </w:p>
        </w:tc>
        <w:tc>
          <w:tcPr>
            <w:tcW w:w="500" w:type="dxa"/>
            <w:vAlign w:val="bottom"/>
          </w:tcPr>
          <w:p>
            <w:pPr>
              <w:spacing w:after="0"/>
              <w:rPr>
                <w:sz w:val="23"/>
                <w:szCs w:val="23"/>
                <w:color w:val="auto"/>
              </w:rPr>
            </w:pPr>
          </w:p>
        </w:tc>
        <w:tc>
          <w:tcPr>
            <w:tcW w:w="1400" w:type="dxa"/>
            <w:vAlign w:val="bottom"/>
          </w:tcPr>
          <w:p>
            <w:pPr>
              <w:jc w:val="right"/>
              <w:ind w:right="31"/>
              <w:spacing w:after="0"/>
              <w:rPr>
                <w:sz w:val="20"/>
                <w:szCs w:val="20"/>
                <w:color w:val="auto"/>
              </w:rPr>
            </w:pPr>
            <w:r>
              <w:rPr>
                <w:rFonts w:ascii="Arial" w:cs="Arial" w:eastAsia="Arial" w:hAnsi="Arial"/>
                <w:sz w:val="18"/>
                <w:szCs w:val="18"/>
                <w:color w:val="auto"/>
              </w:rPr>
              <w:t>1,168.4</w:t>
            </w:r>
          </w:p>
        </w:tc>
      </w:tr>
      <w:tr>
        <w:trPr>
          <w:trHeight w:val="270"/>
        </w:trPr>
        <w:tc>
          <w:tcPr>
            <w:tcW w:w="440" w:type="dxa"/>
            <w:vAlign w:val="bottom"/>
          </w:tcPr>
          <w:p>
            <w:pPr>
              <w:spacing w:after="0"/>
              <w:rPr>
                <w:sz w:val="23"/>
                <w:szCs w:val="23"/>
                <w:color w:val="auto"/>
              </w:rPr>
            </w:pPr>
          </w:p>
        </w:tc>
        <w:tc>
          <w:tcPr>
            <w:tcW w:w="1440" w:type="dxa"/>
            <w:vAlign w:val="bottom"/>
          </w:tcPr>
          <w:p>
            <w:pPr>
              <w:jc w:val="right"/>
              <w:ind w:right="11"/>
              <w:spacing w:after="0"/>
              <w:rPr>
                <w:sz w:val="20"/>
                <w:szCs w:val="20"/>
                <w:color w:val="auto"/>
              </w:rPr>
            </w:pPr>
            <w:r>
              <w:rPr>
                <w:rFonts w:ascii="Arial" w:cs="Arial" w:eastAsia="Arial" w:hAnsi="Arial"/>
                <w:sz w:val="18"/>
                <w:szCs w:val="18"/>
                <w:b w:val="1"/>
                <w:bCs w:val="1"/>
                <w:color w:val="auto"/>
              </w:rPr>
              <w:t>(112.2)</w:t>
            </w:r>
          </w:p>
        </w:tc>
        <w:tc>
          <w:tcPr>
            <w:tcW w:w="500" w:type="dxa"/>
            <w:vAlign w:val="bottom"/>
          </w:tcPr>
          <w:p>
            <w:pPr>
              <w:spacing w:after="0"/>
              <w:rPr>
                <w:sz w:val="23"/>
                <w:szCs w:val="23"/>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(289.4)</w:t>
            </w:r>
          </w:p>
        </w:tc>
      </w:tr>
      <w:tr>
        <w:trPr>
          <w:trHeight w:val="270"/>
        </w:trPr>
        <w:tc>
          <w:tcPr>
            <w:tcW w:w="440" w:type="dxa"/>
            <w:vAlign w:val="bottom"/>
          </w:tcPr>
          <w:p>
            <w:pPr>
              <w:spacing w:after="0"/>
              <w:rPr>
                <w:sz w:val="23"/>
                <w:szCs w:val="23"/>
                <w:color w:val="auto"/>
              </w:rPr>
            </w:pPr>
          </w:p>
        </w:tc>
        <w:tc>
          <w:tcPr>
            <w:tcW w:w="1440" w:type="dxa"/>
            <w:vAlign w:val="bottom"/>
          </w:tcPr>
          <w:p>
            <w:pPr>
              <w:jc w:val="right"/>
              <w:ind w:right="71"/>
              <w:spacing w:after="0"/>
              <w:rPr>
                <w:sz w:val="20"/>
                <w:szCs w:val="20"/>
                <w:color w:val="auto"/>
              </w:rPr>
            </w:pPr>
            <w:r>
              <w:rPr>
                <w:rFonts w:ascii="Arial" w:cs="Arial" w:eastAsia="Arial" w:hAnsi="Arial"/>
                <w:sz w:val="18"/>
                <w:szCs w:val="18"/>
                <w:b w:val="1"/>
                <w:bCs w:val="1"/>
                <w:color w:val="auto"/>
              </w:rPr>
              <w:t>310.5</w:t>
            </w:r>
          </w:p>
        </w:tc>
        <w:tc>
          <w:tcPr>
            <w:tcW w:w="500" w:type="dxa"/>
            <w:vAlign w:val="bottom"/>
          </w:tcPr>
          <w:p>
            <w:pPr>
              <w:spacing w:after="0"/>
              <w:rPr>
                <w:sz w:val="23"/>
                <w:szCs w:val="23"/>
                <w:color w:val="auto"/>
              </w:rPr>
            </w:pPr>
          </w:p>
        </w:tc>
        <w:tc>
          <w:tcPr>
            <w:tcW w:w="1400" w:type="dxa"/>
            <w:vAlign w:val="bottom"/>
          </w:tcPr>
          <w:p>
            <w:pPr>
              <w:jc w:val="right"/>
              <w:ind w:right="31"/>
              <w:spacing w:after="0"/>
              <w:rPr>
                <w:sz w:val="20"/>
                <w:szCs w:val="20"/>
                <w:color w:val="auto"/>
              </w:rPr>
            </w:pPr>
            <w:r>
              <w:rPr>
                <w:rFonts w:ascii="Arial" w:cs="Arial" w:eastAsia="Arial" w:hAnsi="Arial"/>
                <w:sz w:val="18"/>
                <w:szCs w:val="18"/>
                <w:color w:val="auto"/>
              </w:rPr>
              <w:t>528.0</w:t>
            </w:r>
          </w:p>
        </w:tc>
      </w:tr>
      <w:tr>
        <w:trPr>
          <w:trHeight w:val="270"/>
        </w:trPr>
        <w:tc>
          <w:tcPr>
            <w:tcW w:w="440" w:type="dxa"/>
            <w:vAlign w:val="bottom"/>
          </w:tcPr>
          <w:p>
            <w:pPr>
              <w:spacing w:after="0"/>
              <w:rPr>
                <w:sz w:val="23"/>
                <w:szCs w:val="23"/>
                <w:color w:val="auto"/>
              </w:rPr>
            </w:pPr>
          </w:p>
        </w:tc>
        <w:tc>
          <w:tcPr>
            <w:tcW w:w="1440" w:type="dxa"/>
            <w:vAlign w:val="bottom"/>
          </w:tcPr>
          <w:p>
            <w:pPr>
              <w:jc w:val="right"/>
              <w:ind w:right="11"/>
              <w:spacing w:after="0"/>
              <w:rPr>
                <w:sz w:val="20"/>
                <w:szCs w:val="20"/>
                <w:color w:val="auto"/>
              </w:rPr>
            </w:pPr>
            <w:r>
              <w:rPr>
                <w:rFonts w:ascii="Arial" w:cs="Arial" w:eastAsia="Arial" w:hAnsi="Arial"/>
                <w:sz w:val="18"/>
                <w:szCs w:val="18"/>
                <w:b w:val="1"/>
                <w:bCs w:val="1"/>
                <w:color w:val="auto"/>
              </w:rPr>
              <w:t>(561.6)</w:t>
            </w:r>
          </w:p>
        </w:tc>
        <w:tc>
          <w:tcPr>
            <w:tcW w:w="500" w:type="dxa"/>
            <w:vAlign w:val="bottom"/>
          </w:tcPr>
          <w:p>
            <w:pPr>
              <w:spacing w:after="0"/>
              <w:rPr>
                <w:sz w:val="23"/>
                <w:szCs w:val="23"/>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(945.9)</w:t>
            </w:r>
          </w:p>
        </w:tc>
      </w:tr>
      <w:tr>
        <w:trPr>
          <w:trHeight w:val="270"/>
        </w:trPr>
        <w:tc>
          <w:tcPr>
            <w:tcW w:w="440" w:type="dxa"/>
            <w:vAlign w:val="bottom"/>
          </w:tcPr>
          <w:p>
            <w:pPr>
              <w:spacing w:after="0"/>
              <w:rPr>
                <w:sz w:val="23"/>
                <w:szCs w:val="23"/>
                <w:color w:val="auto"/>
              </w:rPr>
            </w:pPr>
          </w:p>
        </w:tc>
        <w:tc>
          <w:tcPr>
            <w:tcW w:w="1440" w:type="dxa"/>
            <w:vAlign w:val="bottom"/>
          </w:tcPr>
          <w:p>
            <w:pPr>
              <w:jc w:val="right"/>
              <w:ind w:right="71"/>
              <w:spacing w:after="0"/>
              <w:rPr>
                <w:sz w:val="20"/>
                <w:szCs w:val="20"/>
                <w:color w:val="auto"/>
              </w:rPr>
            </w:pPr>
            <w:r>
              <w:rPr>
                <w:rFonts w:ascii="Arial" w:cs="Arial" w:eastAsia="Arial" w:hAnsi="Arial"/>
                <w:sz w:val="18"/>
                <w:szCs w:val="18"/>
                <w:b w:val="1"/>
                <w:bCs w:val="1"/>
                <w:color w:val="auto"/>
              </w:rPr>
              <w:t>—</w:t>
            </w:r>
          </w:p>
        </w:tc>
        <w:tc>
          <w:tcPr>
            <w:tcW w:w="500" w:type="dxa"/>
            <w:vAlign w:val="bottom"/>
          </w:tcPr>
          <w:p>
            <w:pPr>
              <w:spacing w:after="0"/>
              <w:rPr>
                <w:sz w:val="23"/>
                <w:szCs w:val="23"/>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(882.1)</w:t>
            </w:r>
          </w:p>
        </w:tc>
      </w:tr>
      <w:tr>
        <w:trPr>
          <w:trHeight w:val="270"/>
        </w:trPr>
        <w:tc>
          <w:tcPr>
            <w:tcW w:w="440" w:type="dxa"/>
            <w:vAlign w:val="bottom"/>
          </w:tcPr>
          <w:p>
            <w:pPr>
              <w:spacing w:after="0"/>
              <w:rPr>
                <w:sz w:val="23"/>
                <w:szCs w:val="23"/>
                <w:color w:val="auto"/>
              </w:rPr>
            </w:pPr>
          </w:p>
        </w:tc>
        <w:tc>
          <w:tcPr>
            <w:tcW w:w="1440" w:type="dxa"/>
            <w:vAlign w:val="bottom"/>
          </w:tcPr>
          <w:p>
            <w:pPr>
              <w:jc w:val="right"/>
              <w:ind w:right="71"/>
              <w:spacing w:after="0"/>
              <w:rPr>
                <w:sz w:val="20"/>
                <w:szCs w:val="20"/>
                <w:color w:val="auto"/>
              </w:rPr>
            </w:pPr>
            <w:r>
              <w:rPr>
                <w:rFonts w:ascii="Arial" w:cs="Arial" w:eastAsia="Arial" w:hAnsi="Arial"/>
                <w:sz w:val="18"/>
                <w:szCs w:val="18"/>
                <w:b w:val="1"/>
                <w:bCs w:val="1"/>
                <w:color w:val="auto"/>
              </w:rPr>
              <w:t>—</w:t>
            </w:r>
          </w:p>
        </w:tc>
        <w:tc>
          <w:tcPr>
            <w:tcW w:w="500" w:type="dxa"/>
            <w:vAlign w:val="bottom"/>
          </w:tcPr>
          <w:p>
            <w:pPr>
              <w:spacing w:after="0"/>
              <w:rPr>
                <w:sz w:val="23"/>
                <w:szCs w:val="23"/>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(831.8)</w:t>
            </w:r>
          </w:p>
        </w:tc>
      </w:tr>
      <w:tr>
        <w:trPr>
          <w:trHeight w:val="257"/>
        </w:trPr>
        <w:tc>
          <w:tcPr>
            <w:tcW w:w="440" w:type="dxa"/>
            <w:vAlign w:val="bottom"/>
          </w:tcPr>
          <w:p>
            <w:pPr>
              <w:spacing w:after="0"/>
              <w:rPr>
                <w:sz w:val="22"/>
                <w:szCs w:val="22"/>
                <w:color w:val="auto"/>
              </w:rPr>
            </w:pPr>
          </w:p>
        </w:tc>
        <w:tc>
          <w:tcPr>
            <w:tcW w:w="1440" w:type="dxa"/>
            <w:vAlign w:val="bottom"/>
          </w:tcPr>
          <w:p>
            <w:pPr>
              <w:jc w:val="right"/>
              <w:ind w:right="11"/>
              <w:spacing w:after="0"/>
              <w:rPr>
                <w:sz w:val="20"/>
                <w:szCs w:val="20"/>
                <w:color w:val="auto"/>
              </w:rPr>
            </w:pPr>
            <w:r>
              <w:rPr>
                <w:rFonts w:ascii="Arial" w:cs="Arial" w:eastAsia="Arial" w:hAnsi="Arial"/>
                <w:sz w:val="18"/>
                <w:szCs w:val="18"/>
                <w:b w:val="1"/>
                <w:bCs w:val="1"/>
                <w:color w:val="auto"/>
              </w:rPr>
              <w:t>(21.2)</w:t>
            </w:r>
          </w:p>
        </w:tc>
        <w:tc>
          <w:tcPr>
            <w:tcW w:w="500" w:type="dxa"/>
            <w:vAlign w:val="bottom"/>
          </w:tcPr>
          <w:p>
            <w:pPr>
              <w:spacing w:after="0"/>
              <w:rPr>
                <w:sz w:val="22"/>
                <w:szCs w:val="22"/>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(7.8)</w:t>
            </w:r>
          </w:p>
        </w:tc>
      </w:tr>
      <w:tr>
        <w:trPr>
          <w:trHeight w:val="27"/>
        </w:trPr>
        <w:tc>
          <w:tcPr>
            <w:tcW w:w="4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37"/>
        </w:trPr>
        <w:tc>
          <w:tcPr>
            <w:tcW w:w="440" w:type="dxa"/>
            <w:vAlign w:val="bottom"/>
          </w:tcPr>
          <w:p>
            <w:pPr>
              <w:spacing w:after="0"/>
              <w:rPr>
                <w:sz w:val="20"/>
                <w:szCs w:val="20"/>
                <w:color w:val="auto"/>
              </w:rPr>
            </w:pPr>
          </w:p>
        </w:tc>
        <w:tc>
          <w:tcPr>
            <w:tcW w:w="1440" w:type="dxa"/>
            <w:vAlign w:val="bottom"/>
          </w:tcPr>
          <w:p>
            <w:pPr>
              <w:jc w:val="right"/>
              <w:ind w:right="11"/>
              <w:spacing w:after="0"/>
              <w:rPr>
                <w:sz w:val="20"/>
                <w:szCs w:val="20"/>
                <w:color w:val="auto"/>
              </w:rPr>
            </w:pPr>
            <w:r>
              <w:rPr>
                <w:rFonts w:ascii="Arial" w:cs="Arial" w:eastAsia="Arial" w:hAnsi="Arial"/>
                <w:sz w:val="18"/>
                <w:szCs w:val="18"/>
                <w:b w:val="1"/>
                <w:bCs w:val="1"/>
                <w:color w:val="auto"/>
              </w:rPr>
              <w:t>(170.3)</w:t>
            </w:r>
          </w:p>
        </w:tc>
        <w:tc>
          <w:tcPr>
            <w:tcW w:w="50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(1,429.6)</w:t>
            </w:r>
          </w:p>
        </w:tc>
      </w:tr>
      <w:tr>
        <w:trPr>
          <w:trHeight w:val="554"/>
        </w:trPr>
        <w:tc>
          <w:tcPr>
            <w:tcW w:w="440" w:type="dxa"/>
            <w:vAlign w:val="bottom"/>
          </w:tcPr>
          <w:p>
            <w:pPr>
              <w:spacing w:after="0"/>
              <w:rPr>
                <w:sz w:val="24"/>
                <w:szCs w:val="24"/>
                <w:color w:val="auto"/>
              </w:rPr>
            </w:pPr>
          </w:p>
        </w:tc>
        <w:tc>
          <w:tcPr>
            <w:tcW w:w="1440" w:type="dxa"/>
            <w:vAlign w:val="bottom"/>
          </w:tcPr>
          <w:p>
            <w:pPr>
              <w:jc w:val="right"/>
              <w:ind w:right="11"/>
              <w:spacing w:after="0"/>
              <w:rPr>
                <w:sz w:val="20"/>
                <w:szCs w:val="20"/>
                <w:color w:val="auto"/>
              </w:rPr>
            </w:pPr>
            <w:r>
              <w:rPr>
                <w:rFonts w:ascii="Arial" w:cs="Arial" w:eastAsia="Arial" w:hAnsi="Arial"/>
                <w:sz w:val="18"/>
                <w:szCs w:val="18"/>
                <w:b w:val="1"/>
                <w:bCs w:val="1"/>
                <w:color w:val="auto"/>
              </w:rPr>
              <w:t>(587.3)</w:t>
            </w:r>
          </w:p>
        </w:tc>
        <w:tc>
          <w:tcPr>
            <w:tcW w:w="500" w:type="dxa"/>
            <w:vAlign w:val="bottom"/>
          </w:tcPr>
          <w:p>
            <w:pPr>
              <w:spacing w:after="0"/>
              <w:rPr>
                <w:sz w:val="24"/>
                <w:szCs w:val="24"/>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(547.4)</w:t>
            </w:r>
          </w:p>
        </w:tc>
      </w:tr>
      <w:tr>
        <w:trPr>
          <w:trHeight w:val="270"/>
        </w:trPr>
        <w:tc>
          <w:tcPr>
            <w:tcW w:w="440" w:type="dxa"/>
            <w:vAlign w:val="bottom"/>
          </w:tcPr>
          <w:p>
            <w:pPr>
              <w:spacing w:after="0"/>
              <w:rPr>
                <w:sz w:val="23"/>
                <w:szCs w:val="23"/>
                <w:color w:val="auto"/>
              </w:rPr>
            </w:pPr>
          </w:p>
        </w:tc>
        <w:tc>
          <w:tcPr>
            <w:tcW w:w="1440" w:type="dxa"/>
            <w:vAlign w:val="bottom"/>
          </w:tcPr>
          <w:p>
            <w:pPr>
              <w:jc w:val="right"/>
              <w:ind w:right="11"/>
              <w:spacing w:after="0"/>
              <w:rPr>
                <w:sz w:val="20"/>
                <w:szCs w:val="20"/>
                <w:color w:val="auto"/>
              </w:rPr>
            </w:pPr>
            <w:r>
              <w:rPr>
                <w:rFonts w:ascii="Arial" w:cs="Arial" w:eastAsia="Arial" w:hAnsi="Arial"/>
                <w:sz w:val="18"/>
                <w:szCs w:val="18"/>
                <w:b w:val="1"/>
                <w:bCs w:val="1"/>
                <w:color w:val="auto"/>
              </w:rPr>
              <w:t>(1,202.5)</w:t>
            </w:r>
          </w:p>
        </w:tc>
        <w:tc>
          <w:tcPr>
            <w:tcW w:w="500" w:type="dxa"/>
            <w:vAlign w:val="bottom"/>
          </w:tcPr>
          <w:p>
            <w:pPr>
              <w:spacing w:after="0"/>
              <w:rPr>
                <w:sz w:val="23"/>
                <w:szCs w:val="23"/>
                <w:color w:val="auto"/>
              </w:rPr>
            </w:pPr>
          </w:p>
        </w:tc>
        <w:tc>
          <w:tcPr>
            <w:tcW w:w="1400" w:type="dxa"/>
            <w:vAlign w:val="bottom"/>
          </w:tcPr>
          <w:p>
            <w:pPr>
              <w:jc w:val="right"/>
              <w:ind w:right="31"/>
              <w:spacing w:after="0"/>
              <w:rPr>
                <w:sz w:val="20"/>
                <w:szCs w:val="20"/>
                <w:color w:val="auto"/>
              </w:rPr>
            </w:pPr>
            <w:r>
              <w:rPr>
                <w:rFonts w:ascii="Arial" w:cs="Arial" w:eastAsia="Arial" w:hAnsi="Arial"/>
                <w:sz w:val="18"/>
                <w:szCs w:val="18"/>
                <w:color w:val="auto"/>
              </w:rPr>
              <w:t>497.5</w:t>
            </w:r>
          </w:p>
        </w:tc>
      </w:tr>
      <w:tr>
        <w:trPr>
          <w:trHeight w:val="270"/>
        </w:trPr>
        <w:tc>
          <w:tcPr>
            <w:tcW w:w="440" w:type="dxa"/>
            <w:vAlign w:val="bottom"/>
          </w:tcPr>
          <w:p>
            <w:pPr>
              <w:spacing w:after="0"/>
              <w:rPr>
                <w:sz w:val="23"/>
                <w:szCs w:val="23"/>
                <w:color w:val="auto"/>
              </w:rPr>
            </w:pPr>
          </w:p>
        </w:tc>
        <w:tc>
          <w:tcPr>
            <w:tcW w:w="1440" w:type="dxa"/>
            <w:vAlign w:val="bottom"/>
          </w:tcPr>
          <w:p>
            <w:pPr>
              <w:jc w:val="right"/>
              <w:ind w:right="11"/>
              <w:spacing w:after="0"/>
              <w:rPr>
                <w:sz w:val="20"/>
                <w:szCs w:val="20"/>
                <w:color w:val="auto"/>
              </w:rPr>
            </w:pPr>
            <w:r>
              <w:rPr>
                <w:rFonts w:ascii="Arial" w:cs="Arial" w:eastAsia="Arial" w:hAnsi="Arial"/>
                <w:sz w:val="18"/>
                <w:szCs w:val="18"/>
                <w:b w:val="1"/>
                <w:bCs w:val="1"/>
                <w:color w:val="auto"/>
              </w:rPr>
              <w:t>(800.3)</w:t>
            </w:r>
          </w:p>
        </w:tc>
        <w:tc>
          <w:tcPr>
            <w:tcW w:w="500" w:type="dxa"/>
            <w:vAlign w:val="bottom"/>
          </w:tcPr>
          <w:p>
            <w:pPr>
              <w:spacing w:after="0"/>
              <w:rPr>
                <w:sz w:val="23"/>
                <w:szCs w:val="23"/>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(630.2)</w:t>
            </w:r>
          </w:p>
        </w:tc>
      </w:tr>
      <w:tr>
        <w:trPr>
          <w:trHeight w:val="257"/>
        </w:trPr>
        <w:tc>
          <w:tcPr>
            <w:tcW w:w="440" w:type="dxa"/>
            <w:vAlign w:val="bottom"/>
          </w:tcPr>
          <w:p>
            <w:pPr>
              <w:spacing w:after="0"/>
              <w:rPr>
                <w:sz w:val="22"/>
                <w:szCs w:val="22"/>
                <w:color w:val="auto"/>
              </w:rPr>
            </w:pPr>
          </w:p>
        </w:tc>
        <w:tc>
          <w:tcPr>
            <w:tcW w:w="1440" w:type="dxa"/>
            <w:vAlign w:val="bottom"/>
          </w:tcPr>
          <w:p>
            <w:pPr>
              <w:jc w:val="right"/>
              <w:ind w:right="11"/>
              <w:spacing w:after="0"/>
              <w:rPr>
                <w:sz w:val="20"/>
                <w:szCs w:val="20"/>
                <w:color w:val="auto"/>
              </w:rPr>
            </w:pPr>
            <w:r>
              <w:rPr>
                <w:rFonts w:ascii="Arial" w:cs="Arial" w:eastAsia="Arial" w:hAnsi="Arial"/>
                <w:sz w:val="18"/>
                <w:szCs w:val="18"/>
                <w:b w:val="1"/>
                <w:bCs w:val="1"/>
                <w:color w:val="auto"/>
              </w:rPr>
              <w:t>(1,100.0)</w:t>
            </w:r>
          </w:p>
        </w:tc>
        <w:tc>
          <w:tcPr>
            <w:tcW w:w="500" w:type="dxa"/>
            <w:vAlign w:val="bottom"/>
          </w:tcPr>
          <w:p>
            <w:pPr>
              <w:spacing w:after="0"/>
              <w:rPr>
                <w:sz w:val="22"/>
                <w:szCs w:val="22"/>
                <w:color w:val="auto"/>
              </w:rPr>
            </w:pPr>
          </w:p>
        </w:tc>
        <w:tc>
          <w:tcPr>
            <w:tcW w:w="1400" w:type="dxa"/>
            <w:vAlign w:val="bottom"/>
          </w:tcPr>
          <w:p>
            <w:pPr>
              <w:jc w:val="right"/>
              <w:ind w:right="31"/>
              <w:spacing w:after="0"/>
              <w:rPr>
                <w:sz w:val="20"/>
                <w:szCs w:val="20"/>
                <w:color w:val="auto"/>
              </w:rPr>
            </w:pPr>
            <w:r>
              <w:rPr>
                <w:rFonts w:ascii="Arial" w:cs="Arial" w:eastAsia="Arial" w:hAnsi="Arial"/>
                <w:sz w:val="18"/>
                <w:szCs w:val="18"/>
                <w:color w:val="auto"/>
              </w:rPr>
              <w:t>—</w:t>
            </w:r>
          </w:p>
        </w:tc>
      </w:tr>
      <w:tr>
        <w:trPr>
          <w:trHeight w:val="291"/>
        </w:trPr>
        <w:tc>
          <w:tcPr>
            <w:tcW w:w="44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(176.4)</w:t>
            </w:r>
          </w:p>
        </w:tc>
        <w:tc>
          <w:tcPr>
            <w:tcW w:w="50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(195.6)</w:t>
            </w:r>
          </w:p>
        </w:tc>
      </w:tr>
      <w:tr>
        <w:trPr>
          <w:trHeight w:val="243"/>
        </w:trPr>
        <w:tc>
          <w:tcPr>
            <w:tcW w:w="440" w:type="dxa"/>
            <w:vAlign w:val="bottom"/>
          </w:tcPr>
          <w:p>
            <w:pPr>
              <w:spacing w:after="0"/>
              <w:rPr>
                <w:sz w:val="21"/>
                <w:szCs w:val="21"/>
                <w:color w:val="auto"/>
              </w:rPr>
            </w:pPr>
          </w:p>
        </w:tc>
        <w:tc>
          <w:tcPr>
            <w:tcW w:w="1440" w:type="dxa"/>
            <w:vAlign w:val="bottom"/>
          </w:tcPr>
          <w:p>
            <w:pPr>
              <w:jc w:val="right"/>
              <w:ind w:right="11"/>
              <w:spacing w:after="0"/>
              <w:rPr>
                <w:sz w:val="20"/>
                <w:szCs w:val="20"/>
                <w:color w:val="auto"/>
              </w:rPr>
            </w:pPr>
            <w:r>
              <w:rPr>
                <w:rFonts w:ascii="Arial" w:cs="Arial" w:eastAsia="Arial" w:hAnsi="Arial"/>
                <w:sz w:val="18"/>
                <w:szCs w:val="18"/>
                <w:b w:val="1"/>
                <w:bCs w:val="1"/>
                <w:color w:val="auto"/>
              </w:rPr>
              <w:t>(3,866.5)</w:t>
            </w:r>
          </w:p>
        </w:tc>
        <w:tc>
          <w:tcPr>
            <w:tcW w:w="5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(875.7)</w:t>
            </w:r>
          </w:p>
        </w:tc>
      </w:tr>
      <w:tr>
        <w:trPr>
          <w:trHeight w:val="291"/>
        </w:trPr>
        <w:tc>
          <w:tcPr>
            <w:tcW w:w="44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b w:val="1"/>
                <w:bCs w:val="1"/>
                <w:color w:val="auto"/>
              </w:rPr>
              <w:t>148.4</w:t>
            </w:r>
          </w:p>
        </w:tc>
        <w:tc>
          <w:tcPr>
            <w:tcW w:w="50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0.2</w:t>
            </w:r>
          </w:p>
        </w:tc>
      </w:tr>
      <w:tr>
        <w:trPr>
          <w:trHeight w:val="527"/>
        </w:trPr>
        <w:tc>
          <w:tcPr>
            <w:tcW w:w="440" w:type="dxa"/>
            <w:vAlign w:val="bottom"/>
          </w:tcPr>
          <w:p>
            <w:pPr>
              <w:spacing w:after="0"/>
              <w:rPr>
                <w:sz w:val="24"/>
                <w:szCs w:val="24"/>
                <w:color w:val="auto"/>
              </w:rPr>
            </w:pPr>
          </w:p>
        </w:tc>
        <w:tc>
          <w:tcPr>
            <w:tcW w:w="1440" w:type="dxa"/>
            <w:vAlign w:val="bottom"/>
          </w:tcPr>
          <w:p>
            <w:pPr>
              <w:jc w:val="right"/>
              <w:ind w:right="11"/>
              <w:spacing w:after="0"/>
              <w:rPr>
                <w:sz w:val="20"/>
                <w:szCs w:val="20"/>
                <w:color w:val="auto"/>
              </w:rPr>
            </w:pPr>
            <w:r>
              <w:rPr>
                <w:rFonts w:ascii="Arial" w:cs="Arial" w:eastAsia="Arial" w:hAnsi="Arial"/>
                <w:sz w:val="18"/>
                <w:szCs w:val="18"/>
                <w:b w:val="1"/>
                <w:bCs w:val="1"/>
                <w:color w:val="auto"/>
              </w:rPr>
              <w:t>(3,451.9)</w:t>
            </w:r>
          </w:p>
        </w:tc>
        <w:tc>
          <w:tcPr>
            <w:tcW w:w="500" w:type="dxa"/>
            <w:vAlign w:val="bottom"/>
          </w:tcPr>
          <w:p>
            <w:pPr>
              <w:spacing w:after="0"/>
              <w:rPr>
                <w:sz w:val="24"/>
                <w:szCs w:val="24"/>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(1,965.2)</w:t>
            </w:r>
          </w:p>
        </w:tc>
      </w:tr>
      <w:tr>
        <w:trPr>
          <w:trHeight w:val="270"/>
        </w:trPr>
        <w:tc>
          <w:tcPr>
            <w:tcW w:w="440" w:type="dxa"/>
            <w:vAlign w:val="bottom"/>
          </w:tcPr>
          <w:p>
            <w:pPr>
              <w:spacing w:after="0"/>
              <w:rPr>
                <w:sz w:val="23"/>
                <w:szCs w:val="23"/>
                <w:color w:val="auto"/>
              </w:rPr>
            </w:pPr>
          </w:p>
        </w:tc>
        <w:tc>
          <w:tcPr>
            <w:tcW w:w="1440" w:type="dxa"/>
            <w:vAlign w:val="bottom"/>
          </w:tcPr>
          <w:p>
            <w:pPr>
              <w:jc w:val="right"/>
              <w:ind w:right="71"/>
              <w:spacing w:after="0"/>
              <w:rPr>
                <w:sz w:val="20"/>
                <w:szCs w:val="20"/>
                <w:color w:val="auto"/>
              </w:rPr>
            </w:pPr>
            <w:r>
              <w:rPr>
                <w:rFonts w:ascii="Arial" w:cs="Arial" w:eastAsia="Arial" w:hAnsi="Arial"/>
                <w:sz w:val="18"/>
                <w:szCs w:val="18"/>
                <w:b w:val="1"/>
                <w:bCs w:val="1"/>
                <w:color w:val="auto"/>
              </w:rPr>
              <w:t>6,536.2</w:t>
            </w:r>
          </w:p>
        </w:tc>
        <w:tc>
          <w:tcPr>
            <w:tcW w:w="500" w:type="dxa"/>
            <w:vAlign w:val="bottom"/>
          </w:tcPr>
          <w:p>
            <w:pPr>
              <w:spacing w:after="0"/>
              <w:rPr>
                <w:sz w:val="23"/>
                <w:szCs w:val="23"/>
                <w:color w:val="auto"/>
              </w:rPr>
            </w:pPr>
          </w:p>
        </w:tc>
        <w:tc>
          <w:tcPr>
            <w:tcW w:w="1400" w:type="dxa"/>
            <w:vAlign w:val="bottom"/>
          </w:tcPr>
          <w:p>
            <w:pPr>
              <w:jc w:val="right"/>
              <w:ind w:right="31"/>
              <w:spacing w:after="0"/>
              <w:rPr>
                <w:sz w:val="20"/>
                <w:szCs w:val="20"/>
                <w:color w:val="auto"/>
              </w:rPr>
            </w:pPr>
            <w:r>
              <w:rPr>
                <w:rFonts w:ascii="Arial" w:cs="Arial" w:eastAsia="Arial" w:hAnsi="Arial"/>
                <w:sz w:val="18"/>
                <w:szCs w:val="18"/>
                <w:color w:val="auto"/>
              </w:rPr>
              <w:t>4,582.1</w:t>
            </w:r>
          </w:p>
        </w:tc>
      </w:tr>
      <w:tr>
        <w:trPr>
          <w:trHeight w:val="27"/>
        </w:trPr>
        <w:tc>
          <w:tcPr>
            <w:tcW w:w="4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37"/>
        </w:trPr>
        <w:tc>
          <w:tcPr>
            <w:tcW w:w="440" w:type="dxa"/>
            <w:vAlign w:val="bottom"/>
          </w:tcPr>
          <w:p>
            <w:pPr>
              <w:jc w:val="right"/>
              <w:ind w:right="230"/>
              <w:spacing w:after="0"/>
              <w:rPr>
                <w:sz w:val="20"/>
                <w:szCs w:val="20"/>
                <w:color w:val="auto"/>
              </w:rPr>
            </w:pPr>
            <w:r>
              <w:rPr>
                <w:rFonts w:ascii="Arial" w:cs="Arial" w:eastAsia="Arial" w:hAnsi="Arial"/>
                <w:sz w:val="18"/>
                <w:szCs w:val="18"/>
                <w:b w:val="1"/>
                <w:bCs w:val="1"/>
                <w:color w:val="auto"/>
                <w:w w:val="99"/>
              </w:rPr>
              <w:t>$</w:t>
            </w:r>
          </w:p>
        </w:tc>
        <w:tc>
          <w:tcPr>
            <w:tcW w:w="1440" w:type="dxa"/>
            <w:vAlign w:val="bottom"/>
          </w:tcPr>
          <w:p>
            <w:pPr>
              <w:jc w:val="right"/>
              <w:ind w:right="71"/>
              <w:spacing w:after="0"/>
              <w:rPr>
                <w:sz w:val="20"/>
                <w:szCs w:val="20"/>
                <w:color w:val="auto"/>
              </w:rPr>
            </w:pPr>
            <w:r>
              <w:rPr>
                <w:rFonts w:ascii="Arial" w:cs="Arial" w:eastAsia="Arial" w:hAnsi="Arial"/>
                <w:sz w:val="18"/>
                <w:szCs w:val="18"/>
                <w:b w:val="1"/>
                <w:bCs w:val="1"/>
                <w:color w:val="auto"/>
              </w:rPr>
              <w:t>3,084.3</w:t>
            </w:r>
          </w:p>
        </w:tc>
        <w:tc>
          <w:tcPr>
            <w:tcW w:w="50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31"/>
              <w:spacing w:after="0"/>
              <w:rPr>
                <w:sz w:val="20"/>
                <w:szCs w:val="20"/>
                <w:color w:val="auto"/>
              </w:rPr>
            </w:pPr>
            <w:r>
              <w:rPr>
                <w:rFonts w:ascii="Arial" w:cs="Arial" w:eastAsia="Arial" w:hAnsi="Arial"/>
                <w:sz w:val="18"/>
                <w:szCs w:val="18"/>
                <w:color w:val="auto"/>
              </w:rPr>
              <w:t>2,616.9</w:t>
            </w:r>
          </w:p>
        </w:tc>
      </w:tr>
      <w:tr>
        <w:trPr>
          <w:trHeight w:val="34"/>
        </w:trPr>
        <w:tc>
          <w:tcPr>
            <w:tcW w:w="4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bl>
    <w:p>
      <w:pPr>
        <w:sectPr>
          <w:pgSz w:w="11900" w:h="16838" w:orient="portrait"/>
          <w:cols w:equalWidth="0" w:num="2">
            <w:col w:w="7380" w:space="240"/>
            <w:col w:w="3780"/>
          </w:cols>
          <w:pgMar w:left="240" w:top="576" w:right="259" w:bottom="1440" w:gutter="0" w:footer="0" w:header="0"/>
          <w:type w:val="continuous"/>
        </w:sectPr>
      </w:pPr>
    </w:p>
    <w:bookmarkStart w:id="7" w:name="page8"/>
    <w:bookmarkEnd w:id="7"/>
    <w:p>
      <w:pPr>
        <w:jc w:val="center"/>
        <w:ind w:right="-19"/>
        <w:spacing w:after="0"/>
        <w:rPr>
          <w:sz w:val="20"/>
          <w:szCs w:val="20"/>
          <w:color w:val="auto"/>
        </w:rPr>
      </w:pPr>
      <w:r>
        <w:rPr>
          <w:rFonts w:ascii="Arial" w:cs="Arial" w:eastAsia="Arial" w:hAnsi="Arial"/>
          <w:sz w:val="18"/>
          <w:szCs w:val="18"/>
          <w:b w:val="1"/>
          <w:bCs w:val="1"/>
          <w:color w:val="auto"/>
        </w:rPr>
        <w:t>Notes to Consolidated Condensed Financial Statements</w:t>
      </w:r>
    </w:p>
    <w:p>
      <w:pPr>
        <w:spacing w:after="0" w:line="32"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(Tables present dollars in millions, except per-share data)</w:t>
      </w: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Basis of Presentation and Revenue</w:t>
      </w:r>
    </w:p>
    <w:p>
      <w:pPr>
        <w:spacing w:after="0" w:line="193"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We have prepared the accompanying unaudited consolidated condensed financial statements in accordance with the requirements of Form 10-Q and, therefore, they do not include all information and footnotes necessary for a fair presentation of financial position, results of operations, and cash flows in conformity with accounting principles generally accepted in the United States (GAAP). In our opinion, the financial statements reflect all adjustments (including those that are normal and recurring) that are necessary for a fair presentation of the results of operations for the periods shown. In preparing financial statements in conformity with GAAP, we must make estimates and assumptions that affect the reported amounts of assets, liabilities, revenue, expenses, and related disclosures at the date of the financial statements and during the reporting period. Actual results could differ from those estimates.</w:t>
      </w:r>
    </w:p>
    <w:p>
      <w:pPr>
        <w:spacing w:after="0" w:line="99"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The information included in this Quarterly Report on Form 10-Q should be read in conjunction with our consolidated financial statements and accompanying notes included in our Annual Report on Form 10-K for the year ended December 31, 2017. We issue our financial statements by filing with the Securities and Exchange Commission and have evaluated subsequent events up to the time of the filing.</w:t>
      </w:r>
    </w:p>
    <w:p>
      <w:pPr>
        <w:spacing w:after="0" w:line="94" w:lineRule="exact"/>
        <w:rPr>
          <w:sz w:val="20"/>
          <w:szCs w:val="20"/>
          <w:color w:val="auto"/>
        </w:rPr>
      </w:pPr>
    </w:p>
    <w:p>
      <w:pPr>
        <w:ind w:right="560"/>
        <w:spacing w:after="0" w:line="262" w:lineRule="auto"/>
        <w:rPr>
          <w:sz w:val="20"/>
          <w:szCs w:val="20"/>
          <w:color w:val="auto"/>
        </w:rPr>
      </w:pPr>
      <w:r>
        <w:rPr>
          <w:rFonts w:ascii="Arial" w:cs="Arial" w:eastAsia="Arial" w:hAnsi="Arial"/>
          <w:sz w:val="18"/>
          <w:szCs w:val="18"/>
          <w:color w:val="auto"/>
        </w:rPr>
        <w:t>All per-share amounts, unless otherwise noted in the footnotes, are presented on a diluted basis, that is, based on the weighted-average number of outstanding common shares plus the effect of incremental shares from our stock-based compensation programs.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Adoption of Revenue Accounting Standard</w:t>
      </w:r>
    </w:p>
    <w:p>
      <w:pPr>
        <w:spacing w:after="0" w:line="17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 xml:space="preserve">Effective January 1, 2018, we adopted Accounting Standards Update 2014-09,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xml:space="preserve"> and other related updates (see Note 2 for additional discussion). The new standard has been applied to contracts for which performance had not been completed as of the date of adoption. For those contracts that were modified prior to the date of adoption, we reflected the aggregate effect of those modifications when determining the appropriate accounting under the new standard. We don’t believe the effect of applying this practical expedient resulted in material differences. Revenue presented for periods prior to 2018 was accounted for under previous standards and has not been adjusted. Revenue and net income for the three months ended March 31, 2018 do not differ materially from amounts that would have resulted from application of the previous standards.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revenue recognized in our consolidated condensed statements of operations:</w:t>
      </w:r>
    </w:p>
    <w:p>
      <w:pPr>
        <w:sectPr>
          <w:pgSz w:w="11900" w:h="16838" w:orient="portrait"/>
          <w:cols w:equalWidth="0" w:num="1">
            <w:col w:w="11420"/>
          </w:cols>
          <w:pgMar w:left="240" w:top="576"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40"/>
        <w:spacing w:after="0"/>
        <w:rPr>
          <w:sz w:val="20"/>
          <w:szCs w:val="20"/>
          <w:color w:val="auto"/>
        </w:rPr>
      </w:pPr>
      <w:r>
        <w:rPr>
          <w:rFonts w:ascii="Arial" w:cs="Arial" w:eastAsia="Arial" w:hAnsi="Arial"/>
          <w:sz w:val="18"/>
          <w:szCs w:val="18"/>
          <w:color w:val="auto"/>
        </w:rPr>
        <w:t>Net product revenue</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7"/>
          <w:szCs w:val="17"/>
          <w:color w:val="auto"/>
        </w:rPr>
        <w:t>Collaboration and other revenue</w:t>
      </w:r>
    </w:p>
    <w:p>
      <w:pPr>
        <w:spacing w:after="0" w:line="102" w:lineRule="exact"/>
        <w:rPr>
          <w:sz w:val="20"/>
          <w:szCs w:val="20"/>
          <w:color w:val="auto"/>
        </w:rPr>
      </w:pPr>
    </w:p>
    <w:p>
      <w:pPr>
        <w:ind w:left="40"/>
        <w:spacing w:after="0"/>
        <w:rPr>
          <w:sz w:val="20"/>
          <w:szCs w:val="20"/>
          <w:color w:val="auto"/>
        </w:rPr>
      </w:pPr>
      <w:r>
        <w:rPr>
          <w:rFonts w:ascii="Arial" w:cs="Arial" w:eastAsia="Arial" w:hAnsi="Arial"/>
          <w:sz w:val="18"/>
          <w:szCs w:val="18"/>
          <w:color w:val="auto"/>
        </w:rPr>
        <w:t>Revenue</w:t>
      </w:r>
    </w:p>
    <w:p>
      <w:pPr>
        <w:spacing w:after="0" w:line="20" w:lineRule="exact"/>
        <w:rPr>
          <w:sz w:val="20"/>
          <w:szCs w:val="20"/>
          <w:color w:val="auto"/>
        </w:rPr>
      </w:pPr>
      <w:r>
        <w:rPr>
          <w:sz w:val="20"/>
          <w:szCs w:val="20"/>
          <w:color w:val="auto"/>
        </w:rPr>
        <w:br w:type="column"/>
      </w:r>
    </w:p>
    <w:p>
      <w:pPr>
        <w:spacing w:after="0" w:line="139" w:lineRule="exact"/>
        <w:rPr>
          <w:sz w:val="20"/>
          <w:szCs w:val="20"/>
          <w:color w:val="auto"/>
        </w:rPr>
      </w:pPr>
    </w:p>
    <w:p>
      <w:pPr>
        <w:ind w:left="600"/>
        <w:spacing w:after="0"/>
        <w:rPr>
          <w:sz w:val="20"/>
          <w:szCs w:val="20"/>
          <w:color w:val="auto"/>
        </w:rPr>
      </w:pPr>
      <w:r>
        <w:rPr>
          <w:rFonts w:ascii="Arial" w:cs="Arial" w:eastAsia="Arial" w:hAnsi="Arial"/>
          <w:sz w:val="14"/>
          <w:szCs w:val="14"/>
          <w:b w:val="1"/>
          <w:bCs w:val="1"/>
          <w:color w:val="auto"/>
        </w:rPr>
        <w:t>Three Months Ended</w:t>
      </w:r>
    </w:p>
    <w:p>
      <w:pPr>
        <w:spacing w:after="0" w:line="19" w:lineRule="exact"/>
        <w:rPr>
          <w:sz w:val="20"/>
          <w:szCs w:val="20"/>
          <w:color w:val="auto"/>
        </w:rPr>
      </w:pPr>
    </w:p>
    <w:p>
      <w:pPr>
        <w:ind w:left="100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14605</wp:posOffset>
            </wp:positionV>
            <wp:extent cx="168084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680845" cy="8890"/>
                    </a:xfrm>
                    <a:prstGeom prst="rect">
                      <a:avLst/>
                    </a:prstGeom>
                    <a:noFill/>
                  </pic:spPr>
                </pic:pic>
              </a:graphicData>
            </a:graphic>
          </wp:anchor>
        </w:drawing>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00" w:type="dxa"/>
            <w:vAlign w:val="bottom"/>
          </w:tcPr>
          <w:p>
            <w:pPr>
              <w:spacing w:after="0"/>
              <w:rPr>
                <w:sz w:val="16"/>
                <w:szCs w:val="16"/>
                <w:color w:val="auto"/>
              </w:rPr>
            </w:pPr>
          </w:p>
        </w:tc>
        <w:tc>
          <w:tcPr>
            <w:tcW w:w="980" w:type="dxa"/>
            <w:vAlign w:val="bottom"/>
          </w:tcPr>
          <w:p>
            <w:pPr>
              <w:jc w:val="right"/>
              <w:ind w:right="414"/>
              <w:spacing w:after="0"/>
              <w:rPr>
                <w:sz w:val="20"/>
                <w:szCs w:val="20"/>
                <w:color w:val="auto"/>
              </w:rPr>
            </w:pPr>
            <w:r>
              <w:rPr>
                <w:rFonts w:ascii="Arial" w:cs="Arial" w:eastAsia="Arial" w:hAnsi="Arial"/>
                <w:sz w:val="14"/>
                <w:szCs w:val="14"/>
                <w:b w:val="1"/>
                <w:bCs w:val="1"/>
                <w:color w:val="auto"/>
              </w:rPr>
              <w:t>2018</w:t>
            </w:r>
          </w:p>
        </w:tc>
        <w:tc>
          <w:tcPr>
            <w:tcW w:w="400" w:type="dxa"/>
            <w:vAlign w:val="bottom"/>
          </w:tcPr>
          <w:p>
            <w:pPr>
              <w:spacing w:after="0"/>
              <w:rPr>
                <w:sz w:val="16"/>
                <w:szCs w:val="16"/>
                <w:color w:val="auto"/>
              </w:rPr>
            </w:pPr>
          </w:p>
        </w:tc>
        <w:tc>
          <w:tcPr>
            <w:tcW w:w="960" w:type="dxa"/>
            <w:vAlign w:val="bottom"/>
          </w:tcPr>
          <w:p>
            <w:pPr>
              <w:jc w:val="right"/>
              <w:ind w:right="394"/>
              <w:spacing w:after="0"/>
              <w:rPr>
                <w:sz w:val="20"/>
                <w:szCs w:val="20"/>
                <w:color w:val="auto"/>
              </w:rPr>
            </w:pPr>
            <w:r>
              <w:rPr>
                <w:rFonts w:ascii="Arial" w:cs="Arial" w:eastAsia="Arial" w:hAnsi="Arial"/>
                <w:sz w:val="14"/>
                <w:szCs w:val="14"/>
                <w:b w:val="1"/>
                <w:bCs w:val="1"/>
                <w:color w:val="auto"/>
              </w:rPr>
              <w:t>2017</w:t>
            </w:r>
          </w:p>
        </w:tc>
      </w:tr>
      <w:tr>
        <w:trPr>
          <w:trHeight w:val="282"/>
        </w:trPr>
        <w:tc>
          <w:tcPr>
            <w:tcW w:w="300" w:type="dxa"/>
            <w:vAlign w:val="bottom"/>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980" w:type="dxa"/>
            <w:vAlign w:val="bottom"/>
          </w:tcPr>
          <w:p>
            <w:pPr>
              <w:jc w:val="right"/>
              <w:ind w:right="34"/>
              <w:spacing w:after="0"/>
              <w:rPr>
                <w:sz w:val="20"/>
                <w:szCs w:val="20"/>
                <w:color w:val="auto"/>
              </w:rPr>
            </w:pPr>
            <w:r>
              <w:rPr>
                <w:rFonts w:ascii="Arial" w:cs="Arial" w:eastAsia="Arial" w:hAnsi="Arial"/>
                <w:sz w:val="18"/>
                <w:szCs w:val="18"/>
                <w:b w:val="1"/>
                <w:bCs w:val="1"/>
                <w:color w:val="auto"/>
              </w:rPr>
              <w:t>5,341.5</w:t>
            </w:r>
          </w:p>
        </w:tc>
        <w:tc>
          <w:tcPr>
            <w:tcW w:w="40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4"/>
              <w:spacing w:after="0"/>
              <w:rPr>
                <w:sz w:val="20"/>
                <w:szCs w:val="20"/>
                <w:color w:val="auto"/>
              </w:rPr>
            </w:pPr>
            <w:r>
              <w:rPr>
                <w:rFonts w:ascii="Arial" w:cs="Arial" w:eastAsia="Arial" w:hAnsi="Arial"/>
                <w:sz w:val="18"/>
                <w:szCs w:val="18"/>
                <w:color w:val="auto"/>
              </w:rPr>
              <w:t>4,987.9</w:t>
            </w:r>
          </w:p>
        </w:tc>
      </w:tr>
      <w:tr>
        <w:trPr>
          <w:trHeight w:val="277"/>
        </w:trPr>
        <w:tc>
          <w:tcPr>
            <w:tcW w:w="3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b w:val="1"/>
                <w:bCs w:val="1"/>
                <w:color w:val="auto"/>
              </w:rPr>
              <w:t>358.5</w:t>
            </w:r>
          </w:p>
        </w:tc>
        <w:tc>
          <w:tcPr>
            <w:tcW w:w="4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240.4</w:t>
            </w:r>
          </w:p>
        </w:tc>
      </w:tr>
      <w:tr>
        <w:trPr>
          <w:trHeight w:val="277"/>
        </w:trPr>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98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b w:val="1"/>
                <w:bCs w:val="1"/>
                <w:color w:val="auto"/>
              </w:rPr>
              <w:t>5,700.0</w:t>
            </w:r>
          </w:p>
        </w:tc>
        <w:tc>
          <w:tcPr>
            <w:tcW w:w="4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5,228.3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-5569585</wp:posOffset>
            </wp:positionH>
            <wp:positionV relativeFrom="paragraph">
              <wp:posOffset>-368300</wp:posOffset>
            </wp:positionV>
            <wp:extent cx="7246620" cy="1714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-5569585</wp:posOffset>
            </wp:positionH>
            <wp:positionV relativeFrom="paragraph">
              <wp:posOffset>-548005</wp:posOffset>
            </wp:positionV>
            <wp:extent cx="72466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07" w:lineRule="exact"/>
        <w:rPr>
          <w:sz w:val="20"/>
          <w:szCs w:val="20"/>
          <w:color w:val="auto"/>
        </w:rPr>
      </w:pPr>
    </w:p>
    <w:p>
      <w:pPr>
        <w:sectPr>
          <w:pgSz w:w="11900" w:h="16838" w:orient="portrait"/>
          <w:cols w:equalWidth="0" w:num="2">
            <w:col w:w="8060" w:space="720"/>
            <w:col w:w="2640"/>
          </w:cols>
          <w:pgMar w:left="240" w:top="576" w:right="239" w:bottom="1440" w:gutter="0" w:footer="0" w:header="0"/>
          <w:type w:val="continuous"/>
        </w:sectPr>
      </w:pPr>
    </w:p>
    <w:p>
      <w:pPr>
        <w:spacing w:after="0" w:line="237" w:lineRule="auto"/>
        <w:rPr>
          <w:sz w:val="20"/>
          <w:szCs w:val="20"/>
          <w:color w:val="auto"/>
        </w:rPr>
      </w:pPr>
      <w:r>
        <w:rPr>
          <w:rFonts w:ascii="Arial" w:cs="Arial" w:eastAsia="Arial" w:hAnsi="Arial"/>
          <w:sz w:val="18"/>
          <w:szCs w:val="18"/>
          <w:color w:val="auto"/>
        </w:rPr>
        <w:t>We recognize revenue primarily from two different types of contracts, product sales to customers (net product revenue) and collaborations and other arrangements. Revenue recognized from collaborations and other arrangements will include our share of profits from the collaboration, as well as royalties, upfront and milestone payments we receive under these types of contracts. See Note 4 for additional information related to our collaborations and other arrangements. Collaboration and other revenue disclosed above includes the revenue from Trajenta</w:t>
      </w:r>
      <w:r>
        <w:rPr>
          <w:rFonts w:ascii="Arial" w:cs="Arial" w:eastAsia="Arial" w:hAnsi="Arial"/>
          <w:sz w:val="21"/>
          <w:szCs w:val="21"/>
          <w:color w:val="auto"/>
          <w:vertAlign w:val="superscript"/>
        </w:rPr>
        <w:t>™</w:t>
      </w:r>
      <w:r>
        <w:rPr>
          <w:rFonts w:ascii="Arial" w:cs="Arial" w:eastAsia="Arial" w:hAnsi="Arial"/>
          <w:sz w:val="18"/>
          <w:szCs w:val="18"/>
          <w:color w:val="auto"/>
        </w:rPr>
        <w:t xml:space="preserve"> and Jardiance</w:t>
      </w:r>
      <w:r>
        <w:rPr>
          <w:rFonts w:ascii="Arial" w:cs="Arial" w:eastAsia="Arial" w:hAnsi="Arial"/>
          <w:sz w:val="21"/>
          <w:szCs w:val="21"/>
          <w:color w:val="auto"/>
          <w:vertAlign w:val="superscript"/>
        </w:rPr>
        <w:t>®</w:t>
      </w:r>
      <w:r>
        <w:rPr>
          <w:rFonts w:ascii="Arial" w:cs="Arial" w:eastAsia="Arial" w:hAnsi="Arial"/>
          <w:sz w:val="18"/>
          <w:szCs w:val="18"/>
          <w:color w:val="auto"/>
        </w:rPr>
        <w:t xml:space="preserve"> resulting from our collaboration with Boehringer Ingelheim discussed in Note 4. Substantially all of the remainder of collaboration and other revenue is related to contracts accounted for as contracts with customers.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Product Revenue</w:t>
      </w:r>
    </w:p>
    <w:p>
      <w:pPr>
        <w:spacing w:after="0" w:line="139"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Revenue from sales of products is recognized at the point where the customer obtains control of the goods and we satisfy our performance obligation, which generally is at the time we ship the product to the customer. Payment terms differ by jurisdiction and customer, but payment terms in most of our major jurisdictions typically range from 30 to 75 days from date of shipment. Revenue for our product sales has not been adjusted for the effects of a financing component as we expect, at contract inception, that the period between when we transfer control of the product and when we receive payment will be one year or less. Any exceptions are either not material or we collect interest for payments made after the due date. Provisions for rebates and discounts, and returns are established in the same period the related sales are recognized. We generally ship product shortly after orders are received;</w:t>
      </w: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576" w:right="239" w:bottom="1440" w:gutter="0" w:footer="0" w:header="0"/>
          <w:type w:val="continuous"/>
        </w:sectPr>
      </w:pPr>
    </w:p>
    <w:bookmarkStart w:id="8" w:name="page9"/>
    <w:bookmarkEnd w:id="8"/>
    <w:p>
      <w:pPr>
        <w:ind w:right="180"/>
        <w:spacing w:after="0" w:line="254" w:lineRule="auto"/>
        <w:rPr>
          <w:sz w:val="20"/>
          <w:szCs w:val="20"/>
          <w:color w:val="auto"/>
        </w:rPr>
      </w:pPr>
      <w:r>
        <w:rPr>
          <w:rFonts w:ascii="Arial" w:cs="Arial" w:eastAsia="Arial" w:hAnsi="Arial"/>
          <w:sz w:val="18"/>
          <w:szCs w:val="18"/>
          <w:color w:val="auto"/>
        </w:rPr>
        <w:t>therefore, we generally only have a few days of orders received but not yet shipped at the end of any reporting period. Shipping and handling activities are considered to be fulfillment activities and are not considered to be a separate performance obligation. We exclude from the measurement of the transaction price all taxes assessed by a governmental authority that are imposed on our sales of product and collected from a customer.</w:t>
      </w:r>
    </w:p>
    <w:p>
      <w:pPr>
        <w:spacing w:after="0" w:line="96" w:lineRule="exact"/>
        <w:rPr>
          <w:sz w:val="20"/>
          <w:szCs w:val="20"/>
          <w:color w:val="auto"/>
        </w:rPr>
      </w:pPr>
    </w:p>
    <w:p>
      <w:pPr>
        <w:ind w:right="80"/>
        <w:spacing w:after="0" w:line="262" w:lineRule="auto"/>
        <w:rPr>
          <w:sz w:val="20"/>
          <w:szCs w:val="20"/>
          <w:color w:val="auto"/>
        </w:rPr>
      </w:pPr>
      <w:r>
        <w:rPr>
          <w:rFonts w:ascii="Arial" w:cs="Arial" w:eastAsia="Arial" w:hAnsi="Arial"/>
          <w:sz w:val="18"/>
          <w:szCs w:val="18"/>
          <w:color w:val="auto"/>
        </w:rPr>
        <w:t>Significant judgments must be made in determining the transaction price for our sales of products related to anticipated rebates and discounts, and returns. The following describe the most significant of these judgments:</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Sales Rebates and Discounts - Background and Uncertainties</w:t>
      </w:r>
    </w:p>
    <w:p>
      <w:pPr>
        <w:spacing w:after="0" w:line="117" w:lineRule="exact"/>
        <w:rPr>
          <w:sz w:val="20"/>
          <w:szCs w:val="20"/>
          <w:color w:val="auto"/>
        </w:rPr>
      </w:pPr>
    </w:p>
    <w:p>
      <w:pPr>
        <w:ind w:left="660" w:right="40" w:hanging="328"/>
        <w:spacing w:after="0" w:line="252"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Most of our pharmaceutical products are sold to wholesalers that serve pharmacies, physicians and other health care professionals, and hospitals. Animal health products are sold to wholesale distributors. We initially invoice our customers at contractual list prices. Contracts with direct and indirect customers may provide for various rebates and discounts that may differ in each contract. As a consequence, to determine the appropriate transaction price for our product sales at the time we recognize a sale to a direct customer, we must estimate any rebates or discounts that ultimately will be due to the direct customer and other customers in the distribution chain under the terms of our contracts. Significant judgments are required in making these estimates.</w:t>
      </w:r>
    </w:p>
    <w:p>
      <w:pPr>
        <w:spacing w:after="0" w:line="100" w:lineRule="exact"/>
        <w:rPr>
          <w:rFonts w:ascii="Arial" w:cs="Arial" w:eastAsia="Arial" w:hAnsi="Arial"/>
          <w:sz w:val="18"/>
          <w:szCs w:val="18"/>
          <w:color w:val="auto"/>
        </w:rPr>
      </w:pPr>
    </w:p>
    <w:p>
      <w:pPr>
        <w:ind w:left="660" w:right="300" w:hanging="328"/>
        <w:spacing w:after="0" w:line="254"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rebate and discount amounts are recorded as a deduction to arrive at our net product sales. Sales rebates and discounts that require the use of judgment in the establishment of the accrual include managed care, Medicare, Medicaid, chargebacks, long-term care, hospital, patient assistance programs, and various other programs. We estimate these accruals using an expected value approach.</w:t>
      </w:r>
    </w:p>
    <w:p>
      <w:pPr>
        <w:spacing w:after="0" w:line="96" w:lineRule="exact"/>
        <w:rPr>
          <w:rFonts w:ascii="Arial" w:cs="Arial" w:eastAsia="Arial" w:hAnsi="Arial"/>
          <w:sz w:val="18"/>
          <w:szCs w:val="18"/>
          <w:color w:val="auto"/>
        </w:rPr>
      </w:pPr>
    </w:p>
    <w:p>
      <w:pPr>
        <w:ind w:left="660" w:hanging="328"/>
        <w:spacing w:after="0" w:line="252"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largest of our sales rebate and discount amounts are rebates associated with sales covered by managed care, Medicare, Medicaid, and chargeback contracts in the U.S. In determining the appropriate accrual amount, we consider our historical rebate payments for these programs by product as a percentage of our historical sales as well as any significant changes in sales trends (e.g., patent expiries and product launches), an evaluation of the current contracts for these programs, the percentage of our products that are sold via these programs, and our product pricing. Although we accrue a liability for rebates related to these programs at the time we record the sale, the rebate related to that sale is typically paid up to six months later. Because of this time lag, in any particular period our rebate adjustments may incorporate revisions of accruals for several periods.</w:t>
      </w:r>
    </w:p>
    <w:p>
      <w:pPr>
        <w:spacing w:after="0" w:line="99" w:lineRule="exact"/>
        <w:rPr>
          <w:rFonts w:ascii="Arial" w:cs="Arial" w:eastAsia="Arial" w:hAnsi="Arial"/>
          <w:sz w:val="18"/>
          <w:szCs w:val="18"/>
          <w:color w:val="auto"/>
        </w:rPr>
      </w:pPr>
    </w:p>
    <w:p>
      <w:pPr>
        <w:ind w:left="660" w:right="40" w:hanging="328"/>
        <w:spacing w:after="0" w:line="254"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Most of our rebates outside the U.S. are contractual or legislatively mandated and are estimated and recognized in the same period as the related sales. In some large European countries, government rebates are based on the anticipated budget for pharmaceutical payments in the country. An estimate of these rebates, updated as governmental authorities revise budgeted deficits, is recognized in the same period as the related sale.</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Sales Returns - Background and Uncertainties</w:t>
      </w:r>
    </w:p>
    <w:p>
      <w:pPr>
        <w:spacing w:after="0" w:line="117" w:lineRule="exact"/>
        <w:rPr>
          <w:sz w:val="20"/>
          <w:szCs w:val="20"/>
          <w:color w:val="auto"/>
        </w:rPr>
      </w:pPr>
    </w:p>
    <w:p>
      <w:pPr>
        <w:ind w:left="660" w:hanging="328"/>
        <w:spacing w:after="0" w:line="251"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When product sales occur, to determine the appropriate transaction price for our sales, we estimate a reserve for future product returns related to those sales using an expected value approach. This estimate is based on several factors, including: historical return rates, expiration date by product (on average, approximately 24 months after the initial sale of a product to our customer), and estimated levels of inventory in the wholesale and retail channels, among others, as well as any other specifically-identified anticipated returns due to known factors such as the loss of patent exclusivity, product recalls and discontinuances, or a changing competitive environment. We maintain a returns policy that allows U.S. pharmaceutical customers to return product for dating issues within a specified period prior to and subsequent to the product's expiration date. Following the loss of exclusivity for a patent-dependent product, we expect to experience an elevated level of product returns as product inventory remaining in the wholesale and retail channels expires. Adjustments to the returns reserve have been and may in the future be required based on revised estimates to our assumptions, which would have an impact on our consolidated results of operations. We record the return amounts as a deduction to arrive at our net product sales. Once the product is returned, it is destroyed; we do not record a right of return asset. Our returns policies outside the U.S. are generally more restrictive than in the U.S. as returns are not allowed for reasons other than failure to meet product specifications in many countries. Our reserve for future product returns for product sales outside the U.S. is not material.</w:t>
      </w:r>
    </w:p>
    <w:p>
      <w:pPr>
        <w:spacing w:after="0" w:line="103" w:lineRule="exact"/>
        <w:rPr>
          <w:rFonts w:ascii="Arial" w:cs="Arial" w:eastAsia="Arial" w:hAnsi="Arial"/>
          <w:sz w:val="18"/>
          <w:szCs w:val="18"/>
          <w:color w:val="auto"/>
        </w:rPr>
      </w:pPr>
    </w:p>
    <w:p>
      <w:pPr>
        <w:ind w:left="660" w:right="80" w:hanging="328"/>
        <w:spacing w:after="0" w:line="256"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As a part of our process to estimate a reserve for product returns, we regularly review the supply levels of our significant products sold to major wholesalers in the U.S. and in major markets outside the U.S., primarily by reviewing periodic inventory reports supplied by our major wholesalers and available</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706" w:right="259" w:bottom="1440" w:gutter="0" w:footer="0" w:header="0"/>
        </w:sectPr>
      </w:pPr>
    </w:p>
    <w:bookmarkStart w:id="9" w:name="page10"/>
    <w:bookmarkEnd w:id="9"/>
    <w:p>
      <w:pPr>
        <w:ind w:left="660" w:right="80"/>
        <w:spacing w:after="0" w:line="299" w:lineRule="auto"/>
        <w:rPr>
          <w:sz w:val="20"/>
          <w:szCs w:val="20"/>
          <w:color w:val="auto"/>
        </w:rPr>
      </w:pPr>
      <w:r>
        <w:rPr>
          <w:rFonts w:ascii="Arial" w:cs="Arial" w:eastAsia="Arial" w:hAnsi="Arial"/>
          <w:sz w:val="18"/>
          <w:szCs w:val="18"/>
          <w:color w:val="auto"/>
        </w:rPr>
        <w:t>prescription volume information for our products, or alternative approaches. We attempt to maintain U.S. wholesaler inventory levels at an average of approximately one month or less on a consistent basis across our product portfolio. Causes of unusual wholesaler buying patterns include actual or anticipated product-supply issues, weather patterns, anticipated changes in the transportation network, redundant holiday stocking, and changes in wholesaler business operations. In the U.S., the current structure of our arrangements provides us with data on inventory levels at our wholesalers; however, our data on inventory levels in the retail channel is more limited. Wholesaler stocking and destocking activity historically has not caused any material changes in the rate of actual product returns.</w:t>
      </w:r>
    </w:p>
    <w:p>
      <w:pPr>
        <w:spacing w:after="0" w:line="72" w:lineRule="exact"/>
        <w:rPr>
          <w:sz w:val="20"/>
          <w:szCs w:val="20"/>
          <w:color w:val="auto"/>
        </w:rPr>
      </w:pPr>
    </w:p>
    <w:p>
      <w:pPr>
        <w:ind w:left="660" w:right="280" w:hanging="328"/>
        <w:spacing w:after="0" w:line="256"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Actual product returns have been less than 2 percent of our net revenue over each of the past three years and have not fluctuated significantly as a percentage of revenue, although fluctuations are more likely in periods following loss of patent exclusivity for major products in the U.S. market.</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Adjustments to Revenue</w:t>
      </w:r>
    </w:p>
    <w:p>
      <w:pPr>
        <w:spacing w:after="0" w:line="117" w:lineRule="exact"/>
        <w:rPr>
          <w:sz w:val="20"/>
          <w:szCs w:val="20"/>
          <w:color w:val="auto"/>
        </w:rPr>
      </w:pPr>
    </w:p>
    <w:p>
      <w:pPr>
        <w:ind w:right="460"/>
        <w:spacing w:after="0" w:line="262" w:lineRule="auto"/>
        <w:rPr>
          <w:sz w:val="20"/>
          <w:szCs w:val="20"/>
          <w:color w:val="auto"/>
        </w:rPr>
      </w:pPr>
      <w:r>
        <w:rPr>
          <w:rFonts w:ascii="Arial" w:cs="Arial" w:eastAsia="Arial" w:hAnsi="Arial"/>
          <w:sz w:val="18"/>
          <w:szCs w:val="18"/>
          <w:color w:val="auto"/>
        </w:rPr>
        <w:t>Adjustments to revenue recognized as a result of changes in estimates for the judgments described above during the three months ended March 31, 2018, for product shipped in previous periods were not material.</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Disaggregation of Revenue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Our disaggregated revenue is disclosed in Note 13.</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Collaborations and Other Arrangements</w:t>
      </w:r>
    </w:p>
    <w:p>
      <w:pPr>
        <w:spacing w:after="0" w:line="139" w:lineRule="exact"/>
        <w:rPr>
          <w:sz w:val="20"/>
          <w:szCs w:val="20"/>
          <w:color w:val="auto"/>
        </w:rPr>
      </w:pPr>
    </w:p>
    <w:p>
      <w:pPr>
        <w:jc w:val="both"/>
        <w:ind w:right="80"/>
        <w:spacing w:after="0" w:line="256" w:lineRule="auto"/>
        <w:rPr>
          <w:sz w:val="20"/>
          <w:szCs w:val="20"/>
          <w:color w:val="auto"/>
        </w:rPr>
      </w:pPr>
      <w:r>
        <w:rPr>
          <w:rFonts w:ascii="Arial" w:cs="Arial" w:eastAsia="Arial" w:hAnsi="Arial"/>
          <w:sz w:val="18"/>
          <w:szCs w:val="18"/>
          <w:color w:val="auto"/>
        </w:rPr>
        <w:t>We recognize several types of revenue from our collaborations and other arrangements, which we discuss in general terms immediately below and more specifically in Note 4 for each of our material collaborations and other arrangements. Our collaborations and other arrangements are not contracts with customers but are evaluated to determine whether any aspects of the arrangements are contracts with customers.</w:t>
      </w:r>
    </w:p>
    <w:p>
      <w:pPr>
        <w:spacing w:after="0" w:line="94" w:lineRule="exact"/>
        <w:rPr>
          <w:sz w:val="20"/>
          <w:szCs w:val="20"/>
          <w:color w:val="auto"/>
        </w:rPr>
      </w:pPr>
    </w:p>
    <w:p>
      <w:pPr>
        <w:ind w:left="660" w:hanging="328"/>
        <w:spacing w:after="0" w:line="262"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Revenue related to products we sell pursuant to these arrangements is included in net product revenue, while other sources of revenue (e.g., royalties and profit sharing from our partner) are included in collaboration and other revenue.</w:t>
      </w:r>
    </w:p>
    <w:p>
      <w:pPr>
        <w:spacing w:after="0" w:line="88" w:lineRule="exact"/>
        <w:rPr>
          <w:rFonts w:ascii="Arial" w:cs="Arial" w:eastAsia="Arial" w:hAnsi="Arial"/>
          <w:sz w:val="18"/>
          <w:szCs w:val="18"/>
          <w:color w:val="auto"/>
        </w:rPr>
      </w:pPr>
    </w:p>
    <w:p>
      <w:pPr>
        <w:jc w:val="both"/>
        <w:ind w:left="660" w:right="680" w:hanging="328"/>
        <w:spacing w:after="0" w:line="262"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Initial fees and developmental milestones we receive in collaborative and other similar arrangements from the partnering of our compounds under development are generally deferred and amortized into income through the expected product approval date.</w:t>
      </w:r>
    </w:p>
    <w:p>
      <w:pPr>
        <w:spacing w:after="0" w:line="88" w:lineRule="exact"/>
        <w:rPr>
          <w:rFonts w:ascii="Arial" w:cs="Arial" w:eastAsia="Arial" w:hAnsi="Arial"/>
          <w:sz w:val="18"/>
          <w:szCs w:val="18"/>
          <w:color w:val="auto"/>
        </w:rPr>
      </w:pPr>
    </w:p>
    <w:p>
      <w:pPr>
        <w:ind w:left="660" w:right="100" w:hanging="328"/>
        <w:spacing w:after="0" w:line="262"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Profit-sharing due from our collaboration partners, which is based upon gross margins reported to us by our partners, is recognized as collaboration and other revenue as earned.</w:t>
      </w:r>
    </w:p>
    <w:p>
      <w:pPr>
        <w:spacing w:after="0" w:line="88" w:lineRule="exact"/>
        <w:rPr>
          <w:rFonts w:ascii="Arial" w:cs="Arial" w:eastAsia="Arial" w:hAnsi="Arial"/>
          <w:sz w:val="18"/>
          <w:szCs w:val="18"/>
          <w:color w:val="auto"/>
        </w:rPr>
      </w:pPr>
    </w:p>
    <w:p>
      <w:pPr>
        <w:jc w:val="both"/>
        <w:ind w:left="660" w:right="380" w:hanging="328"/>
        <w:spacing w:after="0" w:line="256"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Royalty revenue from licensees, which is based on sales to third-parties of licensed products and technology, is recorded when the third-party sale occurs and the performance obligation to which some or all of the royalty has been allocated has been satisfied (or partially satisfied). This royalty revenue is included in collaboration and other revenue.</w:t>
      </w:r>
    </w:p>
    <w:p>
      <w:pPr>
        <w:spacing w:after="0" w:line="93" w:lineRule="exact"/>
        <w:rPr>
          <w:rFonts w:ascii="Arial" w:cs="Arial" w:eastAsia="Arial" w:hAnsi="Arial"/>
          <w:sz w:val="18"/>
          <w:szCs w:val="18"/>
          <w:color w:val="auto"/>
        </w:rPr>
      </w:pPr>
    </w:p>
    <w:p>
      <w:pPr>
        <w:ind w:left="660" w:right="120" w:hanging="328"/>
        <w:spacing w:after="0" w:line="252"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For arrangements involving multiple goods or services (e.g., research and development, marketing and selling, manufacturing, and distribution), each required good or service is evaluated to determine whether it is distinct. If a good or service does not qualify as distinct, it is combined with the other non-distinct goods or services within the arrangement and these combined goods or services are treated as a single performance obligation for accounting purposes. The arrangement's transaction price is then allocated to each performance obligation based on the relative standalone selling price of each performance obligation. For arrangements that involve variable consideration where we have sold intellectual property, we recognize revenue based on estimates of the amount of consideration we believe we will be entitled to receive from the other party, subject to a constraint. These estimates are adjusted to reflect the actual amounts to be collected when those facts and circumstances become known.</w:t>
      </w:r>
    </w:p>
    <w:p>
      <w:pPr>
        <w:spacing w:after="0" w:line="98" w:lineRule="exact"/>
        <w:rPr>
          <w:rFonts w:ascii="Arial" w:cs="Arial" w:eastAsia="Arial" w:hAnsi="Arial"/>
          <w:sz w:val="18"/>
          <w:szCs w:val="18"/>
          <w:color w:val="auto"/>
        </w:rPr>
      </w:pPr>
    </w:p>
    <w:p>
      <w:pPr>
        <w:ind w:left="660" w:right="200" w:hanging="328"/>
        <w:spacing w:after="0" w:line="256"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Significant judgments must be made in determining the transaction price for our sales of intellectual property. Because of the risk that products in development will not receive regulatory approval, we generally do not recognize any contingent payments that would be due to us upon or after regulatory approval.</w:t>
      </w:r>
    </w:p>
    <w:p>
      <w:pPr>
        <w:spacing w:after="0" w:line="93" w:lineRule="exact"/>
        <w:rPr>
          <w:rFonts w:ascii="Arial" w:cs="Arial" w:eastAsia="Arial" w:hAnsi="Arial"/>
          <w:sz w:val="18"/>
          <w:szCs w:val="18"/>
          <w:color w:val="auto"/>
        </w:rPr>
      </w:pPr>
    </w:p>
    <w:p>
      <w:pPr>
        <w:ind w:left="660" w:right="120" w:hanging="328"/>
        <w:spacing w:after="0" w:line="256"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have entered into arrangements whereby we transferred rights to products and committed to supply for a period of time. For those arrangements for which we concluded that the obligations were not distinct, any amounts received upfront are being amortized to revenue as net product sales over the period of the supply arrangement as the performance obligation is satisfied.</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733" w:right="239" w:bottom="1440" w:gutter="0" w:footer="0" w:header="0"/>
        </w:sectPr>
      </w:pPr>
    </w:p>
    <w:bookmarkStart w:id="10" w:name="page11"/>
    <w:bookmarkEnd w:id="10"/>
    <w:p>
      <w:pPr>
        <w:spacing w:after="0"/>
        <w:rPr>
          <w:sz w:val="20"/>
          <w:szCs w:val="20"/>
          <w:color w:val="auto"/>
        </w:rPr>
      </w:pPr>
      <w:r>
        <w:rPr>
          <w:rFonts w:ascii="Arial" w:cs="Arial" w:eastAsia="Arial" w:hAnsi="Arial"/>
          <w:sz w:val="18"/>
          <w:szCs w:val="18"/>
          <w:u w:val="single" w:color="auto"/>
          <w:color w:val="auto"/>
        </w:rPr>
        <w:t>Contract Liabilities</w:t>
      </w:r>
    </w:p>
    <w:p>
      <w:pPr>
        <w:spacing w:after="0" w:line="117" w:lineRule="exact"/>
        <w:rPr>
          <w:sz w:val="20"/>
          <w:szCs w:val="20"/>
          <w:color w:val="auto"/>
        </w:rPr>
      </w:pPr>
    </w:p>
    <w:p>
      <w:pPr>
        <w:jc w:val="both"/>
        <w:ind w:right="300"/>
        <w:spacing w:after="0" w:line="256" w:lineRule="auto"/>
        <w:rPr>
          <w:sz w:val="20"/>
          <w:szCs w:val="20"/>
          <w:color w:val="auto"/>
        </w:rPr>
      </w:pPr>
      <w:r>
        <w:rPr>
          <w:rFonts w:ascii="Arial" w:cs="Arial" w:eastAsia="Arial" w:hAnsi="Arial"/>
          <w:sz w:val="18"/>
          <w:szCs w:val="18"/>
          <w:color w:val="auto"/>
        </w:rPr>
        <w:t>Our contract liabilities result from arrangements where we have received payment in advance of performance under the contract and do not include sales rebates and discounts. Changes in contract liabilities are generally due to either receipt of additional advance payments or our performance under the contract.</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We have the following amounts recorded for contract liabilities: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20" w:type="dxa"/>
            <w:vAlign w:val="bottom"/>
            <w:tcBorders>
              <w:bottom w:val="single" w:sz="8" w:color="auto"/>
            </w:tcBorders>
          </w:tcPr>
          <w:p>
            <w:pPr>
              <w:spacing w:after="0"/>
              <w:rPr>
                <w:sz w:val="17"/>
                <w:szCs w:val="17"/>
                <w:color w:val="auto"/>
              </w:rPr>
            </w:pPr>
          </w:p>
        </w:tc>
        <w:tc>
          <w:tcPr>
            <w:tcW w:w="696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tcPr>
          <w:p>
            <w:pPr>
              <w:jc w:val="right"/>
              <w:ind w:right="339"/>
              <w:spacing w:after="0"/>
              <w:rPr>
                <w:sz w:val="20"/>
                <w:szCs w:val="20"/>
                <w:color w:val="auto"/>
              </w:rPr>
            </w:pPr>
            <w:r>
              <w:rPr>
                <w:rFonts w:ascii="Arial" w:cs="Arial" w:eastAsia="Arial" w:hAnsi="Arial"/>
                <w:sz w:val="14"/>
                <w:szCs w:val="14"/>
                <w:b w:val="1"/>
                <w:bCs w:val="1"/>
                <w:color w:val="auto"/>
              </w:rPr>
              <w:t>March 31, 2018</w:t>
            </w:r>
          </w:p>
        </w:tc>
        <w:tc>
          <w:tcPr>
            <w:tcW w:w="30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tcPr>
          <w:p>
            <w:pPr>
              <w:jc w:val="right"/>
              <w:ind w:right="199"/>
              <w:spacing w:after="0"/>
              <w:rPr>
                <w:sz w:val="20"/>
                <w:szCs w:val="20"/>
                <w:color w:val="auto"/>
              </w:rPr>
            </w:pPr>
            <w:r>
              <w:rPr>
                <w:rFonts w:ascii="Arial" w:cs="Arial" w:eastAsia="Arial" w:hAnsi="Arial"/>
                <w:sz w:val="14"/>
                <w:szCs w:val="14"/>
                <w:b w:val="1"/>
                <w:bCs w:val="1"/>
                <w:color w:val="auto"/>
              </w:rPr>
              <w:t>December 31, 2017</w:t>
            </w:r>
          </w:p>
        </w:tc>
      </w:tr>
      <w:tr>
        <w:trPr>
          <w:trHeight w:val="270"/>
        </w:trPr>
        <w:tc>
          <w:tcPr>
            <w:tcW w:w="74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Contract liabilities</w:t>
            </w:r>
          </w:p>
        </w:tc>
        <w:tc>
          <w:tcPr>
            <w:tcW w:w="42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w:t>
            </w:r>
          </w:p>
        </w:tc>
        <w:tc>
          <w:tcPr>
            <w:tcW w:w="1580" w:type="dxa"/>
            <w:vAlign w:val="bottom"/>
            <w:shd w:val="clear" w:color="auto" w:fill="CCEEFF"/>
          </w:tcPr>
          <w:p>
            <w:pPr>
              <w:jc w:val="right"/>
              <w:ind w:right="39"/>
              <w:spacing w:after="0"/>
              <w:rPr>
                <w:sz w:val="20"/>
                <w:szCs w:val="20"/>
                <w:color w:val="auto"/>
              </w:rPr>
            </w:pPr>
            <w:r>
              <w:rPr>
                <w:rFonts w:ascii="Arial" w:cs="Arial" w:eastAsia="Arial" w:hAnsi="Arial"/>
                <w:sz w:val="18"/>
                <w:szCs w:val="18"/>
                <w:b w:val="1"/>
                <w:bCs w:val="1"/>
                <w:color w:val="auto"/>
              </w:rPr>
              <w:t>324.5</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4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335.2</w:t>
            </w:r>
          </w:p>
        </w:tc>
      </w:tr>
      <w:tr>
        <w:trPr>
          <w:trHeight w:val="324"/>
        </w:trPr>
        <w:tc>
          <w:tcPr>
            <w:tcW w:w="7480" w:type="dxa"/>
            <w:vAlign w:val="bottom"/>
            <w:gridSpan w:val="2"/>
          </w:tcPr>
          <w:p>
            <w:pPr>
              <w:spacing w:after="0"/>
              <w:rPr>
                <w:sz w:val="20"/>
                <w:szCs w:val="20"/>
                <w:color w:val="auto"/>
              </w:rPr>
            </w:pPr>
            <w:r>
              <w:rPr>
                <w:rFonts w:ascii="Arial" w:cs="Arial" w:eastAsia="Arial" w:hAnsi="Arial"/>
                <w:sz w:val="18"/>
                <w:szCs w:val="18"/>
                <w:color w:val="auto"/>
              </w:rPr>
              <w:t>The contract liabilities amount disclosed above as of March 31, 2018, is primarily related to:</w:t>
            </w:r>
          </w:p>
        </w:tc>
        <w:tc>
          <w:tcPr>
            <w:tcW w:w="4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40" w:type="dxa"/>
            <w:vAlign w:val="bottom"/>
          </w:tcPr>
          <w:p>
            <w:pPr>
              <w:spacing w:after="0"/>
              <w:rPr>
                <w:sz w:val="24"/>
                <w:szCs w:val="24"/>
                <w:color w:val="auto"/>
              </w:rPr>
            </w:pPr>
          </w:p>
        </w:tc>
      </w:tr>
      <w:tr>
        <w:trPr>
          <w:trHeight w:val="324"/>
        </w:trPr>
        <w:tc>
          <w:tcPr>
            <w:tcW w:w="520" w:type="dxa"/>
            <w:vAlign w:val="bottom"/>
          </w:tcPr>
          <w:p>
            <w:pPr>
              <w:ind w:left="340"/>
              <w:spacing w:after="0"/>
              <w:rPr>
                <w:sz w:val="20"/>
                <w:szCs w:val="20"/>
                <w:color w:val="auto"/>
              </w:rPr>
            </w:pPr>
            <w:r>
              <w:rPr>
                <w:rFonts w:ascii="Arial" w:cs="Arial" w:eastAsia="Arial" w:hAnsi="Arial"/>
                <w:sz w:val="18"/>
                <w:szCs w:val="18"/>
                <w:color w:val="auto"/>
              </w:rPr>
              <w:t>•</w:t>
            </w:r>
          </w:p>
        </w:tc>
        <w:tc>
          <w:tcPr>
            <w:tcW w:w="6960" w:type="dxa"/>
            <w:vAlign w:val="bottom"/>
          </w:tcPr>
          <w:p>
            <w:pPr>
              <w:ind w:left="140"/>
              <w:spacing w:after="0"/>
              <w:rPr>
                <w:sz w:val="20"/>
                <w:szCs w:val="20"/>
                <w:color w:val="auto"/>
              </w:rPr>
            </w:pPr>
            <w:r>
              <w:rPr>
                <w:rFonts w:ascii="Arial" w:cs="Arial" w:eastAsia="Arial" w:hAnsi="Arial"/>
                <w:sz w:val="18"/>
                <w:szCs w:val="18"/>
                <w:color w:val="auto"/>
              </w:rPr>
              <w:t>The remaining license period of symbolic intellectual property, and</w:t>
            </w:r>
          </w:p>
        </w:tc>
        <w:tc>
          <w:tcPr>
            <w:tcW w:w="4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40" w:type="dxa"/>
            <w:vAlign w:val="bottom"/>
          </w:tcPr>
          <w:p>
            <w:pPr>
              <w:spacing w:after="0"/>
              <w:rPr>
                <w:sz w:val="24"/>
                <w:szCs w:val="24"/>
                <w:color w:val="auto"/>
              </w:rPr>
            </w:pPr>
          </w:p>
        </w:tc>
      </w:tr>
      <w:tr>
        <w:trPr>
          <w:trHeight w:val="324"/>
        </w:trPr>
        <w:tc>
          <w:tcPr>
            <w:tcW w:w="520" w:type="dxa"/>
            <w:vAlign w:val="bottom"/>
          </w:tcPr>
          <w:p>
            <w:pPr>
              <w:ind w:left="340"/>
              <w:spacing w:after="0"/>
              <w:rPr>
                <w:sz w:val="20"/>
                <w:szCs w:val="20"/>
                <w:color w:val="auto"/>
              </w:rPr>
            </w:pPr>
            <w:r>
              <w:rPr>
                <w:rFonts w:ascii="Arial" w:cs="Arial" w:eastAsia="Arial" w:hAnsi="Arial"/>
                <w:sz w:val="18"/>
                <w:szCs w:val="18"/>
                <w:color w:val="auto"/>
              </w:rPr>
              <w:t>•</w:t>
            </w:r>
          </w:p>
        </w:tc>
        <w:tc>
          <w:tcPr>
            <w:tcW w:w="6960" w:type="dxa"/>
            <w:vAlign w:val="bottom"/>
          </w:tcPr>
          <w:p>
            <w:pPr>
              <w:ind w:left="140"/>
              <w:spacing w:after="0"/>
              <w:rPr>
                <w:sz w:val="20"/>
                <w:szCs w:val="20"/>
                <w:color w:val="auto"/>
              </w:rPr>
            </w:pPr>
            <w:r>
              <w:rPr>
                <w:rFonts w:ascii="Arial" w:cs="Arial" w:eastAsia="Arial" w:hAnsi="Arial"/>
                <w:sz w:val="18"/>
                <w:szCs w:val="18"/>
                <w:color w:val="auto"/>
              </w:rPr>
              <w:t>Obligations to supply product for a defined period of time.</w:t>
            </w:r>
          </w:p>
        </w:tc>
        <w:tc>
          <w:tcPr>
            <w:tcW w:w="4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40" w:type="dxa"/>
            <w:vAlign w:val="bottom"/>
          </w:tcPr>
          <w:p>
            <w:pPr>
              <w:spacing w:after="0"/>
              <w:rPr>
                <w:sz w:val="24"/>
                <w:szCs w:val="24"/>
                <w:color w:val="auto"/>
              </w:rPr>
            </w:pPr>
          </w:p>
        </w:tc>
      </w:tr>
    </w:tbl>
    <w:p>
      <w:pPr>
        <w:spacing w:after="0" w:line="107"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Revenue recognized from contract liabilities as of January 1, 2018, during the three months ended March 31, 2018, were not material. Revenue expected to be recognized in the future from contract liabilities as the related performance obligations are satisfied will not be material in any one year.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706" w:right="2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t>Note 2: Implementation of New Financial Accounting Pronouncements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a brief description of accounting standards that were effective January 1, 2018 and were adopted on that date:</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700" w:type="dxa"/>
            <w:vAlign w:val="bottom"/>
          </w:tcPr>
          <w:p>
            <w:pPr>
              <w:spacing w:after="0"/>
              <w:rPr>
                <w:sz w:val="14"/>
                <w:szCs w:val="14"/>
                <w:color w:val="auto"/>
              </w:rPr>
            </w:pPr>
          </w:p>
        </w:tc>
        <w:tc>
          <w:tcPr>
            <w:tcW w:w="3860" w:type="dxa"/>
            <w:vAlign w:val="bottom"/>
          </w:tcPr>
          <w:p>
            <w:pPr>
              <w:spacing w:after="0"/>
              <w:rPr>
                <w:sz w:val="14"/>
                <w:szCs w:val="14"/>
                <w:color w:val="auto"/>
              </w:rPr>
            </w:pPr>
          </w:p>
        </w:tc>
        <w:tc>
          <w:tcPr>
            <w:tcW w:w="3860" w:type="dxa"/>
            <w:vAlign w:val="bottom"/>
          </w:tcPr>
          <w:p>
            <w:pPr>
              <w:ind w:left="140"/>
              <w:spacing w:after="0"/>
              <w:rPr>
                <w:sz w:val="20"/>
                <w:szCs w:val="20"/>
                <w:color w:val="auto"/>
              </w:rPr>
            </w:pPr>
            <w:r>
              <w:rPr>
                <w:rFonts w:ascii="Arial" w:cs="Arial" w:eastAsia="Arial" w:hAnsi="Arial"/>
                <w:sz w:val="14"/>
                <w:szCs w:val="14"/>
                <w:b w:val="1"/>
                <w:bCs w:val="1"/>
                <w:color w:val="auto"/>
              </w:rPr>
              <w:t>Effect on the financial statements or other significant</w:t>
            </w:r>
          </w:p>
        </w:tc>
      </w:tr>
      <w:tr>
        <w:trPr>
          <w:trHeight w:val="196"/>
        </w:trPr>
        <w:tc>
          <w:tcPr>
            <w:tcW w:w="37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Standard</w:t>
            </w:r>
          </w:p>
        </w:tc>
        <w:tc>
          <w:tcPr>
            <w:tcW w:w="386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Description</w:t>
            </w:r>
          </w:p>
        </w:tc>
        <w:tc>
          <w:tcPr>
            <w:tcW w:w="386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matters</w:t>
            </w:r>
          </w:p>
        </w:tc>
      </w:tr>
      <w:tr>
        <w:trPr>
          <w:trHeight w:val="210"/>
        </w:trPr>
        <w:tc>
          <w:tcPr>
            <w:tcW w:w="3700" w:type="dxa"/>
            <w:vAlign w:val="bottom"/>
            <w:shd w:val="clear" w:color="auto" w:fill="CCEEFF"/>
          </w:tcPr>
          <w:p>
            <w:pPr>
              <w:ind w:left="40"/>
              <w:spacing w:after="0"/>
              <w:rPr>
                <w:sz w:val="20"/>
                <w:szCs w:val="20"/>
                <w:color w:val="auto"/>
              </w:rPr>
            </w:pPr>
            <w:r>
              <w:rPr>
                <w:rFonts w:ascii="Arial" w:cs="Arial" w:eastAsia="Arial" w:hAnsi="Arial"/>
                <w:sz w:val="18"/>
                <w:szCs w:val="18"/>
                <w:color w:val="auto"/>
              </w:rPr>
              <w:t>Accounting Standards Update 2014-09 and</w:t>
            </w:r>
          </w:p>
        </w:tc>
        <w:tc>
          <w:tcPr>
            <w:tcW w:w="38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This standard replaced existing revenue</w:t>
            </w:r>
          </w:p>
        </w:tc>
        <w:tc>
          <w:tcPr>
            <w:tcW w:w="38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Application of the new standard to applicable</w:t>
            </w:r>
          </w:p>
        </w:tc>
      </w:tr>
      <w:tr>
        <w:trPr>
          <w:trHeight w:val="203"/>
        </w:trPr>
        <w:tc>
          <w:tcPr>
            <w:tcW w:w="370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color w:val="auto"/>
              </w:rPr>
              <w:t xml:space="preserve">various other related updates, </w:t>
            </w:r>
            <w:r>
              <w:rPr>
                <w:rFonts w:ascii="Arial" w:cs="Arial" w:eastAsia="Arial" w:hAnsi="Arial"/>
                <w:sz w:val="18"/>
                <w:szCs w:val="18"/>
                <w:i w:val="1"/>
                <w:iCs w:val="1"/>
                <w:color w:val="auto"/>
              </w:rPr>
              <w:t>Revenue from</w:t>
            </w:r>
          </w:p>
        </w:tc>
        <w:tc>
          <w:tcPr>
            <w:tcW w:w="386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recognition standards and requires entities to</w:t>
            </w:r>
          </w:p>
        </w:tc>
        <w:tc>
          <w:tcPr>
            <w:tcW w:w="3860" w:type="dxa"/>
            <w:vAlign w:val="bottom"/>
            <w:shd w:val="clear" w:color="auto" w:fill="CCEEFF"/>
          </w:tcPr>
          <w:p>
            <w:pPr>
              <w:ind w:left="140"/>
              <w:spacing w:after="0" w:line="202" w:lineRule="exact"/>
              <w:rPr>
                <w:sz w:val="20"/>
                <w:szCs w:val="20"/>
                <w:color w:val="auto"/>
              </w:rPr>
            </w:pPr>
            <w:r>
              <w:rPr>
                <w:rFonts w:ascii="Arial" w:cs="Arial" w:eastAsia="Arial" w:hAnsi="Arial"/>
                <w:sz w:val="18"/>
                <w:szCs w:val="18"/>
                <w:color w:val="auto"/>
              </w:rPr>
              <w:t>contracts resulted in an increase of</w:t>
            </w:r>
          </w:p>
        </w:tc>
      </w:tr>
      <w:tr>
        <w:trPr>
          <w:trHeight w:val="221"/>
        </w:trPr>
        <w:tc>
          <w:tcPr>
            <w:tcW w:w="3700" w:type="dxa"/>
            <w:vAlign w:val="bottom"/>
            <w:shd w:val="clear" w:color="auto" w:fill="CCEEFF"/>
          </w:tcPr>
          <w:p>
            <w:pPr>
              <w:ind w:left="40"/>
              <w:spacing w:after="0"/>
              <w:rPr>
                <w:sz w:val="20"/>
                <w:szCs w:val="20"/>
                <w:color w:val="auto"/>
              </w:rPr>
            </w:pPr>
            <w:r>
              <w:rPr>
                <w:rFonts w:ascii="Arial" w:cs="Arial" w:eastAsia="Arial" w:hAnsi="Arial"/>
                <w:sz w:val="18"/>
                <w:szCs w:val="18"/>
                <w:i w:val="1"/>
                <w:iCs w:val="1"/>
                <w:color w:val="auto"/>
              </w:rPr>
              <w:t>Contracts with Customers</w:t>
            </w:r>
          </w:p>
        </w:tc>
        <w:tc>
          <w:tcPr>
            <w:tcW w:w="38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recognize revenue to depict the transfer of</w:t>
            </w:r>
          </w:p>
        </w:tc>
        <w:tc>
          <w:tcPr>
            <w:tcW w:w="38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approximately $5 million to retained earnings</w:t>
            </w:r>
          </w:p>
        </w:tc>
      </w:tr>
      <w:tr>
        <w:trPr>
          <w:trHeight w:val="203"/>
        </w:trPr>
        <w:tc>
          <w:tcPr>
            <w:tcW w:w="3700" w:type="dxa"/>
            <w:vAlign w:val="bottom"/>
            <w:shd w:val="clear" w:color="auto" w:fill="CCEEFF"/>
          </w:tcPr>
          <w:p>
            <w:pPr>
              <w:spacing w:after="0"/>
              <w:rPr>
                <w:sz w:val="17"/>
                <w:szCs w:val="17"/>
                <w:color w:val="auto"/>
              </w:rPr>
            </w:pPr>
          </w:p>
        </w:tc>
        <w:tc>
          <w:tcPr>
            <w:tcW w:w="386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promised goods or services to customers in</w:t>
            </w:r>
          </w:p>
        </w:tc>
        <w:tc>
          <w:tcPr>
            <w:tcW w:w="3860" w:type="dxa"/>
            <w:vAlign w:val="bottom"/>
            <w:shd w:val="clear" w:color="auto" w:fill="CCEEFF"/>
          </w:tcPr>
          <w:p>
            <w:pPr>
              <w:ind w:left="140"/>
              <w:spacing w:after="0" w:line="202" w:lineRule="exact"/>
              <w:rPr>
                <w:sz w:val="20"/>
                <w:szCs w:val="20"/>
                <w:color w:val="auto"/>
              </w:rPr>
            </w:pPr>
            <w:r>
              <w:rPr>
                <w:rFonts w:ascii="Arial" w:cs="Arial" w:eastAsia="Arial" w:hAnsi="Arial"/>
                <w:sz w:val="18"/>
                <w:szCs w:val="18"/>
                <w:color w:val="auto"/>
              </w:rPr>
              <w:t>as of January 1, 2018. Disclosures required</w:t>
            </w:r>
          </w:p>
        </w:tc>
      </w:tr>
      <w:tr>
        <w:trPr>
          <w:trHeight w:val="203"/>
        </w:trPr>
        <w:tc>
          <w:tcPr>
            <w:tcW w:w="3700" w:type="dxa"/>
            <w:vAlign w:val="bottom"/>
            <w:shd w:val="clear" w:color="auto" w:fill="CCEEFF"/>
          </w:tcPr>
          <w:p>
            <w:pPr>
              <w:spacing w:after="0"/>
              <w:rPr>
                <w:sz w:val="17"/>
                <w:szCs w:val="17"/>
                <w:color w:val="auto"/>
              </w:rPr>
            </w:pPr>
          </w:p>
        </w:tc>
        <w:tc>
          <w:tcPr>
            <w:tcW w:w="386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an amount that reflects the consideration to</w:t>
            </w:r>
          </w:p>
        </w:tc>
        <w:tc>
          <w:tcPr>
            <w:tcW w:w="3860" w:type="dxa"/>
            <w:vAlign w:val="bottom"/>
            <w:shd w:val="clear" w:color="auto" w:fill="CCEEFF"/>
          </w:tcPr>
          <w:p>
            <w:pPr>
              <w:ind w:left="140"/>
              <w:spacing w:after="0" w:line="202" w:lineRule="exact"/>
              <w:rPr>
                <w:sz w:val="20"/>
                <w:szCs w:val="20"/>
                <w:color w:val="auto"/>
              </w:rPr>
            </w:pPr>
            <w:r>
              <w:rPr>
                <w:rFonts w:ascii="Arial" w:cs="Arial" w:eastAsia="Arial" w:hAnsi="Arial"/>
                <w:sz w:val="18"/>
                <w:szCs w:val="18"/>
                <w:color w:val="auto"/>
              </w:rPr>
              <w:t>by the new standard are included in Note 1</w:t>
            </w:r>
          </w:p>
        </w:tc>
      </w:tr>
      <w:tr>
        <w:trPr>
          <w:trHeight w:val="203"/>
        </w:trPr>
        <w:tc>
          <w:tcPr>
            <w:tcW w:w="3700" w:type="dxa"/>
            <w:vAlign w:val="bottom"/>
            <w:shd w:val="clear" w:color="auto" w:fill="CCEEFF"/>
          </w:tcPr>
          <w:p>
            <w:pPr>
              <w:spacing w:after="0"/>
              <w:rPr>
                <w:sz w:val="17"/>
                <w:szCs w:val="17"/>
                <w:color w:val="auto"/>
              </w:rPr>
            </w:pPr>
          </w:p>
        </w:tc>
        <w:tc>
          <w:tcPr>
            <w:tcW w:w="386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which the entity expects to be entitled in</w:t>
            </w:r>
          </w:p>
        </w:tc>
        <w:tc>
          <w:tcPr>
            <w:tcW w:w="3860" w:type="dxa"/>
            <w:vAlign w:val="bottom"/>
            <w:shd w:val="clear" w:color="auto" w:fill="CCEEFF"/>
          </w:tcPr>
          <w:p>
            <w:pPr>
              <w:ind w:left="140"/>
              <w:spacing w:after="0" w:line="202" w:lineRule="exact"/>
              <w:rPr>
                <w:sz w:val="20"/>
                <w:szCs w:val="20"/>
                <w:color w:val="auto"/>
              </w:rPr>
            </w:pPr>
            <w:r>
              <w:rPr>
                <w:rFonts w:ascii="Arial" w:cs="Arial" w:eastAsia="Arial" w:hAnsi="Arial"/>
                <w:sz w:val="18"/>
                <w:szCs w:val="18"/>
                <w:color w:val="auto"/>
              </w:rPr>
              <w:t>and Note 4.</w:t>
            </w:r>
          </w:p>
        </w:tc>
      </w:tr>
      <w:tr>
        <w:trPr>
          <w:trHeight w:val="203"/>
        </w:trPr>
        <w:tc>
          <w:tcPr>
            <w:tcW w:w="3700" w:type="dxa"/>
            <w:vAlign w:val="bottom"/>
            <w:shd w:val="clear" w:color="auto" w:fill="CCEEFF"/>
          </w:tcPr>
          <w:p>
            <w:pPr>
              <w:spacing w:after="0"/>
              <w:rPr>
                <w:sz w:val="17"/>
                <w:szCs w:val="17"/>
                <w:color w:val="auto"/>
              </w:rPr>
            </w:pPr>
          </w:p>
        </w:tc>
        <w:tc>
          <w:tcPr>
            <w:tcW w:w="386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exchange for those goods or services. An</w:t>
            </w:r>
          </w:p>
        </w:tc>
        <w:tc>
          <w:tcPr>
            <w:tcW w:w="3860" w:type="dxa"/>
            <w:vAlign w:val="bottom"/>
            <w:shd w:val="clear" w:color="auto" w:fill="CCEEFF"/>
          </w:tcPr>
          <w:p>
            <w:pPr>
              <w:spacing w:after="0"/>
              <w:rPr>
                <w:sz w:val="17"/>
                <w:szCs w:val="17"/>
                <w:color w:val="auto"/>
              </w:rPr>
            </w:pPr>
          </w:p>
        </w:tc>
      </w:tr>
      <w:tr>
        <w:trPr>
          <w:trHeight w:val="203"/>
        </w:trPr>
        <w:tc>
          <w:tcPr>
            <w:tcW w:w="3700" w:type="dxa"/>
            <w:vAlign w:val="bottom"/>
            <w:shd w:val="clear" w:color="auto" w:fill="CCEEFF"/>
          </w:tcPr>
          <w:p>
            <w:pPr>
              <w:spacing w:after="0"/>
              <w:rPr>
                <w:sz w:val="17"/>
                <w:szCs w:val="17"/>
                <w:color w:val="auto"/>
              </w:rPr>
            </w:pPr>
          </w:p>
        </w:tc>
        <w:tc>
          <w:tcPr>
            <w:tcW w:w="386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entity can apply the new revenue standard</w:t>
            </w:r>
          </w:p>
        </w:tc>
        <w:tc>
          <w:tcPr>
            <w:tcW w:w="3860" w:type="dxa"/>
            <w:vAlign w:val="bottom"/>
            <w:shd w:val="clear" w:color="auto" w:fill="CCEEFF"/>
          </w:tcPr>
          <w:p>
            <w:pPr>
              <w:spacing w:after="0"/>
              <w:rPr>
                <w:sz w:val="17"/>
                <w:szCs w:val="17"/>
                <w:color w:val="auto"/>
              </w:rPr>
            </w:pPr>
          </w:p>
        </w:tc>
      </w:tr>
      <w:tr>
        <w:trPr>
          <w:trHeight w:val="203"/>
        </w:trPr>
        <w:tc>
          <w:tcPr>
            <w:tcW w:w="3700" w:type="dxa"/>
            <w:vAlign w:val="bottom"/>
            <w:shd w:val="clear" w:color="auto" w:fill="CCEEFF"/>
          </w:tcPr>
          <w:p>
            <w:pPr>
              <w:spacing w:after="0"/>
              <w:rPr>
                <w:sz w:val="17"/>
                <w:szCs w:val="17"/>
                <w:color w:val="auto"/>
              </w:rPr>
            </w:pPr>
          </w:p>
        </w:tc>
        <w:tc>
          <w:tcPr>
            <w:tcW w:w="386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retrospectively to each prior reporting period</w:t>
            </w:r>
          </w:p>
        </w:tc>
        <w:tc>
          <w:tcPr>
            <w:tcW w:w="3860" w:type="dxa"/>
            <w:vAlign w:val="bottom"/>
            <w:shd w:val="clear" w:color="auto" w:fill="CCEEFF"/>
          </w:tcPr>
          <w:p>
            <w:pPr>
              <w:spacing w:after="0"/>
              <w:rPr>
                <w:sz w:val="17"/>
                <w:szCs w:val="17"/>
                <w:color w:val="auto"/>
              </w:rPr>
            </w:pPr>
          </w:p>
        </w:tc>
      </w:tr>
      <w:tr>
        <w:trPr>
          <w:trHeight w:val="203"/>
        </w:trPr>
        <w:tc>
          <w:tcPr>
            <w:tcW w:w="3700" w:type="dxa"/>
            <w:vAlign w:val="bottom"/>
            <w:shd w:val="clear" w:color="auto" w:fill="CCEEFF"/>
          </w:tcPr>
          <w:p>
            <w:pPr>
              <w:spacing w:after="0"/>
              <w:rPr>
                <w:sz w:val="17"/>
                <w:szCs w:val="17"/>
                <w:color w:val="auto"/>
              </w:rPr>
            </w:pPr>
          </w:p>
        </w:tc>
        <w:tc>
          <w:tcPr>
            <w:tcW w:w="386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presented or with the cumulative effect of</w:t>
            </w:r>
          </w:p>
        </w:tc>
        <w:tc>
          <w:tcPr>
            <w:tcW w:w="3860" w:type="dxa"/>
            <w:vAlign w:val="bottom"/>
            <w:shd w:val="clear" w:color="auto" w:fill="CCEEFF"/>
          </w:tcPr>
          <w:p>
            <w:pPr>
              <w:spacing w:after="0"/>
              <w:rPr>
                <w:sz w:val="17"/>
                <w:szCs w:val="17"/>
                <w:color w:val="auto"/>
              </w:rPr>
            </w:pPr>
          </w:p>
        </w:tc>
      </w:tr>
      <w:tr>
        <w:trPr>
          <w:trHeight w:val="203"/>
        </w:trPr>
        <w:tc>
          <w:tcPr>
            <w:tcW w:w="3700" w:type="dxa"/>
            <w:vAlign w:val="bottom"/>
            <w:shd w:val="clear" w:color="auto" w:fill="CCEEFF"/>
          </w:tcPr>
          <w:p>
            <w:pPr>
              <w:spacing w:after="0"/>
              <w:rPr>
                <w:sz w:val="17"/>
                <w:szCs w:val="17"/>
                <w:color w:val="auto"/>
              </w:rPr>
            </w:pPr>
          </w:p>
        </w:tc>
        <w:tc>
          <w:tcPr>
            <w:tcW w:w="386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initially applying the standard recognized at</w:t>
            </w:r>
          </w:p>
        </w:tc>
        <w:tc>
          <w:tcPr>
            <w:tcW w:w="3860" w:type="dxa"/>
            <w:vAlign w:val="bottom"/>
            <w:shd w:val="clear" w:color="auto" w:fill="CCEEFF"/>
          </w:tcPr>
          <w:p>
            <w:pPr>
              <w:spacing w:after="0"/>
              <w:rPr>
                <w:sz w:val="17"/>
                <w:szCs w:val="17"/>
                <w:color w:val="auto"/>
              </w:rPr>
            </w:pPr>
          </w:p>
        </w:tc>
      </w:tr>
      <w:tr>
        <w:trPr>
          <w:trHeight w:val="203"/>
        </w:trPr>
        <w:tc>
          <w:tcPr>
            <w:tcW w:w="3700" w:type="dxa"/>
            <w:vAlign w:val="bottom"/>
            <w:shd w:val="clear" w:color="auto" w:fill="CCEEFF"/>
          </w:tcPr>
          <w:p>
            <w:pPr>
              <w:spacing w:after="0"/>
              <w:rPr>
                <w:sz w:val="17"/>
                <w:szCs w:val="17"/>
                <w:color w:val="auto"/>
              </w:rPr>
            </w:pPr>
          </w:p>
        </w:tc>
        <w:tc>
          <w:tcPr>
            <w:tcW w:w="386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the date of initial application in retained</w:t>
            </w:r>
          </w:p>
        </w:tc>
        <w:tc>
          <w:tcPr>
            <w:tcW w:w="3860" w:type="dxa"/>
            <w:vAlign w:val="bottom"/>
            <w:shd w:val="clear" w:color="auto" w:fill="CCEEFF"/>
          </w:tcPr>
          <w:p>
            <w:pPr>
              <w:spacing w:after="0"/>
              <w:rPr>
                <w:sz w:val="17"/>
                <w:szCs w:val="17"/>
                <w:color w:val="auto"/>
              </w:rPr>
            </w:pPr>
          </w:p>
        </w:tc>
      </w:tr>
      <w:tr>
        <w:trPr>
          <w:trHeight w:val="230"/>
        </w:trPr>
        <w:tc>
          <w:tcPr>
            <w:tcW w:w="3700" w:type="dxa"/>
            <w:vAlign w:val="bottom"/>
            <w:shd w:val="clear" w:color="auto" w:fill="CCEEFF"/>
          </w:tcPr>
          <w:p>
            <w:pPr>
              <w:spacing w:after="0"/>
              <w:rPr>
                <w:sz w:val="20"/>
                <w:szCs w:val="20"/>
                <w:color w:val="auto"/>
              </w:rPr>
            </w:pPr>
          </w:p>
        </w:tc>
        <w:tc>
          <w:tcPr>
            <w:tcW w:w="38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earnings. We applied the latter approach.</w:t>
            </w:r>
          </w:p>
        </w:tc>
        <w:tc>
          <w:tcPr>
            <w:tcW w:w="3860" w:type="dxa"/>
            <w:vAlign w:val="bottom"/>
            <w:shd w:val="clear" w:color="auto" w:fill="CCEEFF"/>
          </w:tcPr>
          <w:p>
            <w:pPr>
              <w:spacing w:after="0"/>
              <w:rPr>
                <w:sz w:val="20"/>
                <w:szCs w:val="20"/>
                <w:color w:val="auto"/>
              </w:rPr>
            </w:pPr>
          </w:p>
        </w:tc>
      </w:tr>
    </w:tbl>
    <w:p>
      <w:pPr>
        <w:spacing w:after="0" w:line="22" w:lineRule="exact"/>
        <w:rPr>
          <w:sz w:val="20"/>
          <w:szCs w:val="20"/>
          <w:color w:val="auto"/>
        </w:rPr>
      </w:pPr>
    </w:p>
    <w:p>
      <w:pPr>
        <w:sectPr>
          <w:pgSz w:w="11900" w:h="16838" w:orient="portrait"/>
          <w:cols w:equalWidth="0" w:num="1">
            <w:col w:w="11420"/>
          </w:cols>
          <w:pgMar w:left="240" w:top="576" w:right="239" w:bottom="1440" w:gutter="0" w:footer="0" w:header="0"/>
        </w:sectPr>
      </w:pPr>
    </w:p>
    <w:p>
      <w:pPr>
        <w:ind w:left="40"/>
        <w:spacing w:after="0"/>
        <w:tabs>
          <w:tab w:leader="none" w:pos="3800" w:val="left"/>
        </w:tabs>
        <w:rPr>
          <w:sz w:val="20"/>
          <w:szCs w:val="20"/>
          <w:color w:val="auto"/>
        </w:rPr>
      </w:pPr>
      <w:r>
        <w:rPr>
          <w:rFonts w:ascii="Arial" w:cs="Arial" w:eastAsia="Arial" w:hAnsi="Arial"/>
          <w:sz w:val="18"/>
          <w:szCs w:val="18"/>
          <w:color w:val="auto"/>
        </w:rPr>
        <w:t>Accounting Standards Update 2016-01,</w:t>
      </w:r>
      <w:r>
        <w:rPr>
          <w:sz w:val="20"/>
          <w:szCs w:val="20"/>
          <w:color w:val="auto"/>
        </w:rPr>
        <w:tab/>
      </w:r>
      <w:r>
        <w:rPr>
          <w:rFonts w:ascii="Arial" w:cs="Arial" w:eastAsia="Arial" w:hAnsi="Arial"/>
          <w:sz w:val="17"/>
          <w:szCs w:val="17"/>
          <w:color w:val="auto"/>
        </w:rPr>
        <w:t>This standard requires entities to recognize</w:t>
      </w:r>
    </w:p>
    <w:p>
      <w:pPr>
        <w:ind w:left="40"/>
        <w:spacing w:after="0"/>
        <w:tabs>
          <w:tab w:leader="none" w:pos="3800" w:val="left"/>
        </w:tabs>
        <w:rPr>
          <w:sz w:val="20"/>
          <w:szCs w:val="20"/>
          <w:color w:val="auto"/>
        </w:rPr>
      </w:pPr>
      <w:r>
        <w:rPr>
          <w:rFonts w:ascii="Arial" w:cs="Arial" w:eastAsia="Arial" w:hAnsi="Arial"/>
          <w:sz w:val="18"/>
          <w:szCs w:val="18"/>
          <w:i w:val="1"/>
          <w:iCs w:val="1"/>
          <w:color w:val="auto"/>
        </w:rPr>
        <w:t>Financial Instruments - Overall: Recognition</w:t>
      </w:r>
      <w:r>
        <w:rPr>
          <w:sz w:val="20"/>
          <w:szCs w:val="20"/>
          <w:color w:val="auto"/>
        </w:rPr>
        <w:tab/>
      </w:r>
      <w:r>
        <w:rPr>
          <w:rFonts w:ascii="Arial" w:cs="Arial" w:eastAsia="Arial" w:hAnsi="Arial"/>
          <w:sz w:val="17"/>
          <w:szCs w:val="17"/>
          <w:color w:val="auto"/>
        </w:rPr>
        <w:t>changes in the fair value of equity investments</w:t>
      </w:r>
    </w:p>
    <w:p>
      <w:pPr>
        <w:ind w:left="40"/>
        <w:spacing w:after="0"/>
        <w:tabs>
          <w:tab w:leader="none" w:pos="3800" w:val="left"/>
        </w:tabs>
        <w:rPr>
          <w:sz w:val="20"/>
          <w:szCs w:val="20"/>
          <w:color w:val="auto"/>
        </w:rPr>
      </w:pPr>
      <w:r>
        <w:rPr>
          <w:rFonts w:ascii="Arial" w:cs="Arial" w:eastAsia="Arial" w:hAnsi="Arial"/>
          <w:sz w:val="18"/>
          <w:szCs w:val="18"/>
          <w:i w:val="1"/>
          <w:iCs w:val="1"/>
          <w:color w:val="auto"/>
        </w:rPr>
        <w:t>and Measurement of Financial Assets and</w:t>
      </w:r>
      <w:r>
        <w:rPr>
          <w:sz w:val="20"/>
          <w:szCs w:val="20"/>
          <w:color w:val="auto"/>
        </w:rPr>
        <w:tab/>
      </w:r>
      <w:r>
        <w:rPr>
          <w:rFonts w:ascii="Arial" w:cs="Arial" w:eastAsia="Arial" w:hAnsi="Arial"/>
          <w:sz w:val="17"/>
          <w:szCs w:val="17"/>
          <w:color w:val="auto"/>
        </w:rPr>
        <w:t>with readily determinable fair values in net</w:t>
      </w:r>
    </w:p>
    <w:p>
      <w:pPr>
        <w:ind w:left="40"/>
        <w:spacing w:after="0"/>
        <w:tabs>
          <w:tab w:leader="none" w:pos="3800" w:val="left"/>
        </w:tabs>
        <w:rPr>
          <w:sz w:val="20"/>
          <w:szCs w:val="20"/>
          <w:color w:val="auto"/>
        </w:rPr>
      </w:pPr>
      <w:r>
        <w:rPr>
          <w:rFonts w:ascii="Arial" w:cs="Arial" w:eastAsia="Arial" w:hAnsi="Arial"/>
          <w:sz w:val="18"/>
          <w:szCs w:val="18"/>
          <w:i w:val="1"/>
          <w:iCs w:val="1"/>
          <w:color w:val="auto"/>
        </w:rPr>
        <w:t>Financial Liabilities</w:t>
      </w:r>
      <w:r>
        <w:rPr>
          <w:sz w:val="20"/>
          <w:szCs w:val="20"/>
          <w:color w:val="auto"/>
        </w:rPr>
        <w:tab/>
      </w:r>
      <w:r>
        <w:rPr>
          <w:rFonts w:ascii="Arial" w:cs="Arial" w:eastAsia="Arial" w:hAnsi="Arial"/>
          <w:sz w:val="17"/>
          <w:szCs w:val="17"/>
          <w:color w:val="auto"/>
        </w:rPr>
        <w:t>income (except for investments accounted for</w:t>
      </w:r>
    </w:p>
    <w:p>
      <w:pPr>
        <w:ind w:left="3820"/>
        <w:spacing w:after="0" w:line="235" w:lineRule="auto"/>
        <w:rPr>
          <w:sz w:val="20"/>
          <w:szCs w:val="20"/>
          <w:color w:val="auto"/>
        </w:rPr>
      </w:pPr>
      <w:r>
        <w:rPr>
          <w:rFonts w:ascii="Arial" w:cs="Arial" w:eastAsia="Arial" w:hAnsi="Arial"/>
          <w:sz w:val="18"/>
          <w:szCs w:val="18"/>
          <w:color w:val="auto"/>
        </w:rPr>
        <w:t>under the equity method of accounting or</w:t>
      </w:r>
    </w:p>
    <w:p>
      <w:pPr>
        <w:ind w:left="3820"/>
        <w:spacing w:after="0" w:line="235" w:lineRule="auto"/>
        <w:rPr>
          <w:sz w:val="20"/>
          <w:szCs w:val="20"/>
          <w:color w:val="auto"/>
        </w:rPr>
      </w:pPr>
      <w:r>
        <w:rPr>
          <w:rFonts w:ascii="Arial" w:cs="Arial" w:eastAsia="Arial" w:hAnsi="Arial"/>
          <w:sz w:val="18"/>
          <w:szCs w:val="18"/>
          <w:color w:val="auto"/>
        </w:rPr>
        <w:t>those that result in consolidation of the</w:t>
      </w:r>
    </w:p>
    <w:p>
      <w:pPr>
        <w:ind w:left="3820"/>
        <w:spacing w:after="0" w:line="235" w:lineRule="auto"/>
        <w:rPr>
          <w:sz w:val="20"/>
          <w:szCs w:val="20"/>
          <w:color w:val="auto"/>
        </w:rPr>
      </w:pPr>
      <w:r>
        <w:rPr>
          <w:rFonts w:ascii="Arial" w:cs="Arial" w:eastAsia="Arial" w:hAnsi="Arial"/>
          <w:sz w:val="18"/>
          <w:szCs w:val="18"/>
          <w:color w:val="auto"/>
        </w:rPr>
        <w:t>investee). An entity should apply the new</w:t>
      </w:r>
    </w:p>
    <w:p>
      <w:pPr>
        <w:ind w:left="3820"/>
        <w:spacing w:after="0" w:line="235" w:lineRule="auto"/>
        <w:rPr>
          <w:sz w:val="20"/>
          <w:szCs w:val="20"/>
          <w:color w:val="auto"/>
        </w:rPr>
      </w:pPr>
      <w:r>
        <w:rPr>
          <w:rFonts w:ascii="Arial" w:cs="Arial" w:eastAsia="Arial" w:hAnsi="Arial"/>
          <w:sz w:val="18"/>
          <w:szCs w:val="18"/>
          <w:color w:val="auto"/>
        </w:rPr>
        <w:t>standard through a cumulative effect</w:t>
      </w:r>
    </w:p>
    <w:p>
      <w:pPr>
        <w:ind w:left="3820"/>
        <w:spacing w:after="0" w:line="235" w:lineRule="auto"/>
        <w:rPr>
          <w:sz w:val="20"/>
          <w:szCs w:val="20"/>
          <w:color w:val="auto"/>
        </w:rPr>
      </w:pPr>
      <w:r>
        <w:rPr>
          <w:rFonts w:ascii="Arial" w:cs="Arial" w:eastAsia="Arial" w:hAnsi="Arial"/>
          <w:sz w:val="18"/>
          <w:szCs w:val="18"/>
          <w:color w:val="auto"/>
        </w:rPr>
        <w:t>adjustment to retained earnings as of the</w:t>
      </w:r>
    </w:p>
    <w:p>
      <w:pPr>
        <w:ind w:left="3820"/>
        <w:spacing w:after="0"/>
        <w:rPr>
          <w:sz w:val="20"/>
          <w:szCs w:val="20"/>
          <w:color w:val="auto"/>
        </w:rPr>
      </w:pPr>
      <w:r>
        <w:rPr>
          <w:rFonts w:ascii="Arial" w:cs="Arial" w:eastAsia="Arial" w:hAnsi="Arial"/>
          <w:sz w:val="18"/>
          <w:szCs w:val="18"/>
          <w:color w:val="auto"/>
        </w:rPr>
        <w:t>beginning of the fiscal year of adoption.</w:t>
      </w:r>
    </w:p>
    <w:p>
      <w:pPr>
        <w:spacing w:after="0" w:line="20" w:lineRule="exact"/>
        <w:rPr>
          <w:sz w:val="20"/>
          <w:szCs w:val="20"/>
          <w:color w:val="auto"/>
        </w:rPr>
      </w:pPr>
      <w:r>
        <w:rPr>
          <w:sz w:val="20"/>
          <w:szCs w:val="20"/>
          <w:color w:val="auto"/>
        </w:rPr>
        <w:br w:type="column"/>
      </w:r>
    </w:p>
    <w:p>
      <w:pPr>
        <w:ind w:right="40"/>
        <w:spacing w:after="0" w:line="237" w:lineRule="auto"/>
        <w:rPr>
          <w:sz w:val="20"/>
          <w:szCs w:val="20"/>
          <w:color w:val="auto"/>
        </w:rPr>
      </w:pPr>
      <w:r>
        <w:rPr>
          <w:rFonts w:ascii="Arial" w:cs="Arial" w:eastAsia="Arial" w:hAnsi="Arial"/>
          <w:sz w:val="18"/>
          <w:szCs w:val="18"/>
          <w:color w:val="auto"/>
        </w:rPr>
        <w:t>We reclassified from accumulated other comprehensive loss the after-tax amount of net unrealized gains resulting in an increase to retained earnings of approximately $105 million. Adoption of this standard did not result in a material change in net income for the three months ended March 31, 2018.</w:t>
      </w:r>
    </w:p>
    <w:p>
      <w:pPr>
        <w:spacing w:after="0" w:line="799" w:lineRule="exact"/>
        <w:rPr>
          <w:sz w:val="20"/>
          <w:szCs w:val="20"/>
          <w:color w:val="auto"/>
        </w:rPr>
      </w:pPr>
    </w:p>
    <w:p>
      <w:pPr>
        <w:sectPr>
          <w:pgSz w:w="11900" w:h="16838" w:orient="portrait"/>
          <w:cols w:equalWidth="0" w:num="2">
            <w:col w:w="7500" w:space="200"/>
            <w:col w:w="3720"/>
          </w:cols>
          <w:pgMar w:left="240" w:top="576" w:right="239" w:bottom="1440" w:gutter="0" w:footer="0" w:header="0"/>
          <w:type w:val="continuous"/>
        </w:sectPr>
      </w:pPr>
    </w:p>
    <w:p>
      <w:pPr>
        <w:spacing w:after="0" w:line="28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12</w:t>
      </w:r>
    </w:p>
    <w:p>
      <w:pPr>
        <w:sectPr>
          <w:pgSz w:w="11900" w:h="16838" w:orient="portrait"/>
          <w:cols w:equalWidth="0" w:num="1">
            <w:col w:w="11420"/>
          </w:cols>
          <w:pgMar w:left="240" w:top="576" w:right="239" w:bottom="1440" w:gutter="0" w:footer="0" w:header="0"/>
          <w:type w:val="continuous"/>
        </w:sectPr>
      </w:pPr>
    </w:p>
    <w:bookmarkStart w:id="12" w:name="page13"/>
    <w:bookmarkEnd w:id="12"/>
    <w:tbl>
      <w:tblPr>
        <w:tblLayout w:type="fixed"/>
        <w:tblInd w:w="0" w:type="dxa"/>
        <w:tblCellMar>
          <w:top w:w="0" w:type="dxa"/>
          <w:left w:w="0" w:type="dxa"/>
          <w:bottom w:w="0" w:type="dxa"/>
          <w:right w:w="0" w:type="dxa"/>
        </w:tblCellMar>
      </w:tblPr>
      <w:tr>
        <w:trPr>
          <w:trHeight w:val="162"/>
        </w:trPr>
        <w:tc>
          <w:tcPr>
            <w:tcW w:w="3500" w:type="dxa"/>
            <w:vAlign w:val="bottom"/>
          </w:tcPr>
          <w:p>
            <w:pPr>
              <w:spacing w:after="0"/>
              <w:rPr>
                <w:sz w:val="14"/>
                <w:szCs w:val="14"/>
                <w:color w:val="auto"/>
              </w:rPr>
            </w:pPr>
          </w:p>
        </w:tc>
        <w:tc>
          <w:tcPr>
            <w:tcW w:w="4060" w:type="dxa"/>
            <w:vAlign w:val="bottom"/>
          </w:tcPr>
          <w:p>
            <w:pPr>
              <w:spacing w:after="0"/>
              <w:rPr>
                <w:sz w:val="14"/>
                <w:szCs w:val="14"/>
                <w:color w:val="auto"/>
              </w:rPr>
            </w:pPr>
          </w:p>
        </w:tc>
        <w:tc>
          <w:tcPr>
            <w:tcW w:w="3860" w:type="dxa"/>
            <w:vAlign w:val="bottom"/>
          </w:tcPr>
          <w:p>
            <w:pPr>
              <w:ind w:left="140"/>
              <w:spacing w:after="0"/>
              <w:rPr>
                <w:sz w:val="20"/>
                <w:szCs w:val="20"/>
                <w:color w:val="auto"/>
              </w:rPr>
            </w:pPr>
            <w:r>
              <w:rPr>
                <w:rFonts w:ascii="Arial" w:cs="Arial" w:eastAsia="Arial" w:hAnsi="Arial"/>
                <w:sz w:val="14"/>
                <w:szCs w:val="14"/>
                <w:b w:val="1"/>
                <w:bCs w:val="1"/>
                <w:color w:val="auto"/>
              </w:rPr>
              <w:t>Effect on the financial statements or other significant</w:t>
            </w:r>
          </w:p>
        </w:tc>
      </w:tr>
      <w:tr>
        <w:trPr>
          <w:trHeight w:val="196"/>
        </w:trPr>
        <w:tc>
          <w:tcPr>
            <w:tcW w:w="35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Standard</w:t>
            </w:r>
          </w:p>
        </w:tc>
        <w:tc>
          <w:tcPr>
            <w:tcW w:w="4060" w:type="dxa"/>
            <w:vAlign w:val="bottom"/>
            <w:tcBorders>
              <w:bottom w:val="single" w:sz="8" w:color="auto"/>
            </w:tcBorders>
          </w:tcPr>
          <w:p>
            <w:pPr>
              <w:ind w:left="320"/>
              <w:spacing w:after="0"/>
              <w:rPr>
                <w:sz w:val="20"/>
                <w:szCs w:val="20"/>
                <w:color w:val="auto"/>
              </w:rPr>
            </w:pPr>
            <w:r>
              <w:rPr>
                <w:rFonts w:ascii="Arial" w:cs="Arial" w:eastAsia="Arial" w:hAnsi="Arial"/>
                <w:sz w:val="14"/>
                <w:szCs w:val="14"/>
                <w:b w:val="1"/>
                <w:bCs w:val="1"/>
                <w:color w:val="auto"/>
              </w:rPr>
              <w:t>Description</w:t>
            </w:r>
          </w:p>
        </w:tc>
        <w:tc>
          <w:tcPr>
            <w:tcW w:w="386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matters</w:t>
            </w:r>
          </w:p>
        </w:tc>
      </w:tr>
      <w:tr>
        <w:trPr>
          <w:trHeight w:val="210"/>
        </w:trPr>
        <w:tc>
          <w:tcPr>
            <w:tcW w:w="3500" w:type="dxa"/>
            <w:vAlign w:val="bottom"/>
            <w:shd w:val="clear" w:color="auto" w:fill="CCEEFF"/>
          </w:tcPr>
          <w:p>
            <w:pPr>
              <w:ind w:left="40"/>
              <w:spacing w:after="0"/>
              <w:rPr>
                <w:sz w:val="20"/>
                <w:szCs w:val="20"/>
                <w:color w:val="auto"/>
              </w:rPr>
            </w:pPr>
            <w:r>
              <w:rPr>
                <w:rFonts w:ascii="Arial" w:cs="Arial" w:eastAsia="Arial" w:hAnsi="Arial"/>
                <w:sz w:val="18"/>
                <w:szCs w:val="18"/>
                <w:color w:val="auto"/>
              </w:rPr>
              <w:t>Accounting Standards Update 2016-16,</w:t>
            </w:r>
          </w:p>
        </w:tc>
        <w:tc>
          <w:tcPr>
            <w:tcW w:w="40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This standard requires entities to recognize</w:t>
            </w:r>
          </w:p>
        </w:tc>
        <w:tc>
          <w:tcPr>
            <w:tcW w:w="38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The cumulative effect of applying the standard</w:t>
            </w:r>
          </w:p>
        </w:tc>
      </w:tr>
      <w:tr>
        <w:trPr>
          <w:trHeight w:val="203"/>
        </w:trPr>
        <w:tc>
          <w:tcPr>
            <w:tcW w:w="350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i w:val="1"/>
                <w:iCs w:val="1"/>
                <w:color w:val="auto"/>
              </w:rPr>
              <w:t>Income Taxes: Intra-Entity Transfers of</w:t>
            </w:r>
          </w:p>
        </w:tc>
        <w:tc>
          <w:tcPr>
            <w:tcW w:w="4060" w:type="dxa"/>
            <w:vAlign w:val="bottom"/>
            <w:shd w:val="clear" w:color="auto" w:fill="CCEEFF"/>
          </w:tcPr>
          <w:p>
            <w:pPr>
              <w:ind w:left="320"/>
              <w:spacing w:after="0" w:line="202" w:lineRule="exact"/>
              <w:rPr>
                <w:sz w:val="20"/>
                <w:szCs w:val="20"/>
                <w:color w:val="auto"/>
              </w:rPr>
            </w:pPr>
            <w:r>
              <w:rPr>
                <w:rFonts w:ascii="Arial" w:cs="Arial" w:eastAsia="Arial" w:hAnsi="Arial"/>
                <w:sz w:val="18"/>
                <w:szCs w:val="18"/>
                <w:color w:val="auto"/>
              </w:rPr>
              <w:t>the income tax consequences of intra-entity</w:t>
            </w:r>
          </w:p>
        </w:tc>
        <w:tc>
          <w:tcPr>
            <w:tcW w:w="3860" w:type="dxa"/>
            <w:vAlign w:val="bottom"/>
            <w:shd w:val="clear" w:color="auto" w:fill="CCEEFF"/>
          </w:tcPr>
          <w:p>
            <w:pPr>
              <w:ind w:left="140"/>
              <w:spacing w:after="0" w:line="202" w:lineRule="exact"/>
              <w:rPr>
                <w:sz w:val="20"/>
                <w:szCs w:val="20"/>
                <w:color w:val="auto"/>
              </w:rPr>
            </w:pPr>
            <w:r>
              <w:rPr>
                <w:rFonts w:ascii="Arial" w:cs="Arial" w:eastAsia="Arial" w:hAnsi="Arial"/>
                <w:sz w:val="18"/>
                <w:szCs w:val="18"/>
                <w:color w:val="auto"/>
              </w:rPr>
              <w:t>resulted in an increase to deferred tax assets</w:t>
            </w:r>
          </w:p>
        </w:tc>
      </w:tr>
      <w:tr>
        <w:trPr>
          <w:trHeight w:val="221"/>
        </w:trPr>
        <w:tc>
          <w:tcPr>
            <w:tcW w:w="3500" w:type="dxa"/>
            <w:vAlign w:val="bottom"/>
            <w:shd w:val="clear" w:color="auto" w:fill="CCEEFF"/>
          </w:tcPr>
          <w:p>
            <w:pPr>
              <w:ind w:left="40"/>
              <w:spacing w:after="0"/>
              <w:rPr>
                <w:sz w:val="20"/>
                <w:szCs w:val="20"/>
                <w:color w:val="auto"/>
              </w:rPr>
            </w:pPr>
            <w:r>
              <w:rPr>
                <w:rFonts w:ascii="Arial" w:cs="Arial" w:eastAsia="Arial" w:hAnsi="Arial"/>
                <w:sz w:val="18"/>
                <w:szCs w:val="18"/>
                <w:i w:val="1"/>
                <w:iCs w:val="1"/>
                <w:color w:val="auto"/>
              </w:rPr>
              <w:t>Assets Other Than Inventory</w:t>
            </w:r>
          </w:p>
        </w:tc>
        <w:tc>
          <w:tcPr>
            <w:tcW w:w="40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transfers of assets other than inventory at the</w:t>
            </w:r>
          </w:p>
        </w:tc>
        <w:tc>
          <w:tcPr>
            <w:tcW w:w="38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and retained earnings of approximately $2.5</w:t>
            </w:r>
          </w:p>
        </w:tc>
      </w:tr>
      <w:tr>
        <w:trPr>
          <w:trHeight w:val="203"/>
        </w:trPr>
        <w:tc>
          <w:tcPr>
            <w:tcW w:w="3500" w:type="dxa"/>
            <w:vAlign w:val="bottom"/>
            <w:shd w:val="clear" w:color="auto" w:fill="CCEEFF"/>
          </w:tcPr>
          <w:p>
            <w:pPr>
              <w:spacing w:after="0"/>
              <w:rPr>
                <w:sz w:val="17"/>
                <w:szCs w:val="17"/>
                <w:color w:val="auto"/>
              </w:rPr>
            </w:pPr>
          </w:p>
        </w:tc>
        <w:tc>
          <w:tcPr>
            <w:tcW w:w="4060" w:type="dxa"/>
            <w:vAlign w:val="bottom"/>
            <w:shd w:val="clear" w:color="auto" w:fill="CCEEFF"/>
          </w:tcPr>
          <w:p>
            <w:pPr>
              <w:ind w:left="320"/>
              <w:spacing w:after="0" w:line="202" w:lineRule="exact"/>
              <w:rPr>
                <w:sz w:val="20"/>
                <w:szCs w:val="20"/>
                <w:color w:val="auto"/>
              </w:rPr>
            </w:pPr>
            <w:r>
              <w:rPr>
                <w:rFonts w:ascii="Arial" w:cs="Arial" w:eastAsia="Arial" w:hAnsi="Arial"/>
                <w:sz w:val="18"/>
                <w:szCs w:val="18"/>
                <w:color w:val="auto"/>
              </w:rPr>
              <w:t>time of transfer. This standard requires a</w:t>
            </w:r>
          </w:p>
        </w:tc>
        <w:tc>
          <w:tcPr>
            <w:tcW w:w="3860" w:type="dxa"/>
            <w:vAlign w:val="bottom"/>
            <w:shd w:val="clear" w:color="auto" w:fill="CCEEFF"/>
          </w:tcPr>
          <w:p>
            <w:pPr>
              <w:ind w:left="140"/>
              <w:spacing w:after="0" w:line="202" w:lineRule="exact"/>
              <w:rPr>
                <w:sz w:val="20"/>
                <w:szCs w:val="20"/>
                <w:color w:val="auto"/>
              </w:rPr>
            </w:pPr>
            <w:r>
              <w:rPr>
                <w:rFonts w:ascii="Arial" w:cs="Arial" w:eastAsia="Arial" w:hAnsi="Arial"/>
                <w:sz w:val="18"/>
                <w:szCs w:val="18"/>
                <w:color w:val="auto"/>
              </w:rPr>
              <w:t>billion. Adoption of this standard did not result</w:t>
            </w:r>
          </w:p>
        </w:tc>
      </w:tr>
      <w:tr>
        <w:trPr>
          <w:trHeight w:val="203"/>
        </w:trPr>
        <w:tc>
          <w:tcPr>
            <w:tcW w:w="3500" w:type="dxa"/>
            <w:vAlign w:val="bottom"/>
            <w:shd w:val="clear" w:color="auto" w:fill="CCEEFF"/>
          </w:tcPr>
          <w:p>
            <w:pPr>
              <w:spacing w:after="0"/>
              <w:rPr>
                <w:sz w:val="17"/>
                <w:szCs w:val="17"/>
                <w:color w:val="auto"/>
              </w:rPr>
            </w:pPr>
          </w:p>
        </w:tc>
        <w:tc>
          <w:tcPr>
            <w:tcW w:w="4060" w:type="dxa"/>
            <w:vAlign w:val="bottom"/>
            <w:shd w:val="clear" w:color="auto" w:fill="CCEEFF"/>
          </w:tcPr>
          <w:p>
            <w:pPr>
              <w:ind w:left="320"/>
              <w:spacing w:after="0" w:line="202" w:lineRule="exact"/>
              <w:rPr>
                <w:sz w:val="20"/>
                <w:szCs w:val="20"/>
                <w:color w:val="auto"/>
              </w:rPr>
            </w:pPr>
            <w:r>
              <w:rPr>
                <w:rFonts w:ascii="Arial" w:cs="Arial" w:eastAsia="Arial" w:hAnsi="Arial"/>
                <w:sz w:val="18"/>
                <w:szCs w:val="18"/>
                <w:color w:val="auto"/>
              </w:rPr>
              <w:t>modified</w:t>
            </w:r>
          </w:p>
        </w:tc>
        <w:tc>
          <w:tcPr>
            <w:tcW w:w="3860" w:type="dxa"/>
            <w:vAlign w:val="bottom"/>
            <w:shd w:val="clear" w:color="auto" w:fill="CCEEFF"/>
          </w:tcPr>
          <w:p>
            <w:pPr>
              <w:ind w:left="140"/>
              <w:spacing w:after="0" w:line="202" w:lineRule="exact"/>
              <w:rPr>
                <w:sz w:val="20"/>
                <w:szCs w:val="20"/>
                <w:color w:val="auto"/>
              </w:rPr>
            </w:pPr>
            <w:r>
              <w:rPr>
                <w:rFonts w:ascii="Arial" w:cs="Arial" w:eastAsia="Arial" w:hAnsi="Arial"/>
                <w:sz w:val="18"/>
                <w:szCs w:val="18"/>
                <w:color w:val="auto"/>
              </w:rPr>
              <w:t>in a material change in net income for the</w:t>
            </w:r>
          </w:p>
        </w:tc>
      </w:tr>
      <w:tr>
        <w:trPr>
          <w:trHeight w:val="217"/>
        </w:trPr>
        <w:tc>
          <w:tcPr>
            <w:tcW w:w="3500" w:type="dxa"/>
            <w:vAlign w:val="bottom"/>
            <w:shd w:val="clear" w:color="auto" w:fill="CCEEFF"/>
          </w:tcPr>
          <w:p>
            <w:pPr>
              <w:spacing w:after="0"/>
              <w:rPr>
                <w:sz w:val="18"/>
                <w:szCs w:val="18"/>
                <w:color w:val="auto"/>
              </w:rPr>
            </w:pPr>
          </w:p>
        </w:tc>
        <w:tc>
          <w:tcPr>
            <w:tcW w:w="40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retrospective approach to adoption.</w:t>
            </w:r>
          </w:p>
        </w:tc>
        <w:tc>
          <w:tcPr>
            <w:tcW w:w="38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three months ended March 31, 2018.</w:t>
            </w:r>
          </w:p>
        </w:tc>
      </w:tr>
      <w:tr>
        <w:trPr>
          <w:trHeight w:val="189"/>
        </w:trPr>
        <w:tc>
          <w:tcPr>
            <w:tcW w:w="3500" w:type="dxa"/>
            <w:vAlign w:val="bottom"/>
            <w:shd w:val="clear" w:color="auto" w:fill="CCEEFF"/>
          </w:tcPr>
          <w:p>
            <w:pPr>
              <w:spacing w:after="0"/>
              <w:rPr>
                <w:sz w:val="16"/>
                <w:szCs w:val="16"/>
                <w:color w:val="auto"/>
              </w:rPr>
            </w:pPr>
          </w:p>
        </w:tc>
        <w:tc>
          <w:tcPr>
            <w:tcW w:w="4060" w:type="dxa"/>
            <w:vAlign w:val="bottom"/>
            <w:shd w:val="clear" w:color="auto" w:fill="CCEEFF"/>
          </w:tcPr>
          <w:p>
            <w:pPr>
              <w:spacing w:after="0"/>
              <w:rPr>
                <w:sz w:val="16"/>
                <w:szCs w:val="16"/>
                <w:color w:val="auto"/>
              </w:rPr>
            </w:pPr>
          </w:p>
        </w:tc>
        <w:tc>
          <w:tcPr>
            <w:tcW w:w="3860" w:type="dxa"/>
            <w:vAlign w:val="bottom"/>
            <w:shd w:val="clear" w:color="auto" w:fill="CCEEFF"/>
          </w:tcPr>
          <w:p>
            <w:pPr>
              <w:spacing w:after="0"/>
              <w:rPr>
                <w:sz w:val="16"/>
                <w:szCs w:val="16"/>
                <w:color w:val="auto"/>
              </w:rPr>
            </w:pPr>
          </w:p>
        </w:tc>
      </w:tr>
    </w:tbl>
    <w:p>
      <w:pPr>
        <w:spacing w:after="0" w:line="22" w:lineRule="exact"/>
        <w:rPr>
          <w:sz w:val="20"/>
          <w:szCs w:val="20"/>
          <w:color w:val="auto"/>
        </w:rPr>
      </w:pPr>
    </w:p>
    <w:p>
      <w:pPr>
        <w:sectPr>
          <w:pgSz w:w="11900" w:h="16838" w:orient="portrait"/>
          <w:cols w:equalWidth="0" w:num="1">
            <w:col w:w="11420"/>
          </w:cols>
          <w:pgMar w:left="240" w:top="910" w:right="239" w:bottom="1440" w:gutter="0" w:footer="0" w:header="0"/>
        </w:sectPr>
      </w:pPr>
    </w:p>
    <w:p>
      <w:pPr>
        <w:ind w:left="40"/>
        <w:spacing w:after="0"/>
        <w:tabs>
          <w:tab w:leader="none" w:pos="3800" w:val="left"/>
        </w:tabs>
        <w:rPr>
          <w:sz w:val="20"/>
          <w:szCs w:val="20"/>
          <w:color w:val="auto"/>
        </w:rPr>
      </w:pPr>
      <w:r>
        <w:rPr>
          <w:rFonts w:ascii="Arial" w:cs="Arial" w:eastAsia="Arial" w:hAnsi="Arial"/>
          <w:sz w:val="18"/>
          <w:szCs w:val="18"/>
          <w:color w:val="auto"/>
        </w:rPr>
        <w:t>Accounting Standards Update 2017-07,</w:t>
      </w:r>
      <w:r>
        <w:rPr>
          <w:sz w:val="20"/>
          <w:szCs w:val="20"/>
          <w:color w:val="auto"/>
        </w:rPr>
        <w:tab/>
      </w:r>
      <w:r>
        <w:rPr>
          <w:rFonts w:ascii="Arial" w:cs="Arial" w:eastAsia="Arial" w:hAnsi="Arial"/>
          <w:sz w:val="17"/>
          <w:szCs w:val="17"/>
          <w:color w:val="auto"/>
        </w:rPr>
        <w:t>This standard was issued to improve the</w:t>
      </w:r>
    </w:p>
    <w:p>
      <w:pPr>
        <w:ind w:left="40"/>
        <w:spacing w:after="0"/>
        <w:tabs>
          <w:tab w:leader="none" w:pos="3800" w:val="left"/>
        </w:tabs>
        <w:rPr>
          <w:sz w:val="20"/>
          <w:szCs w:val="20"/>
          <w:color w:val="auto"/>
        </w:rPr>
      </w:pPr>
      <w:r>
        <w:rPr>
          <w:rFonts w:ascii="Arial" w:cs="Arial" w:eastAsia="Arial" w:hAnsi="Arial"/>
          <w:sz w:val="18"/>
          <w:szCs w:val="18"/>
          <w:i w:val="1"/>
          <w:iCs w:val="1"/>
          <w:color w:val="auto"/>
        </w:rPr>
        <w:t>Compensation-Retirement Benefits:</w:t>
      </w:r>
      <w:r>
        <w:rPr>
          <w:sz w:val="20"/>
          <w:szCs w:val="20"/>
          <w:color w:val="auto"/>
        </w:rPr>
        <w:tab/>
      </w:r>
      <w:r>
        <w:rPr>
          <w:rFonts w:ascii="Arial" w:cs="Arial" w:eastAsia="Arial" w:hAnsi="Arial"/>
          <w:sz w:val="17"/>
          <w:szCs w:val="17"/>
          <w:color w:val="auto"/>
        </w:rPr>
        <w:t>transparency and comparability among</w:t>
      </w:r>
    </w:p>
    <w:p>
      <w:pPr>
        <w:ind w:left="40"/>
        <w:spacing w:after="0"/>
        <w:tabs>
          <w:tab w:leader="none" w:pos="3800" w:val="left"/>
        </w:tabs>
        <w:rPr>
          <w:sz w:val="20"/>
          <w:szCs w:val="20"/>
          <w:color w:val="auto"/>
        </w:rPr>
      </w:pPr>
      <w:r>
        <w:rPr>
          <w:rFonts w:ascii="Arial" w:cs="Arial" w:eastAsia="Arial" w:hAnsi="Arial"/>
          <w:sz w:val="18"/>
          <w:szCs w:val="18"/>
          <w:i w:val="1"/>
          <w:iCs w:val="1"/>
          <w:color w:val="auto"/>
        </w:rPr>
        <w:t>Improving the Presentation of Net Periodic</w:t>
      </w:r>
      <w:r>
        <w:rPr>
          <w:sz w:val="20"/>
          <w:szCs w:val="20"/>
          <w:color w:val="auto"/>
        </w:rPr>
        <w:tab/>
      </w:r>
      <w:r>
        <w:rPr>
          <w:rFonts w:ascii="Arial" w:cs="Arial" w:eastAsia="Arial" w:hAnsi="Arial"/>
          <w:sz w:val="17"/>
          <w:szCs w:val="17"/>
          <w:color w:val="auto"/>
        </w:rPr>
        <w:t>organizations by requiring entities to separate</w:t>
      </w:r>
    </w:p>
    <w:p>
      <w:pPr>
        <w:ind w:left="40"/>
        <w:spacing w:after="0"/>
        <w:tabs>
          <w:tab w:leader="none" w:pos="3800" w:val="left"/>
        </w:tabs>
        <w:rPr>
          <w:sz w:val="20"/>
          <w:szCs w:val="20"/>
          <w:color w:val="auto"/>
        </w:rPr>
      </w:pPr>
      <w:r>
        <w:rPr>
          <w:rFonts w:ascii="Arial" w:cs="Arial" w:eastAsia="Arial" w:hAnsi="Arial"/>
          <w:sz w:val="18"/>
          <w:szCs w:val="18"/>
          <w:i w:val="1"/>
          <w:iCs w:val="1"/>
          <w:color w:val="auto"/>
        </w:rPr>
        <w:t>Pension Cost and Net Periodic</w:t>
      </w:r>
      <w:r>
        <w:rPr>
          <w:sz w:val="20"/>
          <w:szCs w:val="20"/>
          <w:color w:val="auto"/>
        </w:rPr>
        <w:tab/>
      </w:r>
      <w:r>
        <w:rPr>
          <w:rFonts w:ascii="Arial" w:cs="Arial" w:eastAsia="Arial" w:hAnsi="Arial"/>
          <w:sz w:val="17"/>
          <w:szCs w:val="17"/>
          <w:color w:val="auto"/>
        </w:rPr>
        <w:t>their net periodic pension cost and net</w:t>
      </w:r>
    </w:p>
    <w:p>
      <w:pPr>
        <w:ind w:left="40"/>
        <w:spacing w:after="0"/>
        <w:tabs>
          <w:tab w:leader="none" w:pos="3800" w:val="left"/>
        </w:tabs>
        <w:rPr>
          <w:sz w:val="20"/>
          <w:szCs w:val="20"/>
          <w:color w:val="auto"/>
        </w:rPr>
      </w:pPr>
      <w:r>
        <w:rPr>
          <w:rFonts w:ascii="Arial" w:cs="Arial" w:eastAsia="Arial" w:hAnsi="Arial"/>
          <w:sz w:val="18"/>
          <w:szCs w:val="18"/>
          <w:i w:val="1"/>
          <w:iCs w:val="1"/>
          <w:color w:val="auto"/>
        </w:rPr>
        <w:t>Postretirement Benefit Cost</w:t>
      </w:r>
      <w:r>
        <w:rPr>
          <w:sz w:val="20"/>
          <w:szCs w:val="20"/>
          <w:color w:val="auto"/>
        </w:rPr>
        <w:tab/>
      </w:r>
      <w:r>
        <w:rPr>
          <w:rFonts w:ascii="Arial" w:cs="Arial" w:eastAsia="Arial" w:hAnsi="Arial"/>
          <w:sz w:val="17"/>
          <w:szCs w:val="17"/>
          <w:color w:val="auto"/>
        </w:rPr>
        <w:t>periodic postretirement benefit cost into a</w:t>
      </w:r>
    </w:p>
    <w:p>
      <w:pPr>
        <w:ind w:left="3820"/>
        <w:spacing w:after="0" w:line="235" w:lineRule="auto"/>
        <w:rPr>
          <w:sz w:val="20"/>
          <w:szCs w:val="20"/>
          <w:color w:val="auto"/>
        </w:rPr>
      </w:pPr>
      <w:r>
        <w:rPr>
          <w:rFonts w:ascii="Arial" w:cs="Arial" w:eastAsia="Arial" w:hAnsi="Arial"/>
          <w:sz w:val="18"/>
          <w:szCs w:val="18"/>
          <w:color w:val="auto"/>
        </w:rPr>
        <w:t>service cost component and other</w:t>
      </w:r>
    </w:p>
    <w:p>
      <w:pPr>
        <w:ind w:left="3820"/>
        <w:spacing w:after="0" w:line="235" w:lineRule="auto"/>
        <w:rPr>
          <w:sz w:val="20"/>
          <w:szCs w:val="20"/>
          <w:color w:val="auto"/>
        </w:rPr>
      </w:pPr>
      <w:r>
        <w:rPr>
          <w:rFonts w:ascii="Arial" w:cs="Arial" w:eastAsia="Arial" w:hAnsi="Arial"/>
          <w:sz w:val="18"/>
          <w:szCs w:val="18"/>
          <w:color w:val="auto"/>
        </w:rPr>
        <w:t>components. Previously, the costs of the other</w:t>
      </w:r>
    </w:p>
    <w:p>
      <w:pPr>
        <w:ind w:left="3820"/>
        <w:spacing w:after="0" w:line="235" w:lineRule="auto"/>
        <w:rPr>
          <w:sz w:val="20"/>
          <w:szCs w:val="20"/>
          <w:color w:val="auto"/>
        </w:rPr>
      </w:pPr>
      <w:r>
        <w:rPr>
          <w:rFonts w:ascii="Arial" w:cs="Arial" w:eastAsia="Arial" w:hAnsi="Arial"/>
          <w:sz w:val="18"/>
          <w:szCs w:val="18"/>
          <w:color w:val="auto"/>
        </w:rPr>
        <w:t>components along with the service cost</w:t>
      </w:r>
    </w:p>
    <w:p>
      <w:pPr>
        <w:ind w:left="3820"/>
        <w:spacing w:after="0" w:line="235" w:lineRule="auto"/>
        <w:rPr>
          <w:sz w:val="20"/>
          <w:szCs w:val="20"/>
          <w:color w:val="auto"/>
        </w:rPr>
      </w:pPr>
      <w:r>
        <w:rPr>
          <w:rFonts w:ascii="Arial" w:cs="Arial" w:eastAsia="Arial" w:hAnsi="Arial"/>
          <w:sz w:val="18"/>
          <w:szCs w:val="18"/>
          <w:color w:val="auto"/>
        </w:rPr>
        <w:t>component were classified based upon the</w:t>
      </w:r>
    </w:p>
    <w:p>
      <w:pPr>
        <w:ind w:left="3820"/>
        <w:spacing w:after="0" w:line="235" w:lineRule="auto"/>
        <w:rPr>
          <w:sz w:val="20"/>
          <w:szCs w:val="20"/>
          <w:color w:val="auto"/>
        </w:rPr>
      </w:pPr>
      <w:r>
        <w:rPr>
          <w:rFonts w:ascii="Arial" w:cs="Arial" w:eastAsia="Arial" w:hAnsi="Arial"/>
          <w:sz w:val="18"/>
          <w:szCs w:val="18"/>
          <w:color w:val="auto"/>
        </w:rPr>
        <w:t>function of the employee. This standard</w:t>
      </w:r>
    </w:p>
    <w:p>
      <w:pPr>
        <w:ind w:left="3820"/>
        <w:spacing w:after="0" w:line="234" w:lineRule="auto"/>
        <w:rPr>
          <w:sz w:val="20"/>
          <w:szCs w:val="20"/>
          <w:color w:val="auto"/>
        </w:rPr>
      </w:pPr>
      <w:r>
        <w:rPr>
          <w:rFonts w:ascii="Arial" w:cs="Arial" w:eastAsia="Arial" w:hAnsi="Arial"/>
          <w:sz w:val="18"/>
          <w:szCs w:val="18"/>
          <w:color w:val="auto"/>
        </w:rPr>
        <w:t>requires entities to classify the service cost</w:t>
      </w:r>
    </w:p>
    <w:p>
      <w:pPr>
        <w:ind w:left="3820"/>
        <w:spacing w:after="0" w:line="235" w:lineRule="auto"/>
        <w:rPr>
          <w:sz w:val="20"/>
          <w:szCs w:val="20"/>
          <w:color w:val="auto"/>
        </w:rPr>
      </w:pPr>
      <w:r>
        <w:rPr>
          <w:rFonts w:ascii="Arial" w:cs="Arial" w:eastAsia="Arial" w:hAnsi="Arial"/>
          <w:sz w:val="18"/>
          <w:szCs w:val="18"/>
          <w:color w:val="auto"/>
        </w:rPr>
        <w:t>component in the same financial statement</w:t>
      </w:r>
    </w:p>
    <w:p>
      <w:pPr>
        <w:spacing w:after="0" w:line="1" w:lineRule="exact"/>
        <w:rPr>
          <w:sz w:val="20"/>
          <w:szCs w:val="20"/>
          <w:color w:val="auto"/>
        </w:rPr>
      </w:pPr>
    </w:p>
    <w:p>
      <w:pPr>
        <w:ind w:left="3820"/>
        <w:spacing w:after="0"/>
        <w:rPr>
          <w:sz w:val="20"/>
          <w:szCs w:val="20"/>
          <w:color w:val="auto"/>
        </w:rPr>
      </w:pPr>
      <w:r>
        <w:rPr>
          <w:rFonts w:ascii="Arial" w:cs="Arial" w:eastAsia="Arial" w:hAnsi="Arial"/>
          <w:sz w:val="17"/>
          <w:szCs w:val="17"/>
          <w:color w:val="auto"/>
        </w:rPr>
        <w:t>line item or items as other compensation costs</w:t>
      </w:r>
    </w:p>
    <w:p>
      <w:pPr>
        <w:spacing w:after="0" w:line="3" w:lineRule="exact"/>
        <w:rPr>
          <w:sz w:val="20"/>
          <w:szCs w:val="20"/>
          <w:color w:val="auto"/>
        </w:rPr>
      </w:pPr>
    </w:p>
    <w:p>
      <w:pPr>
        <w:ind w:left="3820"/>
        <w:spacing w:after="0"/>
        <w:rPr>
          <w:sz w:val="20"/>
          <w:szCs w:val="20"/>
          <w:color w:val="auto"/>
        </w:rPr>
      </w:pPr>
      <w:r>
        <w:rPr>
          <w:rFonts w:ascii="Arial" w:cs="Arial" w:eastAsia="Arial" w:hAnsi="Arial"/>
          <w:sz w:val="18"/>
          <w:szCs w:val="18"/>
          <w:color w:val="auto"/>
        </w:rPr>
        <w:t>arising from services rendered by pertinent</w:t>
      </w:r>
    </w:p>
    <w:p>
      <w:pPr>
        <w:ind w:left="3820"/>
        <w:spacing w:after="0" w:line="234" w:lineRule="auto"/>
        <w:rPr>
          <w:sz w:val="20"/>
          <w:szCs w:val="20"/>
          <w:color w:val="auto"/>
        </w:rPr>
      </w:pPr>
      <w:r>
        <w:rPr>
          <w:rFonts w:ascii="Arial" w:cs="Arial" w:eastAsia="Arial" w:hAnsi="Arial"/>
          <w:sz w:val="18"/>
          <w:szCs w:val="18"/>
          <w:color w:val="auto"/>
        </w:rPr>
        <w:t>employees. The other components of net</w:t>
      </w:r>
    </w:p>
    <w:p>
      <w:pPr>
        <w:ind w:left="3820"/>
        <w:spacing w:after="0" w:line="235" w:lineRule="auto"/>
        <w:rPr>
          <w:sz w:val="20"/>
          <w:szCs w:val="20"/>
          <w:color w:val="auto"/>
        </w:rPr>
      </w:pPr>
      <w:r>
        <w:rPr>
          <w:rFonts w:ascii="Arial" w:cs="Arial" w:eastAsia="Arial" w:hAnsi="Arial"/>
          <w:sz w:val="18"/>
          <w:szCs w:val="18"/>
          <w:color w:val="auto"/>
        </w:rPr>
        <w:t>benefit cost are now presented separately</w:t>
      </w:r>
    </w:p>
    <w:p>
      <w:pPr>
        <w:ind w:left="3820"/>
        <w:spacing w:after="0" w:line="235" w:lineRule="auto"/>
        <w:rPr>
          <w:sz w:val="20"/>
          <w:szCs w:val="20"/>
          <w:color w:val="auto"/>
        </w:rPr>
      </w:pPr>
      <w:r>
        <w:rPr>
          <w:rFonts w:ascii="Arial" w:cs="Arial" w:eastAsia="Arial" w:hAnsi="Arial"/>
          <w:sz w:val="18"/>
          <w:szCs w:val="18"/>
          <w:color w:val="auto"/>
        </w:rPr>
        <w:t>from the line items that include the service</w:t>
      </w:r>
    </w:p>
    <w:p>
      <w:pPr>
        <w:ind w:left="3820"/>
        <w:spacing w:after="0" w:line="235" w:lineRule="auto"/>
        <w:rPr>
          <w:sz w:val="20"/>
          <w:szCs w:val="20"/>
          <w:color w:val="auto"/>
        </w:rPr>
      </w:pPr>
      <w:r>
        <w:rPr>
          <w:rFonts w:ascii="Arial" w:cs="Arial" w:eastAsia="Arial" w:hAnsi="Arial"/>
          <w:sz w:val="18"/>
          <w:szCs w:val="18"/>
          <w:color w:val="auto"/>
        </w:rPr>
        <w:t>cost component. When applicable, the service</w:t>
      </w:r>
    </w:p>
    <w:p>
      <w:pPr>
        <w:ind w:left="3820"/>
        <w:spacing w:after="0" w:line="235" w:lineRule="auto"/>
        <w:rPr>
          <w:sz w:val="20"/>
          <w:szCs w:val="20"/>
          <w:color w:val="auto"/>
        </w:rPr>
      </w:pPr>
      <w:r>
        <w:rPr>
          <w:rFonts w:ascii="Arial" w:cs="Arial" w:eastAsia="Arial" w:hAnsi="Arial"/>
          <w:sz w:val="18"/>
          <w:szCs w:val="18"/>
          <w:color w:val="auto"/>
        </w:rPr>
        <w:t>cost component is now the only component</w:t>
      </w:r>
    </w:p>
    <w:p>
      <w:pPr>
        <w:ind w:left="3820"/>
        <w:spacing w:after="0" w:line="235" w:lineRule="auto"/>
        <w:rPr>
          <w:sz w:val="20"/>
          <w:szCs w:val="20"/>
          <w:color w:val="auto"/>
        </w:rPr>
      </w:pPr>
      <w:r>
        <w:rPr>
          <w:rFonts w:ascii="Arial" w:cs="Arial" w:eastAsia="Arial" w:hAnsi="Arial"/>
          <w:sz w:val="18"/>
          <w:szCs w:val="18"/>
          <w:color w:val="auto"/>
        </w:rPr>
        <w:t>eligible for capitalization. An entity should</w:t>
      </w:r>
    </w:p>
    <w:p>
      <w:pPr>
        <w:ind w:left="3820"/>
        <w:spacing w:after="0" w:line="235" w:lineRule="auto"/>
        <w:rPr>
          <w:sz w:val="20"/>
          <w:szCs w:val="20"/>
          <w:color w:val="auto"/>
        </w:rPr>
      </w:pPr>
      <w:r>
        <w:rPr>
          <w:rFonts w:ascii="Arial" w:cs="Arial" w:eastAsia="Arial" w:hAnsi="Arial"/>
          <w:sz w:val="18"/>
          <w:szCs w:val="18"/>
          <w:color w:val="auto"/>
        </w:rPr>
        <w:t>apply the new standard retrospectively for the</w:t>
      </w:r>
    </w:p>
    <w:p>
      <w:pPr>
        <w:ind w:left="3820"/>
        <w:spacing w:after="0" w:line="235" w:lineRule="auto"/>
        <w:rPr>
          <w:sz w:val="20"/>
          <w:szCs w:val="20"/>
          <w:color w:val="auto"/>
        </w:rPr>
      </w:pPr>
      <w:r>
        <w:rPr>
          <w:rFonts w:ascii="Arial" w:cs="Arial" w:eastAsia="Arial" w:hAnsi="Arial"/>
          <w:sz w:val="18"/>
          <w:szCs w:val="18"/>
          <w:color w:val="auto"/>
        </w:rPr>
        <w:t>classification of the service cost and other</w:t>
      </w:r>
    </w:p>
    <w:p>
      <w:pPr>
        <w:ind w:left="3820"/>
        <w:spacing w:after="0" w:line="235" w:lineRule="auto"/>
        <w:rPr>
          <w:sz w:val="20"/>
          <w:szCs w:val="20"/>
          <w:color w:val="auto"/>
        </w:rPr>
      </w:pPr>
      <w:r>
        <w:rPr>
          <w:rFonts w:ascii="Arial" w:cs="Arial" w:eastAsia="Arial" w:hAnsi="Arial"/>
          <w:sz w:val="18"/>
          <w:szCs w:val="18"/>
          <w:color w:val="auto"/>
        </w:rPr>
        <w:t>components and prospectively for the</w:t>
      </w:r>
    </w:p>
    <w:p>
      <w:pPr>
        <w:ind w:left="3820"/>
        <w:spacing w:after="0"/>
        <w:rPr>
          <w:sz w:val="20"/>
          <w:szCs w:val="20"/>
          <w:color w:val="auto"/>
        </w:rPr>
      </w:pPr>
      <w:r>
        <w:rPr>
          <w:rFonts w:ascii="Arial" w:cs="Arial" w:eastAsia="Arial" w:hAnsi="Arial"/>
          <w:sz w:val="18"/>
          <w:szCs w:val="18"/>
          <w:color w:val="auto"/>
        </w:rPr>
        <w:t>capitalization of the service cost component.</w:t>
      </w:r>
    </w:p>
    <w:p>
      <w:pPr>
        <w:spacing w:after="0" w:line="20" w:lineRule="exact"/>
        <w:rPr>
          <w:sz w:val="20"/>
          <w:szCs w:val="20"/>
          <w:color w:val="auto"/>
        </w:rPr>
      </w:pPr>
      <w:r>
        <w:rPr>
          <w:sz w:val="20"/>
          <w:szCs w:val="20"/>
          <w:color w:val="auto"/>
        </w:rPr>
        <w:br w:type="column"/>
      </w:r>
    </w:p>
    <w:p>
      <w:pPr>
        <w:ind w:right="80"/>
        <w:spacing w:after="0" w:line="236" w:lineRule="auto"/>
        <w:rPr>
          <w:sz w:val="20"/>
          <w:szCs w:val="20"/>
          <w:color w:val="auto"/>
        </w:rPr>
      </w:pPr>
      <w:r>
        <w:rPr>
          <w:rFonts w:ascii="Arial" w:cs="Arial" w:eastAsia="Arial" w:hAnsi="Arial"/>
          <w:sz w:val="18"/>
          <w:szCs w:val="18"/>
          <w:color w:val="auto"/>
        </w:rPr>
        <w:t>Upon adoption of this standard, pension and postretirement benefit cost components other than service costs are presented in other–net, (income) expense. The application of the new standard resulted in reclassification to other income of $ 63.2 million in the first quarter of 2017, while increasing cost of sales by $20.2 million, marketing, selling, and administrative expenses by $23.0 million, and research and development expenses by $ 20.0 million. We do not expect application of the new standard to have a material impact on an ongoing basis.</w:t>
      </w:r>
    </w:p>
    <w:p>
      <w:pPr>
        <w:spacing w:after="0" w:line="2420" w:lineRule="exact"/>
        <w:rPr>
          <w:sz w:val="20"/>
          <w:szCs w:val="20"/>
          <w:color w:val="auto"/>
        </w:rPr>
      </w:pPr>
    </w:p>
    <w:p>
      <w:pPr>
        <w:sectPr>
          <w:pgSz w:w="11900" w:h="16838" w:orient="portrait"/>
          <w:cols w:equalWidth="0" w:num="2">
            <w:col w:w="7520" w:space="180"/>
            <w:col w:w="3720"/>
          </w:cols>
          <w:pgMar w:left="240" w:top="910" w:right="239" w:bottom="1440" w:gutter="0" w:footer="0" w:header="0"/>
          <w:type w:val="continuous"/>
        </w:sectPr>
      </w:pPr>
    </w:p>
    <w:p>
      <w:pPr>
        <w:spacing w:after="0" w:line="376" w:lineRule="exact"/>
        <w:rPr>
          <w:sz w:val="20"/>
          <w:szCs w:val="20"/>
          <w:color w:val="auto"/>
        </w:rPr>
      </w:pPr>
    </w:p>
    <w:p>
      <w:pPr>
        <w:ind w:right="260"/>
        <w:spacing w:after="0" w:line="262" w:lineRule="auto"/>
        <w:rPr>
          <w:sz w:val="20"/>
          <w:szCs w:val="20"/>
          <w:color w:val="auto"/>
        </w:rPr>
      </w:pPr>
      <w:r>
        <w:rPr>
          <w:rFonts w:ascii="Arial" w:cs="Arial" w:eastAsia="Arial" w:hAnsi="Arial"/>
          <w:sz w:val="18"/>
          <w:szCs w:val="18"/>
          <w:color w:val="auto"/>
        </w:rPr>
        <w:t>The following table provides a brief description of the accounting standard that has not yet been adopted and could have a material effect on our financial statements:</w:t>
      </w:r>
    </w:p>
    <w:p>
      <w:pPr>
        <w:spacing w:after="0" w:line="200" w:lineRule="exact"/>
        <w:rPr>
          <w:sz w:val="20"/>
          <w:szCs w:val="20"/>
          <w:color w:val="auto"/>
        </w:rPr>
      </w:pPr>
    </w:p>
    <w:p>
      <w:pPr>
        <w:spacing w:after="0" w:line="308"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2100" w:type="dxa"/>
            <w:vAlign w:val="bottom"/>
          </w:tcPr>
          <w:p>
            <w:pPr>
              <w:spacing w:after="0"/>
              <w:rPr>
                <w:sz w:val="14"/>
                <w:szCs w:val="14"/>
                <w:color w:val="auto"/>
              </w:rPr>
            </w:pPr>
          </w:p>
        </w:tc>
        <w:tc>
          <w:tcPr>
            <w:tcW w:w="370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3580" w:type="dxa"/>
            <w:vAlign w:val="bottom"/>
          </w:tcPr>
          <w:p>
            <w:pPr>
              <w:ind w:left="80"/>
              <w:spacing w:after="0"/>
              <w:rPr>
                <w:sz w:val="20"/>
                <w:szCs w:val="20"/>
                <w:color w:val="auto"/>
              </w:rPr>
            </w:pPr>
            <w:r>
              <w:rPr>
                <w:rFonts w:ascii="Arial" w:cs="Arial" w:eastAsia="Arial" w:hAnsi="Arial"/>
                <w:sz w:val="14"/>
                <w:szCs w:val="14"/>
                <w:b w:val="1"/>
                <w:bCs w:val="1"/>
                <w:color w:val="auto"/>
              </w:rPr>
              <w:t>Effect on the financial statements or other</w:t>
            </w:r>
          </w:p>
        </w:tc>
      </w:tr>
      <w:tr>
        <w:trPr>
          <w:trHeight w:val="196"/>
        </w:trPr>
        <w:tc>
          <w:tcPr>
            <w:tcW w:w="21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Standard</w:t>
            </w:r>
          </w:p>
        </w:tc>
        <w:tc>
          <w:tcPr>
            <w:tcW w:w="370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Description</w:t>
            </w:r>
          </w:p>
        </w:tc>
        <w:tc>
          <w:tcPr>
            <w:tcW w:w="19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Effective Date</w:t>
            </w:r>
          </w:p>
        </w:tc>
        <w:tc>
          <w:tcPr>
            <w:tcW w:w="358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significant matters</w:t>
            </w:r>
          </w:p>
        </w:tc>
      </w:tr>
      <w:tr>
        <w:trPr>
          <w:trHeight w:val="228"/>
        </w:trPr>
        <w:tc>
          <w:tcPr>
            <w:tcW w:w="2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Accounting Standards</w:t>
            </w:r>
          </w:p>
        </w:tc>
        <w:tc>
          <w:tcPr>
            <w:tcW w:w="37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This standard was issued to increase</w:t>
            </w:r>
          </w:p>
        </w:tc>
        <w:tc>
          <w:tcPr>
            <w:tcW w:w="1980" w:type="dxa"/>
            <w:vAlign w:val="bottom"/>
            <w:shd w:val="clear" w:color="auto" w:fill="CCEEFF"/>
          </w:tcPr>
          <w:p>
            <w:pPr>
              <w:ind w:left="40"/>
              <w:spacing w:after="0"/>
              <w:rPr>
                <w:sz w:val="20"/>
                <w:szCs w:val="20"/>
                <w:color w:val="auto"/>
              </w:rPr>
            </w:pPr>
            <w:r>
              <w:rPr>
                <w:rFonts w:ascii="Arial" w:cs="Arial" w:eastAsia="Arial" w:hAnsi="Arial"/>
                <w:sz w:val="18"/>
                <w:szCs w:val="18"/>
                <w:color w:val="auto"/>
              </w:rPr>
              <w:t>This standard is</w:t>
            </w:r>
          </w:p>
        </w:tc>
        <w:tc>
          <w:tcPr>
            <w:tcW w:w="3580" w:type="dxa"/>
            <w:vAlign w:val="bottom"/>
            <w:shd w:val="clear" w:color="auto" w:fill="CCEEFF"/>
          </w:tcPr>
          <w:p>
            <w:pPr>
              <w:ind w:left="80"/>
              <w:spacing w:after="0"/>
              <w:rPr>
                <w:sz w:val="20"/>
                <w:szCs w:val="20"/>
                <w:color w:val="auto"/>
              </w:rPr>
            </w:pPr>
            <w:r>
              <w:rPr>
                <w:rFonts w:ascii="Arial" w:cs="Arial" w:eastAsia="Arial" w:hAnsi="Arial"/>
                <w:sz w:val="18"/>
                <w:szCs w:val="18"/>
                <w:color w:val="auto"/>
              </w:rPr>
              <w:t>We are in the process of determining the</w:t>
            </w:r>
          </w:p>
        </w:tc>
      </w:tr>
      <w:tr>
        <w:trPr>
          <w:trHeight w:val="203"/>
        </w:trPr>
        <w:tc>
          <w:tcPr>
            <w:tcW w:w="210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Update 2016-02, Leases</w:t>
            </w:r>
          </w:p>
        </w:tc>
        <w:tc>
          <w:tcPr>
            <w:tcW w:w="370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transparency and comparability among</w:t>
            </w:r>
          </w:p>
        </w:tc>
        <w:tc>
          <w:tcPr>
            <w:tcW w:w="198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color w:val="auto"/>
              </w:rPr>
              <w:t>effective January 1,</w:t>
            </w:r>
          </w:p>
        </w:tc>
        <w:tc>
          <w:tcPr>
            <w:tcW w:w="3580" w:type="dxa"/>
            <w:vAlign w:val="bottom"/>
            <w:shd w:val="clear" w:color="auto" w:fill="CCEEFF"/>
          </w:tcPr>
          <w:p>
            <w:pPr>
              <w:ind w:left="80"/>
              <w:spacing w:after="0" w:line="202" w:lineRule="exact"/>
              <w:rPr>
                <w:sz w:val="20"/>
                <w:szCs w:val="20"/>
                <w:color w:val="auto"/>
              </w:rPr>
            </w:pPr>
            <w:r>
              <w:rPr>
                <w:rFonts w:ascii="Arial" w:cs="Arial" w:eastAsia="Arial" w:hAnsi="Arial"/>
                <w:sz w:val="18"/>
                <w:szCs w:val="18"/>
                <w:color w:val="auto"/>
              </w:rPr>
              <w:t>impact on our consolidated financial</w:t>
            </w:r>
          </w:p>
        </w:tc>
      </w:tr>
      <w:tr>
        <w:trPr>
          <w:trHeight w:val="203"/>
        </w:trPr>
        <w:tc>
          <w:tcPr>
            <w:tcW w:w="2100" w:type="dxa"/>
            <w:vAlign w:val="bottom"/>
            <w:shd w:val="clear" w:color="auto" w:fill="CCEEFF"/>
          </w:tcPr>
          <w:p>
            <w:pPr>
              <w:spacing w:after="0"/>
              <w:rPr>
                <w:sz w:val="17"/>
                <w:szCs w:val="17"/>
                <w:color w:val="auto"/>
              </w:rPr>
            </w:pPr>
          </w:p>
        </w:tc>
        <w:tc>
          <w:tcPr>
            <w:tcW w:w="370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organizations by recognizing lease assets</w:t>
            </w:r>
          </w:p>
        </w:tc>
        <w:tc>
          <w:tcPr>
            <w:tcW w:w="198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color w:val="auto"/>
              </w:rPr>
              <w:t>2019, with early</w:t>
            </w:r>
          </w:p>
        </w:tc>
        <w:tc>
          <w:tcPr>
            <w:tcW w:w="3580" w:type="dxa"/>
            <w:vAlign w:val="bottom"/>
            <w:shd w:val="clear" w:color="auto" w:fill="CCEEFF"/>
          </w:tcPr>
          <w:p>
            <w:pPr>
              <w:ind w:left="80"/>
              <w:spacing w:after="0" w:line="202" w:lineRule="exact"/>
              <w:rPr>
                <w:sz w:val="20"/>
                <w:szCs w:val="20"/>
                <w:color w:val="auto"/>
              </w:rPr>
            </w:pPr>
            <w:r>
              <w:rPr>
                <w:rFonts w:ascii="Arial" w:cs="Arial" w:eastAsia="Arial" w:hAnsi="Arial"/>
                <w:sz w:val="18"/>
                <w:szCs w:val="18"/>
                <w:color w:val="auto"/>
              </w:rPr>
              <w:t>statements. We have selected a software</w:t>
            </w:r>
          </w:p>
        </w:tc>
      </w:tr>
      <w:tr>
        <w:trPr>
          <w:trHeight w:val="203"/>
        </w:trPr>
        <w:tc>
          <w:tcPr>
            <w:tcW w:w="2100" w:type="dxa"/>
            <w:vAlign w:val="bottom"/>
            <w:shd w:val="clear" w:color="auto" w:fill="CCEEFF"/>
          </w:tcPr>
          <w:p>
            <w:pPr>
              <w:spacing w:after="0"/>
              <w:rPr>
                <w:sz w:val="17"/>
                <w:szCs w:val="17"/>
                <w:color w:val="auto"/>
              </w:rPr>
            </w:pPr>
          </w:p>
        </w:tc>
        <w:tc>
          <w:tcPr>
            <w:tcW w:w="370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and lease liabilities, including leases</w:t>
            </w:r>
          </w:p>
        </w:tc>
        <w:tc>
          <w:tcPr>
            <w:tcW w:w="198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color w:val="auto"/>
              </w:rPr>
              <w:t>adoption permitted. We</w:t>
            </w:r>
          </w:p>
        </w:tc>
        <w:tc>
          <w:tcPr>
            <w:tcW w:w="3580" w:type="dxa"/>
            <w:vAlign w:val="bottom"/>
            <w:shd w:val="clear" w:color="auto" w:fill="CCEEFF"/>
          </w:tcPr>
          <w:p>
            <w:pPr>
              <w:ind w:left="80"/>
              <w:spacing w:after="0" w:line="202" w:lineRule="exact"/>
              <w:rPr>
                <w:sz w:val="20"/>
                <w:szCs w:val="20"/>
                <w:color w:val="auto"/>
              </w:rPr>
            </w:pPr>
            <w:r>
              <w:rPr>
                <w:rFonts w:ascii="Arial" w:cs="Arial" w:eastAsia="Arial" w:hAnsi="Arial"/>
                <w:sz w:val="18"/>
                <w:szCs w:val="18"/>
                <w:color w:val="auto"/>
              </w:rPr>
              <w:t>solution to be compatible with our</w:t>
            </w:r>
          </w:p>
        </w:tc>
      </w:tr>
      <w:tr>
        <w:trPr>
          <w:trHeight w:val="203"/>
        </w:trPr>
        <w:tc>
          <w:tcPr>
            <w:tcW w:w="2100" w:type="dxa"/>
            <w:vAlign w:val="bottom"/>
            <w:shd w:val="clear" w:color="auto" w:fill="CCEEFF"/>
          </w:tcPr>
          <w:p>
            <w:pPr>
              <w:spacing w:after="0"/>
              <w:rPr>
                <w:sz w:val="17"/>
                <w:szCs w:val="17"/>
                <w:color w:val="auto"/>
              </w:rPr>
            </w:pPr>
          </w:p>
        </w:tc>
        <w:tc>
          <w:tcPr>
            <w:tcW w:w="370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classified as operating leases under</w:t>
            </w:r>
          </w:p>
        </w:tc>
        <w:tc>
          <w:tcPr>
            <w:tcW w:w="198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color w:val="auto"/>
              </w:rPr>
              <w:t>intend to adopt this</w:t>
            </w:r>
          </w:p>
        </w:tc>
        <w:tc>
          <w:tcPr>
            <w:tcW w:w="3580" w:type="dxa"/>
            <w:vAlign w:val="bottom"/>
            <w:shd w:val="clear" w:color="auto" w:fill="CCEEFF"/>
          </w:tcPr>
          <w:p>
            <w:pPr>
              <w:ind w:left="80"/>
              <w:spacing w:after="0" w:line="202" w:lineRule="exact"/>
              <w:rPr>
                <w:sz w:val="20"/>
                <w:szCs w:val="20"/>
                <w:color w:val="auto"/>
              </w:rPr>
            </w:pPr>
            <w:r>
              <w:rPr>
                <w:rFonts w:ascii="Arial" w:cs="Arial" w:eastAsia="Arial" w:hAnsi="Arial"/>
                <w:sz w:val="18"/>
                <w:szCs w:val="18"/>
                <w:color w:val="auto"/>
              </w:rPr>
              <w:t>enterprise software system. Development</w:t>
            </w:r>
          </w:p>
        </w:tc>
      </w:tr>
      <w:tr>
        <w:trPr>
          <w:trHeight w:val="203"/>
        </w:trPr>
        <w:tc>
          <w:tcPr>
            <w:tcW w:w="2100" w:type="dxa"/>
            <w:vAlign w:val="bottom"/>
            <w:shd w:val="clear" w:color="auto" w:fill="CCEEFF"/>
          </w:tcPr>
          <w:p>
            <w:pPr>
              <w:spacing w:after="0"/>
              <w:rPr>
                <w:sz w:val="17"/>
                <w:szCs w:val="17"/>
                <w:color w:val="auto"/>
              </w:rPr>
            </w:pPr>
          </w:p>
        </w:tc>
        <w:tc>
          <w:tcPr>
            <w:tcW w:w="370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current GAAP, on the balance sheet and</w:t>
            </w:r>
          </w:p>
        </w:tc>
        <w:tc>
          <w:tcPr>
            <w:tcW w:w="198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color w:val="auto"/>
              </w:rPr>
              <w:t>standard on January 1,</w:t>
            </w:r>
          </w:p>
        </w:tc>
        <w:tc>
          <w:tcPr>
            <w:tcW w:w="3580" w:type="dxa"/>
            <w:vAlign w:val="bottom"/>
            <w:shd w:val="clear" w:color="auto" w:fill="CCEEFF"/>
          </w:tcPr>
          <w:p>
            <w:pPr>
              <w:ind w:left="80"/>
              <w:spacing w:after="0" w:line="202" w:lineRule="exact"/>
              <w:rPr>
                <w:sz w:val="20"/>
                <w:szCs w:val="20"/>
                <w:color w:val="auto"/>
              </w:rPr>
            </w:pPr>
            <w:r>
              <w:rPr>
                <w:rFonts w:ascii="Arial" w:cs="Arial" w:eastAsia="Arial" w:hAnsi="Arial"/>
                <w:sz w:val="18"/>
                <w:szCs w:val="18"/>
                <w:color w:val="auto"/>
              </w:rPr>
              <w:t>of our selected solution is ongoing, as it is</w:t>
            </w:r>
          </w:p>
        </w:tc>
      </w:tr>
      <w:tr>
        <w:trPr>
          <w:trHeight w:val="203"/>
        </w:trPr>
        <w:tc>
          <w:tcPr>
            <w:tcW w:w="2100" w:type="dxa"/>
            <w:vAlign w:val="bottom"/>
            <w:shd w:val="clear" w:color="auto" w:fill="CCEEFF"/>
          </w:tcPr>
          <w:p>
            <w:pPr>
              <w:spacing w:after="0"/>
              <w:rPr>
                <w:sz w:val="17"/>
                <w:szCs w:val="17"/>
                <w:color w:val="auto"/>
              </w:rPr>
            </w:pPr>
          </w:p>
        </w:tc>
        <w:tc>
          <w:tcPr>
            <w:tcW w:w="370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requiring additional disclosures about</w:t>
            </w:r>
          </w:p>
        </w:tc>
        <w:tc>
          <w:tcPr>
            <w:tcW w:w="198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color w:val="auto"/>
              </w:rPr>
              <w:t>2019.</w:t>
            </w:r>
          </w:p>
        </w:tc>
        <w:tc>
          <w:tcPr>
            <w:tcW w:w="3580" w:type="dxa"/>
            <w:vAlign w:val="bottom"/>
            <w:shd w:val="clear" w:color="auto" w:fill="CCEEFF"/>
          </w:tcPr>
          <w:p>
            <w:pPr>
              <w:ind w:left="80"/>
              <w:spacing w:after="0" w:line="202" w:lineRule="exact"/>
              <w:rPr>
                <w:sz w:val="20"/>
                <w:szCs w:val="20"/>
                <w:color w:val="auto"/>
              </w:rPr>
            </w:pPr>
            <w:r>
              <w:rPr>
                <w:rFonts w:ascii="Arial" w:cs="Arial" w:eastAsia="Arial" w:hAnsi="Arial"/>
                <w:sz w:val="18"/>
                <w:szCs w:val="18"/>
                <w:color w:val="auto"/>
              </w:rPr>
              <w:t>not yet fully compliant with the</w:t>
            </w:r>
          </w:p>
        </w:tc>
      </w:tr>
      <w:tr>
        <w:trPr>
          <w:trHeight w:val="203"/>
        </w:trPr>
        <w:tc>
          <w:tcPr>
            <w:tcW w:w="2100" w:type="dxa"/>
            <w:vAlign w:val="bottom"/>
            <w:shd w:val="clear" w:color="auto" w:fill="CCEEFF"/>
          </w:tcPr>
          <w:p>
            <w:pPr>
              <w:spacing w:after="0"/>
              <w:rPr>
                <w:sz w:val="17"/>
                <w:szCs w:val="17"/>
                <w:color w:val="auto"/>
              </w:rPr>
            </w:pPr>
          </w:p>
        </w:tc>
        <w:tc>
          <w:tcPr>
            <w:tcW w:w="370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leasing arrangements. This standard</w:t>
            </w:r>
          </w:p>
        </w:tc>
        <w:tc>
          <w:tcPr>
            <w:tcW w:w="1980" w:type="dxa"/>
            <w:vAlign w:val="bottom"/>
            <w:shd w:val="clear" w:color="auto" w:fill="CCEEFF"/>
          </w:tcPr>
          <w:p>
            <w:pPr>
              <w:spacing w:after="0"/>
              <w:rPr>
                <w:sz w:val="17"/>
                <w:szCs w:val="17"/>
                <w:color w:val="auto"/>
              </w:rPr>
            </w:pPr>
          </w:p>
        </w:tc>
        <w:tc>
          <w:tcPr>
            <w:tcW w:w="3580" w:type="dxa"/>
            <w:vAlign w:val="bottom"/>
            <w:shd w:val="clear" w:color="auto" w:fill="CCEEFF"/>
          </w:tcPr>
          <w:p>
            <w:pPr>
              <w:ind w:left="80"/>
              <w:spacing w:after="0" w:line="202" w:lineRule="exact"/>
              <w:rPr>
                <w:sz w:val="20"/>
                <w:szCs w:val="20"/>
                <w:color w:val="auto"/>
              </w:rPr>
            </w:pPr>
            <w:r>
              <w:rPr>
                <w:rFonts w:ascii="Arial" w:cs="Arial" w:eastAsia="Arial" w:hAnsi="Arial"/>
                <w:sz w:val="18"/>
                <w:szCs w:val="18"/>
                <w:color w:val="auto"/>
              </w:rPr>
              <w:t>requirements of the standard. The timely</w:t>
            </w:r>
          </w:p>
        </w:tc>
      </w:tr>
      <w:tr>
        <w:trPr>
          <w:trHeight w:val="203"/>
        </w:trPr>
        <w:tc>
          <w:tcPr>
            <w:tcW w:w="2100" w:type="dxa"/>
            <w:vAlign w:val="bottom"/>
            <w:shd w:val="clear" w:color="auto" w:fill="CCEEFF"/>
          </w:tcPr>
          <w:p>
            <w:pPr>
              <w:spacing w:after="0"/>
              <w:rPr>
                <w:sz w:val="17"/>
                <w:szCs w:val="17"/>
                <w:color w:val="auto"/>
              </w:rPr>
            </w:pPr>
          </w:p>
        </w:tc>
        <w:tc>
          <w:tcPr>
            <w:tcW w:w="370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requires a modified retrospective approach</w:t>
            </w:r>
          </w:p>
        </w:tc>
        <w:tc>
          <w:tcPr>
            <w:tcW w:w="1980" w:type="dxa"/>
            <w:vAlign w:val="bottom"/>
            <w:shd w:val="clear" w:color="auto" w:fill="CCEEFF"/>
          </w:tcPr>
          <w:p>
            <w:pPr>
              <w:spacing w:after="0"/>
              <w:rPr>
                <w:sz w:val="17"/>
                <w:szCs w:val="17"/>
                <w:color w:val="auto"/>
              </w:rPr>
            </w:pPr>
          </w:p>
        </w:tc>
        <w:tc>
          <w:tcPr>
            <w:tcW w:w="3580" w:type="dxa"/>
            <w:vAlign w:val="bottom"/>
            <w:shd w:val="clear" w:color="auto" w:fill="CCEEFF"/>
          </w:tcPr>
          <w:p>
            <w:pPr>
              <w:ind w:left="80"/>
              <w:spacing w:after="0" w:line="202" w:lineRule="exact"/>
              <w:rPr>
                <w:sz w:val="20"/>
                <w:szCs w:val="20"/>
                <w:color w:val="auto"/>
              </w:rPr>
            </w:pPr>
            <w:r>
              <w:rPr>
                <w:rFonts w:ascii="Arial" w:cs="Arial" w:eastAsia="Arial" w:hAnsi="Arial"/>
                <w:sz w:val="18"/>
                <w:szCs w:val="18"/>
                <w:color w:val="auto"/>
              </w:rPr>
              <w:t>readiness of the lease software system is</w:t>
            </w:r>
          </w:p>
        </w:tc>
      </w:tr>
      <w:tr>
        <w:trPr>
          <w:trHeight w:val="203"/>
        </w:trPr>
        <w:tc>
          <w:tcPr>
            <w:tcW w:w="2100" w:type="dxa"/>
            <w:vAlign w:val="bottom"/>
            <w:shd w:val="clear" w:color="auto" w:fill="CCEEFF"/>
          </w:tcPr>
          <w:p>
            <w:pPr>
              <w:spacing w:after="0"/>
              <w:rPr>
                <w:sz w:val="17"/>
                <w:szCs w:val="17"/>
                <w:color w:val="auto"/>
              </w:rPr>
            </w:pPr>
          </w:p>
        </w:tc>
        <w:tc>
          <w:tcPr>
            <w:tcW w:w="370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to adoption.</w:t>
            </w:r>
          </w:p>
        </w:tc>
        <w:tc>
          <w:tcPr>
            <w:tcW w:w="1980" w:type="dxa"/>
            <w:vAlign w:val="bottom"/>
            <w:shd w:val="clear" w:color="auto" w:fill="CCEEFF"/>
          </w:tcPr>
          <w:p>
            <w:pPr>
              <w:spacing w:after="0"/>
              <w:rPr>
                <w:sz w:val="17"/>
                <w:szCs w:val="17"/>
                <w:color w:val="auto"/>
              </w:rPr>
            </w:pPr>
          </w:p>
        </w:tc>
        <w:tc>
          <w:tcPr>
            <w:tcW w:w="3580" w:type="dxa"/>
            <w:vAlign w:val="bottom"/>
            <w:shd w:val="clear" w:color="auto" w:fill="CCEEFF"/>
          </w:tcPr>
          <w:p>
            <w:pPr>
              <w:ind w:left="80"/>
              <w:spacing w:after="0" w:line="202" w:lineRule="exact"/>
              <w:rPr>
                <w:sz w:val="20"/>
                <w:szCs w:val="20"/>
                <w:color w:val="auto"/>
              </w:rPr>
            </w:pPr>
            <w:r>
              <w:rPr>
                <w:rFonts w:ascii="Arial" w:cs="Arial" w:eastAsia="Arial" w:hAnsi="Arial"/>
                <w:sz w:val="18"/>
                <w:szCs w:val="18"/>
                <w:color w:val="auto"/>
              </w:rPr>
              <w:t>critical to ensure an efficient and effective</w:t>
            </w:r>
          </w:p>
        </w:tc>
      </w:tr>
      <w:tr>
        <w:trPr>
          <w:trHeight w:val="230"/>
        </w:trPr>
        <w:tc>
          <w:tcPr>
            <w:tcW w:w="2100" w:type="dxa"/>
            <w:vAlign w:val="bottom"/>
            <w:shd w:val="clear" w:color="auto" w:fill="CCEEFF"/>
          </w:tcPr>
          <w:p>
            <w:pPr>
              <w:spacing w:after="0"/>
              <w:rPr>
                <w:sz w:val="20"/>
                <w:szCs w:val="20"/>
                <w:color w:val="auto"/>
              </w:rPr>
            </w:pPr>
          </w:p>
        </w:tc>
        <w:tc>
          <w:tcPr>
            <w:tcW w:w="3700" w:type="dxa"/>
            <w:vAlign w:val="bottom"/>
            <w:shd w:val="clear" w:color="auto" w:fill="CCEEFF"/>
          </w:tcPr>
          <w:p>
            <w:pPr>
              <w:spacing w:after="0"/>
              <w:rPr>
                <w:sz w:val="20"/>
                <w:szCs w:val="20"/>
                <w:color w:val="auto"/>
              </w:rPr>
            </w:pPr>
          </w:p>
        </w:tc>
        <w:tc>
          <w:tcPr>
            <w:tcW w:w="1980" w:type="dxa"/>
            <w:vAlign w:val="bottom"/>
            <w:shd w:val="clear" w:color="auto" w:fill="CCEEFF"/>
          </w:tcPr>
          <w:p>
            <w:pPr>
              <w:spacing w:after="0"/>
              <w:rPr>
                <w:sz w:val="20"/>
                <w:szCs w:val="20"/>
                <w:color w:val="auto"/>
              </w:rPr>
            </w:pPr>
          </w:p>
        </w:tc>
        <w:tc>
          <w:tcPr>
            <w:tcW w:w="3580" w:type="dxa"/>
            <w:vAlign w:val="bottom"/>
            <w:shd w:val="clear" w:color="auto" w:fill="CCEEFF"/>
          </w:tcPr>
          <w:p>
            <w:pPr>
              <w:ind w:left="80"/>
              <w:spacing w:after="0"/>
              <w:rPr>
                <w:sz w:val="20"/>
                <w:szCs w:val="20"/>
                <w:color w:val="auto"/>
              </w:rPr>
            </w:pPr>
            <w:r>
              <w:rPr>
                <w:rFonts w:ascii="Arial" w:cs="Arial" w:eastAsia="Arial" w:hAnsi="Arial"/>
                <w:sz w:val="18"/>
                <w:szCs w:val="18"/>
                <w:color w:val="auto"/>
              </w:rPr>
              <w:t>adoption of the standard.</w:t>
            </w:r>
          </w:p>
        </w:tc>
      </w:tr>
      <w:tr>
        <w:trPr>
          <w:trHeight w:val="675"/>
        </w:trPr>
        <w:tc>
          <w:tcPr>
            <w:tcW w:w="2100" w:type="dxa"/>
            <w:vAlign w:val="bottom"/>
          </w:tcPr>
          <w:p>
            <w:pPr>
              <w:spacing w:after="0"/>
              <w:rPr>
                <w:sz w:val="24"/>
                <w:szCs w:val="24"/>
                <w:color w:val="auto"/>
              </w:rPr>
            </w:pPr>
          </w:p>
        </w:tc>
        <w:tc>
          <w:tcPr>
            <w:tcW w:w="3700" w:type="dxa"/>
            <w:vAlign w:val="bottom"/>
          </w:tcPr>
          <w:p>
            <w:pPr>
              <w:ind w:left="3480"/>
              <w:spacing w:after="0"/>
              <w:rPr>
                <w:sz w:val="20"/>
                <w:szCs w:val="20"/>
                <w:color w:val="auto"/>
              </w:rPr>
            </w:pPr>
            <w:r>
              <w:rPr>
                <w:rFonts w:ascii="Arial" w:cs="Arial" w:eastAsia="Arial" w:hAnsi="Arial"/>
                <w:sz w:val="18"/>
                <w:szCs w:val="18"/>
                <w:color w:val="auto"/>
                <w:w w:val="99"/>
              </w:rPr>
              <w:t>13</w:t>
            </w:r>
          </w:p>
        </w:tc>
        <w:tc>
          <w:tcPr>
            <w:tcW w:w="1980" w:type="dxa"/>
            <w:vAlign w:val="bottom"/>
          </w:tcPr>
          <w:p>
            <w:pPr>
              <w:spacing w:after="0"/>
              <w:rPr>
                <w:sz w:val="24"/>
                <w:szCs w:val="24"/>
                <w:color w:val="auto"/>
              </w:rPr>
            </w:pPr>
          </w:p>
        </w:tc>
        <w:tc>
          <w:tcPr>
            <w:tcW w:w="3580" w:type="dxa"/>
            <w:vAlign w:val="bottom"/>
          </w:tcPr>
          <w:p>
            <w:pPr>
              <w:spacing w:after="0"/>
              <w:rPr>
                <w:sz w:val="24"/>
                <w:szCs w:val="24"/>
                <w:color w:val="auto"/>
              </w:rPr>
            </w:pPr>
          </w:p>
        </w:tc>
      </w:tr>
    </w:tbl>
    <w:p>
      <w:pPr>
        <w:sectPr>
          <w:pgSz w:w="11900" w:h="16838" w:orient="portrait"/>
          <w:cols w:equalWidth="0" w:num="1">
            <w:col w:w="11420"/>
          </w:cols>
          <w:pgMar w:left="240" w:top="910" w:right="239" w:bottom="1440" w:gutter="0" w:footer="0" w:header="0"/>
          <w:type w:val="continuous"/>
        </w:sectPr>
      </w:pPr>
    </w:p>
    <w:bookmarkStart w:id="13" w:name="page14"/>
    <w:bookmarkEnd w:id="13"/>
    <w:p>
      <w:pPr>
        <w:spacing w:after="0"/>
        <w:rPr>
          <w:sz w:val="20"/>
          <w:szCs w:val="20"/>
          <w:color w:val="auto"/>
        </w:rPr>
      </w:pPr>
      <w:r>
        <w:rPr>
          <w:rFonts w:ascii="Arial" w:cs="Arial" w:eastAsia="Arial" w:hAnsi="Arial"/>
          <w:sz w:val="18"/>
          <w:szCs w:val="18"/>
          <w:b w:val="1"/>
          <w:bCs w:val="1"/>
          <w:color w:val="auto"/>
        </w:rPr>
        <w:t>Note 3: Acquisitions</w:t>
      </w:r>
    </w:p>
    <w:p>
      <w:pPr>
        <w:spacing w:after="0" w:line="193"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On January 3, 2017, we completed the acquisition of Boehringer Ingelheim Vetmedica, Inc.'s United States (U.S.) feline, canine, and rabies vaccine portfolio and other related assets (BIVIVP). This transaction, as further discussed in this note below in Acquisition of a Business, was accounted for as a business combination under the acquisition method of accounting. Under this method, the assets acquired and liabilities assumed were recorded at their respective fair values as of the acquisition date in our consolidated financial statements. The determination of estimated fair value required management to make significant estimates and assumptions. The excess of the purchase price over the fair value of the acquired net assets, where applicable, has been recorded as goodwill. The results of operations of this acquisition are included in our consolidated condensed financial statements from the date of acquisition.</w:t>
      </w:r>
    </w:p>
    <w:p>
      <w:pPr>
        <w:spacing w:after="0" w:line="99" w:lineRule="exact"/>
        <w:rPr>
          <w:sz w:val="20"/>
          <w:szCs w:val="20"/>
          <w:color w:val="auto"/>
        </w:rPr>
      </w:pPr>
    </w:p>
    <w:p>
      <w:pPr>
        <w:ind w:right="200"/>
        <w:spacing w:after="0" w:line="254" w:lineRule="auto"/>
        <w:rPr>
          <w:sz w:val="20"/>
          <w:szCs w:val="20"/>
          <w:color w:val="auto"/>
        </w:rPr>
      </w:pPr>
      <w:r>
        <w:rPr>
          <w:rFonts w:ascii="Arial" w:cs="Arial" w:eastAsia="Arial" w:hAnsi="Arial"/>
          <w:sz w:val="18"/>
          <w:szCs w:val="18"/>
          <w:color w:val="auto"/>
        </w:rPr>
        <w:t>In addition to the acquisition of a business, we also acquired assets in development in the first quarter of 2017, which are further discussed in this note below in Asset Acquisitions. Upon acquisition, the acquired in-process research and development (IPR&amp;D) charges related to these products were immediately expensed because the products had no alternative future use, resulting in acquired IPR&amp;D charges of $857.6 million for the three months ended March 31, 2017. For the three months ended March 31, 2018, we recorded no acquired IPR&amp;D charges.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Acquisition of a Business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Boehringer Ingelheim Vetmedica, Inc. Vaccine Portfolio Acquisition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Overview of Transaction</w:t>
      </w:r>
    </w:p>
    <w:p>
      <w:pPr>
        <w:spacing w:after="0" w:line="135"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In 2017, we acquired BIVIVP in an all-cash transaction for $882.1 million. Under the terms of the agreement, we acquired a manufacturing and research and development site, a U.S. vaccine portfolio, including vaccines used for the treatment of bordetella, Lyme disease, rabies, and parvovirus, among others.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Assets Acquired and Liabilities Assumed</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amounts recognized for assets acquired and liabilities assumed as of the acquisition date:</w:t>
      </w:r>
    </w:p>
    <w:p>
      <w:pPr>
        <w:spacing w:after="0" w:line="159"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Estimated Fair Value at January 3, 2017</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262"/>
        </w:trPr>
        <w:tc>
          <w:tcPr>
            <w:tcW w:w="994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Inventories</w:t>
            </w:r>
          </w:p>
        </w:tc>
        <w:tc>
          <w:tcPr>
            <w:tcW w:w="520" w:type="dxa"/>
            <w:vAlign w:val="bottom"/>
            <w:tcBorders>
              <w:top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108.6</w:t>
            </w:r>
          </w:p>
        </w:tc>
      </w:tr>
      <w:tr>
        <w:trPr>
          <w:trHeight w:val="257"/>
        </w:trPr>
        <w:tc>
          <w:tcPr>
            <w:tcW w:w="9940" w:type="dxa"/>
            <w:vAlign w:val="bottom"/>
          </w:tcPr>
          <w:p>
            <w:pPr>
              <w:ind w:left="40"/>
              <w:spacing w:after="0"/>
              <w:rPr>
                <w:sz w:val="20"/>
                <w:szCs w:val="20"/>
                <w:color w:val="auto"/>
              </w:rPr>
            </w:pPr>
            <w:r>
              <w:rPr>
                <w:rFonts w:ascii="Arial" w:cs="Arial" w:eastAsia="Arial" w:hAnsi="Arial"/>
                <w:sz w:val="18"/>
                <w:szCs w:val="18"/>
                <w:color w:val="auto"/>
              </w:rPr>
              <w:t xml:space="preserve">Marketed products </w:t>
            </w:r>
            <w:r>
              <w:rPr>
                <w:rFonts w:ascii="Arial" w:cs="Arial" w:eastAsia="Arial" w:hAnsi="Arial"/>
                <w:sz w:val="21"/>
                <w:szCs w:val="21"/>
                <w:color w:val="auto"/>
                <w:vertAlign w:val="superscript"/>
              </w:rPr>
              <w:t>(1)</w:t>
            </w:r>
          </w:p>
        </w:tc>
        <w:tc>
          <w:tcPr>
            <w:tcW w:w="520" w:type="dxa"/>
            <w:vAlign w:val="bottom"/>
          </w:tcPr>
          <w:p>
            <w:pPr>
              <w:spacing w:after="0"/>
              <w:rPr>
                <w:sz w:val="22"/>
                <w:szCs w:val="22"/>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297.0</w:t>
            </w:r>
          </w:p>
        </w:tc>
      </w:tr>
      <w:tr>
        <w:trPr>
          <w:trHeight w:val="257"/>
        </w:trPr>
        <w:tc>
          <w:tcPr>
            <w:tcW w:w="9940" w:type="dxa"/>
            <w:vAlign w:val="bottom"/>
            <w:shd w:val="clear" w:color="auto" w:fill="CCEEFF"/>
          </w:tcPr>
          <w:p>
            <w:pPr>
              <w:ind w:left="40"/>
              <w:spacing w:after="0"/>
              <w:rPr>
                <w:sz w:val="20"/>
                <w:szCs w:val="20"/>
                <w:color w:val="auto"/>
              </w:rPr>
            </w:pPr>
            <w:r>
              <w:rPr>
                <w:rFonts w:ascii="Arial" w:cs="Arial" w:eastAsia="Arial" w:hAnsi="Arial"/>
                <w:sz w:val="18"/>
                <w:szCs w:val="18"/>
                <w:color w:val="auto"/>
              </w:rPr>
              <w:t>Property and equipment</w:t>
            </w:r>
          </w:p>
        </w:tc>
        <w:tc>
          <w:tcPr>
            <w:tcW w:w="520" w:type="dxa"/>
            <w:vAlign w:val="bottom"/>
            <w:shd w:val="clear" w:color="auto" w:fill="CCEEFF"/>
          </w:tcPr>
          <w:p>
            <w:pPr>
              <w:spacing w:after="0"/>
              <w:rPr>
                <w:sz w:val="22"/>
                <w:szCs w:val="22"/>
                <w:color w:val="auto"/>
              </w:rPr>
            </w:pP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148.2</w:t>
            </w:r>
          </w:p>
        </w:tc>
      </w:tr>
      <w:tr>
        <w:trPr>
          <w:trHeight w:val="250"/>
        </w:trPr>
        <w:tc>
          <w:tcPr>
            <w:tcW w:w="99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Other assets and liabilities - net</w:t>
            </w:r>
          </w:p>
        </w:tc>
        <w:tc>
          <w:tcPr>
            <w:tcW w:w="52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8.2</w:t>
            </w:r>
          </w:p>
        </w:tc>
      </w:tr>
      <w:tr>
        <w:trPr>
          <w:trHeight w:val="257"/>
        </w:trPr>
        <w:tc>
          <w:tcPr>
            <w:tcW w:w="994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identifiable net assets</w:t>
            </w:r>
          </w:p>
        </w:tc>
        <w:tc>
          <w:tcPr>
            <w:tcW w:w="520" w:type="dxa"/>
            <w:vAlign w:val="bottom"/>
            <w:shd w:val="clear" w:color="auto" w:fill="CCEEFF"/>
          </w:tcPr>
          <w:p>
            <w:pPr>
              <w:spacing w:after="0"/>
              <w:rPr>
                <w:sz w:val="22"/>
                <w:szCs w:val="22"/>
                <w:color w:val="auto"/>
              </w:rPr>
            </w:pP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562.0</w:t>
            </w:r>
          </w:p>
        </w:tc>
      </w:tr>
      <w:tr>
        <w:trPr>
          <w:trHeight w:val="257"/>
        </w:trPr>
        <w:tc>
          <w:tcPr>
            <w:tcW w:w="99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 xml:space="preserve">Goodwill </w:t>
            </w:r>
            <w:r>
              <w:rPr>
                <w:rFonts w:ascii="Arial" w:cs="Arial" w:eastAsia="Arial" w:hAnsi="Arial"/>
                <w:sz w:val="21"/>
                <w:szCs w:val="21"/>
                <w:color w:val="auto"/>
                <w:vertAlign w:val="superscript"/>
              </w:rPr>
              <w:t>(2)</w:t>
            </w:r>
          </w:p>
        </w:tc>
        <w:tc>
          <w:tcPr>
            <w:tcW w:w="52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320.1</w:t>
            </w:r>
          </w:p>
        </w:tc>
      </w:tr>
      <w:tr>
        <w:trPr>
          <w:trHeight w:val="257"/>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consideration transferred - net of cash acquired</w:t>
            </w:r>
          </w:p>
        </w:tc>
        <w:tc>
          <w:tcPr>
            <w:tcW w:w="52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882.1</w:t>
            </w:r>
          </w:p>
        </w:tc>
      </w:tr>
    </w:tbl>
    <w:p>
      <w:pPr>
        <w:spacing w:after="0" w:line="113" w:lineRule="exact"/>
        <w:rPr>
          <w:sz w:val="20"/>
          <w:szCs w:val="20"/>
          <w:color w:val="auto"/>
        </w:rPr>
      </w:pPr>
    </w:p>
    <w:p>
      <w:pPr>
        <w:ind w:left="180" w:right="220" w:hanging="172"/>
        <w:spacing w:after="0" w:line="225" w:lineRule="auto"/>
        <w:tabs>
          <w:tab w:leader="none" w:pos="153" w:val="left"/>
        </w:tabs>
        <w:numPr>
          <w:ilvl w:val="0"/>
          <w:numId w:val="7"/>
        </w:numPr>
        <w:rPr>
          <w:rFonts w:ascii="Arial" w:cs="Arial" w:eastAsia="Arial" w:hAnsi="Arial"/>
          <w:sz w:val="17"/>
          <w:szCs w:val="17"/>
          <w:color w:val="auto"/>
          <w:vertAlign w:val="superscript"/>
        </w:rPr>
      </w:pPr>
      <w:r>
        <w:rPr>
          <w:rFonts w:ascii="Arial" w:cs="Arial" w:eastAsia="Arial" w:hAnsi="Arial"/>
          <w:sz w:val="14"/>
          <w:szCs w:val="14"/>
          <w:color w:val="auto"/>
        </w:rPr>
        <w:t>These intangible assets, which are being amortized to cost of sales on a straight-line basis over their estimated useful lives, were expected to have a weighted average useful life of 10 years.</w:t>
      </w:r>
    </w:p>
    <w:p>
      <w:pPr>
        <w:spacing w:after="0" w:line="97" w:lineRule="exact"/>
        <w:rPr>
          <w:rFonts w:ascii="Arial" w:cs="Arial" w:eastAsia="Arial" w:hAnsi="Arial"/>
          <w:sz w:val="17"/>
          <w:szCs w:val="17"/>
          <w:color w:val="auto"/>
          <w:vertAlign w:val="superscript"/>
        </w:rPr>
      </w:pPr>
    </w:p>
    <w:p>
      <w:pPr>
        <w:ind w:left="180" w:right="300" w:hanging="172"/>
        <w:spacing w:after="0" w:line="225" w:lineRule="auto"/>
        <w:tabs>
          <w:tab w:leader="none" w:pos="153" w:val="left"/>
        </w:tabs>
        <w:numPr>
          <w:ilvl w:val="0"/>
          <w:numId w:val="7"/>
        </w:numPr>
        <w:rPr>
          <w:rFonts w:ascii="Arial" w:cs="Arial" w:eastAsia="Arial" w:hAnsi="Arial"/>
          <w:sz w:val="17"/>
          <w:szCs w:val="17"/>
          <w:color w:val="auto"/>
          <w:vertAlign w:val="superscript"/>
        </w:rPr>
      </w:pPr>
      <w:r>
        <w:rPr>
          <w:rFonts w:ascii="Arial" w:cs="Arial" w:eastAsia="Arial" w:hAnsi="Arial"/>
          <w:sz w:val="14"/>
          <w:szCs w:val="14"/>
          <w:color w:val="auto"/>
        </w:rPr>
        <w:t>The goodwill recognized from this acquisition is attributable primarily to expected synergies from combining the operations of BIVIVP with our legacy animal health business, future unidentified projects and products, and the assembled workforce of BIVIVP. The goodwill associated with this acquisition is deductible for tax purposes.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Asset Acquisitions</w:t>
      </w:r>
    </w:p>
    <w:p>
      <w:pPr>
        <w:spacing w:after="0" w:line="139" w:lineRule="exact"/>
        <w:rPr>
          <w:sz w:val="20"/>
          <w:szCs w:val="20"/>
          <w:color w:val="auto"/>
        </w:rPr>
      </w:pPr>
    </w:p>
    <w:p>
      <w:pPr>
        <w:ind w:right="720"/>
        <w:spacing w:after="0" w:line="262" w:lineRule="auto"/>
        <w:rPr>
          <w:sz w:val="20"/>
          <w:szCs w:val="20"/>
          <w:color w:val="auto"/>
        </w:rPr>
      </w:pPr>
      <w:r>
        <w:rPr>
          <w:rFonts w:ascii="Arial" w:cs="Arial" w:eastAsia="Arial" w:hAnsi="Arial"/>
          <w:sz w:val="18"/>
          <w:szCs w:val="18"/>
          <w:color w:val="auto"/>
        </w:rPr>
        <w:t>The following table and narrative summarize our asset acquisition during the three months ended March 31, 2017. There was no asset acquisition which resulted in acquired IPR&amp;D expense during the three months ended March 31, 2018.</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32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540" w:type="dxa"/>
            <w:vAlign w:val="bottom"/>
          </w:tcPr>
          <w:p>
            <w:pPr>
              <w:jc w:val="center"/>
              <w:spacing w:after="0"/>
              <w:rPr>
                <w:sz w:val="20"/>
                <w:szCs w:val="20"/>
                <w:color w:val="auto"/>
              </w:rPr>
            </w:pPr>
            <w:r>
              <w:rPr>
                <w:rFonts w:ascii="Arial" w:cs="Arial" w:eastAsia="Arial" w:hAnsi="Arial"/>
                <w:sz w:val="14"/>
                <w:szCs w:val="14"/>
                <w:b w:val="1"/>
                <w:bCs w:val="1"/>
                <w:color w:val="auto"/>
              </w:rPr>
              <w:t>Phase of</w:t>
            </w:r>
          </w:p>
        </w:tc>
        <w:tc>
          <w:tcPr>
            <w:tcW w:w="360" w:type="dxa"/>
            <w:vAlign w:val="bottom"/>
          </w:tcPr>
          <w:p>
            <w:pPr>
              <w:spacing w:after="0"/>
              <w:rPr>
                <w:sz w:val="14"/>
                <w:szCs w:val="14"/>
                <w:color w:val="auto"/>
              </w:rPr>
            </w:pPr>
          </w:p>
        </w:tc>
        <w:tc>
          <w:tcPr>
            <w:tcW w:w="1420" w:type="dxa"/>
            <w:vAlign w:val="bottom"/>
          </w:tcPr>
          <w:p>
            <w:pPr>
              <w:jc w:val="center"/>
              <w:ind w:right="102"/>
              <w:spacing w:after="0"/>
              <w:rPr>
                <w:sz w:val="20"/>
                <w:szCs w:val="20"/>
                <w:color w:val="auto"/>
              </w:rPr>
            </w:pPr>
            <w:r>
              <w:rPr>
                <w:rFonts w:ascii="Arial" w:cs="Arial" w:eastAsia="Arial" w:hAnsi="Arial"/>
                <w:sz w:val="14"/>
                <w:szCs w:val="14"/>
                <w:b w:val="1"/>
                <w:bCs w:val="1"/>
                <w:color w:val="auto"/>
              </w:rPr>
              <w:t>Acquired IPR&amp;D</w:t>
            </w:r>
          </w:p>
        </w:tc>
      </w:tr>
      <w:tr>
        <w:trPr>
          <w:trHeight w:val="202"/>
        </w:trPr>
        <w:tc>
          <w:tcPr>
            <w:tcW w:w="33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Counterparty</w:t>
            </w:r>
          </w:p>
        </w:tc>
        <w:tc>
          <w:tcPr>
            <w:tcW w:w="3080" w:type="dxa"/>
            <w:vAlign w:val="bottom"/>
            <w:tcBorders>
              <w:bottom w:val="single" w:sz="8" w:color="auto"/>
            </w:tcBorders>
          </w:tcPr>
          <w:p>
            <w:pPr>
              <w:ind w:left="700"/>
              <w:spacing w:after="0"/>
              <w:rPr>
                <w:sz w:val="20"/>
                <w:szCs w:val="20"/>
                <w:color w:val="auto"/>
              </w:rPr>
            </w:pPr>
            <w:r>
              <w:rPr>
                <w:rFonts w:ascii="Arial" w:cs="Arial" w:eastAsia="Arial" w:hAnsi="Arial"/>
                <w:sz w:val="14"/>
                <w:szCs w:val="14"/>
                <w:b w:val="1"/>
                <w:bCs w:val="1"/>
                <w:color w:val="auto"/>
              </w:rPr>
              <w:t>Compound(s) or Therapy</w:t>
            </w:r>
          </w:p>
        </w:tc>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Acquisition Month</w:t>
            </w:r>
          </w:p>
        </w:tc>
        <w:tc>
          <w:tcPr>
            <w:tcW w:w="1540" w:type="dxa"/>
            <w:vAlign w:val="bottom"/>
            <w:tcBorders>
              <w:bottom w:val="single" w:sz="8" w:color="auto"/>
            </w:tcBorders>
          </w:tcPr>
          <w:p>
            <w:pPr>
              <w:jc w:val="center"/>
              <w:ind w:left="2"/>
              <w:spacing w:after="0"/>
              <w:rPr>
                <w:sz w:val="20"/>
                <w:szCs w:val="20"/>
                <w:color w:val="auto"/>
              </w:rPr>
            </w:pPr>
            <w:r>
              <w:rPr>
                <w:rFonts w:ascii="Arial" w:cs="Arial" w:eastAsia="Arial" w:hAnsi="Arial"/>
                <w:sz w:val="14"/>
                <w:szCs w:val="14"/>
                <w:b w:val="1"/>
                <w:bCs w:val="1"/>
                <w:color w:val="auto"/>
              </w:rPr>
              <w:t xml:space="preserve">Development </w:t>
            </w:r>
            <w:r>
              <w:rPr>
                <w:rFonts w:ascii="Arial" w:cs="Arial" w:eastAsia="Arial" w:hAnsi="Arial"/>
                <w:sz w:val="17"/>
                <w:szCs w:val="17"/>
                <w:b w:val="1"/>
                <w:bCs w:val="1"/>
                <w:color w:val="auto"/>
                <w:vertAlign w:val="superscript"/>
              </w:rPr>
              <w:t>(1)</w:t>
            </w:r>
          </w:p>
        </w:tc>
        <w:tc>
          <w:tcPr>
            <w:tcW w:w="36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center"/>
              <w:ind w:right="102"/>
              <w:spacing w:after="0"/>
              <w:rPr>
                <w:sz w:val="20"/>
                <w:szCs w:val="20"/>
                <w:color w:val="auto"/>
              </w:rPr>
            </w:pPr>
            <w:r>
              <w:rPr>
                <w:rFonts w:ascii="Arial" w:cs="Arial" w:eastAsia="Arial" w:hAnsi="Arial"/>
                <w:sz w:val="14"/>
                <w:szCs w:val="14"/>
                <w:b w:val="1"/>
                <w:bCs w:val="1"/>
                <w:color w:val="auto"/>
              </w:rPr>
              <w:t>Expense</w:t>
            </w:r>
          </w:p>
        </w:tc>
      </w:tr>
      <w:tr>
        <w:trPr>
          <w:trHeight w:val="277"/>
        </w:trPr>
        <w:tc>
          <w:tcPr>
            <w:tcW w:w="33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CoLucid Pharmaceuticals, Inc. (CoLucid)</w:t>
            </w:r>
          </w:p>
        </w:tc>
        <w:tc>
          <w:tcPr>
            <w:tcW w:w="3080" w:type="dxa"/>
            <w:vAlign w:val="bottom"/>
            <w:shd w:val="clear" w:color="auto" w:fill="CCEEFF"/>
          </w:tcPr>
          <w:p>
            <w:pPr>
              <w:ind w:left="40"/>
              <w:spacing w:after="0"/>
              <w:rPr>
                <w:sz w:val="20"/>
                <w:szCs w:val="20"/>
                <w:color w:val="auto"/>
              </w:rPr>
            </w:pPr>
            <w:r>
              <w:rPr>
                <w:rFonts w:ascii="Arial" w:cs="Arial" w:eastAsia="Arial" w:hAnsi="Arial"/>
                <w:sz w:val="18"/>
                <w:szCs w:val="18"/>
                <w:color w:val="auto"/>
              </w:rPr>
              <w:t>Oral therapy for the acute treatment</w:t>
            </w:r>
          </w:p>
        </w:tc>
        <w:tc>
          <w:tcPr>
            <w:tcW w:w="1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8"/>
              </w:rPr>
              <w:t>March 2017</w:t>
            </w:r>
          </w:p>
        </w:tc>
        <w:tc>
          <w:tcPr>
            <w:tcW w:w="1540" w:type="dxa"/>
            <w:vAlign w:val="bottom"/>
            <w:shd w:val="clear" w:color="auto" w:fill="CCEEFF"/>
          </w:tcPr>
          <w:p>
            <w:pPr>
              <w:jc w:val="center"/>
              <w:ind w:left="2"/>
              <w:spacing w:after="0"/>
              <w:rPr>
                <w:sz w:val="20"/>
                <w:szCs w:val="20"/>
                <w:color w:val="auto"/>
              </w:rPr>
            </w:pPr>
            <w:r>
              <w:rPr>
                <w:rFonts w:ascii="Arial" w:cs="Arial" w:eastAsia="Arial" w:hAnsi="Arial"/>
                <w:sz w:val="18"/>
                <w:szCs w:val="18"/>
                <w:color w:val="auto"/>
                <w:w w:val="98"/>
              </w:rPr>
              <w:t>Phase III</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ind w:right="22"/>
              <w:spacing w:after="0"/>
              <w:rPr>
                <w:sz w:val="20"/>
                <w:szCs w:val="20"/>
                <w:color w:val="auto"/>
              </w:rPr>
            </w:pPr>
            <w:r>
              <w:rPr>
                <w:rFonts w:ascii="Arial" w:cs="Arial" w:eastAsia="Arial" w:hAnsi="Arial"/>
                <w:sz w:val="18"/>
                <w:szCs w:val="18"/>
                <w:color w:val="auto"/>
              </w:rPr>
              <w:t>857.6</w:t>
            </w:r>
          </w:p>
        </w:tc>
      </w:tr>
      <w:tr>
        <w:trPr>
          <w:trHeight w:val="176"/>
        </w:trPr>
        <w:tc>
          <w:tcPr>
            <w:tcW w:w="3320" w:type="dxa"/>
            <w:vAlign w:val="bottom"/>
            <w:shd w:val="clear" w:color="auto" w:fill="CCEEFF"/>
          </w:tcPr>
          <w:p>
            <w:pPr>
              <w:spacing w:after="0"/>
              <w:rPr>
                <w:sz w:val="15"/>
                <w:szCs w:val="15"/>
                <w:color w:val="auto"/>
              </w:rPr>
            </w:pPr>
          </w:p>
        </w:tc>
        <w:tc>
          <w:tcPr>
            <w:tcW w:w="3080" w:type="dxa"/>
            <w:vAlign w:val="bottom"/>
            <w:shd w:val="clear" w:color="auto" w:fill="CCEEFF"/>
          </w:tcPr>
          <w:p>
            <w:pPr>
              <w:ind w:left="40"/>
              <w:spacing w:after="0" w:line="176" w:lineRule="exact"/>
              <w:rPr>
                <w:sz w:val="20"/>
                <w:szCs w:val="20"/>
                <w:color w:val="auto"/>
              </w:rPr>
            </w:pPr>
            <w:r>
              <w:rPr>
                <w:rFonts w:ascii="Arial" w:cs="Arial" w:eastAsia="Arial" w:hAnsi="Arial"/>
                <w:sz w:val="18"/>
                <w:szCs w:val="18"/>
                <w:color w:val="auto"/>
              </w:rPr>
              <w:t>of migraine - lasmiditan</w:t>
            </w:r>
          </w:p>
        </w:tc>
        <w:tc>
          <w:tcPr>
            <w:tcW w:w="1700" w:type="dxa"/>
            <w:vAlign w:val="bottom"/>
            <w:shd w:val="clear" w:color="auto" w:fill="CCEEFF"/>
          </w:tcPr>
          <w:p>
            <w:pPr>
              <w:spacing w:after="0"/>
              <w:rPr>
                <w:sz w:val="15"/>
                <w:szCs w:val="15"/>
                <w:color w:val="auto"/>
              </w:rPr>
            </w:pPr>
          </w:p>
        </w:tc>
        <w:tc>
          <w:tcPr>
            <w:tcW w:w="154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r>
    </w:tbl>
    <w:p>
      <w:pPr>
        <w:spacing w:after="0" w:line="128" w:lineRule="exact"/>
        <w:rPr>
          <w:sz w:val="20"/>
          <w:szCs w:val="20"/>
          <w:color w:val="auto"/>
        </w:rPr>
      </w:pPr>
    </w:p>
    <w:p>
      <w:pPr>
        <w:ind w:left="140" w:hanging="132"/>
        <w:spacing w:after="0"/>
        <w:tabs>
          <w:tab w:leader="none" w:pos="140" w:val="left"/>
        </w:tabs>
        <w:numPr>
          <w:ilvl w:val="0"/>
          <w:numId w:val="8"/>
        </w:numPr>
        <w:rPr>
          <w:rFonts w:ascii="Arial" w:cs="Arial" w:eastAsia="Arial" w:hAnsi="Arial"/>
          <w:sz w:val="16"/>
          <w:szCs w:val="16"/>
          <w:color w:val="auto"/>
          <w:vertAlign w:val="superscript"/>
        </w:rPr>
      </w:pPr>
      <w:r>
        <w:rPr>
          <w:rFonts w:ascii="Arial" w:cs="Arial" w:eastAsia="Arial" w:hAnsi="Arial"/>
          <w:sz w:val="13"/>
          <w:szCs w:val="13"/>
          <w:color w:val="auto"/>
        </w:rPr>
        <w:t>The phase of development presented is as of the date of the arrangement and represents the phase of development of the most advanced asset acquired, where applicable.</w:t>
      </w: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576" w:right="239" w:bottom="1440" w:gutter="0" w:footer="0" w:header="0"/>
        </w:sectPr>
      </w:pPr>
    </w:p>
    <w:bookmarkStart w:id="14" w:name="page15"/>
    <w:bookmarkEnd w:id="14"/>
    <w:p>
      <w:pPr>
        <w:jc w:val="both"/>
        <w:ind w:right="40"/>
        <w:spacing w:after="0" w:line="256" w:lineRule="auto"/>
        <w:rPr>
          <w:sz w:val="20"/>
          <w:szCs w:val="20"/>
          <w:color w:val="auto"/>
        </w:rPr>
      </w:pPr>
      <w:r>
        <w:rPr>
          <w:rFonts w:ascii="Arial" w:cs="Arial" w:eastAsia="Arial" w:hAnsi="Arial"/>
          <w:sz w:val="18"/>
          <w:szCs w:val="18"/>
          <w:color w:val="auto"/>
        </w:rPr>
        <w:t>In connection with the arrangements described herein, our partners may be entitled to future royalties and/or commercial milestones based on sales should these products be approved for commercialization and/or milestones based on the successful progress of the compounds through the development process.</w:t>
      </w:r>
    </w:p>
    <w:p>
      <w:pPr>
        <w:spacing w:after="0" w:line="94" w:lineRule="exact"/>
        <w:rPr>
          <w:sz w:val="20"/>
          <w:szCs w:val="20"/>
          <w:color w:val="auto"/>
        </w:rPr>
      </w:pPr>
    </w:p>
    <w:p>
      <w:pPr>
        <w:jc w:val="both"/>
        <w:ind w:right="320"/>
        <w:spacing w:after="0" w:line="256" w:lineRule="auto"/>
        <w:rPr>
          <w:sz w:val="20"/>
          <w:szCs w:val="20"/>
          <w:color w:val="auto"/>
        </w:rPr>
      </w:pPr>
      <w:r>
        <w:rPr>
          <w:rFonts w:ascii="Arial" w:cs="Arial" w:eastAsia="Arial" w:hAnsi="Arial"/>
          <w:sz w:val="18"/>
          <w:szCs w:val="18"/>
          <w:color w:val="auto"/>
        </w:rPr>
        <w:t>We acquired lasmiditan through the acquisition of CoLucid. Under the terms of the agreement, we acquired all shares of CoLucid for a cash purchase price of $831.8 million, net of cash acquired, plus net accrued liabilities assumed of $ 25.8 million. Substantially all of the value of CoLucid was related to lasmiditan, its only significant asset. The acquired IPR&amp;D expense was not tax deductible.</w:t>
      </w:r>
    </w:p>
    <w:p>
      <w:pPr>
        <w:spacing w:after="0" w:line="94" w:lineRule="exact"/>
        <w:rPr>
          <w:sz w:val="20"/>
          <w:szCs w:val="20"/>
          <w:color w:val="auto"/>
        </w:rPr>
      </w:pPr>
    </w:p>
    <w:p>
      <w:pPr>
        <w:ind w:right="140"/>
        <w:spacing w:after="0" w:line="252" w:lineRule="auto"/>
        <w:rPr>
          <w:sz w:val="20"/>
          <w:szCs w:val="20"/>
          <w:color w:val="auto"/>
        </w:rPr>
      </w:pPr>
      <w:r>
        <w:rPr>
          <w:rFonts w:ascii="Arial" w:cs="Arial" w:eastAsia="Arial" w:hAnsi="Arial"/>
          <w:sz w:val="18"/>
          <w:szCs w:val="18"/>
          <w:color w:val="auto"/>
        </w:rPr>
        <w:t>In April 2018, we entered into a collaboration agreement with Sigilon Therapeutics (Sigilon) to develop encapsulated cell therapies for the potential treatment of type 1 diabetes. Sigilon will create proprietary products comprised of induced pluripotent stem cells engineered into differentiated insulin-producing pancreatic beta cells and encapsulated using Sigilon's Afibromer technology. We will receive an exclusive worldwide license to Sigilon's Afibromer technology for islet cell encapsulation. Under the terms of the agreement, we paid an upfront fee of $62.5 million and made an equity investment in Sigilon. We recorded acquired IPR&amp;D expense of $66.9 million in the second quarter of 2018 related to this transaction. Sigilon will be responsible for all development activities and costs related to the collaboration until submission of an investigational new drug application (IND). After an IND is submitted, we will be responsible for all clinical development and commercialization activities and costs related to the collaboration.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Collaborations and Other Arrangements</w:t>
      </w:r>
    </w:p>
    <w:p>
      <w:pPr>
        <w:spacing w:after="0" w:line="193"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We often enter into collaborative and other similar arrangements to develop and commercialize drug candidates. Collaborative activities may include research and development, marketing and selling (including promotional activities and physician detailing), manufacturing, and distribution. These arrangements often require milestone and royalty or profit-share payments, contingent upon the occurrence of certain future events linked to the success of the asset in development, as well as expense reimbursements or payments to the collaboration partner. See Note 1 for amounts of collaboration and other revenue recognized from these types of arrangements.</w:t>
      </w:r>
    </w:p>
    <w:p>
      <w:pPr>
        <w:spacing w:after="0" w:line="152"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Operating expenses for costs incurred pursuant to these arrangements are reported in their respective expense line item, net of any payments due to or reimbursements due from our collaboration partners, with such reimbursements being recognized at the time the party becomes obligated to pay. Each collaboration is unique in nature, and our more significant arrangements are discussed below.</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Boehringer Ingelheim Diabetes Collaboration</w:t>
      </w:r>
    </w:p>
    <w:p>
      <w:pPr>
        <w:spacing w:after="0" w:line="139" w:lineRule="exact"/>
        <w:rPr>
          <w:sz w:val="20"/>
          <w:szCs w:val="20"/>
          <w:color w:val="auto"/>
        </w:rPr>
      </w:pPr>
    </w:p>
    <w:p>
      <w:pPr>
        <w:spacing w:after="0" w:line="248" w:lineRule="auto"/>
        <w:rPr>
          <w:sz w:val="20"/>
          <w:szCs w:val="20"/>
          <w:color w:val="auto"/>
        </w:rPr>
      </w:pPr>
      <w:r>
        <w:rPr>
          <w:rFonts w:ascii="Arial" w:cs="Arial" w:eastAsia="Arial" w:hAnsi="Arial"/>
          <w:sz w:val="18"/>
          <w:szCs w:val="18"/>
          <w:color w:val="auto"/>
        </w:rPr>
        <w:t>We and Boehringer Ingelheim have a global agreement to jointly develop and commercialize a portfolio of diabetes compounds. Currently included in the collaboration are Boehringer Ingelheim’s oral diabetes products: Trajenta, Jentadueto</w:t>
      </w:r>
      <w:r>
        <w:rPr>
          <w:rFonts w:ascii="Arial" w:cs="Arial" w:eastAsia="Arial" w:hAnsi="Arial"/>
          <w:sz w:val="21"/>
          <w:szCs w:val="21"/>
          <w:color w:val="auto"/>
          <w:vertAlign w:val="superscript"/>
        </w:rPr>
        <w:t>®</w:t>
      </w:r>
      <w:r>
        <w:rPr>
          <w:rFonts w:ascii="Arial" w:cs="Arial" w:eastAsia="Arial" w:hAnsi="Arial"/>
          <w:sz w:val="18"/>
          <w:szCs w:val="18"/>
          <w:color w:val="auto"/>
        </w:rPr>
        <w:t>, Jardiance, Glyxambi</w:t>
      </w:r>
      <w:r>
        <w:rPr>
          <w:rFonts w:ascii="Arial" w:cs="Arial" w:eastAsia="Arial" w:hAnsi="Arial"/>
          <w:sz w:val="21"/>
          <w:szCs w:val="21"/>
          <w:color w:val="auto"/>
          <w:vertAlign w:val="superscript"/>
        </w:rPr>
        <w:t>®</w:t>
      </w:r>
      <w:r>
        <w:rPr>
          <w:rFonts w:ascii="Arial" w:cs="Arial" w:eastAsia="Arial" w:hAnsi="Arial"/>
          <w:sz w:val="18"/>
          <w:szCs w:val="18"/>
          <w:color w:val="auto"/>
        </w:rPr>
        <w:t>, and Synjardy</w:t>
      </w:r>
      <w:r>
        <w:rPr>
          <w:rFonts w:ascii="Arial" w:cs="Arial" w:eastAsia="Arial" w:hAnsi="Arial"/>
          <w:sz w:val="21"/>
          <w:szCs w:val="21"/>
          <w:color w:val="auto"/>
          <w:vertAlign w:val="superscript"/>
        </w:rPr>
        <w:t>®</w:t>
      </w:r>
      <w:r>
        <w:rPr>
          <w:rFonts w:ascii="Arial" w:cs="Arial" w:eastAsia="Arial" w:hAnsi="Arial"/>
          <w:sz w:val="18"/>
          <w:szCs w:val="18"/>
          <w:color w:val="auto"/>
        </w:rPr>
        <w:t>, as well as our basal insulin: Basaglar</w:t>
      </w:r>
      <w:r>
        <w:rPr>
          <w:rFonts w:ascii="Arial" w:cs="Arial" w:eastAsia="Arial" w:hAnsi="Arial"/>
          <w:sz w:val="21"/>
          <w:szCs w:val="21"/>
          <w:color w:val="auto"/>
          <w:vertAlign w:val="superscript"/>
        </w:rPr>
        <w:t>®</w:t>
      </w:r>
      <w:r>
        <w:rPr>
          <w:rFonts w:ascii="Arial" w:cs="Arial" w:eastAsia="Arial" w:hAnsi="Arial"/>
          <w:sz w:val="18"/>
          <w:szCs w:val="18"/>
          <w:color w:val="auto"/>
        </w:rPr>
        <w:t>.</w:t>
      </w:r>
    </w:p>
    <w:p>
      <w:pPr>
        <w:spacing w:after="0" w:line="43" w:lineRule="exact"/>
        <w:rPr>
          <w:sz w:val="20"/>
          <w:szCs w:val="20"/>
          <w:color w:val="auto"/>
        </w:rPr>
      </w:pPr>
    </w:p>
    <w:p>
      <w:pPr>
        <w:ind w:right="460"/>
        <w:spacing w:after="0" w:line="262" w:lineRule="auto"/>
        <w:rPr>
          <w:sz w:val="20"/>
          <w:szCs w:val="20"/>
          <w:color w:val="auto"/>
        </w:rPr>
      </w:pPr>
      <w:r>
        <w:rPr>
          <w:rFonts w:ascii="Arial" w:cs="Arial" w:eastAsia="Arial" w:hAnsi="Arial"/>
          <w:sz w:val="18"/>
          <w:szCs w:val="18"/>
          <w:color w:val="auto"/>
        </w:rPr>
        <w:t>The table below summarizes significant regulatory and commercialization events and milestones (deferred) capitalized for the compounds included in this collaboration:</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7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360" w:type="dxa"/>
            <w:vAlign w:val="bottom"/>
          </w:tcPr>
          <w:p>
            <w:pPr>
              <w:jc w:val="center"/>
              <w:ind w:left="1459"/>
              <w:spacing w:after="0"/>
              <w:rPr>
                <w:sz w:val="20"/>
                <w:szCs w:val="20"/>
                <w:color w:val="auto"/>
              </w:rPr>
            </w:pPr>
            <w:r>
              <w:rPr>
                <w:rFonts w:ascii="Arial" w:cs="Arial" w:eastAsia="Arial" w:hAnsi="Arial"/>
                <w:sz w:val="14"/>
                <w:szCs w:val="14"/>
                <w:b w:val="1"/>
                <w:bCs w:val="1"/>
                <w:color w:val="auto"/>
              </w:rPr>
              <w:t>Milestones</w:t>
            </w:r>
          </w:p>
        </w:tc>
        <w:tc>
          <w:tcPr>
            <w:tcW w:w="36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202"/>
        </w:trPr>
        <w:tc>
          <w:tcPr>
            <w:tcW w:w="1740" w:type="dxa"/>
            <w:vAlign w:val="bottom"/>
          </w:tcPr>
          <w:p>
            <w:pPr>
              <w:spacing w:after="0"/>
              <w:rPr>
                <w:sz w:val="17"/>
                <w:szCs w:val="17"/>
                <w:color w:val="auto"/>
              </w:rPr>
            </w:pPr>
          </w:p>
        </w:tc>
        <w:tc>
          <w:tcPr>
            <w:tcW w:w="1380" w:type="dxa"/>
            <w:vAlign w:val="bottom"/>
            <w:tcBorders>
              <w:bottom w:val="single" w:sz="8" w:color="auto"/>
            </w:tcBorders>
          </w:tcPr>
          <w:p>
            <w:pPr>
              <w:spacing w:after="0"/>
              <w:rPr>
                <w:sz w:val="17"/>
                <w:szCs w:val="17"/>
                <w:color w:val="auto"/>
              </w:rPr>
            </w:pPr>
          </w:p>
        </w:tc>
        <w:tc>
          <w:tcPr>
            <w:tcW w:w="1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Year Launched</w:t>
            </w:r>
          </w:p>
        </w:tc>
        <w:tc>
          <w:tcPr>
            <w:tcW w:w="138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3360" w:type="dxa"/>
            <w:vAlign w:val="bottom"/>
            <w:tcBorders>
              <w:bottom w:val="single" w:sz="8" w:color="auto"/>
            </w:tcBorders>
          </w:tcPr>
          <w:p>
            <w:pPr>
              <w:jc w:val="center"/>
              <w:ind w:left="1459"/>
              <w:spacing w:after="0"/>
              <w:rPr>
                <w:sz w:val="20"/>
                <w:szCs w:val="20"/>
                <w:color w:val="auto"/>
              </w:rPr>
            </w:pPr>
            <w:r>
              <w:rPr>
                <w:rFonts w:ascii="Arial" w:cs="Arial" w:eastAsia="Arial" w:hAnsi="Arial"/>
                <w:sz w:val="14"/>
                <w:szCs w:val="14"/>
                <w:b w:val="1"/>
                <w:bCs w:val="1"/>
                <w:color w:val="auto"/>
                <w:w w:val="99"/>
              </w:rPr>
              <w:t xml:space="preserve">(Deferred) Capitalized </w:t>
            </w:r>
            <w:r>
              <w:rPr>
                <w:rFonts w:ascii="Arial" w:cs="Arial" w:eastAsia="Arial" w:hAnsi="Arial"/>
                <w:sz w:val="17"/>
                <w:szCs w:val="17"/>
                <w:b w:val="1"/>
                <w:bCs w:val="1"/>
                <w:color w:val="auto"/>
                <w:w w:val="99"/>
                <w:vertAlign w:val="superscript"/>
              </w:rPr>
              <w:t>(1)</w:t>
            </w:r>
          </w:p>
        </w:tc>
        <w:tc>
          <w:tcPr>
            <w:tcW w:w="3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spacing w:after="0"/>
              <w:rPr>
                <w:sz w:val="17"/>
                <w:szCs w:val="17"/>
                <w:color w:val="auto"/>
              </w:rPr>
            </w:pPr>
          </w:p>
        </w:tc>
      </w:tr>
      <w:tr>
        <w:trPr>
          <w:trHeight w:val="198"/>
        </w:trPr>
        <w:tc>
          <w:tcPr>
            <w:tcW w:w="1740" w:type="dxa"/>
            <w:vAlign w:val="bottom"/>
          </w:tcPr>
          <w:p>
            <w:pPr>
              <w:ind w:left="300"/>
              <w:spacing w:after="0"/>
              <w:rPr>
                <w:sz w:val="20"/>
                <w:szCs w:val="20"/>
                <w:color w:val="auto"/>
              </w:rPr>
            </w:pPr>
            <w:r>
              <w:rPr>
                <w:rFonts w:ascii="Arial" w:cs="Arial" w:eastAsia="Arial" w:hAnsi="Arial"/>
                <w:sz w:val="14"/>
                <w:szCs w:val="14"/>
                <w:b w:val="1"/>
                <w:bCs w:val="1"/>
                <w:color w:val="auto"/>
              </w:rPr>
              <w:t>Product Family</w:t>
            </w:r>
          </w:p>
        </w:tc>
        <w:tc>
          <w:tcPr>
            <w:tcW w:w="1380" w:type="dxa"/>
            <w:vAlign w:val="bottom"/>
          </w:tcPr>
          <w:p>
            <w:pPr>
              <w:jc w:val="center"/>
              <w:ind w:left="14"/>
              <w:spacing w:after="0"/>
              <w:rPr>
                <w:sz w:val="20"/>
                <w:szCs w:val="20"/>
                <w:color w:val="auto"/>
              </w:rPr>
            </w:pPr>
            <w:r>
              <w:rPr>
                <w:rFonts w:ascii="Arial" w:cs="Arial" w:eastAsia="Arial" w:hAnsi="Arial"/>
                <w:sz w:val="14"/>
                <w:szCs w:val="14"/>
                <w:b w:val="1"/>
                <w:bCs w:val="1"/>
                <w:color w:val="auto"/>
              </w:rPr>
              <w:t>U.S.</w:t>
            </w:r>
          </w:p>
        </w:tc>
        <w:tc>
          <w:tcPr>
            <w:tcW w:w="1900" w:type="dxa"/>
            <w:vAlign w:val="bottom"/>
          </w:tcPr>
          <w:p>
            <w:pPr>
              <w:jc w:val="center"/>
              <w:spacing w:after="0"/>
              <w:rPr>
                <w:sz w:val="20"/>
                <w:szCs w:val="20"/>
                <w:color w:val="auto"/>
              </w:rPr>
            </w:pPr>
            <w:r>
              <w:rPr>
                <w:rFonts w:ascii="Arial" w:cs="Arial" w:eastAsia="Arial" w:hAnsi="Arial"/>
                <w:sz w:val="14"/>
                <w:szCs w:val="14"/>
                <w:b w:val="1"/>
                <w:bCs w:val="1"/>
                <w:color w:val="auto"/>
              </w:rPr>
              <w:t>Europe</w:t>
            </w:r>
          </w:p>
        </w:tc>
        <w:tc>
          <w:tcPr>
            <w:tcW w:w="1500" w:type="dxa"/>
            <w:vAlign w:val="bottom"/>
            <w:gridSpan w:val="2"/>
          </w:tcPr>
          <w:p>
            <w:pPr>
              <w:ind w:left="440"/>
              <w:spacing w:after="0"/>
              <w:rPr>
                <w:sz w:val="20"/>
                <w:szCs w:val="20"/>
                <w:color w:val="auto"/>
              </w:rPr>
            </w:pPr>
            <w:r>
              <w:rPr>
                <w:rFonts w:ascii="Arial" w:cs="Arial" w:eastAsia="Arial" w:hAnsi="Arial"/>
                <w:sz w:val="14"/>
                <w:szCs w:val="14"/>
                <w:b w:val="1"/>
                <w:bCs w:val="1"/>
                <w:color w:val="auto"/>
              </w:rPr>
              <w:t>Japan</w:t>
            </w:r>
          </w:p>
        </w:tc>
        <w:tc>
          <w:tcPr>
            <w:tcW w:w="3360" w:type="dxa"/>
            <w:vAlign w:val="bottom"/>
          </w:tcPr>
          <w:p>
            <w:pPr>
              <w:jc w:val="center"/>
              <w:spacing w:after="0"/>
              <w:rPr>
                <w:sz w:val="20"/>
                <w:szCs w:val="20"/>
                <w:color w:val="auto"/>
              </w:rPr>
            </w:pPr>
            <w:r>
              <w:rPr>
                <w:rFonts w:ascii="Arial" w:cs="Arial" w:eastAsia="Arial" w:hAnsi="Arial"/>
                <w:sz w:val="14"/>
                <w:szCs w:val="14"/>
                <w:b w:val="1"/>
                <w:bCs w:val="1"/>
                <w:color w:val="auto"/>
                <w:w w:val="98"/>
              </w:rPr>
              <w:t>Year</w:t>
            </w:r>
          </w:p>
        </w:tc>
        <w:tc>
          <w:tcPr>
            <w:tcW w:w="360" w:type="dxa"/>
            <w:vAlign w:val="bottom"/>
          </w:tcPr>
          <w:p>
            <w:pPr>
              <w:spacing w:after="0"/>
              <w:rPr>
                <w:sz w:val="17"/>
                <w:szCs w:val="17"/>
                <w:color w:val="auto"/>
              </w:rPr>
            </w:pPr>
          </w:p>
        </w:tc>
        <w:tc>
          <w:tcPr>
            <w:tcW w:w="1180" w:type="dxa"/>
            <w:vAlign w:val="bottom"/>
          </w:tcPr>
          <w:p>
            <w:pPr>
              <w:jc w:val="right"/>
              <w:ind w:right="394"/>
              <w:spacing w:after="0"/>
              <w:rPr>
                <w:sz w:val="20"/>
                <w:szCs w:val="20"/>
                <w:color w:val="auto"/>
              </w:rPr>
            </w:pPr>
            <w:r>
              <w:rPr>
                <w:rFonts w:ascii="Arial" w:cs="Arial" w:eastAsia="Arial" w:hAnsi="Arial"/>
                <w:sz w:val="14"/>
                <w:szCs w:val="14"/>
                <w:b w:val="1"/>
                <w:bCs w:val="1"/>
                <w:color w:val="auto"/>
              </w:rPr>
              <w:t>Amount</w:t>
            </w:r>
          </w:p>
        </w:tc>
      </w:tr>
      <w:tr>
        <w:trPr>
          <w:trHeight w:val="66"/>
        </w:trPr>
        <w:tc>
          <w:tcPr>
            <w:tcW w:w="1740" w:type="dxa"/>
            <w:vAlign w:val="bottom"/>
            <w:tcBorders>
              <w:bottom w:val="single" w:sz="8" w:color="auto"/>
            </w:tcBorders>
          </w:tcPr>
          <w:p>
            <w:pPr>
              <w:spacing w:after="0"/>
              <w:rPr>
                <w:sz w:val="5"/>
                <w:szCs w:val="5"/>
                <w:color w:val="auto"/>
              </w:rPr>
            </w:pPr>
          </w:p>
        </w:tc>
        <w:tc>
          <w:tcPr>
            <w:tcW w:w="1380" w:type="dxa"/>
            <w:vAlign w:val="bottom"/>
            <w:tcBorders>
              <w:bottom w:val="single" w:sz="8" w:color="auto"/>
            </w:tcBorders>
          </w:tcPr>
          <w:p>
            <w:pPr>
              <w:spacing w:after="0"/>
              <w:rPr>
                <w:sz w:val="5"/>
                <w:szCs w:val="5"/>
                <w:color w:val="auto"/>
              </w:rPr>
            </w:pPr>
          </w:p>
        </w:tc>
        <w:tc>
          <w:tcPr>
            <w:tcW w:w="1900" w:type="dxa"/>
            <w:vAlign w:val="bottom"/>
            <w:tcBorders>
              <w:bottom w:val="single" w:sz="8" w:color="auto"/>
            </w:tcBorders>
          </w:tcPr>
          <w:p>
            <w:pPr>
              <w:spacing w:after="0"/>
              <w:rPr>
                <w:sz w:val="5"/>
                <w:szCs w:val="5"/>
                <w:color w:val="auto"/>
              </w:rPr>
            </w:pPr>
          </w:p>
        </w:tc>
        <w:tc>
          <w:tcPr>
            <w:tcW w:w="138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3360" w:type="dxa"/>
            <w:vAlign w:val="bottom"/>
            <w:tcBorders>
              <w:bottom w:val="single" w:sz="8" w:color="auto"/>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80" w:type="dxa"/>
            <w:vAlign w:val="bottom"/>
            <w:tcBorders>
              <w:bottom w:val="single" w:sz="8" w:color="auto"/>
            </w:tcBorders>
          </w:tcPr>
          <w:p>
            <w:pPr>
              <w:spacing w:after="0"/>
              <w:rPr>
                <w:sz w:val="5"/>
                <w:szCs w:val="5"/>
                <w:color w:val="auto"/>
              </w:rPr>
            </w:pPr>
          </w:p>
        </w:tc>
      </w:tr>
      <w:tr>
        <w:trPr>
          <w:trHeight w:val="264"/>
        </w:trPr>
        <w:tc>
          <w:tcPr>
            <w:tcW w:w="1740" w:type="dxa"/>
            <w:vAlign w:val="bottom"/>
            <w:shd w:val="clear" w:color="auto" w:fill="CCEEFF"/>
          </w:tcPr>
          <w:p>
            <w:pPr>
              <w:ind w:left="40"/>
              <w:spacing w:after="0"/>
              <w:rPr>
                <w:sz w:val="20"/>
                <w:szCs w:val="20"/>
                <w:color w:val="auto"/>
              </w:rPr>
            </w:pPr>
            <w:r>
              <w:rPr>
                <w:rFonts w:ascii="Arial" w:cs="Arial" w:eastAsia="Arial" w:hAnsi="Arial"/>
                <w:sz w:val="18"/>
                <w:szCs w:val="18"/>
                <w:color w:val="auto"/>
              </w:rPr>
              <w:t xml:space="preserve">Trajenta </w:t>
            </w:r>
            <w:r>
              <w:rPr>
                <w:rFonts w:ascii="Arial" w:cs="Arial" w:eastAsia="Arial" w:hAnsi="Arial"/>
                <w:sz w:val="21"/>
                <w:szCs w:val="21"/>
                <w:color w:val="auto"/>
                <w:vertAlign w:val="superscript"/>
              </w:rPr>
              <w:t>(2)</w:t>
            </w:r>
          </w:p>
        </w:tc>
        <w:tc>
          <w:tcPr>
            <w:tcW w:w="1380" w:type="dxa"/>
            <w:vAlign w:val="bottom"/>
            <w:shd w:val="clear" w:color="auto" w:fill="CCEEFF"/>
          </w:tcPr>
          <w:p>
            <w:pPr>
              <w:jc w:val="center"/>
              <w:ind w:left="14"/>
              <w:spacing w:after="0"/>
              <w:rPr>
                <w:sz w:val="20"/>
                <w:szCs w:val="20"/>
                <w:color w:val="auto"/>
              </w:rPr>
            </w:pPr>
            <w:r>
              <w:rPr>
                <w:rFonts w:ascii="Arial" w:cs="Arial" w:eastAsia="Arial" w:hAnsi="Arial"/>
                <w:sz w:val="18"/>
                <w:szCs w:val="18"/>
                <w:color w:val="auto"/>
                <w:w w:val="99"/>
              </w:rPr>
              <w:t>2011</w:t>
            </w:r>
          </w:p>
        </w:tc>
        <w:tc>
          <w:tcPr>
            <w:tcW w:w="19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2011</w:t>
            </w:r>
          </w:p>
        </w:tc>
        <w:tc>
          <w:tcPr>
            <w:tcW w:w="1380" w:type="dxa"/>
            <w:vAlign w:val="bottom"/>
            <w:shd w:val="clear" w:color="auto" w:fill="CCEEFF"/>
          </w:tcPr>
          <w:p>
            <w:pPr>
              <w:ind w:left="460"/>
              <w:spacing w:after="0"/>
              <w:rPr>
                <w:sz w:val="20"/>
                <w:szCs w:val="20"/>
                <w:color w:val="auto"/>
              </w:rPr>
            </w:pPr>
            <w:r>
              <w:rPr>
                <w:rFonts w:ascii="Arial" w:cs="Arial" w:eastAsia="Arial" w:hAnsi="Arial"/>
                <w:sz w:val="18"/>
                <w:szCs w:val="18"/>
                <w:color w:val="auto"/>
              </w:rPr>
              <w:t>2011</w:t>
            </w:r>
          </w:p>
        </w:tc>
        <w:tc>
          <w:tcPr>
            <w:tcW w:w="120" w:type="dxa"/>
            <w:vAlign w:val="bottom"/>
            <w:shd w:val="clear" w:color="auto" w:fill="CCEEFF"/>
          </w:tcPr>
          <w:p>
            <w:pPr>
              <w:spacing w:after="0"/>
              <w:rPr>
                <w:sz w:val="22"/>
                <w:szCs w:val="22"/>
                <w:color w:val="auto"/>
              </w:rPr>
            </w:pPr>
          </w:p>
        </w:tc>
        <w:tc>
          <w:tcPr>
            <w:tcW w:w="3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7"/>
              </w:rPr>
              <w:t xml:space="preserve">Cumulative </w:t>
            </w:r>
            <w:r>
              <w:rPr>
                <w:rFonts w:ascii="Arial" w:cs="Arial" w:eastAsia="Arial" w:hAnsi="Arial"/>
                <w:sz w:val="21"/>
                <w:szCs w:val="21"/>
                <w:color w:val="auto"/>
                <w:w w:val="97"/>
                <w:vertAlign w:val="superscript"/>
              </w:rPr>
              <w:t>(4)</w:t>
            </w:r>
            <w:r>
              <w:rPr>
                <w:rFonts w:ascii="Arial" w:cs="Arial" w:eastAsia="Arial" w:hAnsi="Arial"/>
                <w:sz w:val="18"/>
                <w:szCs w:val="18"/>
                <w:color w:val="auto"/>
                <w:w w:val="97"/>
              </w:rPr>
              <w:t xml:space="preserve"> - all prior to 2017</w:t>
            </w:r>
          </w:p>
        </w:tc>
        <w:tc>
          <w:tcPr>
            <w:tcW w:w="3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446.4</w:t>
            </w:r>
          </w:p>
        </w:tc>
      </w:tr>
      <w:tr>
        <w:trPr>
          <w:trHeight w:val="270"/>
        </w:trPr>
        <w:tc>
          <w:tcPr>
            <w:tcW w:w="1740" w:type="dxa"/>
            <w:vAlign w:val="bottom"/>
          </w:tcPr>
          <w:p>
            <w:pPr>
              <w:ind w:left="40"/>
              <w:spacing w:after="0"/>
              <w:rPr>
                <w:sz w:val="20"/>
                <w:szCs w:val="20"/>
                <w:color w:val="auto"/>
              </w:rPr>
            </w:pPr>
            <w:r>
              <w:rPr>
                <w:rFonts w:ascii="Arial" w:cs="Arial" w:eastAsia="Arial" w:hAnsi="Arial"/>
                <w:sz w:val="18"/>
                <w:szCs w:val="18"/>
                <w:color w:val="auto"/>
              </w:rPr>
              <w:t xml:space="preserve">Jardiance </w:t>
            </w:r>
            <w:r>
              <w:rPr>
                <w:rFonts w:ascii="Arial" w:cs="Arial" w:eastAsia="Arial" w:hAnsi="Arial"/>
                <w:sz w:val="21"/>
                <w:szCs w:val="21"/>
                <w:color w:val="auto"/>
                <w:vertAlign w:val="superscript"/>
              </w:rPr>
              <w:t>(3)</w:t>
            </w:r>
          </w:p>
        </w:tc>
        <w:tc>
          <w:tcPr>
            <w:tcW w:w="1380" w:type="dxa"/>
            <w:vAlign w:val="bottom"/>
          </w:tcPr>
          <w:p>
            <w:pPr>
              <w:jc w:val="center"/>
              <w:ind w:left="14"/>
              <w:spacing w:after="0"/>
              <w:rPr>
                <w:sz w:val="20"/>
                <w:szCs w:val="20"/>
                <w:color w:val="auto"/>
              </w:rPr>
            </w:pPr>
            <w:r>
              <w:rPr>
                <w:rFonts w:ascii="Arial" w:cs="Arial" w:eastAsia="Arial" w:hAnsi="Arial"/>
                <w:sz w:val="18"/>
                <w:szCs w:val="18"/>
                <w:color w:val="auto"/>
                <w:w w:val="99"/>
              </w:rPr>
              <w:t>2014</w:t>
            </w:r>
          </w:p>
        </w:tc>
        <w:tc>
          <w:tcPr>
            <w:tcW w:w="1900" w:type="dxa"/>
            <w:vAlign w:val="bottom"/>
          </w:tcPr>
          <w:p>
            <w:pPr>
              <w:jc w:val="center"/>
              <w:spacing w:after="0"/>
              <w:rPr>
                <w:sz w:val="20"/>
                <w:szCs w:val="20"/>
                <w:color w:val="auto"/>
              </w:rPr>
            </w:pPr>
            <w:r>
              <w:rPr>
                <w:rFonts w:ascii="Arial" w:cs="Arial" w:eastAsia="Arial" w:hAnsi="Arial"/>
                <w:sz w:val="18"/>
                <w:szCs w:val="18"/>
                <w:color w:val="auto"/>
                <w:w w:val="99"/>
              </w:rPr>
              <w:t>2014</w:t>
            </w:r>
          </w:p>
        </w:tc>
        <w:tc>
          <w:tcPr>
            <w:tcW w:w="1380" w:type="dxa"/>
            <w:vAlign w:val="bottom"/>
          </w:tcPr>
          <w:p>
            <w:pPr>
              <w:ind w:left="460"/>
              <w:spacing w:after="0"/>
              <w:rPr>
                <w:sz w:val="20"/>
                <w:szCs w:val="20"/>
                <w:color w:val="auto"/>
              </w:rPr>
            </w:pPr>
            <w:r>
              <w:rPr>
                <w:rFonts w:ascii="Arial" w:cs="Arial" w:eastAsia="Arial" w:hAnsi="Arial"/>
                <w:sz w:val="18"/>
                <w:szCs w:val="18"/>
                <w:color w:val="auto"/>
              </w:rPr>
              <w:t>2015</w:t>
            </w:r>
          </w:p>
        </w:tc>
        <w:tc>
          <w:tcPr>
            <w:tcW w:w="120" w:type="dxa"/>
            <w:vAlign w:val="bottom"/>
          </w:tcPr>
          <w:p>
            <w:pPr>
              <w:spacing w:after="0"/>
              <w:rPr>
                <w:sz w:val="23"/>
                <w:szCs w:val="23"/>
                <w:color w:val="auto"/>
              </w:rPr>
            </w:pPr>
          </w:p>
        </w:tc>
        <w:tc>
          <w:tcPr>
            <w:tcW w:w="3360" w:type="dxa"/>
            <w:vAlign w:val="bottom"/>
          </w:tcPr>
          <w:p>
            <w:pPr>
              <w:jc w:val="center"/>
              <w:spacing w:after="0"/>
              <w:rPr>
                <w:sz w:val="20"/>
                <w:szCs w:val="20"/>
                <w:color w:val="auto"/>
              </w:rPr>
            </w:pPr>
            <w:r>
              <w:rPr>
                <w:rFonts w:ascii="Arial" w:cs="Arial" w:eastAsia="Arial" w:hAnsi="Arial"/>
                <w:sz w:val="18"/>
                <w:szCs w:val="18"/>
                <w:color w:val="auto"/>
                <w:w w:val="97"/>
              </w:rPr>
              <w:t xml:space="preserve">Cumulative </w:t>
            </w:r>
            <w:r>
              <w:rPr>
                <w:rFonts w:ascii="Arial" w:cs="Arial" w:eastAsia="Arial" w:hAnsi="Arial"/>
                <w:sz w:val="21"/>
                <w:szCs w:val="21"/>
                <w:color w:val="auto"/>
                <w:w w:val="97"/>
                <w:vertAlign w:val="superscript"/>
              </w:rPr>
              <w:t>(4)</w:t>
            </w:r>
            <w:r>
              <w:rPr>
                <w:rFonts w:ascii="Arial" w:cs="Arial" w:eastAsia="Arial" w:hAnsi="Arial"/>
                <w:sz w:val="18"/>
                <w:szCs w:val="18"/>
                <w:color w:val="auto"/>
                <w:w w:val="97"/>
              </w:rPr>
              <w:t xml:space="preserve"> - all prior to 2017</w:t>
            </w:r>
          </w:p>
        </w:tc>
        <w:tc>
          <w:tcPr>
            <w:tcW w:w="360" w:type="dxa"/>
            <w:vAlign w:val="bottom"/>
          </w:tcPr>
          <w:p>
            <w:pPr>
              <w:spacing w:after="0"/>
              <w:rPr>
                <w:sz w:val="23"/>
                <w:szCs w:val="23"/>
                <w:color w:val="auto"/>
              </w:rPr>
            </w:pPr>
          </w:p>
        </w:tc>
        <w:tc>
          <w:tcPr>
            <w:tcW w:w="1180" w:type="dxa"/>
            <w:vAlign w:val="bottom"/>
          </w:tcPr>
          <w:p>
            <w:pPr>
              <w:jc w:val="right"/>
              <w:ind w:right="14"/>
              <w:spacing w:after="0"/>
              <w:rPr>
                <w:sz w:val="20"/>
                <w:szCs w:val="20"/>
                <w:color w:val="auto"/>
              </w:rPr>
            </w:pPr>
            <w:r>
              <w:rPr>
                <w:rFonts w:ascii="Arial" w:cs="Arial" w:eastAsia="Arial" w:hAnsi="Arial"/>
                <w:sz w:val="18"/>
                <w:szCs w:val="18"/>
                <w:color w:val="auto"/>
              </w:rPr>
              <w:t>299.5</w:t>
            </w:r>
          </w:p>
        </w:tc>
      </w:tr>
      <w:tr>
        <w:trPr>
          <w:trHeight w:val="270"/>
        </w:trPr>
        <w:tc>
          <w:tcPr>
            <w:tcW w:w="1740" w:type="dxa"/>
            <w:vAlign w:val="bottom"/>
            <w:shd w:val="clear" w:color="auto" w:fill="CCEEFF"/>
          </w:tcPr>
          <w:p>
            <w:pPr>
              <w:ind w:left="40"/>
              <w:spacing w:after="0"/>
              <w:rPr>
                <w:sz w:val="20"/>
                <w:szCs w:val="20"/>
                <w:color w:val="auto"/>
              </w:rPr>
            </w:pPr>
            <w:r>
              <w:rPr>
                <w:rFonts w:ascii="Arial" w:cs="Arial" w:eastAsia="Arial" w:hAnsi="Arial"/>
                <w:sz w:val="18"/>
                <w:szCs w:val="18"/>
                <w:color w:val="auto"/>
              </w:rPr>
              <w:t>Basaglar</w:t>
            </w:r>
          </w:p>
        </w:tc>
        <w:tc>
          <w:tcPr>
            <w:tcW w:w="1380" w:type="dxa"/>
            <w:vAlign w:val="bottom"/>
            <w:shd w:val="clear" w:color="auto" w:fill="CCEEFF"/>
          </w:tcPr>
          <w:p>
            <w:pPr>
              <w:jc w:val="center"/>
              <w:ind w:left="14"/>
              <w:spacing w:after="0"/>
              <w:rPr>
                <w:sz w:val="20"/>
                <w:szCs w:val="20"/>
                <w:color w:val="auto"/>
              </w:rPr>
            </w:pPr>
            <w:r>
              <w:rPr>
                <w:rFonts w:ascii="Arial" w:cs="Arial" w:eastAsia="Arial" w:hAnsi="Arial"/>
                <w:sz w:val="18"/>
                <w:szCs w:val="18"/>
                <w:color w:val="auto"/>
                <w:w w:val="99"/>
              </w:rPr>
              <w:t>2016</w:t>
            </w:r>
          </w:p>
        </w:tc>
        <w:tc>
          <w:tcPr>
            <w:tcW w:w="19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2015</w:t>
            </w:r>
          </w:p>
        </w:tc>
        <w:tc>
          <w:tcPr>
            <w:tcW w:w="1380" w:type="dxa"/>
            <w:vAlign w:val="bottom"/>
            <w:shd w:val="clear" w:color="auto" w:fill="CCEEFF"/>
          </w:tcPr>
          <w:p>
            <w:pPr>
              <w:ind w:left="460"/>
              <w:spacing w:after="0"/>
              <w:rPr>
                <w:sz w:val="20"/>
                <w:szCs w:val="20"/>
                <w:color w:val="auto"/>
              </w:rPr>
            </w:pPr>
            <w:r>
              <w:rPr>
                <w:rFonts w:ascii="Arial" w:cs="Arial" w:eastAsia="Arial" w:hAnsi="Arial"/>
                <w:sz w:val="18"/>
                <w:szCs w:val="18"/>
                <w:color w:val="auto"/>
              </w:rPr>
              <w:t>2015</w:t>
            </w:r>
          </w:p>
        </w:tc>
        <w:tc>
          <w:tcPr>
            <w:tcW w:w="120" w:type="dxa"/>
            <w:vAlign w:val="bottom"/>
            <w:shd w:val="clear" w:color="auto" w:fill="CCEEFF"/>
          </w:tcPr>
          <w:p>
            <w:pPr>
              <w:spacing w:after="0"/>
              <w:rPr>
                <w:sz w:val="23"/>
                <w:szCs w:val="23"/>
                <w:color w:val="auto"/>
              </w:rPr>
            </w:pPr>
          </w:p>
        </w:tc>
        <w:tc>
          <w:tcPr>
            <w:tcW w:w="3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8"/>
              </w:rPr>
              <w:t xml:space="preserve">Cumulative </w:t>
            </w:r>
            <w:r>
              <w:rPr>
                <w:rFonts w:ascii="Arial" w:cs="Arial" w:eastAsia="Arial" w:hAnsi="Arial"/>
                <w:sz w:val="21"/>
                <w:szCs w:val="21"/>
                <w:color w:val="auto"/>
                <w:w w:val="98"/>
                <w:vertAlign w:val="superscript"/>
              </w:rPr>
              <w:t>(4)</w:t>
            </w:r>
            <w:r>
              <w:rPr>
                <w:rFonts w:ascii="Arial" w:cs="Arial" w:eastAsia="Arial" w:hAnsi="Arial"/>
                <w:sz w:val="18"/>
                <w:szCs w:val="18"/>
                <w:color w:val="auto"/>
                <w:w w:val="98"/>
              </w:rPr>
              <w:t xml:space="preserve"> - all prior to 2017</w:t>
            </w:r>
          </w:p>
        </w:tc>
        <w:tc>
          <w:tcPr>
            <w:tcW w:w="360" w:type="dxa"/>
            <w:vAlign w:val="bottom"/>
            <w:shd w:val="clear" w:color="auto" w:fill="CCEEFF"/>
          </w:tcPr>
          <w:p>
            <w:pPr>
              <w:spacing w:after="0"/>
              <w:rPr>
                <w:sz w:val="23"/>
                <w:szCs w:val="23"/>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w:t>
            </w:r>
          </w:p>
        </w:tc>
      </w:tr>
    </w:tbl>
    <w:p>
      <w:pPr>
        <w:spacing w:after="0" w:line="113" w:lineRule="exact"/>
        <w:rPr>
          <w:sz w:val="20"/>
          <w:szCs w:val="20"/>
          <w:color w:val="auto"/>
        </w:rPr>
      </w:pPr>
    </w:p>
    <w:p>
      <w:pPr>
        <w:ind w:left="180" w:right="400" w:hanging="172"/>
        <w:spacing w:after="0" w:line="230" w:lineRule="auto"/>
        <w:tabs>
          <w:tab w:leader="none" w:pos="153" w:val="left"/>
        </w:tabs>
        <w:numPr>
          <w:ilvl w:val="0"/>
          <w:numId w:val="9"/>
        </w:numPr>
        <w:rPr>
          <w:rFonts w:ascii="Arial" w:cs="Arial" w:eastAsia="Arial" w:hAnsi="Arial"/>
          <w:sz w:val="17"/>
          <w:szCs w:val="17"/>
          <w:color w:val="auto"/>
          <w:vertAlign w:val="superscript"/>
        </w:rPr>
      </w:pPr>
      <w:r>
        <w:rPr>
          <w:rFonts w:ascii="Arial" w:cs="Arial" w:eastAsia="Arial" w:hAnsi="Arial"/>
          <w:sz w:val="14"/>
          <w:szCs w:val="14"/>
          <w:color w:val="auto"/>
        </w:rPr>
        <w:t>In connection with the regulatory approvals of Basaglar in the U.S., Europe, and Japan, milestone payments received were recorded as contract liabilities and are being amortized through the term of the collaboration (2029) to collaboration and other revenue. In connection with the regulatory approvals of Trajenta and Jardiance, milestone payments made were capitalized as intangible assets and are being amortized to cost of sales.</w:t>
      </w:r>
    </w:p>
    <w:p>
      <w:pPr>
        <w:spacing w:after="0" w:line="86" w:lineRule="exact"/>
        <w:rPr>
          <w:rFonts w:ascii="Arial" w:cs="Arial" w:eastAsia="Arial" w:hAnsi="Arial"/>
          <w:sz w:val="17"/>
          <w:szCs w:val="17"/>
          <w:color w:val="auto"/>
          <w:vertAlign w:val="superscript"/>
        </w:rPr>
      </w:pPr>
    </w:p>
    <w:p>
      <w:pPr>
        <w:ind w:left="140" w:hanging="132"/>
        <w:spacing w:after="0"/>
        <w:tabs>
          <w:tab w:leader="none" w:pos="140" w:val="left"/>
        </w:tabs>
        <w:numPr>
          <w:ilvl w:val="0"/>
          <w:numId w:val="9"/>
        </w:numPr>
        <w:rPr>
          <w:rFonts w:ascii="Arial" w:cs="Arial" w:eastAsia="Arial" w:hAnsi="Arial"/>
          <w:sz w:val="16"/>
          <w:szCs w:val="16"/>
          <w:color w:val="auto"/>
          <w:vertAlign w:val="superscript"/>
        </w:rPr>
      </w:pPr>
      <w:r>
        <w:rPr>
          <w:rFonts w:ascii="Arial" w:cs="Arial" w:eastAsia="Arial" w:hAnsi="Arial"/>
          <w:sz w:val="13"/>
          <w:szCs w:val="13"/>
          <w:color w:val="auto"/>
        </w:rPr>
        <w:t>Jentadueto is included in the Trajenta product family.</w:t>
      </w:r>
    </w:p>
    <w:p>
      <w:pPr>
        <w:spacing w:after="0" w:line="86" w:lineRule="exact"/>
        <w:rPr>
          <w:rFonts w:ascii="Arial" w:cs="Arial" w:eastAsia="Arial" w:hAnsi="Arial"/>
          <w:sz w:val="16"/>
          <w:szCs w:val="16"/>
          <w:color w:val="auto"/>
          <w:vertAlign w:val="superscript"/>
        </w:rPr>
      </w:pPr>
    </w:p>
    <w:p>
      <w:pPr>
        <w:ind w:left="140" w:hanging="132"/>
        <w:spacing w:after="0"/>
        <w:tabs>
          <w:tab w:leader="none" w:pos="140" w:val="left"/>
        </w:tabs>
        <w:numPr>
          <w:ilvl w:val="0"/>
          <w:numId w:val="9"/>
        </w:numPr>
        <w:rPr>
          <w:rFonts w:ascii="Arial" w:cs="Arial" w:eastAsia="Arial" w:hAnsi="Arial"/>
          <w:sz w:val="16"/>
          <w:szCs w:val="16"/>
          <w:color w:val="auto"/>
          <w:vertAlign w:val="superscript"/>
        </w:rPr>
      </w:pPr>
      <w:r>
        <w:rPr>
          <w:rFonts w:ascii="Arial" w:cs="Arial" w:eastAsia="Arial" w:hAnsi="Arial"/>
          <w:sz w:val="13"/>
          <w:szCs w:val="13"/>
          <w:color w:val="auto"/>
        </w:rPr>
        <w:t>Glyxambi and Synjardy are included in the Jardiance product family.</w:t>
      </w:r>
    </w:p>
    <w:p>
      <w:pPr>
        <w:spacing w:after="0" w:line="86" w:lineRule="exact"/>
        <w:rPr>
          <w:rFonts w:ascii="Arial" w:cs="Arial" w:eastAsia="Arial" w:hAnsi="Arial"/>
          <w:sz w:val="16"/>
          <w:szCs w:val="16"/>
          <w:color w:val="auto"/>
          <w:vertAlign w:val="superscript"/>
        </w:rPr>
      </w:pPr>
    </w:p>
    <w:p>
      <w:pPr>
        <w:ind w:left="140" w:hanging="132"/>
        <w:spacing w:after="0"/>
        <w:tabs>
          <w:tab w:leader="none" w:pos="140" w:val="left"/>
        </w:tabs>
        <w:numPr>
          <w:ilvl w:val="0"/>
          <w:numId w:val="9"/>
        </w:numPr>
        <w:rPr>
          <w:rFonts w:ascii="Arial" w:cs="Arial" w:eastAsia="Arial" w:hAnsi="Arial"/>
          <w:sz w:val="16"/>
          <w:szCs w:val="16"/>
          <w:color w:val="auto"/>
          <w:vertAlign w:val="superscript"/>
        </w:rPr>
      </w:pPr>
      <w:r>
        <w:rPr>
          <w:rFonts w:ascii="Arial" w:cs="Arial" w:eastAsia="Arial" w:hAnsi="Arial"/>
          <w:sz w:val="13"/>
          <w:szCs w:val="13"/>
          <w:color w:val="auto"/>
        </w:rPr>
        <w:t>The cumulative amount represents the total initial amounts that were (deferred) or capitalized from the start of this collaboration through the end of the reporting period.</w:t>
      </w: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706" w:right="239" w:bottom="1440" w:gutter="0" w:footer="0" w:header="0"/>
        </w:sectPr>
      </w:pPr>
    </w:p>
    <w:bookmarkStart w:id="15" w:name="page16"/>
    <w:bookmarkEnd w:id="15"/>
    <w:p>
      <w:pPr>
        <w:spacing w:after="0" w:line="251" w:lineRule="auto"/>
        <w:rPr>
          <w:sz w:val="20"/>
          <w:szCs w:val="20"/>
          <w:color w:val="auto"/>
        </w:rPr>
      </w:pPr>
      <w:r>
        <w:rPr>
          <w:rFonts w:ascii="Arial" w:cs="Arial" w:eastAsia="Arial" w:hAnsi="Arial"/>
          <w:sz w:val="18"/>
          <w:szCs w:val="18"/>
          <w:color w:val="auto"/>
        </w:rPr>
        <w:t>In the most significant markets, we and Boehringer Ingelheim share equally the ongoing development costs, commercialization costs, and agreed upon gross margin for any product resulting from the collaboration. We record our portion of the gross margin associated with Boehringer Ingelheim's compounds as collaboration and other revenue. We record our sales of Basaglar to third parties as net product revenue with the payments made to Boehringer Ingelheim for their portion of the gross margin recorded as cost of sales. For all compounds under this collaboration, we record our portion of the development and commercialization costs as research and development expense and marketing, selling, and administrative expense, respectively. Each company is entitled to potential performance payments depending on the sales of the molecules it contributes to the collaboration. These performance payments result in the owner of the molecule retaining a greater share of the agreed upon gross margin of that product. Subject to achieving these thresholds, in a given period, our reported revenue for Trajenta and Jardiance may be reduced by any performance payments we make related to these products. Similarly, performance payments we may receive related to Basaglar effectively reduce Boehringer Ingelheim's share of the gross margin, which reduces our cost of sales.</w:t>
      </w:r>
    </w:p>
    <w:p>
      <w:pPr>
        <w:spacing w:after="0" w:line="104" w:lineRule="exact"/>
        <w:rPr>
          <w:sz w:val="20"/>
          <w:szCs w:val="20"/>
          <w:color w:val="auto"/>
        </w:rPr>
      </w:pPr>
    </w:p>
    <w:p>
      <w:pPr>
        <w:ind w:right="80"/>
        <w:spacing w:after="0" w:line="262" w:lineRule="auto"/>
        <w:rPr>
          <w:sz w:val="20"/>
          <w:szCs w:val="20"/>
          <w:color w:val="auto"/>
        </w:rPr>
      </w:pPr>
      <w:r>
        <w:rPr>
          <w:rFonts w:ascii="Arial" w:cs="Arial" w:eastAsia="Arial" w:hAnsi="Arial"/>
          <w:sz w:val="18"/>
          <w:szCs w:val="18"/>
          <w:color w:val="auto"/>
        </w:rPr>
        <w:t>The following table summarizes our collaboration and other revenue recognized with respect to the Trajenta and Jardiance families of products and net product revenue recognized with respect to Basaglar:</w:t>
      </w:r>
    </w:p>
    <w:p>
      <w:pPr>
        <w:spacing w:after="0" w:line="130" w:lineRule="exact"/>
        <w:rPr>
          <w:sz w:val="20"/>
          <w:szCs w:val="20"/>
          <w:color w:val="auto"/>
        </w:rPr>
      </w:pPr>
    </w:p>
    <w:p>
      <w:pPr>
        <w:ind w:left="9600"/>
        <w:spacing w:after="0"/>
        <w:rPr>
          <w:sz w:val="20"/>
          <w:szCs w:val="20"/>
          <w:color w:val="auto"/>
        </w:rPr>
      </w:pPr>
      <w:r>
        <w:rPr>
          <w:rFonts w:ascii="Arial" w:cs="Arial" w:eastAsia="Arial" w:hAnsi="Arial"/>
          <w:sz w:val="14"/>
          <w:szCs w:val="14"/>
          <w:b w:val="1"/>
          <w:bCs w:val="1"/>
          <w:color w:val="auto"/>
        </w:rPr>
        <w:t>Three Months Ended</w:t>
      </w:r>
    </w:p>
    <w:p>
      <w:pPr>
        <w:spacing w:after="0" w:line="19" w:lineRule="exact"/>
        <w:rPr>
          <w:sz w:val="20"/>
          <w:szCs w:val="20"/>
          <w:color w:val="auto"/>
        </w:rPr>
      </w:pPr>
    </w:p>
    <w:p>
      <w:pPr>
        <w:ind w:left="1000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5862320</wp:posOffset>
            </wp:positionH>
            <wp:positionV relativeFrom="paragraph">
              <wp:posOffset>14605</wp:posOffset>
            </wp:positionV>
            <wp:extent cx="138938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389380" cy="8890"/>
                    </a:xfrm>
                    <a:prstGeom prst="rect">
                      <a:avLst/>
                    </a:prstGeom>
                    <a:noFill/>
                  </pic:spPr>
                </pic:pic>
              </a:graphicData>
            </a:graphic>
          </wp:anchor>
        </w:drawing>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040" w:type="dxa"/>
            <w:vAlign w:val="bottom"/>
            <w:tcBorders>
              <w:bottom w:val="single" w:sz="8" w:color="auto"/>
            </w:tcBorders>
          </w:tcPr>
          <w:p>
            <w:pPr>
              <w:spacing w:after="0"/>
              <w:rPr>
                <w:sz w:val="17"/>
                <w:szCs w:val="17"/>
                <w:color w:val="auto"/>
              </w:rPr>
            </w:pPr>
          </w:p>
        </w:tc>
        <w:tc>
          <w:tcPr>
            <w:tcW w:w="44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2018</w:t>
            </w:r>
          </w:p>
        </w:tc>
        <w:tc>
          <w:tcPr>
            <w:tcW w:w="3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2017</w:t>
            </w:r>
          </w:p>
        </w:tc>
      </w:tr>
      <w:tr>
        <w:trPr>
          <w:trHeight w:val="270"/>
        </w:trPr>
        <w:tc>
          <w:tcPr>
            <w:tcW w:w="5040" w:type="dxa"/>
            <w:vAlign w:val="bottom"/>
            <w:shd w:val="clear" w:color="auto" w:fill="CCEEFF"/>
          </w:tcPr>
          <w:p>
            <w:pPr>
              <w:ind w:left="40"/>
              <w:spacing w:after="0"/>
              <w:rPr>
                <w:sz w:val="20"/>
                <w:szCs w:val="20"/>
                <w:color w:val="auto"/>
              </w:rPr>
            </w:pPr>
            <w:r>
              <w:rPr>
                <w:rFonts w:ascii="Arial" w:cs="Arial" w:eastAsia="Arial" w:hAnsi="Arial"/>
                <w:sz w:val="18"/>
                <w:szCs w:val="18"/>
                <w:color w:val="auto"/>
              </w:rPr>
              <w:t>Basaglar</w:t>
            </w:r>
          </w:p>
        </w:tc>
        <w:tc>
          <w:tcPr>
            <w:tcW w:w="444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w:t>
            </w:r>
          </w:p>
        </w:tc>
        <w:tc>
          <w:tcPr>
            <w:tcW w:w="800" w:type="dxa"/>
            <w:vAlign w:val="bottom"/>
            <w:shd w:val="clear" w:color="auto" w:fill="CCEEFF"/>
          </w:tcPr>
          <w:p>
            <w:pPr>
              <w:jc w:val="right"/>
              <w:ind w:right="34"/>
              <w:spacing w:after="0"/>
              <w:rPr>
                <w:sz w:val="20"/>
                <w:szCs w:val="20"/>
                <w:color w:val="auto"/>
              </w:rPr>
            </w:pPr>
            <w:r>
              <w:rPr>
                <w:rFonts w:ascii="Arial" w:cs="Arial" w:eastAsia="Arial" w:hAnsi="Arial"/>
                <w:sz w:val="18"/>
                <w:szCs w:val="18"/>
                <w:b w:val="1"/>
                <w:bCs w:val="1"/>
                <w:color w:val="auto"/>
              </w:rPr>
              <w:t>166.0</w:t>
            </w:r>
          </w:p>
        </w:tc>
        <w:tc>
          <w:tcPr>
            <w:tcW w:w="3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46.0</w:t>
            </w:r>
          </w:p>
        </w:tc>
      </w:tr>
      <w:tr>
        <w:trPr>
          <w:trHeight w:val="263"/>
        </w:trPr>
        <w:tc>
          <w:tcPr>
            <w:tcW w:w="5040" w:type="dxa"/>
            <w:vAlign w:val="bottom"/>
          </w:tcPr>
          <w:p>
            <w:pPr>
              <w:ind w:left="40"/>
              <w:spacing w:after="0"/>
              <w:rPr>
                <w:sz w:val="20"/>
                <w:szCs w:val="20"/>
                <w:color w:val="auto"/>
              </w:rPr>
            </w:pPr>
            <w:r>
              <w:rPr>
                <w:rFonts w:ascii="Arial" w:cs="Arial" w:eastAsia="Arial" w:hAnsi="Arial"/>
                <w:sz w:val="18"/>
                <w:szCs w:val="18"/>
                <w:color w:val="auto"/>
              </w:rPr>
              <w:t>Jardiance</w:t>
            </w:r>
          </w:p>
        </w:tc>
        <w:tc>
          <w:tcPr>
            <w:tcW w:w="4440" w:type="dxa"/>
            <w:vAlign w:val="bottom"/>
          </w:tcPr>
          <w:p>
            <w:pPr>
              <w:spacing w:after="0"/>
              <w:rPr>
                <w:sz w:val="22"/>
                <w:szCs w:val="22"/>
                <w:color w:val="auto"/>
              </w:rPr>
            </w:pPr>
          </w:p>
        </w:tc>
        <w:tc>
          <w:tcPr>
            <w:tcW w:w="800" w:type="dxa"/>
            <w:vAlign w:val="bottom"/>
          </w:tcPr>
          <w:p>
            <w:pPr>
              <w:jc w:val="right"/>
              <w:ind w:right="34"/>
              <w:spacing w:after="0"/>
              <w:rPr>
                <w:sz w:val="20"/>
                <w:szCs w:val="20"/>
                <w:color w:val="auto"/>
              </w:rPr>
            </w:pPr>
            <w:r>
              <w:rPr>
                <w:rFonts w:ascii="Arial" w:cs="Arial" w:eastAsia="Arial" w:hAnsi="Arial"/>
                <w:sz w:val="18"/>
                <w:szCs w:val="18"/>
                <w:b w:val="1"/>
                <w:bCs w:val="1"/>
                <w:color w:val="auto"/>
              </w:rPr>
              <w:t>151.0</w:t>
            </w:r>
          </w:p>
        </w:tc>
        <w:tc>
          <w:tcPr>
            <w:tcW w:w="340" w:type="dxa"/>
            <w:vAlign w:val="bottom"/>
          </w:tcPr>
          <w:p>
            <w:pPr>
              <w:spacing w:after="0"/>
              <w:rPr>
                <w:sz w:val="22"/>
                <w:szCs w:val="22"/>
                <w:color w:val="auto"/>
              </w:rPr>
            </w:pPr>
          </w:p>
        </w:tc>
        <w:tc>
          <w:tcPr>
            <w:tcW w:w="800" w:type="dxa"/>
            <w:vAlign w:val="bottom"/>
          </w:tcPr>
          <w:p>
            <w:pPr>
              <w:jc w:val="right"/>
              <w:ind w:right="14"/>
              <w:spacing w:after="0"/>
              <w:rPr>
                <w:sz w:val="20"/>
                <w:szCs w:val="20"/>
                <w:color w:val="auto"/>
              </w:rPr>
            </w:pPr>
            <w:r>
              <w:rPr>
                <w:rFonts w:ascii="Arial" w:cs="Arial" w:eastAsia="Arial" w:hAnsi="Arial"/>
                <w:sz w:val="18"/>
                <w:szCs w:val="18"/>
                <w:color w:val="auto"/>
              </w:rPr>
              <w:t>74.0</w:t>
            </w:r>
          </w:p>
        </w:tc>
      </w:tr>
      <w:tr>
        <w:trPr>
          <w:trHeight w:val="277"/>
        </w:trPr>
        <w:tc>
          <w:tcPr>
            <w:tcW w:w="5040" w:type="dxa"/>
            <w:vAlign w:val="bottom"/>
            <w:shd w:val="clear" w:color="auto" w:fill="CCEEFF"/>
          </w:tcPr>
          <w:p>
            <w:pPr>
              <w:ind w:left="40"/>
              <w:spacing w:after="0"/>
              <w:rPr>
                <w:sz w:val="20"/>
                <w:szCs w:val="20"/>
                <w:color w:val="auto"/>
              </w:rPr>
            </w:pPr>
            <w:r>
              <w:rPr>
                <w:rFonts w:ascii="Arial" w:cs="Arial" w:eastAsia="Arial" w:hAnsi="Arial"/>
                <w:sz w:val="18"/>
                <w:szCs w:val="18"/>
                <w:color w:val="auto"/>
              </w:rPr>
              <w:t>Trajenta</w:t>
            </w:r>
          </w:p>
        </w:tc>
        <w:tc>
          <w:tcPr>
            <w:tcW w:w="444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34"/>
              <w:spacing w:after="0"/>
              <w:rPr>
                <w:sz w:val="20"/>
                <w:szCs w:val="20"/>
                <w:color w:val="auto"/>
              </w:rPr>
            </w:pPr>
            <w:r>
              <w:rPr>
                <w:rFonts w:ascii="Arial" w:cs="Arial" w:eastAsia="Arial" w:hAnsi="Arial"/>
                <w:sz w:val="18"/>
                <w:szCs w:val="18"/>
                <w:b w:val="1"/>
                <w:bCs w:val="1"/>
                <w:color w:val="auto"/>
              </w:rPr>
              <w:t>141.1</w:t>
            </w:r>
          </w:p>
        </w:tc>
        <w:tc>
          <w:tcPr>
            <w:tcW w:w="34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113.0</w:t>
            </w:r>
          </w:p>
        </w:tc>
      </w:tr>
    </w:tbl>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Erbitux</w:t>
      </w:r>
      <w:r>
        <w:rPr>
          <w:rFonts w:ascii="Arial" w:cs="Arial" w:eastAsia="Arial" w:hAnsi="Arial"/>
          <w:sz w:val="21"/>
          <w:szCs w:val="21"/>
          <w:b w:val="1"/>
          <w:bCs w:val="1"/>
          <w:color w:val="auto"/>
          <w:vertAlign w:val="superscript"/>
        </w:rPr>
        <w:t>®</w:t>
      </w:r>
    </w:p>
    <w:p>
      <w:pPr>
        <w:spacing w:after="0" w:line="105"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We have several collaborations with respect to Erbitux. The most significant collaborations are or, where applicable, were in Japan, and prior to the transfer of commercialization rights in the fourth quarter of 2015, the U.S. and Canada (Bristol-Myers Squibb Company); and worldwide except the U.S. and Canada (Merck KGaA). Certain rights to Erbitux outside the U.S. and Canada (collectively, North America) will remain with Merck KGaA (Merck) upon expiration of that agreement.</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revenue recognized with respect to Erbitux:</w:t>
      </w:r>
    </w:p>
    <w:p>
      <w:pPr>
        <w:sectPr>
          <w:pgSz w:w="11900" w:h="16838" w:orient="portrait"/>
          <w:cols w:equalWidth="0" w:num="1">
            <w:col w:w="11420"/>
          </w:cols>
          <w:pgMar w:left="240" w:top="706"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40"/>
        <w:spacing w:after="0"/>
        <w:rPr>
          <w:sz w:val="20"/>
          <w:szCs w:val="20"/>
          <w:color w:val="auto"/>
        </w:rPr>
      </w:pPr>
      <w:r>
        <w:rPr>
          <w:rFonts w:ascii="Arial" w:cs="Arial" w:eastAsia="Arial" w:hAnsi="Arial"/>
          <w:sz w:val="18"/>
          <w:szCs w:val="18"/>
          <w:color w:val="auto"/>
        </w:rPr>
        <w:t>Net product 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-164465</wp:posOffset>
            </wp:positionV>
            <wp:extent cx="7246620" cy="1803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43" w:lineRule="exact"/>
        <w:rPr>
          <w:sz w:val="20"/>
          <w:szCs w:val="20"/>
          <w:color w:val="auto"/>
        </w:rPr>
      </w:pPr>
    </w:p>
    <w:p>
      <w:pPr>
        <w:ind w:left="40"/>
        <w:spacing w:after="0"/>
        <w:rPr>
          <w:sz w:val="20"/>
          <w:szCs w:val="20"/>
          <w:color w:val="auto"/>
        </w:rPr>
      </w:pPr>
      <w:r>
        <w:rPr>
          <w:rFonts w:ascii="Arial" w:cs="Arial" w:eastAsia="Arial" w:hAnsi="Arial"/>
          <w:sz w:val="17"/>
          <w:szCs w:val="17"/>
          <w:color w:val="auto"/>
        </w:rPr>
        <w:t>Collaboration and other 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22225</wp:posOffset>
            </wp:positionV>
            <wp:extent cx="7246620" cy="18859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188595"/>
                    </a:xfrm>
                    <a:prstGeom prst="rect">
                      <a:avLst/>
                    </a:prstGeom>
                    <a:noFill/>
                  </pic:spPr>
                </pic:pic>
              </a:graphicData>
            </a:graphic>
          </wp:anchor>
        </w:drawing>
      </w:r>
    </w:p>
    <w:p>
      <w:pPr>
        <w:spacing w:after="0" w:line="68" w:lineRule="exact"/>
        <w:rPr>
          <w:sz w:val="20"/>
          <w:szCs w:val="20"/>
          <w:color w:val="auto"/>
        </w:rPr>
      </w:pPr>
    </w:p>
    <w:p>
      <w:pPr>
        <w:ind w:left="40"/>
        <w:spacing w:after="0"/>
        <w:rPr>
          <w:sz w:val="20"/>
          <w:szCs w:val="20"/>
          <w:color w:val="auto"/>
        </w:rPr>
      </w:pPr>
      <w:r>
        <w:rPr>
          <w:rFonts w:ascii="Arial" w:cs="Arial" w:eastAsia="Arial" w:hAnsi="Arial"/>
          <w:sz w:val="18"/>
          <w:szCs w:val="18"/>
          <w:color w:val="auto"/>
        </w:rPr>
        <w:t>Revenue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Bristol-Myers Squibb Company</w:t>
      </w:r>
    </w:p>
    <w:p>
      <w:pPr>
        <w:spacing w:after="0" w:line="20" w:lineRule="exact"/>
        <w:rPr>
          <w:sz w:val="20"/>
          <w:szCs w:val="20"/>
          <w:color w:val="auto"/>
        </w:rPr>
      </w:pPr>
      <w:r>
        <w:rPr>
          <w:sz w:val="20"/>
          <w:szCs w:val="20"/>
          <w:color w:val="auto"/>
        </w:rPr>
        <w:br w:type="column"/>
      </w:r>
    </w:p>
    <w:p>
      <w:pPr>
        <w:spacing w:after="0" w:line="139" w:lineRule="exact"/>
        <w:rPr>
          <w:sz w:val="20"/>
          <w:szCs w:val="20"/>
          <w:color w:val="auto"/>
        </w:rPr>
      </w:pPr>
    </w:p>
    <w:p>
      <w:pPr>
        <w:ind w:left="341"/>
        <w:spacing w:after="0"/>
        <w:rPr>
          <w:sz w:val="20"/>
          <w:szCs w:val="20"/>
          <w:color w:val="auto"/>
        </w:rPr>
      </w:pPr>
      <w:r>
        <w:rPr>
          <w:rFonts w:ascii="Arial" w:cs="Arial" w:eastAsia="Arial" w:hAnsi="Arial"/>
          <w:sz w:val="14"/>
          <w:szCs w:val="14"/>
          <w:b w:val="1"/>
          <w:bCs w:val="1"/>
          <w:color w:val="auto"/>
        </w:rPr>
        <w:t>Three Months Ended</w:t>
      </w:r>
    </w:p>
    <w:p>
      <w:pPr>
        <w:spacing w:after="0" w:line="19" w:lineRule="exact"/>
        <w:rPr>
          <w:sz w:val="20"/>
          <w:szCs w:val="20"/>
          <w:color w:val="auto"/>
        </w:rPr>
      </w:pPr>
    </w:p>
    <w:p>
      <w:pPr>
        <w:ind w:left="741"/>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14605</wp:posOffset>
            </wp:positionV>
            <wp:extent cx="138938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389380" cy="8890"/>
                    </a:xfrm>
                    <a:prstGeom prst="rect">
                      <a:avLst/>
                    </a:prstGeom>
                    <a:noFill/>
                  </pic:spPr>
                </pic:pic>
              </a:graphicData>
            </a:graphic>
          </wp:anchor>
        </w:drawing>
      </w:r>
    </w:p>
    <w:p>
      <w:pPr>
        <w:spacing w:after="0" w:line="85" w:lineRule="exact"/>
        <w:rPr>
          <w:sz w:val="20"/>
          <w:szCs w:val="20"/>
          <w:color w:val="auto"/>
        </w:rPr>
      </w:pPr>
    </w:p>
    <w:p>
      <w:pPr>
        <w:ind w:left="341"/>
        <w:spacing w:after="0"/>
        <w:tabs>
          <w:tab w:leader="none" w:pos="1460" w:val="left"/>
        </w:tabs>
        <w:rPr>
          <w:sz w:val="20"/>
          <w:szCs w:val="20"/>
          <w:color w:val="auto"/>
        </w:rPr>
      </w:pPr>
      <w:r>
        <w:rPr>
          <w:rFonts w:ascii="Arial" w:cs="Arial" w:eastAsia="Arial" w:hAnsi="Arial"/>
          <w:sz w:val="14"/>
          <w:szCs w:val="14"/>
          <w:b w:val="1"/>
          <w:bCs w:val="1"/>
          <w:color w:val="auto"/>
        </w:rPr>
        <w:t>2018</w:t>
      </w:r>
      <w:r>
        <w:rPr>
          <w:sz w:val="20"/>
          <w:szCs w:val="20"/>
          <w:color w:val="auto"/>
        </w:rPr>
        <w:tab/>
      </w:r>
      <w:r>
        <w:rPr>
          <w:rFonts w:ascii="Arial" w:cs="Arial" w:eastAsia="Arial" w:hAnsi="Arial"/>
          <w:sz w:val="14"/>
          <w:szCs w:val="14"/>
          <w:b w:val="1"/>
          <w:bCs w:val="1"/>
          <w:color w:val="auto"/>
        </w:rPr>
        <w:t>2017</w:t>
      </w:r>
    </w:p>
    <w:p>
      <w:pPr>
        <w:spacing w:after="0" w:line="72" w:lineRule="exact"/>
        <w:rPr>
          <w:sz w:val="20"/>
          <w:szCs w:val="20"/>
          <w:color w:val="auto"/>
        </w:rPr>
      </w:pPr>
    </w:p>
    <w:p>
      <w:pPr>
        <w:ind w:left="461" w:hanging="461"/>
        <w:spacing w:after="0"/>
        <w:tabs>
          <w:tab w:leader="none" w:pos="461"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122.2   </w:t>
      </w:r>
      <w:r>
        <w:rPr>
          <w:rFonts w:ascii="Arial" w:cs="Arial" w:eastAsia="Arial" w:hAnsi="Arial"/>
          <w:sz w:val="18"/>
          <w:szCs w:val="18"/>
          <w:color w:val="auto"/>
        </w:rPr>
        <w:t>$    131.3</w:t>
      </w:r>
    </w:p>
    <w:p>
      <w:pPr>
        <w:spacing w:after="0" w:line="63" w:lineRule="exact"/>
        <w:rPr>
          <w:sz w:val="20"/>
          <w:szCs w:val="20"/>
          <w:color w:val="auto"/>
        </w:rPr>
      </w:pPr>
    </w:p>
    <w:p>
      <w:pPr>
        <w:jc w:val="right"/>
        <w:ind w:right="100"/>
        <w:spacing w:after="0"/>
        <w:tabs>
          <w:tab w:leader="none" w:pos="340" w:val="left"/>
        </w:tabs>
        <w:rPr>
          <w:sz w:val="20"/>
          <w:szCs w:val="20"/>
          <w:color w:val="auto"/>
        </w:rPr>
      </w:pPr>
      <w:r>
        <w:rPr>
          <w:rFonts w:ascii="Arial" w:cs="Arial" w:eastAsia="Arial" w:hAnsi="Arial"/>
          <w:sz w:val="18"/>
          <w:szCs w:val="18"/>
          <w:b w:val="1"/>
          <w:bCs w:val="1"/>
          <w:color w:val="auto"/>
        </w:rPr>
        <w:t>27.4</w:t>
      </w:r>
      <w:r>
        <w:rPr>
          <w:sz w:val="20"/>
          <w:szCs w:val="20"/>
          <w:color w:val="auto"/>
        </w:rPr>
        <w:tab/>
      </w:r>
      <w:r>
        <w:rPr>
          <w:rFonts w:ascii="Arial" w:cs="Arial" w:eastAsia="Arial" w:hAnsi="Arial"/>
          <w:sz w:val="18"/>
          <w:szCs w:val="18"/>
          <w:color w:val="auto"/>
        </w:rPr>
        <w:t>23.1</w:t>
      </w:r>
    </w:p>
    <w:p>
      <w:pPr>
        <w:spacing w:after="0" w:line="63" w:lineRule="exact"/>
        <w:rPr>
          <w:sz w:val="20"/>
          <w:szCs w:val="20"/>
          <w:color w:val="auto"/>
        </w:rPr>
      </w:pPr>
    </w:p>
    <w:p>
      <w:pPr>
        <w:ind w:left="1"/>
        <w:spacing w:after="0"/>
        <w:tabs>
          <w:tab w:leader="none" w:pos="440" w:val="left"/>
          <w:tab w:leader="none" w:pos="1120" w:val="left"/>
          <w:tab w:leader="none" w:pos="1580" w:val="left"/>
        </w:tabs>
        <w:rPr>
          <w:sz w:val="20"/>
          <w:szCs w:val="20"/>
          <w:color w:val="auto"/>
        </w:rPr>
      </w:pPr>
      <w:r>
        <w:rPr>
          <w:rFonts w:ascii="Arial" w:cs="Arial" w:eastAsia="Arial" w:hAnsi="Arial"/>
          <w:sz w:val="18"/>
          <w:szCs w:val="18"/>
          <w:b w:val="1"/>
          <w:bCs w:val="1"/>
          <w:color w:val="auto"/>
        </w:rPr>
        <w:t>$</w:t>
      </w:r>
      <w:r>
        <w:rPr>
          <w:sz w:val="20"/>
          <w:szCs w:val="20"/>
          <w:color w:val="auto"/>
        </w:rPr>
        <w:tab/>
      </w:r>
      <w:r>
        <w:rPr>
          <w:rFonts w:ascii="Arial" w:cs="Arial" w:eastAsia="Arial" w:hAnsi="Arial"/>
          <w:sz w:val="18"/>
          <w:szCs w:val="18"/>
          <w:b w:val="1"/>
          <w:bCs w:val="1"/>
          <w:color w:val="auto"/>
        </w:rPr>
        <w:t>149.6</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154.4</w:t>
      </w:r>
    </w:p>
    <w:p>
      <w:pPr>
        <w:spacing w:after="0" w:line="557" w:lineRule="exact"/>
        <w:rPr>
          <w:sz w:val="20"/>
          <w:szCs w:val="20"/>
          <w:color w:val="auto"/>
        </w:rPr>
      </w:pPr>
    </w:p>
    <w:p>
      <w:pPr>
        <w:sectPr>
          <w:pgSz w:w="11900" w:h="16838" w:orient="portrait"/>
          <w:cols w:equalWidth="0" w:num="2">
            <w:col w:w="8539" w:space="720"/>
            <w:col w:w="2161"/>
          </w:cols>
          <w:pgMar w:left="240" w:top="706" w:right="239" w:bottom="1440" w:gutter="0" w:footer="0" w:header="0"/>
          <w:type w:val="continuous"/>
        </w:sectPr>
      </w:pPr>
    </w:p>
    <w:p>
      <w:pPr>
        <w:ind w:right="20"/>
        <w:spacing w:after="0" w:line="252" w:lineRule="auto"/>
        <w:rPr>
          <w:sz w:val="20"/>
          <w:szCs w:val="20"/>
          <w:color w:val="auto"/>
        </w:rPr>
      </w:pPr>
      <w:r>
        <w:rPr>
          <w:rFonts w:ascii="Arial" w:cs="Arial" w:eastAsia="Arial" w:hAnsi="Arial"/>
          <w:sz w:val="18"/>
          <w:szCs w:val="18"/>
          <w:color w:val="auto"/>
        </w:rPr>
        <w:t>Pursuant to commercial agreements with Bristol-Myers Squibb Company and E.R. Squibb (collectively, BMS), we had been co-developing Erbitux in North America exclusively with BMS. On October 1, 2015, BMS transferred their commercialization rights to us with respect to Erbitux in North America pursuant to a modification of our existing arrangement, and we began selling Erbitux at that time. This modification did not affect our rights with respect to Erbitux in other jurisdictions. In connection with the modification of terms, we provide consideration to BMS based upon a tiered percentage of net sales of Erbitux in North America estimated to average 38 percent through September 2018. The transfer of the commercialization rights was accounted for as an acquisition of a business. The consideration to be paid to BMS was accounted for as contingent consideration liability. See Note 6 for discussion regarding the estimation of this liability.</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Merck KGaA</w:t>
      </w:r>
    </w:p>
    <w:p>
      <w:pPr>
        <w:spacing w:after="0" w:line="135" w:lineRule="exact"/>
        <w:rPr>
          <w:sz w:val="20"/>
          <w:szCs w:val="20"/>
          <w:color w:val="auto"/>
        </w:rPr>
      </w:pPr>
    </w:p>
    <w:p>
      <w:pPr>
        <w:ind w:right="380"/>
        <w:spacing w:after="0" w:line="256" w:lineRule="auto"/>
        <w:rPr>
          <w:sz w:val="20"/>
          <w:szCs w:val="20"/>
          <w:color w:val="auto"/>
        </w:rPr>
      </w:pPr>
      <w:r>
        <w:rPr>
          <w:rFonts w:ascii="Arial" w:cs="Arial" w:eastAsia="Arial" w:hAnsi="Arial"/>
          <w:sz w:val="18"/>
          <w:szCs w:val="18"/>
          <w:color w:val="auto"/>
        </w:rPr>
        <w:t>A development and license agreement grants Merck exclusive rights to market Erbitux outside of North America until December 2018. A separate agreement grants co-exclusive rights among Merck, BMS, and us in Japan and expires in 2032. This agreement was amended in 2015 to grant Merck exclusive commercialization rights in Japan but did not result in any changes to our rights.</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706" w:right="239" w:bottom="1440" w:gutter="0" w:footer="0" w:header="0"/>
          <w:type w:val="continuous"/>
        </w:sectPr>
      </w:pPr>
    </w:p>
    <w:bookmarkStart w:id="16" w:name="page17"/>
    <w:bookmarkEnd w:id="16"/>
    <w:p>
      <w:pPr>
        <w:ind w:right="300"/>
        <w:spacing w:after="0" w:line="256" w:lineRule="auto"/>
        <w:rPr>
          <w:sz w:val="20"/>
          <w:szCs w:val="20"/>
          <w:color w:val="auto"/>
        </w:rPr>
      </w:pPr>
      <w:r>
        <w:rPr>
          <w:rFonts w:ascii="Arial" w:cs="Arial" w:eastAsia="Arial" w:hAnsi="Arial"/>
          <w:sz w:val="18"/>
          <w:szCs w:val="18"/>
          <w:color w:val="auto"/>
        </w:rPr>
        <w:t>Merck manufactures Erbitux for supply in its territory as well as for Japan. We receive a royalty on the sales of Erbitux outside of North America, which is included in collaboration and other revenue as the underlying sales occur. Royalties due to third parties are recorded as a reduction of collaboration and other revenue, net of any royalty reimbursements due from third parties.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Olumiant</w:t>
      </w:r>
      <w:r>
        <w:rPr>
          <w:rFonts w:ascii="Arial" w:cs="Arial" w:eastAsia="Arial" w:hAnsi="Arial"/>
          <w:sz w:val="21"/>
          <w:szCs w:val="21"/>
          <w:b w:val="1"/>
          <w:bCs w:val="1"/>
          <w:color w:val="auto"/>
          <w:vertAlign w:val="superscript"/>
        </w:rPr>
        <w:t>®</w:t>
      </w:r>
    </w:p>
    <w:p>
      <w:pPr>
        <w:spacing w:after="0" w:line="105"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We have a worldwide license and collaboration agreement with Incyte Corporation (Incyte) which provides us the development and commercialization rights to its Janus tyrosine kinase inhibitor compound, now known as baricitinib (trade name Olumiant), and certain follow-on compounds, for the treatment of inflammatory and autoimmune diseases. Incyte has the right to receive tiered, double-digit royalty payments on future global sales with rates ranging up to 20 percent if the product is successfully commercialized. The agreement provides Incyte with options to co-develop these compounds on an indication-by-indication basis by funding 30 percent of the associated development costs from the initiation of a Phase IIb trial through regulatory approval in exchange for increased tiered royalties ranging up to percentages in the high twenties. Incyte exercised its option to co-develop Olumiant in rheumatoid arthritis in 2010 and psoriatic arthritis and atopic dermatitis in 2017. The agreement calls for payments by us to Incyte associated with certain development, success-based regulatory, and sales-based milestones. In 2016, we incurred milestone-related expenses of $ 55.0 million in connection with regulatory submissions in the U.S. and Europe, which were recorded as research and development expense. We capitalized as intangible assets $65.0 million in the first quarter of 2017 and $15.0 million of milestones in the third quarter of 2017 in connection with regulatory approvals in Europe and Japan, respectively, which are being amortized to cost of sales over the term of the collaboration. In the fourth quarter of 2017, we incurred milestone-related expense of $30.0 million as a result of the molecule moving into Phase III testing for the atopic dermatitis indication, which was recorded as research and development expense. As of March 31, 2018, Incyte is eligible to receive up to $250.0 million of additional payments from us contingent upon certain development and success-based regulatory milestones, of which $100.0 million relates to the U.S. regulatory decision for a first indication. Incyte is also eligible to receive up to $150.0 million of potential sales-based milestones.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Effient</w:t>
      </w:r>
      <w:r>
        <w:rPr>
          <w:rFonts w:ascii="Arial" w:cs="Arial" w:eastAsia="Arial" w:hAnsi="Arial"/>
          <w:sz w:val="21"/>
          <w:szCs w:val="21"/>
          <w:b w:val="1"/>
          <w:bCs w:val="1"/>
          <w:color w:val="auto"/>
          <w:vertAlign w:val="superscript"/>
        </w:rPr>
        <w:t>®</w:t>
      </w:r>
    </w:p>
    <w:p>
      <w:pPr>
        <w:spacing w:after="0" w:line="105" w:lineRule="exact"/>
        <w:rPr>
          <w:sz w:val="20"/>
          <w:szCs w:val="20"/>
          <w:color w:val="auto"/>
        </w:rPr>
      </w:pPr>
    </w:p>
    <w:p>
      <w:pPr>
        <w:ind w:right="80"/>
        <w:spacing w:after="0" w:line="262" w:lineRule="auto"/>
        <w:rPr>
          <w:sz w:val="20"/>
          <w:szCs w:val="20"/>
          <w:color w:val="auto"/>
        </w:rPr>
      </w:pPr>
      <w:r>
        <w:rPr>
          <w:rFonts w:ascii="Arial" w:cs="Arial" w:eastAsia="Arial" w:hAnsi="Arial"/>
          <w:sz w:val="18"/>
          <w:szCs w:val="18"/>
          <w:color w:val="auto"/>
        </w:rPr>
        <w:t>We are in a collaborative arrangement with Daiichi Sankyo Co., Ltd. (Daiichi Sankyo) to develop, market, and promote Effient. Marketing rights for major territories are shown below. We and Daiichi Sankyo each have exclusive marketing rights in certain other territories.</w:t>
      </w: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3120" w:type="dxa"/>
            <w:vAlign w:val="bottom"/>
            <w:tcBorders>
              <w:bottom w:val="single" w:sz="8" w:color="auto"/>
            </w:tcBorders>
          </w:tcPr>
          <w:p>
            <w:pPr>
              <w:jc w:val="center"/>
              <w:ind w:right="154"/>
              <w:spacing w:after="0"/>
              <w:rPr>
                <w:sz w:val="20"/>
                <w:szCs w:val="20"/>
                <w:color w:val="auto"/>
              </w:rPr>
            </w:pPr>
            <w:r>
              <w:rPr>
                <w:rFonts w:ascii="Arial" w:cs="Arial" w:eastAsia="Arial" w:hAnsi="Arial"/>
                <w:sz w:val="14"/>
                <w:szCs w:val="14"/>
                <w:b w:val="1"/>
                <w:bCs w:val="1"/>
                <w:color w:val="auto"/>
              </w:rPr>
              <w:t>Territory</w:t>
            </w:r>
          </w:p>
        </w:tc>
        <w:tc>
          <w:tcPr>
            <w:tcW w:w="3420" w:type="dxa"/>
            <w:vAlign w:val="bottom"/>
            <w:tcBorders>
              <w:bottom w:val="single" w:sz="8" w:color="auto"/>
            </w:tcBorders>
          </w:tcPr>
          <w:p>
            <w:pPr>
              <w:jc w:val="center"/>
              <w:ind w:right="734"/>
              <w:spacing w:after="0"/>
              <w:rPr>
                <w:sz w:val="20"/>
                <w:szCs w:val="20"/>
                <w:color w:val="auto"/>
              </w:rPr>
            </w:pPr>
            <w:r>
              <w:rPr>
                <w:rFonts w:ascii="Arial" w:cs="Arial" w:eastAsia="Arial" w:hAnsi="Arial"/>
                <w:sz w:val="14"/>
                <w:szCs w:val="14"/>
                <w:b w:val="1"/>
                <w:bCs w:val="1"/>
                <w:color w:val="auto"/>
              </w:rPr>
              <w:t>Marketing Rights</w:t>
            </w:r>
          </w:p>
        </w:tc>
        <w:tc>
          <w:tcPr>
            <w:tcW w:w="4880" w:type="dxa"/>
            <w:vAlign w:val="bottom"/>
            <w:tcBorders>
              <w:bottom w:val="single" w:sz="8" w:color="auto"/>
            </w:tcBorders>
          </w:tcPr>
          <w:p>
            <w:pPr>
              <w:jc w:val="center"/>
              <w:ind w:right="514"/>
              <w:spacing w:after="0"/>
              <w:rPr>
                <w:sz w:val="20"/>
                <w:szCs w:val="20"/>
                <w:color w:val="auto"/>
              </w:rPr>
            </w:pPr>
            <w:r>
              <w:rPr>
                <w:rFonts w:ascii="Arial" w:cs="Arial" w:eastAsia="Arial" w:hAnsi="Arial"/>
                <w:sz w:val="14"/>
                <w:szCs w:val="14"/>
                <w:b w:val="1"/>
                <w:bCs w:val="1"/>
                <w:color w:val="auto"/>
              </w:rPr>
              <w:t>Selling Party</w:t>
            </w:r>
          </w:p>
        </w:tc>
      </w:tr>
      <w:tr>
        <w:trPr>
          <w:trHeight w:val="270"/>
        </w:trPr>
        <w:tc>
          <w:tcPr>
            <w:tcW w:w="3120" w:type="dxa"/>
            <w:vAlign w:val="bottom"/>
            <w:shd w:val="clear" w:color="auto" w:fill="CCEEFF"/>
          </w:tcPr>
          <w:p>
            <w:pPr>
              <w:jc w:val="center"/>
              <w:ind w:right="154"/>
              <w:spacing w:after="0"/>
              <w:rPr>
                <w:sz w:val="20"/>
                <w:szCs w:val="20"/>
                <w:color w:val="auto"/>
              </w:rPr>
            </w:pPr>
            <w:r>
              <w:rPr>
                <w:rFonts w:ascii="Arial" w:cs="Arial" w:eastAsia="Arial" w:hAnsi="Arial"/>
                <w:sz w:val="18"/>
                <w:szCs w:val="18"/>
                <w:color w:val="auto"/>
              </w:rPr>
              <w:t>U.S.</w:t>
            </w:r>
          </w:p>
        </w:tc>
        <w:tc>
          <w:tcPr>
            <w:tcW w:w="3420" w:type="dxa"/>
            <w:vAlign w:val="bottom"/>
            <w:shd w:val="clear" w:color="auto" w:fill="CCEEFF"/>
          </w:tcPr>
          <w:p>
            <w:pPr>
              <w:jc w:val="center"/>
              <w:ind w:right="734"/>
              <w:spacing w:after="0"/>
              <w:rPr>
                <w:sz w:val="20"/>
                <w:szCs w:val="20"/>
                <w:color w:val="auto"/>
              </w:rPr>
            </w:pPr>
            <w:r>
              <w:rPr>
                <w:rFonts w:ascii="Arial" w:cs="Arial" w:eastAsia="Arial" w:hAnsi="Arial"/>
                <w:sz w:val="18"/>
                <w:szCs w:val="18"/>
                <w:color w:val="auto"/>
                <w:w w:val="99"/>
              </w:rPr>
              <w:t>Co-promotion</w:t>
            </w:r>
          </w:p>
        </w:tc>
        <w:tc>
          <w:tcPr>
            <w:tcW w:w="4880" w:type="dxa"/>
            <w:vAlign w:val="bottom"/>
            <w:shd w:val="clear" w:color="auto" w:fill="CCEEFF"/>
          </w:tcPr>
          <w:p>
            <w:pPr>
              <w:jc w:val="center"/>
              <w:ind w:right="494"/>
              <w:spacing w:after="0"/>
              <w:rPr>
                <w:sz w:val="20"/>
                <w:szCs w:val="20"/>
                <w:color w:val="auto"/>
              </w:rPr>
            </w:pPr>
            <w:r>
              <w:rPr>
                <w:rFonts w:ascii="Arial" w:cs="Arial" w:eastAsia="Arial" w:hAnsi="Arial"/>
                <w:sz w:val="18"/>
                <w:szCs w:val="18"/>
                <w:color w:val="auto"/>
                <w:w w:val="96"/>
              </w:rPr>
              <w:t>Lilly</w:t>
            </w:r>
          </w:p>
        </w:tc>
      </w:tr>
      <w:tr>
        <w:trPr>
          <w:trHeight w:val="263"/>
        </w:trPr>
        <w:tc>
          <w:tcPr>
            <w:tcW w:w="3120" w:type="dxa"/>
            <w:vAlign w:val="bottom"/>
          </w:tcPr>
          <w:p>
            <w:pPr>
              <w:jc w:val="center"/>
              <w:ind w:right="154"/>
              <w:spacing w:after="0"/>
              <w:rPr>
                <w:sz w:val="20"/>
                <w:szCs w:val="20"/>
                <w:color w:val="auto"/>
              </w:rPr>
            </w:pPr>
            <w:r>
              <w:rPr>
                <w:rFonts w:ascii="Arial" w:cs="Arial" w:eastAsia="Arial" w:hAnsi="Arial"/>
                <w:sz w:val="18"/>
                <w:szCs w:val="18"/>
                <w:color w:val="auto"/>
                <w:w w:val="99"/>
              </w:rPr>
              <w:t>Major European markets</w:t>
            </w:r>
          </w:p>
        </w:tc>
        <w:tc>
          <w:tcPr>
            <w:tcW w:w="3420" w:type="dxa"/>
            <w:vAlign w:val="bottom"/>
          </w:tcPr>
          <w:p>
            <w:pPr>
              <w:jc w:val="center"/>
              <w:ind w:right="734"/>
              <w:spacing w:after="0"/>
              <w:rPr>
                <w:sz w:val="20"/>
                <w:szCs w:val="20"/>
                <w:color w:val="auto"/>
              </w:rPr>
            </w:pPr>
            <w:r>
              <w:rPr>
                <w:rFonts w:ascii="Arial" w:cs="Arial" w:eastAsia="Arial" w:hAnsi="Arial"/>
                <w:sz w:val="18"/>
                <w:szCs w:val="18"/>
                <w:color w:val="auto"/>
                <w:w w:val="99"/>
              </w:rPr>
              <w:t>Co-promotion</w:t>
            </w:r>
          </w:p>
        </w:tc>
        <w:tc>
          <w:tcPr>
            <w:tcW w:w="4880" w:type="dxa"/>
            <w:vAlign w:val="bottom"/>
          </w:tcPr>
          <w:p>
            <w:pPr>
              <w:jc w:val="center"/>
              <w:ind w:right="514"/>
              <w:spacing w:after="0"/>
              <w:rPr>
                <w:sz w:val="20"/>
                <w:szCs w:val="20"/>
                <w:color w:val="auto"/>
              </w:rPr>
            </w:pPr>
            <w:r>
              <w:rPr>
                <w:rFonts w:ascii="Arial" w:cs="Arial" w:eastAsia="Arial" w:hAnsi="Arial"/>
                <w:sz w:val="18"/>
                <w:szCs w:val="18"/>
                <w:color w:val="auto"/>
              </w:rPr>
              <w:t>Daiichi Sankyo</w:t>
            </w:r>
          </w:p>
        </w:tc>
      </w:tr>
      <w:tr>
        <w:trPr>
          <w:trHeight w:val="277"/>
        </w:trPr>
        <w:tc>
          <w:tcPr>
            <w:tcW w:w="3120" w:type="dxa"/>
            <w:vAlign w:val="bottom"/>
            <w:shd w:val="clear" w:color="auto" w:fill="CCEEFF"/>
          </w:tcPr>
          <w:p>
            <w:pPr>
              <w:jc w:val="center"/>
              <w:ind w:right="154"/>
              <w:spacing w:after="0"/>
              <w:rPr>
                <w:sz w:val="20"/>
                <w:szCs w:val="20"/>
                <w:color w:val="auto"/>
              </w:rPr>
            </w:pPr>
            <w:r>
              <w:rPr>
                <w:rFonts w:ascii="Arial" w:cs="Arial" w:eastAsia="Arial" w:hAnsi="Arial"/>
                <w:sz w:val="18"/>
                <w:szCs w:val="18"/>
                <w:color w:val="auto"/>
                <w:w w:val="97"/>
              </w:rPr>
              <w:t>Japan</w:t>
            </w:r>
          </w:p>
        </w:tc>
        <w:tc>
          <w:tcPr>
            <w:tcW w:w="3420" w:type="dxa"/>
            <w:vAlign w:val="bottom"/>
            <w:shd w:val="clear" w:color="auto" w:fill="CCEEFF"/>
          </w:tcPr>
          <w:p>
            <w:pPr>
              <w:jc w:val="center"/>
              <w:ind w:right="734"/>
              <w:spacing w:after="0"/>
              <w:rPr>
                <w:sz w:val="20"/>
                <w:szCs w:val="20"/>
                <w:color w:val="auto"/>
              </w:rPr>
            </w:pPr>
            <w:r>
              <w:rPr>
                <w:rFonts w:ascii="Arial" w:cs="Arial" w:eastAsia="Arial" w:hAnsi="Arial"/>
                <w:sz w:val="18"/>
                <w:szCs w:val="18"/>
                <w:color w:val="auto"/>
                <w:w w:val="99"/>
              </w:rPr>
              <w:t>Exclusive</w:t>
            </w:r>
          </w:p>
        </w:tc>
        <w:tc>
          <w:tcPr>
            <w:tcW w:w="4880" w:type="dxa"/>
            <w:vAlign w:val="bottom"/>
            <w:shd w:val="clear" w:color="auto" w:fill="CCEEFF"/>
          </w:tcPr>
          <w:p>
            <w:pPr>
              <w:jc w:val="center"/>
              <w:ind w:right="514"/>
              <w:spacing w:after="0"/>
              <w:rPr>
                <w:sz w:val="20"/>
                <w:szCs w:val="20"/>
                <w:color w:val="auto"/>
              </w:rPr>
            </w:pPr>
            <w:r>
              <w:rPr>
                <w:rFonts w:ascii="Arial" w:cs="Arial" w:eastAsia="Arial" w:hAnsi="Arial"/>
                <w:sz w:val="18"/>
                <w:szCs w:val="18"/>
                <w:color w:val="auto"/>
              </w:rPr>
              <w:t>Daiichi Sankyo</w:t>
            </w:r>
          </w:p>
        </w:tc>
      </w:tr>
    </w:tbl>
    <w:p>
      <w:pPr>
        <w:spacing w:after="0" w:line="107" w:lineRule="exact"/>
        <w:rPr>
          <w:sz w:val="20"/>
          <w:szCs w:val="20"/>
          <w:color w:val="auto"/>
        </w:rPr>
      </w:pPr>
    </w:p>
    <w:p>
      <w:pPr>
        <w:ind w:right="80"/>
        <w:spacing w:after="0" w:line="262" w:lineRule="auto"/>
        <w:rPr>
          <w:sz w:val="20"/>
          <w:szCs w:val="20"/>
          <w:color w:val="auto"/>
        </w:rPr>
      </w:pPr>
      <w:r>
        <w:rPr>
          <w:rFonts w:ascii="Arial" w:cs="Arial" w:eastAsia="Arial" w:hAnsi="Arial"/>
          <w:sz w:val="18"/>
          <w:szCs w:val="18"/>
          <w:color w:val="auto"/>
        </w:rPr>
        <w:t>While major European markets are a co-promotion territory under the terms of our arrangement, Daiichi Sankyo exclusively promotes Effient in these markets.</w:t>
      </w:r>
    </w:p>
    <w:p>
      <w:pPr>
        <w:spacing w:after="0" w:line="88" w:lineRule="exact"/>
        <w:rPr>
          <w:sz w:val="20"/>
          <w:szCs w:val="20"/>
          <w:color w:val="auto"/>
        </w:rPr>
      </w:pPr>
    </w:p>
    <w:p>
      <w:pPr>
        <w:ind w:right="220"/>
        <w:spacing w:after="0" w:line="256" w:lineRule="auto"/>
        <w:rPr>
          <w:sz w:val="20"/>
          <w:szCs w:val="20"/>
          <w:color w:val="auto"/>
        </w:rPr>
      </w:pPr>
      <w:r>
        <w:rPr>
          <w:rFonts w:ascii="Arial" w:cs="Arial" w:eastAsia="Arial" w:hAnsi="Arial"/>
          <w:sz w:val="18"/>
          <w:szCs w:val="18"/>
          <w:color w:val="auto"/>
        </w:rPr>
        <w:t>The parties share approximately 50/50 in the profits, as well as in the costs of development and marketing in the co-promotion territories. A third party manufactures bulk product, and we produce the finished product for our exclusive and co-promotion territories, including the major European markets.</w:t>
      </w:r>
    </w:p>
    <w:p>
      <w:pPr>
        <w:spacing w:after="0" w:line="94"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We record net product revenue in our exclusive and co-promotion territories where we are the selling party. Profit-share payments due to Daiichi Sankyo for co-promotion countries where we are the selling party are recorded as marketing, selling, and administrative expenses. Any profit-share payments due to us from Daiichi Sankyo for the major European markets are recorded as collaboration and other revenue. We also record our share of the expenses in these co-promotion territories as marketing, selling, and administrative expenses. In our exclusive territories, we pay Daiichi Sankyo a royalty specific to these territories. All royalties due to Daiichi Sankyo and the third-party manufacturer are recorded in cost of sales. Generic versions of Effient launched in the U.S. in the third quarter of 2017.</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revenue recognized with respect to Effient:</w:t>
      </w:r>
    </w:p>
    <w:p>
      <w:pPr>
        <w:spacing w:after="0" w:line="159" w:lineRule="exact"/>
        <w:rPr>
          <w:sz w:val="20"/>
          <w:szCs w:val="20"/>
          <w:color w:val="auto"/>
        </w:rPr>
      </w:pPr>
    </w:p>
    <w:p>
      <w:pPr>
        <w:ind w:left="9600"/>
        <w:spacing w:after="0"/>
        <w:rPr>
          <w:sz w:val="20"/>
          <w:szCs w:val="20"/>
          <w:color w:val="auto"/>
        </w:rPr>
      </w:pPr>
      <w:r>
        <w:rPr>
          <w:rFonts w:ascii="Arial" w:cs="Arial" w:eastAsia="Arial" w:hAnsi="Arial"/>
          <w:sz w:val="14"/>
          <w:szCs w:val="14"/>
          <w:b w:val="1"/>
          <w:bCs w:val="1"/>
          <w:color w:val="auto"/>
        </w:rPr>
        <w:t>Three Months Ended</w:t>
      </w:r>
    </w:p>
    <w:p>
      <w:pPr>
        <w:spacing w:after="0" w:line="19" w:lineRule="exact"/>
        <w:rPr>
          <w:sz w:val="20"/>
          <w:szCs w:val="20"/>
          <w:color w:val="auto"/>
        </w:rPr>
      </w:pPr>
    </w:p>
    <w:p>
      <w:pPr>
        <w:ind w:left="1000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5862320</wp:posOffset>
            </wp:positionH>
            <wp:positionV relativeFrom="paragraph">
              <wp:posOffset>14605</wp:posOffset>
            </wp:positionV>
            <wp:extent cx="138938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389380" cy="8890"/>
                    </a:xfrm>
                    <a:prstGeom prst="rect">
                      <a:avLst/>
                    </a:prstGeom>
                    <a:noFill/>
                  </pic:spPr>
                </pic:pic>
              </a:graphicData>
            </a:graphic>
          </wp:anchor>
        </w:drawing>
      </w:r>
    </w:p>
    <w:p>
      <w:pPr>
        <w:spacing w:after="0" w:line="85" w:lineRule="exact"/>
        <w:rPr>
          <w:sz w:val="20"/>
          <w:szCs w:val="20"/>
          <w:color w:val="auto"/>
        </w:rPr>
      </w:pPr>
    </w:p>
    <w:p>
      <w:pPr>
        <w:ind w:left="9600"/>
        <w:spacing w:after="0"/>
        <w:tabs>
          <w:tab w:leader="none" w:pos="10720" w:val="left"/>
        </w:tabs>
        <w:rPr>
          <w:sz w:val="20"/>
          <w:szCs w:val="20"/>
          <w:color w:val="auto"/>
        </w:rPr>
      </w:pPr>
      <w:r>
        <w:rPr>
          <w:rFonts w:ascii="Arial" w:cs="Arial" w:eastAsia="Arial" w:hAnsi="Arial"/>
          <w:sz w:val="14"/>
          <w:szCs w:val="14"/>
          <w:b w:val="1"/>
          <w:bCs w:val="1"/>
          <w:color w:val="auto"/>
        </w:rPr>
        <w:t>2018</w:t>
      </w:r>
      <w:r>
        <w:rPr>
          <w:sz w:val="20"/>
          <w:szCs w:val="20"/>
          <w:color w:val="auto"/>
        </w:rPr>
        <w:tab/>
      </w:r>
      <w:r>
        <w:rPr>
          <w:rFonts w:ascii="Arial" w:cs="Arial" w:eastAsia="Arial" w:hAnsi="Arial"/>
          <w:sz w:val="14"/>
          <w:szCs w:val="14"/>
          <w:b w:val="1"/>
          <w:bCs w:val="1"/>
          <w:color w:val="auto"/>
        </w:rPr>
        <w:t>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246620" cy="1803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52" w:lineRule="exact"/>
        <w:rPr>
          <w:sz w:val="20"/>
          <w:szCs w:val="20"/>
          <w:color w:val="auto"/>
        </w:rPr>
      </w:pPr>
    </w:p>
    <w:p>
      <w:pPr>
        <w:ind w:left="40"/>
        <w:spacing w:after="0"/>
        <w:tabs>
          <w:tab w:leader="none" w:pos="9240" w:val="left"/>
          <w:tab w:leader="none" w:pos="9800" w:val="left"/>
          <w:tab w:leader="none" w:pos="10380" w:val="left"/>
          <w:tab w:leader="none" w:pos="10840" w:val="left"/>
        </w:tabs>
        <w:rPr>
          <w:sz w:val="20"/>
          <w:szCs w:val="20"/>
          <w:color w:val="auto"/>
        </w:rPr>
      </w:pPr>
      <w:r>
        <w:rPr>
          <w:rFonts w:ascii="Arial" w:cs="Arial" w:eastAsia="Arial" w:hAnsi="Arial"/>
          <w:sz w:val="18"/>
          <w:szCs w:val="18"/>
          <w:color w:val="auto"/>
        </w:rPr>
        <w:t>Revenue</w:t>
      </w:r>
      <w:r>
        <w:rPr>
          <w:sz w:val="20"/>
          <w:szCs w:val="20"/>
          <w:color w:val="auto"/>
        </w:rPr>
        <w:tab/>
      </w:r>
      <w:r>
        <w:rPr>
          <w:rFonts w:ascii="Arial" w:cs="Arial" w:eastAsia="Arial" w:hAnsi="Arial"/>
          <w:sz w:val="18"/>
          <w:szCs w:val="18"/>
          <w:b w:val="1"/>
          <w:bCs w:val="1"/>
          <w:color w:val="auto"/>
        </w:rPr>
        <w:t>$</w:t>
      </w:r>
      <w:r>
        <w:rPr>
          <w:sz w:val="20"/>
          <w:szCs w:val="20"/>
          <w:color w:val="auto"/>
        </w:rPr>
        <w:tab/>
      </w:r>
      <w:r>
        <w:rPr>
          <w:rFonts w:ascii="Arial" w:cs="Arial" w:eastAsia="Arial" w:hAnsi="Arial"/>
          <w:sz w:val="18"/>
          <w:szCs w:val="18"/>
          <w:b w:val="1"/>
          <w:bCs w:val="1"/>
          <w:color w:val="auto"/>
        </w:rPr>
        <w:t>31.6</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127.8</w:t>
      </w: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706" w:right="2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color w:val="auto"/>
        </w:rPr>
        <w:t>Tanezumab</w:t>
      </w:r>
    </w:p>
    <w:p>
      <w:pPr>
        <w:spacing w:after="0" w:line="139"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We have a collaboration agreement with Pfizer Inc. (Pfizer) to jointly develop and globally commercialize tanezumab for the treatment of osteoarthritis pain, chronic low back pain, and cancer pain. Under the agreement, the companies share equally the ongoing development costs and, if successful, in gross margins and certain commercialization expenses. As of March 31, 2018, Pfizer is eligible to receive up to $350.0 million in success-based regulatory milestones and up to $1.23 billion in a series of sales-based milestones, contingent upon the commercial success of tanezumab.</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Lanabecestat</w:t>
      </w:r>
    </w:p>
    <w:p>
      <w:pPr>
        <w:spacing w:after="0" w:line="139"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We have a collaboration agreement with AstraZeneca for the worldwide co-development and co-commercialization of AstraZeneca’s lanabecestat, an oral beta-secretase cleaving enzyme (BACE) inhibitor being investigated for the potential treatment of Alzheimer’s disease. We are responsible for leading development efforts, while AstraZeneca will be responsible for manufacturing efforts. If successful, both parties will take joint responsibility for commercialization. Under the agreement, both parties share equally in the ongoing development costs and, if successful, in gross margins and certain other costs associated with commercialization of the molecule. As a result of the molecule moving into Phase III testing, we incurred a $100.0 million developmental milestone, which was recorded as research and development expense in 2016. In July 2017, as a result of the outcome of an interim analysis, we incurred a $50.0 million developmental milestone, which was recorded as research and development expense in the third quarter of 2017. As of March 31, 2018, AstraZeneca is eligible to receive up to $300.0 million of additional payments from us contingent upon the achievement of certain development and success-based regulatory milestones.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Asset Impairment, Restructuring, and Other Special Charges</w:t>
      </w:r>
    </w:p>
    <w:p>
      <w:pPr>
        <w:spacing w:after="0" w:line="139" w:lineRule="exact"/>
        <w:rPr>
          <w:sz w:val="20"/>
          <w:szCs w:val="20"/>
          <w:color w:val="auto"/>
        </w:rPr>
      </w:pPr>
    </w:p>
    <w:p>
      <w:pPr>
        <w:ind w:right="800"/>
        <w:spacing w:after="0" w:line="262" w:lineRule="auto"/>
        <w:rPr>
          <w:sz w:val="20"/>
          <w:szCs w:val="20"/>
          <w:color w:val="auto"/>
        </w:rPr>
      </w:pPr>
      <w:r>
        <w:rPr>
          <w:rFonts w:ascii="Arial" w:cs="Arial" w:eastAsia="Arial" w:hAnsi="Arial"/>
          <w:sz w:val="18"/>
          <w:szCs w:val="18"/>
          <w:color w:val="auto"/>
        </w:rPr>
        <w:t>The components of the charges included in asset impairment, restructuring, and other special charges in our consolidated condensed statements of operations are described below.</w:t>
      </w:r>
    </w:p>
    <w:p>
      <w:pPr>
        <w:spacing w:after="0" w:line="130" w:lineRule="exact"/>
        <w:rPr>
          <w:sz w:val="20"/>
          <w:szCs w:val="20"/>
          <w:color w:val="auto"/>
        </w:rPr>
      </w:pPr>
    </w:p>
    <w:p>
      <w:pPr>
        <w:ind w:left="9600"/>
        <w:spacing w:after="0"/>
        <w:rPr>
          <w:sz w:val="20"/>
          <w:szCs w:val="20"/>
          <w:color w:val="auto"/>
        </w:rPr>
      </w:pPr>
      <w:r>
        <w:rPr>
          <w:rFonts w:ascii="Arial" w:cs="Arial" w:eastAsia="Arial" w:hAnsi="Arial"/>
          <w:sz w:val="14"/>
          <w:szCs w:val="14"/>
          <w:b w:val="1"/>
          <w:bCs w:val="1"/>
          <w:color w:val="auto"/>
        </w:rPr>
        <w:t>Three Months Ended</w:t>
      </w:r>
    </w:p>
    <w:p>
      <w:pPr>
        <w:spacing w:after="0" w:line="19" w:lineRule="exact"/>
        <w:rPr>
          <w:sz w:val="20"/>
          <w:szCs w:val="20"/>
          <w:color w:val="auto"/>
        </w:rPr>
      </w:pPr>
    </w:p>
    <w:p>
      <w:pPr>
        <w:ind w:left="1000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5862320</wp:posOffset>
            </wp:positionH>
            <wp:positionV relativeFrom="paragraph">
              <wp:posOffset>14605</wp:posOffset>
            </wp:positionV>
            <wp:extent cx="138938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389380" cy="8890"/>
                    </a:xfrm>
                    <a:prstGeom prst="rect">
                      <a:avLst/>
                    </a:prstGeom>
                    <a:noFill/>
                  </pic:spPr>
                </pic:pic>
              </a:graphicData>
            </a:graphic>
          </wp:anchor>
        </w:drawing>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924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2018</w:t>
            </w:r>
          </w:p>
        </w:tc>
        <w:tc>
          <w:tcPr>
            <w:tcW w:w="3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273"/>
              <w:spacing w:after="0"/>
              <w:rPr>
                <w:sz w:val="20"/>
                <w:szCs w:val="20"/>
                <w:color w:val="auto"/>
              </w:rPr>
            </w:pPr>
            <w:r>
              <w:rPr>
                <w:rFonts w:ascii="Arial" w:cs="Arial" w:eastAsia="Arial" w:hAnsi="Arial"/>
                <w:sz w:val="14"/>
                <w:szCs w:val="14"/>
                <w:b w:val="1"/>
                <w:bCs w:val="1"/>
                <w:color w:val="auto"/>
              </w:rPr>
              <w:t>2017</w:t>
            </w:r>
          </w:p>
        </w:tc>
      </w:tr>
      <w:tr>
        <w:trPr>
          <w:trHeight w:val="270"/>
        </w:trPr>
        <w:tc>
          <w:tcPr>
            <w:tcW w:w="9240" w:type="dxa"/>
            <w:vAlign w:val="bottom"/>
            <w:shd w:val="clear" w:color="auto" w:fill="CCEEFF"/>
          </w:tcPr>
          <w:p>
            <w:pPr>
              <w:ind w:left="40"/>
              <w:spacing w:after="0"/>
              <w:rPr>
                <w:sz w:val="20"/>
                <w:szCs w:val="20"/>
                <w:color w:val="auto"/>
              </w:rPr>
            </w:pPr>
            <w:r>
              <w:rPr>
                <w:rFonts w:ascii="Arial" w:cs="Arial" w:eastAsia="Arial" w:hAnsi="Arial"/>
                <w:sz w:val="18"/>
                <w:szCs w:val="18"/>
                <w:color w:val="auto"/>
              </w:rPr>
              <w:t>Severance:</w:t>
            </w:r>
          </w:p>
        </w:tc>
        <w:tc>
          <w:tcPr>
            <w:tcW w:w="24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r>
      <w:tr>
        <w:trPr>
          <w:trHeight w:val="263"/>
        </w:trPr>
        <w:tc>
          <w:tcPr>
            <w:tcW w:w="9240" w:type="dxa"/>
            <w:vAlign w:val="bottom"/>
          </w:tcPr>
          <w:p>
            <w:pPr>
              <w:ind w:left="180"/>
              <w:spacing w:after="0"/>
              <w:rPr>
                <w:sz w:val="20"/>
                <w:szCs w:val="20"/>
                <w:color w:val="auto"/>
              </w:rPr>
            </w:pPr>
            <w:r>
              <w:rPr>
                <w:rFonts w:ascii="Arial" w:cs="Arial" w:eastAsia="Arial" w:hAnsi="Arial"/>
                <w:sz w:val="18"/>
                <w:szCs w:val="18"/>
                <w:color w:val="auto"/>
              </w:rPr>
              <w:t>Human pharmaceutical products</w:t>
            </w:r>
          </w:p>
        </w:tc>
        <w:tc>
          <w:tcPr>
            <w:tcW w:w="240" w:type="dxa"/>
            <w:vAlign w:val="bottom"/>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840" w:type="dxa"/>
            <w:vAlign w:val="bottom"/>
          </w:tcPr>
          <w:p>
            <w:pPr>
              <w:jc w:val="right"/>
              <w:ind w:right="13"/>
              <w:spacing w:after="0"/>
              <w:rPr>
                <w:sz w:val="20"/>
                <w:szCs w:val="20"/>
                <w:color w:val="auto"/>
              </w:rPr>
            </w:pPr>
            <w:r>
              <w:rPr>
                <w:rFonts w:ascii="Arial" w:cs="Arial" w:eastAsia="Arial" w:hAnsi="Arial"/>
                <w:sz w:val="18"/>
                <w:szCs w:val="18"/>
                <w:b w:val="1"/>
                <w:bCs w:val="1"/>
                <w:color w:val="auto"/>
              </w:rPr>
              <w:t>(0.1)</w:t>
            </w:r>
          </w:p>
        </w:tc>
        <w:tc>
          <w:tcPr>
            <w:tcW w:w="3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13"/>
              <w:spacing w:after="0"/>
              <w:rPr>
                <w:sz w:val="20"/>
                <w:szCs w:val="20"/>
                <w:color w:val="auto"/>
              </w:rPr>
            </w:pPr>
            <w:r>
              <w:rPr>
                <w:rFonts w:ascii="Arial" w:cs="Arial" w:eastAsia="Arial" w:hAnsi="Arial"/>
                <w:sz w:val="18"/>
                <w:szCs w:val="18"/>
                <w:color w:val="auto"/>
              </w:rPr>
              <w:t>113.1</w:t>
            </w:r>
          </w:p>
        </w:tc>
      </w:tr>
      <w:tr>
        <w:trPr>
          <w:trHeight w:val="270"/>
        </w:trPr>
        <w:tc>
          <w:tcPr>
            <w:tcW w:w="92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Animal health products</w:t>
            </w:r>
          </w:p>
        </w:tc>
        <w:tc>
          <w:tcPr>
            <w:tcW w:w="240" w:type="dxa"/>
            <w:vAlign w:val="bottom"/>
            <w:tcBorders>
              <w:bottom w:val="single" w:sz="8" w:color="auto"/>
            </w:tcBorders>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b w:val="1"/>
                <w:bCs w:val="1"/>
                <w:color w:val="auto"/>
              </w:rPr>
              <w:t>7.5</w:t>
            </w:r>
          </w:p>
        </w:tc>
        <w:tc>
          <w:tcPr>
            <w:tcW w:w="30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55.6</w:t>
            </w:r>
          </w:p>
        </w:tc>
      </w:tr>
      <w:tr>
        <w:trPr>
          <w:trHeight w:val="263"/>
        </w:trPr>
        <w:tc>
          <w:tcPr>
            <w:tcW w:w="9240" w:type="dxa"/>
            <w:vAlign w:val="bottom"/>
          </w:tcPr>
          <w:p>
            <w:pPr>
              <w:ind w:left="40"/>
              <w:spacing w:after="0"/>
              <w:rPr>
                <w:sz w:val="20"/>
                <w:szCs w:val="20"/>
                <w:color w:val="auto"/>
              </w:rPr>
            </w:pPr>
            <w:r>
              <w:rPr>
                <w:rFonts w:ascii="Arial" w:cs="Arial" w:eastAsia="Arial" w:hAnsi="Arial"/>
                <w:sz w:val="18"/>
                <w:szCs w:val="18"/>
                <w:color w:val="auto"/>
              </w:rPr>
              <w:t>Total severance</w:t>
            </w:r>
          </w:p>
        </w:tc>
        <w:tc>
          <w:tcPr>
            <w:tcW w:w="240" w:type="dxa"/>
            <w:vAlign w:val="bottom"/>
          </w:tcPr>
          <w:p>
            <w:pPr>
              <w:spacing w:after="0"/>
              <w:rPr>
                <w:sz w:val="22"/>
                <w:szCs w:val="22"/>
                <w:color w:val="auto"/>
              </w:rPr>
            </w:pPr>
          </w:p>
        </w:tc>
        <w:tc>
          <w:tcPr>
            <w:tcW w:w="840" w:type="dxa"/>
            <w:vAlign w:val="bottom"/>
          </w:tcPr>
          <w:p>
            <w:pPr>
              <w:jc w:val="right"/>
              <w:ind w:right="73"/>
              <w:spacing w:after="0"/>
              <w:rPr>
                <w:sz w:val="20"/>
                <w:szCs w:val="20"/>
                <w:color w:val="auto"/>
              </w:rPr>
            </w:pPr>
            <w:r>
              <w:rPr>
                <w:rFonts w:ascii="Arial" w:cs="Arial" w:eastAsia="Arial" w:hAnsi="Arial"/>
                <w:sz w:val="18"/>
                <w:szCs w:val="18"/>
                <w:b w:val="1"/>
                <w:bCs w:val="1"/>
                <w:color w:val="auto"/>
              </w:rPr>
              <w:t>7.4</w:t>
            </w:r>
          </w:p>
        </w:tc>
        <w:tc>
          <w:tcPr>
            <w:tcW w:w="300" w:type="dxa"/>
            <w:vAlign w:val="bottom"/>
          </w:tcPr>
          <w:p>
            <w:pPr>
              <w:spacing w:after="0"/>
              <w:rPr>
                <w:sz w:val="22"/>
                <w:szCs w:val="22"/>
                <w:color w:val="auto"/>
              </w:rPr>
            </w:pPr>
          </w:p>
        </w:tc>
        <w:tc>
          <w:tcPr>
            <w:tcW w:w="800" w:type="dxa"/>
            <w:vAlign w:val="bottom"/>
          </w:tcPr>
          <w:p>
            <w:pPr>
              <w:jc w:val="right"/>
              <w:ind w:right="13"/>
              <w:spacing w:after="0"/>
              <w:rPr>
                <w:sz w:val="20"/>
                <w:szCs w:val="20"/>
                <w:color w:val="auto"/>
              </w:rPr>
            </w:pPr>
            <w:r>
              <w:rPr>
                <w:rFonts w:ascii="Arial" w:cs="Arial" w:eastAsia="Arial" w:hAnsi="Arial"/>
                <w:sz w:val="18"/>
                <w:szCs w:val="18"/>
                <w:color w:val="auto"/>
              </w:rPr>
              <w:t>168.7</w:t>
            </w:r>
          </w:p>
        </w:tc>
      </w:tr>
      <w:tr>
        <w:trPr>
          <w:trHeight w:val="270"/>
        </w:trPr>
        <w:tc>
          <w:tcPr>
            <w:tcW w:w="9240" w:type="dxa"/>
            <w:vAlign w:val="bottom"/>
            <w:shd w:val="clear" w:color="auto" w:fill="CCEEFF"/>
          </w:tcPr>
          <w:p>
            <w:pPr>
              <w:ind w:left="40"/>
              <w:spacing w:after="0"/>
              <w:rPr>
                <w:sz w:val="20"/>
                <w:szCs w:val="20"/>
                <w:color w:val="auto"/>
              </w:rPr>
            </w:pPr>
            <w:r>
              <w:rPr>
                <w:rFonts w:ascii="Arial" w:cs="Arial" w:eastAsia="Arial" w:hAnsi="Arial"/>
                <w:sz w:val="18"/>
                <w:szCs w:val="18"/>
                <w:color w:val="auto"/>
              </w:rPr>
              <w:t>Asset impairment and other special charges - Animal health products</w:t>
            </w:r>
          </w:p>
        </w:tc>
        <w:tc>
          <w:tcPr>
            <w:tcW w:w="240" w:type="dxa"/>
            <w:vAlign w:val="bottom"/>
            <w:tcBorders>
              <w:bottom w:val="single" w:sz="8" w:color="auto"/>
            </w:tcBorders>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b w:val="1"/>
                <w:bCs w:val="1"/>
                <w:color w:val="auto"/>
              </w:rPr>
              <w:t>70.9</w:t>
            </w:r>
          </w:p>
        </w:tc>
        <w:tc>
          <w:tcPr>
            <w:tcW w:w="30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45.2</w:t>
            </w:r>
          </w:p>
        </w:tc>
      </w:tr>
      <w:tr>
        <w:trPr>
          <w:trHeight w:val="277"/>
        </w:trPr>
        <w:tc>
          <w:tcPr>
            <w:tcW w:w="9240" w:type="dxa"/>
            <w:vAlign w:val="bottom"/>
          </w:tcPr>
          <w:p>
            <w:pPr>
              <w:ind w:left="40"/>
              <w:spacing w:after="0"/>
              <w:rPr>
                <w:sz w:val="20"/>
                <w:szCs w:val="20"/>
                <w:color w:val="auto"/>
              </w:rPr>
            </w:pPr>
            <w:r>
              <w:rPr>
                <w:rFonts w:ascii="Arial" w:cs="Arial" w:eastAsia="Arial" w:hAnsi="Arial"/>
                <w:sz w:val="18"/>
                <w:szCs w:val="18"/>
                <w:color w:val="auto"/>
              </w:rPr>
              <w:t>Total asset impairment, restructuring, and other special charges</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84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b w:val="1"/>
                <w:bCs w:val="1"/>
                <w:color w:val="auto"/>
              </w:rPr>
              <w:t>78.3</w:t>
            </w:r>
          </w:p>
        </w:tc>
        <w:tc>
          <w:tcPr>
            <w:tcW w:w="3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213.9</w:t>
            </w:r>
          </w:p>
        </w:tc>
      </w:tr>
    </w:tbl>
    <w:p>
      <w:pPr>
        <w:spacing w:after="0" w:line="107" w:lineRule="exact"/>
        <w:rPr>
          <w:sz w:val="20"/>
          <w:szCs w:val="20"/>
          <w:color w:val="auto"/>
        </w:rPr>
      </w:pPr>
    </w:p>
    <w:p>
      <w:pPr>
        <w:ind w:right="40"/>
        <w:spacing w:after="0" w:line="243" w:lineRule="auto"/>
        <w:rPr>
          <w:sz w:val="20"/>
          <w:szCs w:val="20"/>
          <w:color w:val="auto"/>
        </w:rPr>
      </w:pPr>
      <w:r>
        <w:rPr>
          <w:rFonts w:ascii="Arial" w:cs="Arial" w:eastAsia="Arial" w:hAnsi="Arial"/>
          <w:sz w:val="18"/>
          <w:szCs w:val="18"/>
          <w:color w:val="auto"/>
        </w:rPr>
        <w:t>The asset impairment, restructuring, and other special charges recognized during the three months ended March 31, 2018 are primarily associated with asset impairment, exit costs, and severance costs related to the decision to end Posilac</w:t>
      </w:r>
      <w:r>
        <w:rPr>
          <w:rFonts w:ascii="Arial" w:cs="Arial" w:eastAsia="Arial" w:hAnsi="Arial"/>
          <w:sz w:val="21"/>
          <w:szCs w:val="21"/>
          <w:b w:val="1"/>
          <w:bCs w:val="1"/>
          <w:color w:val="auto"/>
          <w:vertAlign w:val="superscript"/>
        </w:rPr>
        <w:t>®</w:t>
      </w:r>
      <w:r>
        <w:rPr>
          <w:rFonts w:ascii="Arial" w:cs="Arial" w:eastAsia="Arial" w:hAnsi="Arial"/>
          <w:sz w:val="18"/>
          <w:szCs w:val="18"/>
          <w:color w:val="auto"/>
        </w:rPr>
        <w:t xml:space="preserve"> (rbST) production at the Augusta, Georgia manufacturing site. We are continuing to explore options related to exiting the site. We also incurred expenses associated with the ongoing review of strategic alternatives for the Elanco animal health business. Substantially all of the severance costs incurred during the three months ended March 31, 2018 are expected to be paid in the next 12 months.</w:t>
      </w:r>
    </w:p>
    <w:p>
      <w:pPr>
        <w:spacing w:after="0" w:line="106"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Severance costs recognized during the three months ended March 31, 2017 were incurred as a result of actions taken to reduce our cost structure, as well as the integration of Novartis Animal Health (Novartis AH). Asset impairment and other special charges recognized during the three months ended March 31, 2017, resulted primarily from integration costs of Novartis AH, as well as asset impairments due to site closures.</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738" w:right="23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color w:val="auto"/>
        </w:rPr>
        <w:t>Note 6: Financial Instruments</w:t>
      </w:r>
    </w:p>
    <w:p>
      <w:pPr>
        <w:spacing w:after="0" w:line="193"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Financial instruments that potentially subject us to credit risk consist principally of trade receivables and interest-bearing investments. Wholesale distributors of life-science products account for a substantial portion of our trade receivables; collateral is generally not required. The risk associated with this concentration is mitigated by our ongoing credit-review procedures and insurance. A large portion of our cash is held by a few major financial institutions. We monitor our exposures with these institutions and do not expect any of these institutions to fail to meet their obligations. Major financial institutions represent the largest component of our investments in corporate debt securities. In accordance with documented corporate risk-management policies, we monitor the amount of credit exposure to any one financial institution or corporate issuer. We are exposed to credit-related losses in the event of nonperformance by counterparties to risk-management instruments but do not expect any counterparties to fail to meet their obligations given their high credit ratings.</w:t>
      </w:r>
    </w:p>
    <w:p>
      <w:pPr>
        <w:spacing w:after="0" w:line="152"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Our equity investments are accounted for using three different methods depending on the type of equity investment. Investments in companies over which we have significant influence but not a controlling interest are accounted for using the equity method with our share of earnings or losses reported in other-net, (income) expense. For equity investments that do not have readily determinable fair values, we measure these investments at cost, less any impairment, plus or minus changes resulting from observable price changes in orderly transactions for the identical or similar investment of the same issuer. Any change in recorded value is recorded in other-net, (income) expense. Our public equity investments are measured and carried at fair value. Any change in fair value is recognized in other-net, (income) expense. We review equity investments other than public equity investments for indications of impairment on a regular basis.</w:t>
      </w:r>
    </w:p>
    <w:p>
      <w:pPr>
        <w:spacing w:after="0" w:line="99" w:lineRule="exact"/>
        <w:rPr>
          <w:sz w:val="20"/>
          <w:szCs w:val="20"/>
          <w:color w:val="auto"/>
        </w:rPr>
      </w:pPr>
    </w:p>
    <w:p>
      <w:pPr>
        <w:jc w:val="both"/>
        <w:ind w:right="20"/>
        <w:spacing w:after="0" w:line="256" w:lineRule="auto"/>
        <w:rPr>
          <w:sz w:val="20"/>
          <w:szCs w:val="20"/>
          <w:color w:val="auto"/>
        </w:rPr>
      </w:pPr>
      <w:r>
        <w:rPr>
          <w:rFonts w:ascii="Arial" w:cs="Arial" w:eastAsia="Arial" w:hAnsi="Arial"/>
          <w:sz w:val="18"/>
          <w:szCs w:val="18"/>
          <w:color w:val="auto"/>
        </w:rPr>
        <w:t>Our derivative activities are initiated within the guidelines of documented corporate risk-management policies and are intended to offset losses and gains on the assets, liabilities, and transactions being hedged. Management reviews the correlation and effectiveness of our derivatives on a quarterly basis.</w:t>
      </w:r>
    </w:p>
    <w:p>
      <w:pPr>
        <w:spacing w:after="0" w:line="94" w:lineRule="exact"/>
        <w:rPr>
          <w:sz w:val="20"/>
          <w:szCs w:val="20"/>
          <w:color w:val="auto"/>
        </w:rPr>
      </w:pPr>
    </w:p>
    <w:p>
      <w:pPr>
        <w:ind w:right="100"/>
        <w:spacing w:after="0" w:line="252" w:lineRule="auto"/>
        <w:rPr>
          <w:sz w:val="20"/>
          <w:szCs w:val="20"/>
          <w:color w:val="auto"/>
        </w:rPr>
      </w:pPr>
      <w:r>
        <w:rPr>
          <w:rFonts w:ascii="Arial" w:cs="Arial" w:eastAsia="Arial" w:hAnsi="Arial"/>
          <w:sz w:val="18"/>
          <w:szCs w:val="18"/>
          <w:color w:val="auto"/>
        </w:rPr>
        <w:t>For derivative instruments that are designated and qualify as fair value hedges, the derivative instrument is marked to market with gains and losses recognized currently in income to offset the respective losses and gains recognized on the underlying exposure. For derivative instruments that are designated and qualify as cash flow hedges, the effective portion of gains and losses is reported as a component of accumulated other comprehensive loss and reclassified into earnings in the same period the hedged transaction affects earnings. For derivative and non-derivative instruments that are designated and qualify as net investment hedges, the effective portion of foreign currency translation gains or losses due to spot rate fluctuations are reported as a component of accumulated other comprehensive loss. Hedge ineffectiveness is immediately recognized in earnings. Derivative contracts that are not designated as hedging instruments are recorded at fair value with the gain or loss recognized in current earnings during the period of change.</w:t>
      </w:r>
    </w:p>
    <w:p>
      <w:pPr>
        <w:spacing w:after="0" w:line="98" w:lineRule="exact"/>
        <w:rPr>
          <w:sz w:val="20"/>
          <w:szCs w:val="20"/>
          <w:color w:val="auto"/>
        </w:rPr>
      </w:pPr>
    </w:p>
    <w:p>
      <w:pPr>
        <w:ind w:right="40"/>
        <w:spacing w:after="0" w:line="251" w:lineRule="auto"/>
        <w:rPr>
          <w:sz w:val="20"/>
          <w:szCs w:val="20"/>
          <w:color w:val="auto"/>
        </w:rPr>
      </w:pPr>
      <w:r>
        <w:rPr>
          <w:rFonts w:ascii="Arial" w:cs="Arial" w:eastAsia="Arial" w:hAnsi="Arial"/>
          <w:sz w:val="18"/>
          <w:szCs w:val="18"/>
          <w:color w:val="auto"/>
        </w:rPr>
        <w:t>We may enter into foreign currency forward or option contracts to reduce the effect of fluctuating currency exchange rates (principally the euro, British pound, and the Japanese yen). Foreign currency derivatives used for hedging are put in place using the same or like currencies and duration as the underlying exposures. Forward and option contracts are principally used to manage exposures arising from subsidiary trade and loan payables and receivables denominated in foreign currencies. These contracts are recorded at fair value with the gain or loss recognized in other–net, (income) expense. We may enter into foreign currency forward and option contracts and currency swaps as fair value hedges of firm commitments. Forward contracts generally have maturities not exceeding 12 months. At March 31, 2018, we had outstanding foreign currency forward commitments to purchase 1.50 billion U.S. dollars and sell 1.22 billion euro, commitments to purchase 1.86 billion euro and sell 2.29 billion U.S. dollars, commitments to purchase 425.5 million U.S. dollars and sell 45.15 billion Japanese yen, commitments to purchase 389.2 million British pounds and sell 548.1 million U.S. dollars, and commitments to purchase 312.2 million U.S. dollars and sell 221.7 million British pounds, which will all settle within 30 days.</w:t>
      </w:r>
    </w:p>
    <w:p>
      <w:pPr>
        <w:spacing w:after="0" w:line="104" w:lineRule="exact"/>
        <w:rPr>
          <w:sz w:val="20"/>
          <w:szCs w:val="20"/>
          <w:color w:val="auto"/>
        </w:rPr>
      </w:pPr>
    </w:p>
    <w:p>
      <w:pPr>
        <w:ind w:right="140"/>
        <w:spacing w:after="0" w:line="252" w:lineRule="auto"/>
        <w:rPr>
          <w:sz w:val="20"/>
          <w:szCs w:val="20"/>
          <w:color w:val="auto"/>
        </w:rPr>
      </w:pPr>
      <w:r>
        <w:rPr>
          <w:rFonts w:ascii="Arial" w:cs="Arial" w:eastAsia="Arial" w:hAnsi="Arial"/>
          <w:sz w:val="18"/>
          <w:szCs w:val="18"/>
          <w:color w:val="auto"/>
        </w:rPr>
        <w:t>Foreign currency exchange risk is also managed through the use of foreign currency debt and cross-currency interest rate swaps. Our foreign currency-denominated notes had carrying amounts of $3.81 billion and $3.70 billion as of March 31, 2018 and December 31, 2017, respectively, and have been designated as, and are effective as, economic hedges of net investments in certain of our euro-denominated and Swiss franc-denominated foreign operations. Our cross-currency interest rate swaps that convert a portion of our U.S. dollar-denominated floating rate debt to euro-denominated floating rate debt have also been designated as, and are effective as, economic hedges of net investments in certain of our euro-denominated foreign operations.</w:t>
      </w:r>
    </w:p>
    <w:p>
      <w:pPr>
        <w:spacing w:after="0" w:line="101" w:lineRule="exact"/>
        <w:rPr>
          <w:sz w:val="20"/>
          <w:szCs w:val="20"/>
          <w:color w:val="auto"/>
        </w:rPr>
      </w:pPr>
    </w:p>
    <w:p>
      <w:pPr>
        <w:ind w:right="220"/>
        <w:spacing w:after="0" w:line="256" w:lineRule="auto"/>
        <w:rPr>
          <w:sz w:val="20"/>
          <w:szCs w:val="20"/>
          <w:color w:val="auto"/>
        </w:rPr>
      </w:pPr>
      <w:r>
        <w:rPr>
          <w:rFonts w:ascii="Arial" w:cs="Arial" w:eastAsia="Arial" w:hAnsi="Arial"/>
          <w:sz w:val="18"/>
          <w:szCs w:val="18"/>
          <w:color w:val="auto"/>
        </w:rPr>
        <w:t>In the normal course of business, our operations are exposed to fluctuations in interest rates which can vary the costs of financing, investing, and operating. We address a portion of these risks through a controlled program of risk management that includes the use of derivative financial instruments. The objective of controlling these risks is to</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40" w:top="576" w:right="259" w:bottom="1440" w:gutter="0" w:footer="0" w:header="0"/>
        </w:sectPr>
      </w:pPr>
    </w:p>
    <w:bookmarkStart w:id="19" w:name="page20"/>
    <w:bookmarkEnd w:id="19"/>
    <w:p>
      <w:pPr>
        <w:ind w:right="20"/>
        <w:spacing w:after="0" w:line="256" w:lineRule="auto"/>
        <w:rPr>
          <w:sz w:val="20"/>
          <w:szCs w:val="20"/>
          <w:color w:val="auto"/>
        </w:rPr>
      </w:pPr>
      <w:r>
        <w:rPr>
          <w:rFonts w:ascii="Arial" w:cs="Arial" w:eastAsia="Arial" w:hAnsi="Arial"/>
          <w:sz w:val="18"/>
          <w:szCs w:val="18"/>
          <w:color w:val="auto"/>
        </w:rPr>
        <w:t>limit the impact of fluctuations in interest rates on earnings. Our primary interest-rate risk exposure results from changes in short-term U.S. dollar interest rates. In an effort to manage interest-rate exposures, we strive to achieve an acceptable balance between fixed- and floating-rate debt and investment positions and may enter into interest rate swaps or collars to help maintain that balance.</w:t>
      </w:r>
    </w:p>
    <w:p>
      <w:pPr>
        <w:spacing w:after="0" w:line="94"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Interest rate swaps or collars that convert our fixed-rate debt to a floating rate are designated as fair value hedges of the underlying instruments. Interest rate swaps or collars that convert floating-rate debt to a fixed rate are designated as cash flow hedges. Interest expense on the debt is adjusted to include the payments made or received under the swap agreements. Cash proceeds from or payments to counterparties resulting from the termination of interest rate swaps are classified as operating activities in our consolidated condensed statements of cash flows. At March 31, 2018, substantially all of our total long-term debt is at a fixed rate. We have converted 24 percent of our long-term fixed-rate notes to floating rates through the use of interest rate swaps.</w:t>
      </w:r>
    </w:p>
    <w:p>
      <w:pPr>
        <w:spacing w:after="0" w:line="101" w:lineRule="exact"/>
        <w:rPr>
          <w:sz w:val="20"/>
          <w:szCs w:val="20"/>
          <w:color w:val="auto"/>
        </w:rPr>
      </w:pPr>
    </w:p>
    <w:p>
      <w:pPr>
        <w:ind w:right="820"/>
        <w:spacing w:after="0" w:line="262" w:lineRule="auto"/>
        <w:rPr>
          <w:sz w:val="20"/>
          <w:szCs w:val="20"/>
          <w:color w:val="auto"/>
        </w:rPr>
      </w:pPr>
      <w:r>
        <w:rPr>
          <w:rFonts w:ascii="Arial" w:cs="Arial" w:eastAsia="Arial" w:hAnsi="Arial"/>
          <w:sz w:val="18"/>
          <w:szCs w:val="18"/>
          <w:color w:val="auto"/>
        </w:rPr>
        <w:t>We may enter into forward contracts and designate them as cash flow hedges to limit the potential volatility of earnings and cash flow associated with forecasted sales of available-for-sale securities.</w:t>
      </w:r>
    </w:p>
    <w:p>
      <w:pPr>
        <w:spacing w:after="0" w:line="88" w:lineRule="exact"/>
        <w:rPr>
          <w:sz w:val="20"/>
          <w:szCs w:val="20"/>
          <w:color w:val="auto"/>
        </w:rPr>
      </w:pPr>
    </w:p>
    <w:p>
      <w:pPr>
        <w:ind w:right="340"/>
        <w:spacing w:after="0" w:line="254" w:lineRule="auto"/>
        <w:rPr>
          <w:sz w:val="20"/>
          <w:szCs w:val="20"/>
          <w:color w:val="auto"/>
        </w:rPr>
      </w:pPr>
      <w:r>
        <w:rPr>
          <w:rFonts w:ascii="Arial" w:cs="Arial" w:eastAsia="Arial" w:hAnsi="Arial"/>
          <w:sz w:val="18"/>
          <w:szCs w:val="18"/>
          <w:color w:val="auto"/>
        </w:rPr>
        <w:t>We also may enter into forward-starting interest rate swaps, which we designate as cash flow hedges, as part of any anticipated future debt issuances in order to reduce the risk of cash flow volatility from future changes in interest rates. Upon completion of a debt issuance and termination of the swap, the change in fair value of these instruments is recorded as part of other comprehensive income (loss) and is amortized to interest expense over the life of the underlying debt.</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Effect of Risk-Management Instruments on the Consolidated Condensed Statements of Operations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effects of risk-management instruments were recognized in other–net, (income) expense:</w:t>
      </w:r>
    </w:p>
    <w:p>
      <w:pPr>
        <w:spacing w:after="0" w:line="159" w:lineRule="exact"/>
        <w:rPr>
          <w:sz w:val="20"/>
          <w:szCs w:val="20"/>
          <w:color w:val="auto"/>
        </w:rPr>
      </w:pPr>
    </w:p>
    <w:p>
      <w:pPr>
        <w:ind w:left="9600"/>
        <w:spacing w:after="0"/>
        <w:rPr>
          <w:sz w:val="20"/>
          <w:szCs w:val="20"/>
          <w:color w:val="auto"/>
        </w:rPr>
      </w:pPr>
      <w:r>
        <w:rPr>
          <w:rFonts w:ascii="Arial" w:cs="Arial" w:eastAsia="Arial" w:hAnsi="Arial"/>
          <w:sz w:val="14"/>
          <w:szCs w:val="14"/>
          <w:b w:val="1"/>
          <w:bCs w:val="1"/>
          <w:color w:val="auto"/>
        </w:rPr>
        <w:t>Three Months Ended</w:t>
      </w:r>
    </w:p>
    <w:p>
      <w:pPr>
        <w:spacing w:after="0" w:line="19" w:lineRule="exact"/>
        <w:rPr>
          <w:sz w:val="20"/>
          <w:szCs w:val="20"/>
          <w:color w:val="auto"/>
        </w:rPr>
      </w:pPr>
    </w:p>
    <w:p>
      <w:pPr>
        <w:ind w:left="1000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5862320</wp:posOffset>
            </wp:positionH>
            <wp:positionV relativeFrom="paragraph">
              <wp:posOffset>14605</wp:posOffset>
            </wp:positionV>
            <wp:extent cx="138938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389380" cy="8890"/>
                    </a:xfrm>
                    <a:prstGeom prst="rect">
                      <a:avLst/>
                    </a:prstGeom>
                    <a:noFill/>
                  </pic:spPr>
                </pic:pic>
              </a:graphicData>
            </a:graphic>
          </wp:anchor>
        </w:drawing>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908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2018</w:t>
            </w:r>
          </w:p>
        </w:tc>
        <w:tc>
          <w:tcPr>
            <w:tcW w:w="3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2017</w:t>
            </w:r>
          </w:p>
        </w:tc>
      </w:tr>
      <w:tr>
        <w:trPr>
          <w:trHeight w:val="270"/>
        </w:trPr>
        <w:tc>
          <w:tcPr>
            <w:tcW w:w="9080" w:type="dxa"/>
            <w:vAlign w:val="bottom"/>
            <w:shd w:val="clear" w:color="auto" w:fill="CCEEFF"/>
          </w:tcPr>
          <w:p>
            <w:pPr>
              <w:ind w:left="40"/>
              <w:spacing w:after="0"/>
              <w:rPr>
                <w:sz w:val="20"/>
                <w:szCs w:val="20"/>
                <w:color w:val="auto"/>
              </w:rPr>
            </w:pPr>
            <w:r>
              <w:rPr>
                <w:rFonts w:ascii="Arial" w:cs="Arial" w:eastAsia="Arial" w:hAnsi="Arial"/>
                <w:sz w:val="18"/>
                <w:szCs w:val="18"/>
                <w:color w:val="auto"/>
              </w:rPr>
              <w:t>Fair value hedges:</w:t>
            </w:r>
          </w:p>
        </w:tc>
        <w:tc>
          <w:tcPr>
            <w:tcW w:w="40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r>
      <w:tr>
        <w:trPr>
          <w:trHeight w:val="263"/>
        </w:trPr>
        <w:tc>
          <w:tcPr>
            <w:tcW w:w="9080" w:type="dxa"/>
            <w:vAlign w:val="bottom"/>
          </w:tcPr>
          <w:p>
            <w:pPr>
              <w:ind w:left="280"/>
              <w:spacing w:after="0"/>
              <w:rPr>
                <w:sz w:val="20"/>
                <w:szCs w:val="20"/>
                <w:color w:val="auto"/>
              </w:rPr>
            </w:pPr>
            <w:r>
              <w:rPr>
                <w:rFonts w:ascii="Arial" w:cs="Arial" w:eastAsia="Arial" w:hAnsi="Arial"/>
                <w:sz w:val="18"/>
                <w:szCs w:val="18"/>
                <w:color w:val="auto"/>
              </w:rPr>
              <w:t>Effect from hedged fixed-rate debt</w:t>
            </w:r>
          </w:p>
        </w:tc>
        <w:tc>
          <w:tcPr>
            <w:tcW w:w="400" w:type="dxa"/>
            <w:vAlign w:val="bottom"/>
          </w:tcPr>
          <w:p>
            <w:pPr>
              <w:jc w:val="right"/>
              <w:ind w:right="30"/>
              <w:spacing w:after="0"/>
              <w:rPr>
                <w:sz w:val="20"/>
                <w:szCs w:val="20"/>
                <w:color w:val="auto"/>
              </w:rPr>
            </w:pPr>
            <w:r>
              <w:rPr>
                <w:rFonts w:ascii="Arial" w:cs="Arial" w:eastAsia="Arial" w:hAnsi="Arial"/>
                <w:sz w:val="18"/>
                <w:szCs w:val="18"/>
                <w:b w:val="1"/>
                <w:bCs w:val="1"/>
                <w:color w:val="auto"/>
              </w:rPr>
              <w:t>$</w:t>
            </w:r>
          </w:p>
        </w:tc>
        <w:tc>
          <w:tcPr>
            <w:tcW w:w="840" w:type="dxa"/>
            <w:vAlign w:val="bottom"/>
          </w:tcPr>
          <w:p>
            <w:pPr>
              <w:jc w:val="right"/>
              <w:ind w:right="14"/>
              <w:spacing w:after="0"/>
              <w:rPr>
                <w:sz w:val="20"/>
                <w:szCs w:val="20"/>
                <w:color w:val="auto"/>
              </w:rPr>
            </w:pPr>
            <w:r>
              <w:rPr>
                <w:rFonts w:ascii="Arial" w:cs="Arial" w:eastAsia="Arial" w:hAnsi="Arial"/>
                <w:sz w:val="18"/>
                <w:szCs w:val="18"/>
                <w:b w:val="1"/>
                <w:bCs w:val="1"/>
                <w:color w:val="auto"/>
              </w:rPr>
              <w:t>(54.8)</w:t>
            </w:r>
          </w:p>
        </w:tc>
        <w:tc>
          <w:tcPr>
            <w:tcW w:w="3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(7.5)</w:t>
            </w:r>
          </w:p>
        </w:tc>
      </w:tr>
      <w:tr>
        <w:trPr>
          <w:trHeight w:val="277"/>
        </w:trPr>
        <w:tc>
          <w:tcPr>
            <w:tcW w:w="90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Effect from interest rate contracts</w:t>
            </w:r>
          </w:p>
        </w:tc>
        <w:tc>
          <w:tcPr>
            <w:tcW w:w="40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74"/>
              <w:spacing w:after="0"/>
              <w:rPr>
                <w:sz w:val="20"/>
                <w:szCs w:val="20"/>
                <w:color w:val="auto"/>
              </w:rPr>
            </w:pPr>
            <w:r>
              <w:rPr>
                <w:rFonts w:ascii="Arial" w:cs="Arial" w:eastAsia="Arial" w:hAnsi="Arial"/>
                <w:sz w:val="18"/>
                <w:szCs w:val="18"/>
                <w:b w:val="1"/>
                <w:bCs w:val="1"/>
                <w:color w:val="auto"/>
              </w:rPr>
              <w:t>54.8</w:t>
            </w:r>
          </w:p>
        </w:tc>
        <w:tc>
          <w:tcPr>
            <w:tcW w:w="30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7.5</w:t>
            </w:r>
          </w:p>
        </w:tc>
      </w:tr>
      <w:tr>
        <w:trPr>
          <w:trHeight w:val="263"/>
        </w:trPr>
        <w:tc>
          <w:tcPr>
            <w:tcW w:w="9080" w:type="dxa"/>
            <w:vAlign w:val="bottom"/>
          </w:tcPr>
          <w:p>
            <w:pPr>
              <w:ind w:left="40"/>
              <w:spacing w:after="0"/>
              <w:rPr>
                <w:sz w:val="20"/>
                <w:szCs w:val="20"/>
                <w:color w:val="auto"/>
              </w:rPr>
            </w:pPr>
            <w:r>
              <w:rPr>
                <w:rFonts w:ascii="Arial" w:cs="Arial" w:eastAsia="Arial" w:hAnsi="Arial"/>
                <w:sz w:val="18"/>
                <w:szCs w:val="18"/>
                <w:color w:val="auto"/>
              </w:rPr>
              <w:t>Cash flow hedges:</w:t>
            </w:r>
          </w:p>
        </w:tc>
        <w:tc>
          <w:tcPr>
            <w:tcW w:w="4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00" w:type="dxa"/>
            <w:vAlign w:val="bottom"/>
          </w:tcPr>
          <w:p>
            <w:pPr>
              <w:spacing w:after="0"/>
              <w:rPr>
                <w:sz w:val="22"/>
                <w:szCs w:val="22"/>
                <w:color w:val="auto"/>
              </w:rPr>
            </w:pPr>
          </w:p>
        </w:tc>
      </w:tr>
      <w:tr>
        <w:trPr>
          <w:trHeight w:val="277"/>
        </w:trPr>
        <w:tc>
          <w:tcPr>
            <w:tcW w:w="90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Effective portion of losses on interest rate contracts reclassified from accumulated other comprehensive loss</w:t>
            </w:r>
          </w:p>
        </w:tc>
        <w:tc>
          <w:tcPr>
            <w:tcW w:w="40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74"/>
              <w:spacing w:after="0"/>
              <w:rPr>
                <w:sz w:val="20"/>
                <w:szCs w:val="20"/>
                <w:color w:val="auto"/>
              </w:rPr>
            </w:pPr>
            <w:r>
              <w:rPr>
                <w:rFonts w:ascii="Arial" w:cs="Arial" w:eastAsia="Arial" w:hAnsi="Arial"/>
                <w:sz w:val="18"/>
                <w:szCs w:val="18"/>
                <w:b w:val="1"/>
                <w:bCs w:val="1"/>
                <w:color w:val="auto"/>
              </w:rPr>
              <w:t>3.6</w:t>
            </w:r>
          </w:p>
        </w:tc>
        <w:tc>
          <w:tcPr>
            <w:tcW w:w="30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3.8</w:t>
            </w:r>
          </w:p>
        </w:tc>
      </w:tr>
      <w:tr>
        <w:trPr>
          <w:trHeight w:val="257"/>
        </w:trPr>
        <w:tc>
          <w:tcPr>
            <w:tcW w:w="9080" w:type="dxa"/>
            <w:vAlign w:val="bottom"/>
          </w:tcPr>
          <w:p>
            <w:pPr>
              <w:ind w:left="40"/>
              <w:spacing w:after="0"/>
              <w:rPr>
                <w:sz w:val="20"/>
                <w:szCs w:val="20"/>
                <w:color w:val="auto"/>
              </w:rPr>
            </w:pPr>
            <w:r>
              <w:rPr>
                <w:rFonts w:ascii="Arial" w:cs="Arial" w:eastAsia="Arial" w:hAnsi="Arial"/>
                <w:sz w:val="18"/>
                <w:szCs w:val="18"/>
                <w:color w:val="auto"/>
              </w:rPr>
              <w:t>Net losses on foreign currency exchange contracts not designated as hedging instruments</w:t>
            </w:r>
          </w:p>
        </w:tc>
        <w:tc>
          <w:tcPr>
            <w:tcW w:w="400" w:type="dxa"/>
            <w:vAlign w:val="bottom"/>
          </w:tcPr>
          <w:p>
            <w:pPr>
              <w:spacing w:after="0"/>
              <w:rPr>
                <w:sz w:val="22"/>
                <w:szCs w:val="22"/>
                <w:color w:val="auto"/>
              </w:rPr>
            </w:pPr>
          </w:p>
        </w:tc>
        <w:tc>
          <w:tcPr>
            <w:tcW w:w="840" w:type="dxa"/>
            <w:vAlign w:val="bottom"/>
          </w:tcPr>
          <w:p>
            <w:pPr>
              <w:jc w:val="right"/>
              <w:ind w:right="74"/>
              <w:spacing w:after="0"/>
              <w:rPr>
                <w:sz w:val="20"/>
                <w:szCs w:val="20"/>
                <w:color w:val="auto"/>
              </w:rPr>
            </w:pPr>
            <w:r>
              <w:rPr>
                <w:rFonts w:ascii="Arial" w:cs="Arial" w:eastAsia="Arial" w:hAnsi="Arial"/>
                <w:sz w:val="18"/>
                <w:szCs w:val="18"/>
                <w:b w:val="1"/>
                <w:bCs w:val="1"/>
                <w:color w:val="auto"/>
              </w:rPr>
              <w:t>16.7</w:t>
            </w:r>
          </w:p>
        </w:tc>
        <w:tc>
          <w:tcPr>
            <w:tcW w:w="300" w:type="dxa"/>
            <w:vAlign w:val="bottom"/>
          </w:tcPr>
          <w:p>
            <w:pPr>
              <w:spacing w:after="0"/>
              <w:rPr>
                <w:sz w:val="22"/>
                <w:szCs w:val="22"/>
                <w:color w:val="auto"/>
              </w:rPr>
            </w:pPr>
          </w:p>
        </w:tc>
        <w:tc>
          <w:tcPr>
            <w:tcW w:w="800" w:type="dxa"/>
            <w:vAlign w:val="bottom"/>
          </w:tcPr>
          <w:p>
            <w:pPr>
              <w:jc w:val="right"/>
              <w:ind w:right="14"/>
              <w:spacing w:after="0"/>
              <w:rPr>
                <w:sz w:val="20"/>
                <w:szCs w:val="20"/>
                <w:color w:val="auto"/>
              </w:rPr>
            </w:pPr>
            <w:r>
              <w:rPr>
                <w:rFonts w:ascii="Arial" w:cs="Arial" w:eastAsia="Arial" w:hAnsi="Arial"/>
                <w:sz w:val="18"/>
                <w:szCs w:val="18"/>
                <w:color w:val="auto"/>
              </w:rPr>
              <w:t>37.2</w:t>
            </w:r>
          </w:p>
        </w:tc>
      </w:tr>
    </w:tbl>
    <w:p>
      <w:pPr>
        <w:spacing w:after="0" w:line="121"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During the three months ended March 31, 2018 and 2017, net losses related to ineffectiveness, as well as net losses related to the portion of our risk-management hedging instruments, fair value hedges, and cash flow hedges that were excluded from the assessment of effectiveness, were not material.</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Effect of Risk-Management Instruments on Other Comprehensive Income (Loss)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color w:val="auto"/>
        </w:rPr>
        <w:t>The effective portion of risk-management instruments that was recognized in other comprehensive income (loss) is as follows:</w:t>
      </w:r>
    </w:p>
    <w:p>
      <w:pPr>
        <w:spacing w:after="0" w:line="159" w:lineRule="exact"/>
        <w:rPr>
          <w:sz w:val="20"/>
          <w:szCs w:val="20"/>
          <w:color w:val="auto"/>
        </w:rPr>
      </w:pPr>
    </w:p>
    <w:p>
      <w:pPr>
        <w:ind w:left="9600"/>
        <w:spacing w:after="0"/>
        <w:rPr>
          <w:sz w:val="20"/>
          <w:szCs w:val="20"/>
          <w:color w:val="auto"/>
        </w:rPr>
      </w:pPr>
      <w:r>
        <w:rPr>
          <w:rFonts w:ascii="Arial" w:cs="Arial" w:eastAsia="Arial" w:hAnsi="Arial"/>
          <w:sz w:val="14"/>
          <w:szCs w:val="14"/>
          <w:b w:val="1"/>
          <w:bCs w:val="1"/>
          <w:color w:val="auto"/>
        </w:rPr>
        <w:t>Three Months Ended</w:t>
      </w:r>
    </w:p>
    <w:p>
      <w:pPr>
        <w:spacing w:after="0" w:line="19" w:lineRule="exact"/>
        <w:rPr>
          <w:sz w:val="20"/>
          <w:szCs w:val="20"/>
          <w:color w:val="auto"/>
        </w:rPr>
      </w:pPr>
    </w:p>
    <w:p>
      <w:pPr>
        <w:ind w:left="1000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5862320</wp:posOffset>
            </wp:positionH>
            <wp:positionV relativeFrom="paragraph">
              <wp:posOffset>14605</wp:posOffset>
            </wp:positionV>
            <wp:extent cx="138938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389380" cy="8890"/>
                    </a:xfrm>
                    <a:prstGeom prst="rect">
                      <a:avLst/>
                    </a:prstGeom>
                    <a:noFill/>
                  </pic:spPr>
                </pic:pic>
              </a:graphicData>
            </a:graphic>
          </wp:anchor>
        </w:drawing>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220" w:type="dxa"/>
            <w:vAlign w:val="bottom"/>
            <w:tcBorders>
              <w:bottom w:val="single" w:sz="8" w:color="auto"/>
            </w:tcBorders>
          </w:tcPr>
          <w:p>
            <w:pPr>
              <w:spacing w:after="0"/>
              <w:rPr>
                <w:sz w:val="17"/>
                <w:szCs w:val="17"/>
                <w:color w:val="auto"/>
              </w:rPr>
            </w:pPr>
          </w:p>
        </w:tc>
        <w:tc>
          <w:tcPr>
            <w:tcW w:w="32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316"/>
              <w:spacing w:after="0"/>
              <w:rPr>
                <w:sz w:val="20"/>
                <w:szCs w:val="20"/>
                <w:color w:val="auto"/>
              </w:rPr>
            </w:pPr>
            <w:r>
              <w:rPr>
                <w:rFonts w:ascii="Arial" w:cs="Arial" w:eastAsia="Arial" w:hAnsi="Arial"/>
                <w:sz w:val="14"/>
                <w:szCs w:val="14"/>
                <w:b w:val="1"/>
                <w:bCs w:val="1"/>
                <w:color w:val="auto"/>
              </w:rPr>
              <w:t>2018</w:t>
            </w:r>
          </w:p>
        </w:tc>
        <w:tc>
          <w:tcPr>
            <w:tcW w:w="3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276"/>
              <w:spacing w:after="0"/>
              <w:rPr>
                <w:sz w:val="20"/>
                <w:szCs w:val="20"/>
                <w:color w:val="auto"/>
              </w:rPr>
            </w:pPr>
            <w:r>
              <w:rPr>
                <w:rFonts w:ascii="Arial" w:cs="Arial" w:eastAsia="Arial" w:hAnsi="Arial"/>
                <w:sz w:val="14"/>
                <w:szCs w:val="14"/>
                <w:b w:val="1"/>
                <w:bCs w:val="1"/>
                <w:color w:val="auto"/>
              </w:rPr>
              <w:t>2017</w:t>
            </w:r>
          </w:p>
        </w:tc>
      </w:tr>
      <w:tr>
        <w:trPr>
          <w:trHeight w:val="270"/>
        </w:trPr>
        <w:tc>
          <w:tcPr>
            <w:tcW w:w="622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investment hedges:</w:t>
            </w:r>
          </w:p>
        </w:tc>
        <w:tc>
          <w:tcPr>
            <w:tcW w:w="326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r>
      <w:tr>
        <w:trPr>
          <w:trHeight w:val="263"/>
        </w:trPr>
        <w:tc>
          <w:tcPr>
            <w:tcW w:w="6220" w:type="dxa"/>
            <w:vAlign w:val="bottom"/>
          </w:tcPr>
          <w:p>
            <w:pPr>
              <w:ind w:left="240"/>
              <w:spacing w:after="0"/>
              <w:rPr>
                <w:sz w:val="20"/>
                <w:szCs w:val="20"/>
                <w:color w:val="auto"/>
              </w:rPr>
            </w:pPr>
            <w:r>
              <w:rPr>
                <w:rFonts w:ascii="Arial" w:cs="Arial" w:eastAsia="Arial" w:hAnsi="Arial"/>
                <w:sz w:val="18"/>
                <w:szCs w:val="18"/>
                <w:color w:val="auto"/>
              </w:rPr>
              <w:t>Foreign currency-denominated notes</w:t>
            </w:r>
          </w:p>
        </w:tc>
        <w:tc>
          <w:tcPr>
            <w:tcW w:w="3260" w:type="dxa"/>
            <w:vAlign w:val="bottom"/>
          </w:tcPr>
          <w:p>
            <w:pPr>
              <w:jc w:val="right"/>
              <w:ind w:right="30"/>
              <w:spacing w:after="0"/>
              <w:rPr>
                <w:sz w:val="20"/>
                <w:szCs w:val="20"/>
                <w:color w:val="auto"/>
              </w:rPr>
            </w:pPr>
            <w:r>
              <w:rPr>
                <w:rFonts w:ascii="Arial" w:cs="Arial" w:eastAsia="Arial" w:hAnsi="Arial"/>
                <w:sz w:val="18"/>
                <w:szCs w:val="18"/>
                <w:b w:val="1"/>
                <w:bCs w:val="1"/>
                <w:color w:val="auto"/>
              </w:rPr>
              <w:t>$</w:t>
            </w:r>
          </w:p>
        </w:tc>
        <w:tc>
          <w:tcPr>
            <w:tcW w:w="840" w:type="dxa"/>
            <w:vAlign w:val="bottom"/>
          </w:tcPr>
          <w:p>
            <w:pPr>
              <w:jc w:val="right"/>
              <w:ind w:right="16"/>
              <w:spacing w:after="0"/>
              <w:rPr>
                <w:sz w:val="20"/>
                <w:szCs w:val="20"/>
                <w:color w:val="auto"/>
              </w:rPr>
            </w:pPr>
            <w:r>
              <w:rPr>
                <w:rFonts w:ascii="Arial" w:cs="Arial" w:eastAsia="Arial" w:hAnsi="Arial"/>
                <w:sz w:val="18"/>
                <w:szCs w:val="18"/>
                <w:b w:val="1"/>
                <w:bCs w:val="1"/>
                <w:color w:val="auto"/>
              </w:rPr>
              <w:t>(107.7)</w:t>
            </w:r>
          </w:p>
        </w:tc>
        <w:tc>
          <w:tcPr>
            <w:tcW w:w="3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(78.9)</w:t>
            </w:r>
          </w:p>
        </w:tc>
      </w:tr>
      <w:tr>
        <w:trPr>
          <w:trHeight w:val="277"/>
        </w:trPr>
        <w:tc>
          <w:tcPr>
            <w:tcW w:w="62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Cross-currency interest rate swaps</w:t>
            </w:r>
          </w:p>
        </w:tc>
        <w:tc>
          <w:tcPr>
            <w:tcW w:w="326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16"/>
              <w:spacing w:after="0"/>
              <w:rPr>
                <w:sz w:val="20"/>
                <w:szCs w:val="20"/>
                <w:color w:val="auto"/>
              </w:rPr>
            </w:pPr>
            <w:r>
              <w:rPr>
                <w:rFonts w:ascii="Arial" w:cs="Arial" w:eastAsia="Arial" w:hAnsi="Arial"/>
                <w:sz w:val="18"/>
                <w:szCs w:val="18"/>
                <w:b w:val="1"/>
                <w:bCs w:val="1"/>
                <w:color w:val="auto"/>
              </w:rPr>
              <w:t>(31.5)</w:t>
            </w:r>
          </w:p>
        </w:tc>
        <w:tc>
          <w:tcPr>
            <w:tcW w:w="300" w:type="dxa"/>
            <w:vAlign w:val="bottom"/>
            <w:shd w:val="clear" w:color="auto" w:fill="CCEEFF"/>
          </w:tcPr>
          <w:p>
            <w:pPr>
              <w:spacing w:after="0"/>
              <w:rPr>
                <w:sz w:val="24"/>
                <w:szCs w:val="2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r>
    </w:tbl>
    <w:p>
      <w:pPr>
        <w:spacing w:after="0" w:line="107" w:lineRule="exact"/>
        <w:rPr>
          <w:sz w:val="20"/>
          <w:szCs w:val="20"/>
          <w:color w:val="auto"/>
        </w:rPr>
      </w:pPr>
    </w:p>
    <w:p>
      <w:pPr>
        <w:ind w:right="1080"/>
        <w:spacing w:after="0" w:line="262" w:lineRule="auto"/>
        <w:rPr>
          <w:sz w:val="20"/>
          <w:szCs w:val="20"/>
          <w:color w:val="auto"/>
        </w:rPr>
      </w:pPr>
      <w:r>
        <w:rPr>
          <w:rFonts w:ascii="Arial" w:cs="Arial" w:eastAsia="Arial" w:hAnsi="Arial"/>
          <w:sz w:val="18"/>
          <w:szCs w:val="18"/>
          <w:color w:val="auto"/>
        </w:rPr>
        <w:t>During the next 12 months, we expect to reclassify $14.9 million of pretax net losses on cash flow hedges from accumulated other comprehensive loss to other–net, (income) expense.</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706" w:right="239" w:bottom="1440" w:gutter="0" w:footer="0" w:header="0"/>
        </w:sectPr>
      </w:pPr>
    </w:p>
    <w:bookmarkStart w:id="20" w:name="page21"/>
    <w:bookmarkEnd w:id="20"/>
    <w:p>
      <w:pPr>
        <w:spacing w:after="0"/>
        <w:rPr>
          <w:sz w:val="20"/>
          <w:szCs w:val="20"/>
          <w:color w:val="auto"/>
        </w:rPr>
      </w:pPr>
      <w:r>
        <w:rPr>
          <w:rFonts w:ascii="Arial" w:cs="Arial" w:eastAsia="Arial" w:hAnsi="Arial"/>
          <w:sz w:val="18"/>
          <w:szCs w:val="18"/>
          <w:i w:val="1"/>
          <w:iCs w:val="1"/>
          <w:color w:val="auto"/>
        </w:rPr>
        <w:t>Fair Value of Financial Instruments</w:t>
      </w:r>
    </w:p>
    <w:p>
      <w:pPr>
        <w:spacing w:after="0" w:line="135" w:lineRule="exact"/>
        <w:rPr>
          <w:sz w:val="20"/>
          <w:szCs w:val="20"/>
          <w:color w:val="auto"/>
        </w:rPr>
      </w:pPr>
    </w:p>
    <w:p>
      <w:pPr>
        <w:ind w:right="140"/>
        <w:spacing w:after="0" w:line="262" w:lineRule="auto"/>
        <w:rPr>
          <w:sz w:val="20"/>
          <w:szCs w:val="20"/>
          <w:color w:val="auto"/>
        </w:rPr>
      </w:pPr>
      <w:r>
        <w:rPr>
          <w:rFonts w:ascii="Arial" w:cs="Arial" w:eastAsia="Arial" w:hAnsi="Arial"/>
          <w:sz w:val="18"/>
          <w:szCs w:val="18"/>
          <w:color w:val="auto"/>
        </w:rPr>
        <w:t>The following tables summarize certain fair value information at March 31, 2018 and December 31, 2017 for assets and liabilities measured at fair value on a recurring basis, as well as the carrying amount and amortized cost of certain other investments:</w:t>
      </w: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3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3700" w:type="dxa"/>
            <w:vAlign w:val="bottom"/>
            <w:tcBorders>
              <w:bottom w:val="single" w:sz="8" w:color="auto"/>
            </w:tcBorders>
            <w:gridSpan w:val="5"/>
          </w:tcPr>
          <w:p>
            <w:pPr>
              <w:jc w:val="right"/>
              <w:ind w:right="740"/>
              <w:spacing w:after="0"/>
              <w:rPr>
                <w:sz w:val="20"/>
                <w:szCs w:val="20"/>
                <w:color w:val="auto"/>
              </w:rPr>
            </w:pPr>
            <w:r>
              <w:rPr>
                <w:rFonts w:ascii="Arial" w:cs="Arial" w:eastAsia="Arial" w:hAnsi="Arial"/>
                <w:sz w:val="14"/>
                <w:szCs w:val="14"/>
                <w:b w:val="1"/>
                <w:bCs w:val="1"/>
                <w:color w:val="auto"/>
              </w:rPr>
              <w:t>Fair Value Measurements Using</w:t>
            </w:r>
          </w:p>
        </w:tc>
        <w:tc>
          <w:tcPr>
            <w:tcW w:w="3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37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180" w:type="dxa"/>
            <w:vAlign w:val="bottom"/>
            <w:gridSpan w:val="2"/>
          </w:tcPr>
          <w:p>
            <w:pPr>
              <w:jc w:val="center"/>
              <w:spacing w:after="0"/>
              <w:rPr>
                <w:sz w:val="20"/>
                <w:szCs w:val="20"/>
                <w:color w:val="auto"/>
              </w:rPr>
            </w:pPr>
            <w:r>
              <w:rPr>
                <w:rFonts w:ascii="Arial" w:cs="Arial" w:eastAsia="Arial" w:hAnsi="Arial"/>
                <w:sz w:val="14"/>
                <w:szCs w:val="14"/>
                <w:b w:val="1"/>
                <w:bCs w:val="1"/>
                <w:color w:val="auto"/>
              </w:rPr>
              <w:t>Quoted Prices</w:t>
            </w:r>
          </w:p>
        </w:tc>
        <w:tc>
          <w:tcPr>
            <w:tcW w:w="2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3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tcPr>
          <w:p>
            <w:pPr>
              <w:jc w:val="center"/>
              <w:ind w:right="101"/>
              <w:spacing w:after="0"/>
              <w:rPr>
                <w:sz w:val="20"/>
                <w:szCs w:val="20"/>
                <w:color w:val="auto"/>
              </w:rPr>
            </w:pPr>
            <w:r>
              <w:rPr>
                <w:rFonts w:ascii="Arial" w:cs="Arial" w:eastAsia="Arial" w:hAnsi="Arial"/>
                <w:sz w:val="14"/>
                <w:szCs w:val="14"/>
                <w:b w:val="1"/>
                <w:bCs w:val="1"/>
                <w:color w:val="auto"/>
              </w:rPr>
              <w:t>in Active</w:t>
            </w:r>
          </w:p>
        </w:tc>
        <w:tc>
          <w:tcPr>
            <w:tcW w:w="220" w:type="dxa"/>
            <w:vAlign w:val="bottom"/>
          </w:tcPr>
          <w:p>
            <w:pPr>
              <w:spacing w:after="0"/>
              <w:rPr>
                <w:sz w:val="14"/>
                <w:szCs w:val="14"/>
                <w:color w:val="auto"/>
              </w:rPr>
            </w:pPr>
          </w:p>
        </w:tc>
        <w:tc>
          <w:tcPr>
            <w:tcW w:w="1000" w:type="dxa"/>
            <w:vAlign w:val="bottom"/>
          </w:tcPr>
          <w:p>
            <w:pPr>
              <w:jc w:val="center"/>
              <w:ind w:right="81"/>
              <w:spacing w:after="0"/>
              <w:rPr>
                <w:sz w:val="20"/>
                <w:szCs w:val="20"/>
                <w:color w:val="auto"/>
              </w:rPr>
            </w:pPr>
            <w:r>
              <w:rPr>
                <w:rFonts w:ascii="Arial" w:cs="Arial" w:eastAsia="Arial" w:hAnsi="Arial"/>
                <w:sz w:val="14"/>
                <w:szCs w:val="14"/>
                <w:b w:val="1"/>
                <w:bCs w:val="1"/>
                <w:color w:val="auto"/>
              </w:rPr>
              <w:t>Significant</w:t>
            </w:r>
          </w:p>
        </w:tc>
        <w:tc>
          <w:tcPr>
            <w:tcW w:w="2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tcPr>
          <w:p>
            <w:pPr>
              <w:jc w:val="center"/>
              <w:ind w:right="121"/>
              <w:spacing w:after="0"/>
              <w:rPr>
                <w:sz w:val="20"/>
                <w:szCs w:val="20"/>
                <w:color w:val="auto"/>
              </w:rPr>
            </w:pPr>
            <w:r>
              <w:rPr>
                <w:rFonts w:ascii="Arial" w:cs="Arial" w:eastAsia="Arial" w:hAnsi="Arial"/>
                <w:sz w:val="14"/>
                <w:szCs w:val="14"/>
                <w:b w:val="1"/>
                <w:bCs w:val="1"/>
                <w:color w:val="auto"/>
              </w:rPr>
              <w:t>Markets for</w:t>
            </w:r>
          </w:p>
        </w:tc>
        <w:tc>
          <w:tcPr>
            <w:tcW w:w="220" w:type="dxa"/>
            <w:vAlign w:val="bottom"/>
          </w:tcPr>
          <w:p>
            <w:pPr>
              <w:spacing w:after="0"/>
              <w:rPr>
                <w:sz w:val="14"/>
                <w:szCs w:val="14"/>
                <w:color w:val="auto"/>
              </w:rPr>
            </w:pPr>
          </w:p>
        </w:tc>
        <w:tc>
          <w:tcPr>
            <w:tcW w:w="1000" w:type="dxa"/>
            <w:vAlign w:val="bottom"/>
          </w:tcPr>
          <w:p>
            <w:pPr>
              <w:jc w:val="center"/>
              <w:ind w:right="81"/>
              <w:spacing w:after="0"/>
              <w:rPr>
                <w:sz w:val="20"/>
                <w:szCs w:val="20"/>
                <w:color w:val="auto"/>
              </w:rPr>
            </w:pPr>
            <w:r>
              <w:rPr>
                <w:rFonts w:ascii="Arial" w:cs="Arial" w:eastAsia="Arial" w:hAnsi="Arial"/>
                <w:sz w:val="14"/>
                <w:szCs w:val="14"/>
                <w:b w:val="1"/>
                <w:bCs w:val="1"/>
                <w:color w:val="auto"/>
              </w:rPr>
              <w:t>Other</w:t>
            </w:r>
          </w:p>
        </w:tc>
        <w:tc>
          <w:tcPr>
            <w:tcW w:w="260" w:type="dxa"/>
            <w:vAlign w:val="bottom"/>
          </w:tcPr>
          <w:p>
            <w:pPr>
              <w:spacing w:after="0"/>
              <w:rPr>
                <w:sz w:val="14"/>
                <w:szCs w:val="14"/>
                <w:color w:val="auto"/>
              </w:rPr>
            </w:pPr>
          </w:p>
        </w:tc>
        <w:tc>
          <w:tcPr>
            <w:tcW w:w="1200" w:type="dxa"/>
            <w:vAlign w:val="bottom"/>
          </w:tcPr>
          <w:p>
            <w:pPr>
              <w:jc w:val="center"/>
              <w:ind w:right="100"/>
              <w:spacing w:after="0"/>
              <w:rPr>
                <w:sz w:val="20"/>
                <w:szCs w:val="20"/>
                <w:color w:val="auto"/>
              </w:rPr>
            </w:pPr>
            <w:r>
              <w:rPr>
                <w:rFonts w:ascii="Arial" w:cs="Arial" w:eastAsia="Arial" w:hAnsi="Arial"/>
                <w:sz w:val="14"/>
                <w:szCs w:val="14"/>
                <w:b w:val="1"/>
                <w:bCs w:val="1"/>
                <w:color w:val="auto"/>
              </w:rPr>
              <w:t>Significant</w:t>
            </w:r>
          </w:p>
        </w:tc>
        <w:tc>
          <w:tcPr>
            <w:tcW w:w="3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tcPr>
          <w:p>
            <w:pPr>
              <w:jc w:val="center"/>
              <w:ind w:right="121"/>
              <w:spacing w:after="0"/>
              <w:rPr>
                <w:sz w:val="20"/>
                <w:szCs w:val="20"/>
                <w:color w:val="auto"/>
              </w:rPr>
            </w:pPr>
            <w:r>
              <w:rPr>
                <w:rFonts w:ascii="Arial" w:cs="Arial" w:eastAsia="Arial" w:hAnsi="Arial"/>
                <w:sz w:val="14"/>
                <w:szCs w:val="14"/>
                <w:b w:val="1"/>
                <w:bCs w:val="1"/>
                <w:color w:val="auto"/>
              </w:rPr>
              <w:t>Identical</w:t>
            </w:r>
          </w:p>
        </w:tc>
        <w:tc>
          <w:tcPr>
            <w:tcW w:w="220" w:type="dxa"/>
            <w:vAlign w:val="bottom"/>
          </w:tcPr>
          <w:p>
            <w:pPr>
              <w:spacing w:after="0"/>
              <w:rPr>
                <w:sz w:val="14"/>
                <w:szCs w:val="14"/>
                <w:color w:val="auto"/>
              </w:rPr>
            </w:pPr>
          </w:p>
        </w:tc>
        <w:tc>
          <w:tcPr>
            <w:tcW w:w="1000" w:type="dxa"/>
            <w:vAlign w:val="bottom"/>
          </w:tcPr>
          <w:p>
            <w:pPr>
              <w:jc w:val="center"/>
              <w:ind w:right="81"/>
              <w:spacing w:after="0"/>
              <w:rPr>
                <w:sz w:val="20"/>
                <w:szCs w:val="20"/>
                <w:color w:val="auto"/>
              </w:rPr>
            </w:pPr>
            <w:r>
              <w:rPr>
                <w:rFonts w:ascii="Arial" w:cs="Arial" w:eastAsia="Arial" w:hAnsi="Arial"/>
                <w:sz w:val="14"/>
                <w:szCs w:val="14"/>
                <w:b w:val="1"/>
                <w:bCs w:val="1"/>
                <w:color w:val="auto"/>
              </w:rPr>
              <w:t>Observable</w:t>
            </w:r>
          </w:p>
        </w:tc>
        <w:tc>
          <w:tcPr>
            <w:tcW w:w="260" w:type="dxa"/>
            <w:vAlign w:val="bottom"/>
          </w:tcPr>
          <w:p>
            <w:pPr>
              <w:spacing w:after="0"/>
              <w:rPr>
                <w:sz w:val="14"/>
                <w:szCs w:val="14"/>
                <w:color w:val="auto"/>
              </w:rPr>
            </w:pPr>
          </w:p>
        </w:tc>
        <w:tc>
          <w:tcPr>
            <w:tcW w:w="1200" w:type="dxa"/>
            <w:vAlign w:val="bottom"/>
          </w:tcPr>
          <w:p>
            <w:pPr>
              <w:jc w:val="center"/>
              <w:ind w:right="80"/>
              <w:spacing w:after="0"/>
              <w:rPr>
                <w:sz w:val="20"/>
                <w:szCs w:val="20"/>
                <w:color w:val="auto"/>
              </w:rPr>
            </w:pPr>
            <w:r>
              <w:rPr>
                <w:rFonts w:ascii="Arial" w:cs="Arial" w:eastAsia="Arial" w:hAnsi="Arial"/>
                <w:sz w:val="14"/>
                <w:szCs w:val="14"/>
                <w:b w:val="1"/>
                <w:bCs w:val="1"/>
                <w:color w:val="auto"/>
              </w:rPr>
              <w:t>Unobservable</w:t>
            </w:r>
          </w:p>
        </w:tc>
        <w:tc>
          <w:tcPr>
            <w:tcW w:w="3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00" w:type="dxa"/>
            <w:vAlign w:val="bottom"/>
          </w:tcPr>
          <w:p>
            <w:pPr>
              <w:jc w:val="right"/>
              <w:ind w:right="340"/>
              <w:spacing w:after="0"/>
              <w:rPr>
                <w:sz w:val="20"/>
                <w:szCs w:val="20"/>
                <w:color w:val="auto"/>
              </w:rPr>
            </w:pPr>
            <w:r>
              <w:rPr>
                <w:rFonts w:ascii="Arial" w:cs="Arial" w:eastAsia="Arial" w:hAnsi="Arial"/>
                <w:sz w:val="14"/>
                <w:szCs w:val="14"/>
                <w:b w:val="1"/>
                <w:bCs w:val="1"/>
                <w:color w:val="auto"/>
              </w:rPr>
              <w:t>Carrying</w:t>
            </w: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tcPr>
          <w:p>
            <w:pPr>
              <w:jc w:val="center"/>
              <w:ind w:right="101"/>
              <w:spacing w:after="0"/>
              <w:rPr>
                <w:sz w:val="20"/>
                <w:szCs w:val="20"/>
                <w:color w:val="auto"/>
              </w:rPr>
            </w:pPr>
            <w:r>
              <w:rPr>
                <w:rFonts w:ascii="Arial" w:cs="Arial" w:eastAsia="Arial" w:hAnsi="Arial"/>
                <w:sz w:val="14"/>
                <w:szCs w:val="14"/>
                <w:b w:val="1"/>
                <w:bCs w:val="1"/>
                <w:color w:val="auto"/>
              </w:rPr>
              <w:t>Assets</w:t>
            </w:r>
          </w:p>
        </w:tc>
        <w:tc>
          <w:tcPr>
            <w:tcW w:w="220" w:type="dxa"/>
            <w:vAlign w:val="bottom"/>
          </w:tcPr>
          <w:p>
            <w:pPr>
              <w:spacing w:after="0"/>
              <w:rPr>
                <w:sz w:val="14"/>
                <w:szCs w:val="14"/>
                <w:color w:val="auto"/>
              </w:rPr>
            </w:pPr>
          </w:p>
        </w:tc>
        <w:tc>
          <w:tcPr>
            <w:tcW w:w="1000" w:type="dxa"/>
            <w:vAlign w:val="bottom"/>
          </w:tcPr>
          <w:p>
            <w:pPr>
              <w:jc w:val="center"/>
              <w:ind w:right="81"/>
              <w:spacing w:after="0"/>
              <w:rPr>
                <w:sz w:val="20"/>
                <w:szCs w:val="20"/>
                <w:color w:val="auto"/>
              </w:rPr>
            </w:pPr>
            <w:r>
              <w:rPr>
                <w:rFonts w:ascii="Arial" w:cs="Arial" w:eastAsia="Arial" w:hAnsi="Arial"/>
                <w:sz w:val="14"/>
                <w:szCs w:val="14"/>
                <w:b w:val="1"/>
                <w:bCs w:val="1"/>
                <w:color w:val="auto"/>
              </w:rPr>
              <w:t>Inputs</w:t>
            </w:r>
          </w:p>
        </w:tc>
        <w:tc>
          <w:tcPr>
            <w:tcW w:w="260" w:type="dxa"/>
            <w:vAlign w:val="bottom"/>
          </w:tcPr>
          <w:p>
            <w:pPr>
              <w:spacing w:after="0"/>
              <w:rPr>
                <w:sz w:val="14"/>
                <w:szCs w:val="14"/>
                <w:color w:val="auto"/>
              </w:rPr>
            </w:pPr>
          </w:p>
        </w:tc>
        <w:tc>
          <w:tcPr>
            <w:tcW w:w="1200" w:type="dxa"/>
            <w:vAlign w:val="bottom"/>
          </w:tcPr>
          <w:p>
            <w:pPr>
              <w:jc w:val="center"/>
              <w:ind w:right="80"/>
              <w:spacing w:after="0"/>
              <w:rPr>
                <w:sz w:val="20"/>
                <w:szCs w:val="20"/>
                <w:color w:val="auto"/>
              </w:rPr>
            </w:pPr>
            <w:r>
              <w:rPr>
                <w:rFonts w:ascii="Arial" w:cs="Arial" w:eastAsia="Arial" w:hAnsi="Arial"/>
                <w:sz w:val="14"/>
                <w:szCs w:val="14"/>
                <w:b w:val="1"/>
                <w:bCs w:val="1"/>
                <w:color w:val="auto"/>
              </w:rPr>
              <w:t>Inputs</w:t>
            </w:r>
          </w:p>
        </w:tc>
        <w:tc>
          <w:tcPr>
            <w:tcW w:w="360" w:type="dxa"/>
            <w:vAlign w:val="bottom"/>
          </w:tcPr>
          <w:p>
            <w:pPr>
              <w:spacing w:after="0"/>
              <w:rPr>
                <w:sz w:val="14"/>
                <w:szCs w:val="14"/>
                <w:color w:val="auto"/>
              </w:rPr>
            </w:pPr>
          </w:p>
        </w:tc>
        <w:tc>
          <w:tcPr>
            <w:tcW w:w="880" w:type="dxa"/>
            <w:vAlign w:val="bottom"/>
          </w:tcPr>
          <w:p>
            <w:pPr>
              <w:jc w:val="right"/>
              <w:ind w:right="360"/>
              <w:spacing w:after="0"/>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202"/>
        </w:trPr>
        <w:tc>
          <w:tcPr>
            <w:tcW w:w="378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360"/>
              <w:spacing w:after="0"/>
              <w:rPr>
                <w:sz w:val="20"/>
                <w:szCs w:val="20"/>
                <w:color w:val="auto"/>
              </w:rPr>
            </w:pPr>
            <w:r>
              <w:rPr>
                <w:rFonts w:ascii="Arial" w:cs="Arial" w:eastAsia="Arial" w:hAnsi="Arial"/>
                <w:sz w:val="14"/>
                <w:szCs w:val="14"/>
                <w:b w:val="1"/>
                <w:bCs w:val="1"/>
                <w:color w:val="auto"/>
              </w:rPr>
              <w:t>Amount</w:t>
            </w:r>
          </w:p>
        </w:tc>
        <w:tc>
          <w:tcPr>
            <w:tcW w:w="2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359"/>
              <w:spacing w:after="0"/>
              <w:rPr>
                <w:sz w:val="20"/>
                <w:szCs w:val="20"/>
                <w:color w:val="auto"/>
              </w:rPr>
            </w:pPr>
            <w:r>
              <w:rPr>
                <w:rFonts w:ascii="Arial" w:cs="Arial" w:eastAsia="Arial" w:hAnsi="Arial"/>
                <w:sz w:val="14"/>
                <w:szCs w:val="14"/>
                <w:b w:val="1"/>
                <w:bCs w:val="1"/>
                <w:color w:val="auto"/>
              </w:rPr>
              <w:t xml:space="preserve">Cost </w:t>
            </w:r>
            <w:r>
              <w:rPr>
                <w:rFonts w:ascii="Arial" w:cs="Arial" w:eastAsia="Arial" w:hAnsi="Arial"/>
                <w:sz w:val="17"/>
                <w:szCs w:val="17"/>
                <w:b w:val="1"/>
                <w:bCs w:val="1"/>
                <w:color w:val="auto"/>
                <w:vertAlign w:val="superscript"/>
              </w:rPr>
              <w:t>(1)</w:t>
            </w:r>
          </w:p>
        </w:tc>
        <w:tc>
          <w:tcPr>
            <w:tcW w:w="1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center"/>
              <w:ind w:right="121"/>
              <w:spacing w:after="0"/>
              <w:rPr>
                <w:sz w:val="20"/>
                <w:szCs w:val="20"/>
                <w:color w:val="auto"/>
              </w:rPr>
            </w:pPr>
            <w:r>
              <w:rPr>
                <w:rFonts w:ascii="Arial" w:cs="Arial" w:eastAsia="Arial" w:hAnsi="Arial"/>
                <w:sz w:val="14"/>
                <w:szCs w:val="14"/>
                <w:b w:val="1"/>
                <w:bCs w:val="1"/>
                <w:color w:val="auto"/>
              </w:rPr>
              <w:t>(Level 1)</w:t>
            </w:r>
          </w:p>
        </w:tc>
        <w:tc>
          <w:tcPr>
            <w:tcW w:w="2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center"/>
              <w:ind w:right="81"/>
              <w:spacing w:after="0"/>
              <w:rPr>
                <w:sz w:val="20"/>
                <w:szCs w:val="20"/>
                <w:color w:val="auto"/>
              </w:rPr>
            </w:pPr>
            <w:r>
              <w:rPr>
                <w:rFonts w:ascii="Arial" w:cs="Arial" w:eastAsia="Arial" w:hAnsi="Arial"/>
                <w:sz w:val="14"/>
                <w:szCs w:val="14"/>
                <w:b w:val="1"/>
                <w:bCs w:val="1"/>
                <w:color w:val="auto"/>
              </w:rPr>
              <w:t>(Level 2)</w:t>
            </w:r>
          </w:p>
        </w:tc>
        <w:tc>
          <w:tcPr>
            <w:tcW w:w="2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center"/>
              <w:ind w:right="100"/>
              <w:spacing w:after="0"/>
              <w:rPr>
                <w:sz w:val="20"/>
                <w:szCs w:val="20"/>
                <w:color w:val="auto"/>
              </w:rPr>
            </w:pPr>
            <w:r>
              <w:rPr>
                <w:rFonts w:ascii="Arial" w:cs="Arial" w:eastAsia="Arial" w:hAnsi="Arial"/>
                <w:sz w:val="14"/>
                <w:szCs w:val="14"/>
                <w:b w:val="1"/>
                <w:bCs w:val="1"/>
                <w:color w:val="auto"/>
              </w:rPr>
              <w:t>(Level 3)</w:t>
            </w:r>
          </w:p>
        </w:tc>
        <w:tc>
          <w:tcPr>
            <w:tcW w:w="3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00"/>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264"/>
        </w:trPr>
        <w:tc>
          <w:tcPr>
            <w:tcW w:w="378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March 31, 2018</w:t>
            </w:r>
          </w:p>
        </w:tc>
        <w:tc>
          <w:tcPr>
            <w:tcW w:w="20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77"/>
        </w:trPr>
        <w:tc>
          <w:tcPr>
            <w:tcW w:w="378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Cash equivalents</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100" w:type="dxa"/>
            <w:vAlign w:val="bottom"/>
            <w:tcBorders>
              <w:bottom w:val="single" w:sz="8" w:color="auto"/>
            </w:tcBorders>
          </w:tcPr>
          <w:p>
            <w:pPr>
              <w:jc w:val="right"/>
              <w:ind w:right="180"/>
              <w:spacing w:after="0"/>
              <w:rPr>
                <w:sz w:val="20"/>
                <w:szCs w:val="20"/>
                <w:color w:val="auto"/>
              </w:rPr>
            </w:pPr>
            <w:r>
              <w:rPr>
                <w:rFonts w:ascii="Arial" w:cs="Arial" w:eastAsia="Arial" w:hAnsi="Arial"/>
                <w:sz w:val="16"/>
                <w:szCs w:val="16"/>
                <w:b w:val="1"/>
                <w:bCs w:val="1"/>
                <w:color w:val="auto"/>
              </w:rPr>
              <w:t>1,500.0</w:t>
            </w:r>
          </w:p>
        </w:tc>
        <w:tc>
          <w:tcPr>
            <w:tcW w:w="220" w:type="dxa"/>
            <w:vAlign w:val="bottom"/>
            <w:tcBorders>
              <w:bottom w:val="single" w:sz="8" w:color="CCEEFF"/>
            </w:tcBorders>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1020" w:type="dxa"/>
            <w:vAlign w:val="bottom"/>
            <w:tcBorders>
              <w:bottom w:val="single" w:sz="8" w:color="CCEEFF"/>
            </w:tcBorders>
          </w:tcPr>
          <w:p>
            <w:pPr>
              <w:jc w:val="right"/>
              <w:ind w:right="119"/>
              <w:spacing w:after="0"/>
              <w:rPr>
                <w:sz w:val="20"/>
                <w:szCs w:val="20"/>
                <w:color w:val="auto"/>
              </w:rPr>
            </w:pPr>
            <w:r>
              <w:rPr>
                <w:rFonts w:ascii="Arial" w:cs="Arial" w:eastAsia="Arial" w:hAnsi="Arial"/>
                <w:sz w:val="16"/>
                <w:szCs w:val="16"/>
                <w:b w:val="1"/>
                <w:bCs w:val="1"/>
                <w:color w:val="auto"/>
              </w:rPr>
              <w:t>1,500.0</w:t>
            </w:r>
          </w:p>
        </w:tc>
        <w:tc>
          <w:tcPr>
            <w:tcW w:w="160" w:type="dxa"/>
            <w:vAlign w:val="bottom"/>
            <w:tcBorders>
              <w:bottom w:val="single" w:sz="8" w:color="CCEEFF"/>
            </w:tcBorders>
          </w:tcPr>
          <w:p>
            <w:pPr>
              <w:jc w:val="right"/>
              <w:spacing w:after="0"/>
              <w:rPr>
                <w:sz w:val="20"/>
                <w:szCs w:val="20"/>
                <w:color w:val="auto"/>
              </w:rPr>
            </w:pPr>
            <w:r>
              <w:rPr>
                <w:rFonts w:ascii="Arial" w:cs="Arial" w:eastAsia="Arial" w:hAnsi="Arial"/>
                <w:sz w:val="16"/>
                <w:szCs w:val="16"/>
                <w:b w:val="1"/>
                <w:bCs w:val="1"/>
                <w:color w:val="auto"/>
              </w:rPr>
              <w:t>$</w:t>
            </w:r>
          </w:p>
        </w:tc>
        <w:tc>
          <w:tcPr>
            <w:tcW w:w="1020" w:type="dxa"/>
            <w:vAlign w:val="bottom"/>
            <w:tcBorders>
              <w:bottom w:val="single" w:sz="8" w:color="CCEEFF"/>
            </w:tcBorders>
          </w:tcPr>
          <w:p>
            <w:pPr>
              <w:jc w:val="right"/>
              <w:ind w:right="61"/>
              <w:spacing w:after="0"/>
              <w:rPr>
                <w:sz w:val="20"/>
                <w:szCs w:val="20"/>
                <w:color w:val="auto"/>
              </w:rPr>
            </w:pPr>
            <w:r>
              <w:rPr>
                <w:rFonts w:ascii="Arial" w:cs="Arial" w:eastAsia="Arial" w:hAnsi="Arial"/>
                <w:sz w:val="16"/>
                <w:szCs w:val="16"/>
                <w:b w:val="1"/>
                <w:bCs w:val="1"/>
                <w:color w:val="auto"/>
              </w:rPr>
              <w:t>1,500.0</w:t>
            </w:r>
          </w:p>
        </w:tc>
        <w:tc>
          <w:tcPr>
            <w:tcW w:w="220" w:type="dxa"/>
            <w:vAlign w:val="bottom"/>
            <w:tcBorders>
              <w:bottom w:val="single" w:sz="8" w:color="CCEEFF"/>
            </w:tcBorders>
          </w:tcPr>
          <w:p>
            <w:pPr>
              <w:jc w:val="right"/>
              <w:spacing w:after="0"/>
              <w:rPr>
                <w:sz w:val="20"/>
                <w:szCs w:val="20"/>
                <w:color w:val="auto"/>
              </w:rPr>
            </w:pPr>
            <w:r>
              <w:rPr>
                <w:rFonts w:ascii="Arial" w:cs="Arial" w:eastAsia="Arial" w:hAnsi="Arial"/>
                <w:sz w:val="16"/>
                <w:szCs w:val="16"/>
                <w:b w:val="1"/>
                <w:bCs w:val="1"/>
                <w:color w:val="auto"/>
              </w:rPr>
              <w:t>$</w:t>
            </w:r>
          </w:p>
        </w:tc>
        <w:tc>
          <w:tcPr>
            <w:tcW w:w="1000" w:type="dxa"/>
            <w:vAlign w:val="bottom"/>
            <w:tcBorders>
              <w:bottom w:val="single" w:sz="8" w:color="CCEEFF"/>
            </w:tcBorders>
          </w:tcPr>
          <w:p>
            <w:pPr>
              <w:jc w:val="right"/>
              <w:ind w:right="41"/>
              <w:spacing w:after="0"/>
              <w:rPr>
                <w:sz w:val="20"/>
                <w:szCs w:val="20"/>
                <w:color w:val="auto"/>
              </w:rPr>
            </w:pPr>
            <w:r>
              <w:rPr>
                <w:rFonts w:ascii="Arial" w:cs="Arial" w:eastAsia="Arial" w:hAnsi="Arial"/>
                <w:sz w:val="16"/>
                <w:szCs w:val="16"/>
                <w:b w:val="1"/>
                <w:bCs w:val="1"/>
                <w:color w:val="auto"/>
              </w:rPr>
              <w:t>—</w:t>
            </w:r>
          </w:p>
        </w:tc>
        <w:tc>
          <w:tcPr>
            <w:tcW w:w="260" w:type="dxa"/>
            <w:vAlign w:val="bottom"/>
            <w:tcBorders>
              <w:bottom w:val="single" w:sz="8" w:color="CCEEFF"/>
            </w:tcBorders>
          </w:tcPr>
          <w:p>
            <w:pPr>
              <w:jc w:val="right"/>
              <w:spacing w:after="0"/>
              <w:rPr>
                <w:sz w:val="20"/>
                <w:szCs w:val="20"/>
                <w:color w:val="auto"/>
              </w:rPr>
            </w:pPr>
            <w:r>
              <w:rPr>
                <w:rFonts w:ascii="Arial" w:cs="Arial" w:eastAsia="Arial" w:hAnsi="Arial"/>
                <w:sz w:val="16"/>
                <w:szCs w:val="16"/>
                <w:b w:val="1"/>
                <w:bCs w:val="1"/>
                <w:color w:val="auto"/>
              </w:rPr>
              <w:t>$</w:t>
            </w:r>
          </w:p>
        </w:tc>
        <w:tc>
          <w:tcPr>
            <w:tcW w:w="1200" w:type="dxa"/>
            <w:vAlign w:val="bottom"/>
            <w:tcBorders>
              <w:bottom w:val="single" w:sz="8" w:color="CCEEFF"/>
            </w:tcBorders>
          </w:tcPr>
          <w:p>
            <w:pPr>
              <w:jc w:val="right"/>
              <w:ind w:right="40"/>
              <w:spacing w:after="0"/>
              <w:rPr>
                <w:sz w:val="20"/>
                <w:szCs w:val="20"/>
                <w:color w:val="auto"/>
              </w:rPr>
            </w:pPr>
            <w:r>
              <w:rPr>
                <w:rFonts w:ascii="Arial" w:cs="Arial" w:eastAsia="Arial" w:hAnsi="Arial"/>
                <w:sz w:val="16"/>
                <w:szCs w:val="16"/>
                <w:b w:val="1"/>
                <w:bCs w:val="1"/>
                <w:color w:val="auto"/>
              </w:rPr>
              <w:t>—</w:t>
            </w:r>
          </w:p>
        </w:tc>
        <w:tc>
          <w:tcPr>
            <w:tcW w:w="360" w:type="dxa"/>
            <w:vAlign w:val="bottom"/>
            <w:tcBorders>
              <w:bottom w:val="single" w:sz="8" w:color="CCEEFF"/>
            </w:tcBorders>
          </w:tcPr>
          <w:p>
            <w:pPr>
              <w:jc w:val="right"/>
              <w:ind w:right="59"/>
              <w:spacing w:after="0"/>
              <w:rPr>
                <w:sz w:val="20"/>
                <w:szCs w:val="20"/>
                <w:color w:val="auto"/>
              </w:rPr>
            </w:pPr>
            <w:r>
              <w:rPr>
                <w:rFonts w:ascii="Arial" w:cs="Arial" w:eastAsia="Arial" w:hAnsi="Arial"/>
                <w:sz w:val="16"/>
                <w:szCs w:val="16"/>
                <w:b w:val="1"/>
                <w:bCs w:val="1"/>
                <w:color w:val="auto"/>
              </w:rPr>
              <w:t>$</w:t>
            </w:r>
          </w:p>
        </w:tc>
        <w:tc>
          <w:tcPr>
            <w:tcW w:w="880" w:type="dxa"/>
            <w:vAlign w:val="bottom"/>
            <w:tcBorders>
              <w:bottom w:val="single" w:sz="8" w:color="CCEEFF"/>
            </w:tcBorders>
          </w:tcPr>
          <w:p>
            <w:pPr>
              <w:jc w:val="right"/>
              <w:ind w:right="20"/>
              <w:spacing w:after="0"/>
              <w:rPr>
                <w:sz w:val="20"/>
                <w:szCs w:val="20"/>
                <w:color w:val="auto"/>
              </w:rPr>
            </w:pPr>
            <w:r>
              <w:rPr>
                <w:rFonts w:ascii="Arial" w:cs="Arial" w:eastAsia="Arial" w:hAnsi="Arial"/>
                <w:sz w:val="16"/>
                <w:szCs w:val="16"/>
                <w:b w:val="1"/>
                <w:bCs w:val="1"/>
                <w:color w:val="auto"/>
              </w:rPr>
              <w:t>1,500.0</w:t>
            </w:r>
          </w:p>
        </w:tc>
        <w:tc>
          <w:tcPr>
            <w:tcW w:w="0" w:type="dxa"/>
            <w:vAlign w:val="bottom"/>
          </w:tcPr>
          <w:p>
            <w:pPr>
              <w:spacing w:after="0"/>
              <w:rPr>
                <w:sz w:val="1"/>
                <w:szCs w:val="1"/>
                <w:color w:val="auto"/>
              </w:rPr>
            </w:pPr>
          </w:p>
        </w:tc>
      </w:tr>
      <w:tr>
        <w:trPr>
          <w:trHeight w:val="176"/>
        </w:trPr>
        <w:tc>
          <w:tcPr>
            <w:tcW w:w="37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60"/>
        </w:trPr>
        <w:tc>
          <w:tcPr>
            <w:tcW w:w="3780" w:type="dxa"/>
            <w:vAlign w:val="bottom"/>
          </w:tcPr>
          <w:p>
            <w:pPr>
              <w:ind w:left="40"/>
              <w:spacing w:after="0"/>
              <w:rPr>
                <w:sz w:val="20"/>
                <w:szCs w:val="20"/>
                <w:color w:val="auto"/>
              </w:rPr>
            </w:pPr>
            <w:r>
              <w:rPr>
                <w:rFonts w:ascii="Arial" w:cs="Arial" w:eastAsia="Arial" w:hAnsi="Arial"/>
                <w:sz w:val="16"/>
                <w:szCs w:val="16"/>
                <w:color w:val="auto"/>
              </w:rPr>
              <w:t>Short-term investments:</w:t>
            </w:r>
          </w:p>
        </w:tc>
        <w:tc>
          <w:tcPr>
            <w:tcW w:w="20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0"/>
        </w:trPr>
        <w:tc>
          <w:tcPr>
            <w:tcW w:w="37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U.S. government and agency securities</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100" w:type="dxa"/>
            <w:vAlign w:val="bottom"/>
            <w:shd w:val="clear" w:color="auto" w:fill="CCEEFF"/>
          </w:tcPr>
          <w:p>
            <w:pPr>
              <w:jc w:val="right"/>
              <w:ind w:right="180"/>
              <w:spacing w:after="0"/>
              <w:rPr>
                <w:sz w:val="20"/>
                <w:szCs w:val="20"/>
                <w:color w:val="auto"/>
              </w:rPr>
            </w:pPr>
            <w:r>
              <w:rPr>
                <w:rFonts w:ascii="Arial" w:cs="Arial" w:eastAsia="Arial" w:hAnsi="Arial"/>
                <w:sz w:val="16"/>
                <w:szCs w:val="16"/>
                <w:b w:val="1"/>
                <w:bCs w:val="1"/>
                <w:color w:val="auto"/>
              </w:rPr>
              <w:t>185.8</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1020" w:type="dxa"/>
            <w:vAlign w:val="bottom"/>
            <w:shd w:val="clear" w:color="auto" w:fill="CCEEFF"/>
          </w:tcPr>
          <w:p>
            <w:pPr>
              <w:jc w:val="right"/>
              <w:ind w:right="119"/>
              <w:spacing w:after="0"/>
              <w:rPr>
                <w:sz w:val="20"/>
                <w:szCs w:val="20"/>
                <w:color w:val="auto"/>
              </w:rPr>
            </w:pPr>
            <w:r>
              <w:rPr>
                <w:rFonts w:ascii="Arial" w:cs="Arial" w:eastAsia="Arial" w:hAnsi="Arial"/>
                <w:sz w:val="16"/>
                <w:szCs w:val="16"/>
                <w:b w:val="1"/>
                <w:bCs w:val="1"/>
                <w:color w:val="auto"/>
              </w:rPr>
              <w:t>186.2</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020" w:type="dxa"/>
            <w:vAlign w:val="bottom"/>
            <w:shd w:val="clear" w:color="auto" w:fill="CCEEFF"/>
          </w:tcPr>
          <w:p>
            <w:pPr>
              <w:jc w:val="right"/>
              <w:ind w:right="61"/>
              <w:spacing w:after="0"/>
              <w:rPr>
                <w:sz w:val="20"/>
                <w:szCs w:val="20"/>
                <w:color w:val="auto"/>
              </w:rPr>
            </w:pPr>
            <w:r>
              <w:rPr>
                <w:rFonts w:ascii="Arial" w:cs="Arial" w:eastAsia="Arial" w:hAnsi="Arial"/>
                <w:sz w:val="16"/>
                <w:szCs w:val="16"/>
                <w:b w:val="1"/>
                <w:bCs w:val="1"/>
                <w:color w:val="auto"/>
              </w:rPr>
              <w:t>185.8</w:t>
            </w:r>
          </w:p>
        </w:tc>
        <w:tc>
          <w:tcPr>
            <w:tcW w:w="2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000" w:type="dxa"/>
            <w:vAlign w:val="bottom"/>
            <w:shd w:val="clear" w:color="auto" w:fill="CCEEFF"/>
          </w:tcPr>
          <w:p>
            <w:pPr>
              <w:jc w:val="right"/>
              <w:ind w:right="41"/>
              <w:spacing w:after="0"/>
              <w:rPr>
                <w:sz w:val="20"/>
                <w:szCs w:val="20"/>
                <w:color w:val="auto"/>
              </w:rPr>
            </w:pPr>
            <w:r>
              <w:rPr>
                <w:rFonts w:ascii="Arial" w:cs="Arial" w:eastAsia="Arial" w:hAnsi="Arial"/>
                <w:sz w:val="16"/>
                <w:szCs w:val="16"/>
                <w:b w:val="1"/>
                <w:bCs w:val="1"/>
                <w:color w:val="auto"/>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200" w:type="dxa"/>
            <w:vAlign w:val="bottom"/>
            <w:shd w:val="clear" w:color="auto" w:fill="CCEEFF"/>
          </w:tcPr>
          <w:p>
            <w:pPr>
              <w:jc w:val="right"/>
              <w:ind w:right="40"/>
              <w:spacing w:after="0"/>
              <w:rPr>
                <w:sz w:val="20"/>
                <w:szCs w:val="20"/>
                <w:color w:val="auto"/>
              </w:rPr>
            </w:pPr>
            <w:r>
              <w:rPr>
                <w:rFonts w:ascii="Arial" w:cs="Arial" w:eastAsia="Arial" w:hAnsi="Arial"/>
                <w:sz w:val="16"/>
                <w:szCs w:val="16"/>
                <w:b w:val="1"/>
                <w:bCs w:val="1"/>
                <w:color w:val="auto"/>
              </w:rPr>
              <w:t>—</w:t>
            </w:r>
          </w:p>
        </w:tc>
        <w:tc>
          <w:tcPr>
            <w:tcW w:w="360" w:type="dxa"/>
            <w:vAlign w:val="bottom"/>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w:t>
            </w:r>
          </w:p>
        </w:tc>
        <w:tc>
          <w:tcPr>
            <w:tcW w:w="880" w:type="dxa"/>
            <w:vAlign w:val="bottom"/>
            <w:shd w:val="clear" w:color="auto" w:fill="CCEEFF"/>
          </w:tcPr>
          <w:p>
            <w:pPr>
              <w:jc w:val="right"/>
              <w:ind w:right="20"/>
              <w:spacing w:after="0"/>
              <w:rPr>
                <w:sz w:val="20"/>
                <w:szCs w:val="20"/>
                <w:color w:val="auto"/>
              </w:rPr>
            </w:pPr>
            <w:r>
              <w:rPr>
                <w:rFonts w:ascii="Arial" w:cs="Arial" w:eastAsia="Arial" w:hAnsi="Arial"/>
                <w:sz w:val="16"/>
                <w:szCs w:val="16"/>
                <w:b w:val="1"/>
                <w:bCs w:val="1"/>
                <w:color w:val="auto"/>
              </w:rPr>
              <w:t>185.8</w:t>
            </w:r>
          </w:p>
        </w:tc>
        <w:tc>
          <w:tcPr>
            <w:tcW w:w="0" w:type="dxa"/>
            <w:vAlign w:val="bottom"/>
          </w:tcPr>
          <w:p>
            <w:pPr>
              <w:spacing w:after="0"/>
              <w:rPr>
                <w:sz w:val="1"/>
                <w:szCs w:val="1"/>
                <w:color w:val="auto"/>
              </w:rPr>
            </w:pPr>
          </w:p>
        </w:tc>
      </w:tr>
      <w:tr>
        <w:trPr>
          <w:trHeight w:val="260"/>
        </w:trPr>
        <w:tc>
          <w:tcPr>
            <w:tcW w:w="3780" w:type="dxa"/>
            <w:vAlign w:val="bottom"/>
          </w:tcPr>
          <w:p>
            <w:pPr>
              <w:ind w:left="180"/>
              <w:spacing w:after="0"/>
              <w:rPr>
                <w:sz w:val="20"/>
                <w:szCs w:val="20"/>
                <w:color w:val="auto"/>
              </w:rPr>
            </w:pPr>
            <w:r>
              <w:rPr>
                <w:rFonts w:ascii="Arial" w:cs="Arial" w:eastAsia="Arial" w:hAnsi="Arial"/>
                <w:sz w:val="16"/>
                <w:szCs w:val="16"/>
                <w:color w:val="auto"/>
              </w:rPr>
              <w:t>Corporate debt securities</w:t>
            </w:r>
          </w:p>
        </w:tc>
        <w:tc>
          <w:tcPr>
            <w:tcW w:w="200" w:type="dxa"/>
            <w:vAlign w:val="bottom"/>
          </w:tcPr>
          <w:p>
            <w:pPr>
              <w:spacing w:after="0"/>
              <w:rPr>
                <w:sz w:val="22"/>
                <w:szCs w:val="22"/>
                <w:color w:val="auto"/>
              </w:rPr>
            </w:pPr>
          </w:p>
        </w:tc>
        <w:tc>
          <w:tcPr>
            <w:tcW w:w="1100" w:type="dxa"/>
            <w:vAlign w:val="bottom"/>
          </w:tcPr>
          <w:p>
            <w:pPr>
              <w:jc w:val="right"/>
              <w:ind w:right="180"/>
              <w:spacing w:after="0"/>
              <w:rPr>
                <w:sz w:val="20"/>
                <w:szCs w:val="20"/>
                <w:color w:val="auto"/>
              </w:rPr>
            </w:pPr>
            <w:r>
              <w:rPr>
                <w:rFonts w:ascii="Arial" w:cs="Arial" w:eastAsia="Arial" w:hAnsi="Arial"/>
                <w:sz w:val="16"/>
                <w:szCs w:val="16"/>
                <w:b w:val="1"/>
                <w:bCs w:val="1"/>
                <w:color w:val="auto"/>
              </w:rPr>
              <w:t>1,418.4</w:t>
            </w:r>
          </w:p>
        </w:tc>
        <w:tc>
          <w:tcPr>
            <w:tcW w:w="220" w:type="dxa"/>
            <w:vAlign w:val="bottom"/>
          </w:tcPr>
          <w:p>
            <w:pPr>
              <w:spacing w:after="0"/>
              <w:rPr>
                <w:sz w:val="22"/>
                <w:szCs w:val="22"/>
                <w:color w:val="auto"/>
              </w:rPr>
            </w:pPr>
          </w:p>
        </w:tc>
        <w:tc>
          <w:tcPr>
            <w:tcW w:w="1020" w:type="dxa"/>
            <w:vAlign w:val="bottom"/>
          </w:tcPr>
          <w:p>
            <w:pPr>
              <w:jc w:val="right"/>
              <w:ind w:right="119"/>
              <w:spacing w:after="0"/>
              <w:rPr>
                <w:sz w:val="20"/>
                <w:szCs w:val="20"/>
                <w:color w:val="auto"/>
              </w:rPr>
            </w:pPr>
            <w:r>
              <w:rPr>
                <w:rFonts w:ascii="Arial" w:cs="Arial" w:eastAsia="Arial" w:hAnsi="Arial"/>
                <w:sz w:val="16"/>
                <w:szCs w:val="16"/>
                <w:b w:val="1"/>
                <w:bCs w:val="1"/>
                <w:color w:val="auto"/>
              </w:rPr>
              <w:t>1,422.9</w:t>
            </w:r>
          </w:p>
        </w:tc>
        <w:tc>
          <w:tcPr>
            <w:tcW w:w="160" w:type="dxa"/>
            <w:vAlign w:val="bottom"/>
          </w:tcPr>
          <w:p>
            <w:pPr>
              <w:spacing w:after="0"/>
              <w:rPr>
                <w:sz w:val="22"/>
                <w:szCs w:val="22"/>
                <w:color w:val="auto"/>
              </w:rPr>
            </w:pPr>
          </w:p>
        </w:tc>
        <w:tc>
          <w:tcPr>
            <w:tcW w:w="1020" w:type="dxa"/>
            <w:vAlign w:val="bottom"/>
          </w:tcPr>
          <w:p>
            <w:pPr>
              <w:jc w:val="right"/>
              <w:ind w:right="61"/>
              <w:spacing w:after="0"/>
              <w:rPr>
                <w:sz w:val="20"/>
                <w:szCs w:val="20"/>
                <w:color w:val="auto"/>
              </w:rPr>
            </w:pPr>
            <w:r>
              <w:rPr>
                <w:rFonts w:ascii="Arial" w:cs="Arial" w:eastAsia="Arial" w:hAnsi="Arial"/>
                <w:sz w:val="16"/>
                <w:szCs w:val="16"/>
                <w:b w:val="1"/>
                <w:bCs w:val="1"/>
                <w:color w:val="auto"/>
              </w:rPr>
              <w:t>—</w:t>
            </w:r>
          </w:p>
        </w:tc>
        <w:tc>
          <w:tcPr>
            <w:tcW w:w="220" w:type="dxa"/>
            <w:vAlign w:val="bottom"/>
          </w:tcPr>
          <w:p>
            <w:pPr>
              <w:spacing w:after="0"/>
              <w:rPr>
                <w:sz w:val="22"/>
                <w:szCs w:val="22"/>
                <w:color w:val="auto"/>
              </w:rPr>
            </w:pPr>
          </w:p>
        </w:tc>
        <w:tc>
          <w:tcPr>
            <w:tcW w:w="1000" w:type="dxa"/>
            <w:vAlign w:val="bottom"/>
          </w:tcPr>
          <w:p>
            <w:pPr>
              <w:jc w:val="right"/>
              <w:ind w:right="41"/>
              <w:spacing w:after="0"/>
              <w:rPr>
                <w:sz w:val="20"/>
                <w:szCs w:val="20"/>
                <w:color w:val="auto"/>
              </w:rPr>
            </w:pPr>
            <w:r>
              <w:rPr>
                <w:rFonts w:ascii="Arial" w:cs="Arial" w:eastAsia="Arial" w:hAnsi="Arial"/>
                <w:sz w:val="16"/>
                <w:szCs w:val="16"/>
                <w:b w:val="1"/>
                <w:bCs w:val="1"/>
                <w:color w:val="auto"/>
              </w:rPr>
              <w:t>1,418.4</w:t>
            </w:r>
          </w:p>
        </w:tc>
        <w:tc>
          <w:tcPr>
            <w:tcW w:w="260" w:type="dxa"/>
            <w:vAlign w:val="bottom"/>
          </w:tcPr>
          <w:p>
            <w:pPr>
              <w:spacing w:after="0"/>
              <w:rPr>
                <w:sz w:val="22"/>
                <w:szCs w:val="22"/>
                <w:color w:val="auto"/>
              </w:rPr>
            </w:pPr>
          </w:p>
        </w:tc>
        <w:tc>
          <w:tcPr>
            <w:tcW w:w="1200" w:type="dxa"/>
            <w:vAlign w:val="bottom"/>
          </w:tcPr>
          <w:p>
            <w:pPr>
              <w:jc w:val="right"/>
              <w:ind w:right="40"/>
              <w:spacing w:after="0"/>
              <w:rPr>
                <w:sz w:val="20"/>
                <w:szCs w:val="20"/>
                <w:color w:val="auto"/>
              </w:rPr>
            </w:pPr>
            <w:r>
              <w:rPr>
                <w:rFonts w:ascii="Arial" w:cs="Arial" w:eastAsia="Arial" w:hAnsi="Arial"/>
                <w:sz w:val="16"/>
                <w:szCs w:val="16"/>
                <w:b w:val="1"/>
                <w:bCs w:val="1"/>
                <w:color w:val="auto"/>
              </w:rPr>
              <w:t>—</w:t>
            </w:r>
          </w:p>
        </w:tc>
        <w:tc>
          <w:tcPr>
            <w:tcW w:w="360" w:type="dxa"/>
            <w:vAlign w:val="bottom"/>
          </w:tcPr>
          <w:p>
            <w:pPr>
              <w:spacing w:after="0"/>
              <w:rPr>
                <w:sz w:val="22"/>
                <w:szCs w:val="22"/>
                <w:color w:val="auto"/>
              </w:rPr>
            </w:pPr>
          </w:p>
        </w:tc>
        <w:tc>
          <w:tcPr>
            <w:tcW w:w="880" w:type="dxa"/>
            <w:vAlign w:val="bottom"/>
          </w:tcPr>
          <w:p>
            <w:pPr>
              <w:jc w:val="right"/>
              <w:ind w:right="20"/>
              <w:spacing w:after="0"/>
              <w:rPr>
                <w:sz w:val="20"/>
                <w:szCs w:val="20"/>
                <w:color w:val="auto"/>
              </w:rPr>
            </w:pPr>
            <w:r>
              <w:rPr>
                <w:rFonts w:ascii="Arial" w:cs="Arial" w:eastAsia="Arial" w:hAnsi="Arial"/>
                <w:sz w:val="16"/>
                <w:szCs w:val="16"/>
                <w:b w:val="1"/>
                <w:bCs w:val="1"/>
                <w:color w:val="auto"/>
              </w:rPr>
              <w:t>1,418.4</w:t>
            </w:r>
          </w:p>
        </w:tc>
        <w:tc>
          <w:tcPr>
            <w:tcW w:w="0" w:type="dxa"/>
            <w:vAlign w:val="bottom"/>
          </w:tcPr>
          <w:p>
            <w:pPr>
              <w:spacing w:after="0"/>
              <w:rPr>
                <w:sz w:val="1"/>
                <w:szCs w:val="1"/>
                <w:color w:val="auto"/>
              </w:rPr>
            </w:pPr>
          </w:p>
        </w:tc>
      </w:tr>
      <w:tr>
        <w:trPr>
          <w:trHeight w:val="280"/>
        </w:trPr>
        <w:tc>
          <w:tcPr>
            <w:tcW w:w="37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Asset-backed securities</w:t>
            </w:r>
          </w:p>
        </w:tc>
        <w:tc>
          <w:tcPr>
            <w:tcW w:w="20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180"/>
              <w:spacing w:after="0"/>
              <w:rPr>
                <w:sz w:val="20"/>
                <w:szCs w:val="20"/>
                <w:color w:val="auto"/>
              </w:rPr>
            </w:pPr>
            <w:r>
              <w:rPr>
                <w:rFonts w:ascii="Arial" w:cs="Arial" w:eastAsia="Arial" w:hAnsi="Arial"/>
                <w:sz w:val="16"/>
                <w:szCs w:val="16"/>
                <w:b w:val="1"/>
                <w:bCs w:val="1"/>
                <w:color w:val="auto"/>
              </w:rPr>
              <w:t>96.7</w:t>
            </w:r>
          </w:p>
        </w:tc>
        <w:tc>
          <w:tcPr>
            <w:tcW w:w="22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119"/>
              <w:spacing w:after="0"/>
              <w:rPr>
                <w:sz w:val="20"/>
                <w:szCs w:val="20"/>
                <w:color w:val="auto"/>
              </w:rPr>
            </w:pPr>
            <w:r>
              <w:rPr>
                <w:rFonts w:ascii="Arial" w:cs="Arial" w:eastAsia="Arial" w:hAnsi="Arial"/>
                <w:sz w:val="16"/>
                <w:szCs w:val="16"/>
                <w:b w:val="1"/>
                <w:bCs w:val="1"/>
                <w:color w:val="auto"/>
              </w:rPr>
              <w:t>97.0</w:t>
            </w:r>
          </w:p>
        </w:tc>
        <w:tc>
          <w:tcPr>
            <w:tcW w:w="16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61"/>
              <w:spacing w:after="0"/>
              <w:rPr>
                <w:sz w:val="20"/>
                <w:szCs w:val="20"/>
                <w:color w:val="auto"/>
              </w:rPr>
            </w:pPr>
            <w:r>
              <w:rPr>
                <w:rFonts w:ascii="Arial" w:cs="Arial" w:eastAsia="Arial" w:hAnsi="Arial"/>
                <w:sz w:val="16"/>
                <w:szCs w:val="16"/>
                <w:b w:val="1"/>
                <w:bCs w:val="1"/>
                <w:color w:val="auto"/>
              </w:rPr>
              <w:t>—</w:t>
            </w:r>
          </w:p>
        </w:tc>
        <w:tc>
          <w:tcPr>
            <w:tcW w:w="22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41"/>
              <w:spacing w:after="0"/>
              <w:rPr>
                <w:sz w:val="20"/>
                <w:szCs w:val="20"/>
                <w:color w:val="auto"/>
              </w:rPr>
            </w:pPr>
            <w:r>
              <w:rPr>
                <w:rFonts w:ascii="Arial" w:cs="Arial" w:eastAsia="Arial" w:hAnsi="Arial"/>
                <w:sz w:val="16"/>
                <w:szCs w:val="16"/>
                <w:b w:val="1"/>
                <w:bCs w:val="1"/>
                <w:color w:val="auto"/>
              </w:rPr>
              <w:t>96.7</w:t>
            </w:r>
          </w:p>
        </w:tc>
        <w:tc>
          <w:tcPr>
            <w:tcW w:w="26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40"/>
              <w:spacing w:after="0"/>
              <w:rPr>
                <w:sz w:val="20"/>
                <w:szCs w:val="20"/>
                <w:color w:val="auto"/>
              </w:rPr>
            </w:pPr>
            <w:r>
              <w:rPr>
                <w:rFonts w:ascii="Arial" w:cs="Arial" w:eastAsia="Arial" w:hAnsi="Arial"/>
                <w:sz w:val="16"/>
                <w:szCs w:val="16"/>
                <w:b w:val="1"/>
                <w:bCs w:val="1"/>
                <w:color w:val="auto"/>
              </w:rPr>
              <w:t>—</w:t>
            </w:r>
          </w:p>
        </w:tc>
        <w:tc>
          <w:tcPr>
            <w:tcW w:w="36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20"/>
              <w:spacing w:after="0"/>
              <w:rPr>
                <w:sz w:val="20"/>
                <w:szCs w:val="20"/>
                <w:color w:val="auto"/>
              </w:rPr>
            </w:pPr>
            <w:r>
              <w:rPr>
                <w:rFonts w:ascii="Arial" w:cs="Arial" w:eastAsia="Arial" w:hAnsi="Arial"/>
                <w:sz w:val="16"/>
                <w:szCs w:val="16"/>
                <w:b w:val="1"/>
                <w:bCs w:val="1"/>
                <w:color w:val="auto"/>
              </w:rPr>
              <w:t>96.7</w:t>
            </w:r>
          </w:p>
        </w:tc>
        <w:tc>
          <w:tcPr>
            <w:tcW w:w="0" w:type="dxa"/>
            <w:vAlign w:val="bottom"/>
          </w:tcPr>
          <w:p>
            <w:pPr>
              <w:spacing w:after="0"/>
              <w:rPr>
                <w:sz w:val="1"/>
                <w:szCs w:val="1"/>
                <w:color w:val="auto"/>
              </w:rPr>
            </w:pPr>
          </w:p>
        </w:tc>
      </w:tr>
      <w:tr>
        <w:trPr>
          <w:trHeight w:val="264"/>
        </w:trPr>
        <w:tc>
          <w:tcPr>
            <w:tcW w:w="378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Other securities</w:t>
            </w:r>
          </w:p>
        </w:tc>
        <w:tc>
          <w:tcPr>
            <w:tcW w:w="20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180"/>
              <w:spacing w:after="0"/>
              <w:rPr>
                <w:sz w:val="20"/>
                <w:szCs w:val="20"/>
                <w:color w:val="auto"/>
              </w:rPr>
            </w:pPr>
            <w:r>
              <w:rPr>
                <w:rFonts w:ascii="Arial" w:cs="Arial" w:eastAsia="Arial" w:hAnsi="Arial"/>
                <w:sz w:val="16"/>
                <w:szCs w:val="16"/>
                <w:b w:val="1"/>
                <w:bCs w:val="1"/>
                <w:color w:val="auto"/>
              </w:rPr>
              <w:t>4.3</w:t>
            </w:r>
          </w:p>
        </w:tc>
        <w:tc>
          <w:tcPr>
            <w:tcW w:w="220" w:type="dxa"/>
            <w:vAlign w:val="bottom"/>
            <w:tcBorders>
              <w:bottom w:val="single" w:sz="8" w:color="CCEEFF"/>
            </w:tcBorders>
          </w:tcPr>
          <w:p>
            <w:pPr>
              <w:spacing w:after="0"/>
              <w:rPr>
                <w:sz w:val="22"/>
                <w:szCs w:val="22"/>
                <w:color w:val="auto"/>
              </w:rPr>
            </w:pPr>
          </w:p>
        </w:tc>
        <w:tc>
          <w:tcPr>
            <w:tcW w:w="1020" w:type="dxa"/>
            <w:vAlign w:val="bottom"/>
            <w:tcBorders>
              <w:bottom w:val="single" w:sz="8" w:color="CCEEFF"/>
            </w:tcBorders>
          </w:tcPr>
          <w:p>
            <w:pPr>
              <w:jc w:val="right"/>
              <w:ind w:right="119"/>
              <w:spacing w:after="0"/>
              <w:rPr>
                <w:sz w:val="20"/>
                <w:szCs w:val="20"/>
                <w:color w:val="auto"/>
              </w:rPr>
            </w:pPr>
            <w:r>
              <w:rPr>
                <w:rFonts w:ascii="Arial" w:cs="Arial" w:eastAsia="Arial" w:hAnsi="Arial"/>
                <w:sz w:val="16"/>
                <w:szCs w:val="16"/>
                <w:b w:val="1"/>
                <w:bCs w:val="1"/>
                <w:color w:val="auto"/>
              </w:rPr>
              <w:t>4.3</w:t>
            </w:r>
          </w:p>
        </w:tc>
        <w:tc>
          <w:tcPr>
            <w:tcW w:w="160" w:type="dxa"/>
            <w:vAlign w:val="bottom"/>
            <w:tcBorders>
              <w:bottom w:val="single" w:sz="8" w:color="CCEEFF"/>
            </w:tcBorders>
          </w:tcPr>
          <w:p>
            <w:pPr>
              <w:spacing w:after="0"/>
              <w:rPr>
                <w:sz w:val="22"/>
                <w:szCs w:val="22"/>
                <w:color w:val="auto"/>
              </w:rPr>
            </w:pPr>
          </w:p>
        </w:tc>
        <w:tc>
          <w:tcPr>
            <w:tcW w:w="1020" w:type="dxa"/>
            <w:vAlign w:val="bottom"/>
            <w:tcBorders>
              <w:bottom w:val="single" w:sz="8" w:color="CCEEFF"/>
            </w:tcBorders>
          </w:tcPr>
          <w:p>
            <w:pPr>
              <w:jc w:val="right"/>
              <w:ind w:right="61"/>
              <w:spacing w:after="0"/>
              <w:rPr>
                <w:sz w:val="20"/>
                <w:szCs w:val="20"/>
                <w:color w:val="auto"/>
              </w:rPr>
            </w:pPr>
            <w:r>
              <w:rPr>
                <w:rFonts w:ascii="Arial" w:cs="Arial" w:eastAsia="Arial" w:hAnsi="Arial"/>
                <w:sz w:val="16"/>
                <w:szCs w:val="16"/>
                <w:b w:val="1"/>
                <w:bCs w:val="1"/>
                <w:color w:val="auto"/>
              </w:rPr>
              <w:t>—</w:t>
            </w:r>
          </w:p>
        </w:tc>
        <w:tc>
          <w:tcPr>
            <w:tcW w:w="220" w:type="dxa"/>
            <w:vAlign w:val="bottom"/>
            <w:tcBorders>
              <w:bottom w:val="single" w:sz="8" w:color="CCEEFF"/>
            </w:tcBorders>
          </w:tcPr>
          <w:p>
            <w:pPr>
              <w:spacing w:after="0"/>
              <w:rPr>
                <w:sz w:val="22"/>
                <w:szCs w:val="22"/>
                <w:color w:val="auto"/>
              </w:rPr>
            </w:pPr>
          </w:p>
        </w:tc>
        <w:tc>
          <w:tcPr>
            <w:tcW w:w="1000" w:type="dxa"/>
            <w:vAlign w:val="bottom"/>
            <w:tcBorders>
              <w:bottom w:val="single" w:sz="8" w:color="CCEEFF"/>
            </w:tcBorders>
          </w:tcPr>
          <w:p>
            <w:pPr>
              <w:jc w:val="right"/>
              <w:ind w:right="41"/>
              <w:spacing w:after="0"/>
              <w:rPr>
                <w:sz w:val="20"/>
                <w:szCs w:val="20"/>
                <w:color w:val="auto"/>
              </w:rPr>
            </w:pPr>
            <w:r>
              <w:rPr>
                <w:rFonts w:ascii="Arial" w:cs="Arial" w:eastAsia="Arial" w:hAnsi="Arial"/>
                <w:sz w:val="16"/>
                <w:szCs w:val="16"/>
                <w:b w:val="1"/>
                <w:bCs w:val="1"/>
                <w:color w:val="auto"/>
              </w:rPr>
              <w:t>4.3</w:t>
            </w:r>
          </w:p>
        </w:tc>
        <w:tc>
          <w:tcPr>
            <w:tcW w:w="260" w:type="dxa"/>
            <w:vAlign w:val="bottom"/>
            <w:tcBorders>
              <w:bottom w:val="single" w:sz="8" w:color="CCEEFF"/>
            </w:tcBorders>
          </w:tcPr>
          <w:p>
            <w:pPr>
              <w:spacing w:after="0"/>
              <w:rPr>
                <w:sz w:val="22"/>
                <w:szCs w:val="22"/>
                <w:color w:val="auto"/>
              </w:rPr>
            </w:pPr>
          </w:p>
        </w:tc>
        <w:tc>
          <w:tcPr>
            <w:tcW w:w="1200" w:type="dxa"/>
            <w:vAlign w:val="bottom"/>
            <w:tcBorders>
              <w:bottom w:val="single" w:sz="8" w:color="CCEEFF"/>
            </w:tcBorders>
          </w:tcPr>
          <w:p>
            <w:pPr>
              <w:jc w:val="right"/>
              <w:ind w:right="40"/>
              <w:spacing w:after="0"/>
              <w:rPr>
                <w:sz w:val="20"/>
                <w:szCs w:val="20"/>
                <w:color w:val="auto"/>
              </w:rPr>
            </w:pPr>
            <w:r>
              <w:rPr>
                <w:rFonts w:ascii="Arial" w:cs="Arial" w:eastAsia="Arial" w:hAnsi="Arial"/>
                <w:sz w:val="16"/>
                <w:szCs w:val="16"/>
                <w:b w:val="1"/>
                <w:bCs w:val="1"/>
                <w:color w:val="auto"/>
              </w:rPr>
              <w:t>—</w:t>
            </w:r>
          </w:p>
        </w:tc>
        <w:tc>
          <w:tcPr>
            <w:tcW w:w="360" w:type="dxa"/>
            <w:vAlign w:val="bottom"/>
            <w:tcBorders>
              <w:bottom w:val="single" w:sz="8" w:color="CCEEFF"/>
            </w:tcBorders>
          </w:tcPr>
          <w:p>
            <w:pPr>
              <w:spacing w:after="0"/>
              <w:rPr>
                <w:sz w:val="22"/>
                <w:szCs w:val="22"/>
                <w:color w:val="auto"/>
              </w:rPr>
            </w:pPr>
          </w:p>
        </w:tc>
        <w:tc>
          <w:tcPr>
            <w:tcW w:w="880" w:type="dxa"/>
            <w:vAlign w:val="bottom"/>
            <w:tcBorders>
              <w:bottom w:val="single" w:sz="8" w:color="CCEEFF"/>
            </w:tcBorders>
          </w:tcPr>
          <w:p>
            <w:pPr>
              <w:jc w:val="right"/>
              <w:ind w:right="20"/>
              <w:spacing w:after="0"/>
              <w:rPr>
                <w:sz w:val="20"/>
                <w:szCs w:val="20"/>
                <w:color w:val="auto"/>
              </w:rPr>
            </w:pPr>
            <w:r>
              <w:rPr>
                <w:rFonts w:ascii="Arial" w:cs="Arial" w:eastAsia="Arial" w:hAnsi="Arial"/>
                <w:sz w:val="16"/>
                <w:szCs w:val="16"/>
                <w:b w:val="1"/>
                <w:bCs w:val="1"/>
                <w:color w:val="auto"/>
              </w:rPr>
              <w:t>4.3</w:t>
            </w:r>
          </w:p>
        </w:tc>
        <w:tc>
          <w:tcPr>
            <w:tcW w:w="0" w:type="dxa"/>
            <w:vAlign w:val="bottom"/>
          </w:tcPr>
          <w:p>
            <w:pPr>
              <w:spacing w:after="0"/>
              <w:rPr>
                <w:sz w:val="1"/>
                <w:szCs w:val="1"/>
                <w:color w:val="auto"/>
              </w:rPr>
            </w:pPr>
          </w:p>
        </w:tc>
      </w:tr>
      <w:tr>
        <w:trPr>
          <w:trHeight w:val="277"/>
        </w:trPr>
        <w:tc>
          <w:tcPr>
            <w:tcW w:w="3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Short-term investments</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100" w:type="dxa"/>
            <w:vAlign w:val="bottom"/>
            <w:tcBorders>
              <w:bottom w:val="single" w:sz="8" w:color="auto"/>
            </w:tcBorders>
            <w:shd w:val="clear" w:color="auto" w:fill="CCEEFF"/>
          </w:tcPr>
          <w:p>
            <w:pPr>
              <w:jc w:val="right"/>
              <w:ind w:right="180"/>
              <w:spacing w:after="0"/>
              <w:rPr>
                <w:sz w:val="20"/>
                <w:szCs w:val="20"/>
                <w:color w:val="auto"/>
              </w:rPr>
            </w:pPr>
            <w:r>
              <w:rPr>
                <w:rFonts w:ascii="Arial" w:cs="Arial" w:eastAsia="Arial" w:hAnsi="Arial"/>
                <w:sz w:val="16"/>
                <w:szCs w:val="16"/>
                <w:b w:val="1"/>
                <w:bCs w:val="1"/>
                <w:color w:val="auto"/>
              </w:rPr>
              <w:t>1,705.2</w:t>
            </w:r>
          </w:p>
        </w:tc>
        <w:tc>
          <w:tcPr>
            <w:tcW w:w="220" w:type="dxa"/>
            <w:vAlign w:val="bottom"/>
            <w:tcBorders>
              <w:bottom w:val="single" w:sz="8" w:color="CCEEFF"/>
            </w:tcBorders>
            <w:shd w:val="clear" w:color="auto" w:fill="CCEEFF"/>
          </w:tcPr>
          <w:p>
            <w:pPr>
              <w:spacing w:after="0"/>
              <w:rPr>
                <w:sz w:val="24"/>
                <w:szCs w:val="24"/>
                <w:color w:val="auto"/>
              </w:rPr>
            </w:pPr>
          </w:p>
        </w:tc>
        <w:tc>
          <w:tcPr>
            <w:tcW w:w="102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102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100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spacing w:after="0"/>
              <w:rPr>
                <w:sz w:val="24"/>
                <w:szCs w:val="24"/>
                <w:color w:val="auto"/>
              </w:rPr>
            </w:pPr>
          </w:p>
        </w:tc>
        <w:tc>
          <w:tcPr>
            <w:tcW w:w="120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CCEEFF"/>
            </w:tcBorders>
            <w:shd w:val="clear" w:color="auto" w:fill="CCEEFF"/>
          </w:tcPr>
          <w:p>
            <w:pPr>
              <w:spacing w:after="0"/>
              <w:rPr>
                <w:sz w:val="24"/>
                <w:szCs w:val="24"/>
                <w:color w:val="auto"/>
              </w:rPr>
            </w:pPr>
          </w:p>
        </w:tc>
        <w:tc>
          <w:tcPr>
            <w:tcW w:w="88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7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3780" w:type="dxa"/>
            <w:vAlign w:val="bottom"/>
            <w:shd w:val="clear" w:color="auto" w:fill="CCEEFF"/>
          </w:tcPr>
          <w:p>
            <w:pPr>
              <w:ind w:left="40"/>
              <w:spacing w:after="0"/>
              <w:rPr>
                <w:sz w:val="20"/>
                <w:szCs w:val="20"/>
                <w:color w:val="auto"/>
              </w:rPr>
            </w:pPr>
            <w:r>
              <w:rPr>
                <w:rFonts w:ascii="Arial" w:cs="Arial" w:eastAsia="Arial" w:hAnsi="Arial"/>
                <w:sz w:val="16"/>
                <w:szCs w:val="16"/>
                <w:color w:val="auto"/>
              </w:rPr>
              <w:t>Noncurrent investments:</w:t>
            </w:r>
          </w:p>
        </w:tc>
        <w:tc>
          <w:tcPr>
            <w:tcW w:w="20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0"/>
        </w:trPr>
        <w:tc>
          <w:tcPr>
            <w:tcW w:w="3780" w:type="dxa"/>
            <w:vAlign w:val="bottom"/>
          </w:tcPr>
          <w:p>
            <w:pPr>
              <w:ind w:left="180"/>
              <w:spacing w:after="0"/>
              <w:rPr>
                <w:sz w:val="20"/>
                <w:szCs w:val="20"/>
                <w:color w:val="auto"/>
              </w:rPr>
            </w:pPr>
            <w:r>
              <w:rPr>
                <w:rFonts w:ascii="Arial" w:cs="Arial" w:eastAsia="Arial" w:hAnsi="Arial"/>
                <w:sz w:val="16"/>
                <w:szCs w:val="16"/>
                <w:color w:val="auto"/>
              </w:rPr>
              <w:t>U.S. government and agency securities</w:t>
            </w:r>
          </w:p>
        </w:tc>
        <w:tc>
          <w:tcPr>
            <w:tcW w:w="20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100" w:type="dxa"/>
            <w:vAlign w:val="bottom"/>
          </w:tcPr>
          <w:p>
            <w:pPr>
              <w:jc w:val="right"/>
              <w:ind w:right="180"/>
              <w:spacing w:after="0"/>
              <w:rPr>
                <w:sz w:val="20"/>
                <w:szCs w:val="20"/>
                <w:color w:val="auto"/>
              </w:rPr>
            </w:pPr>
            <w:r>
              <w:rPr>
                <w:rFonts w:ascii="Arial" w:cs="Arial" w:eastAsia="Arial" w:hAnsi="Arial"/>
                <w:sz w:val="16"/>
                <w:szCs w:val="16"/>
                <w:b w:val="1"/>
                <w:bCs w:val="1"/>
                <w:color w:val="auto"/>
              </w:rPr>
              <w:t>336.7</w:t>
            </w:r>
          </w:p>
        </w:tc>
        <w:tc>
          <w:tcPr>
            <w:tcW w:w="220" w:type="dxa"/>
            <w:vAlign w:val="bottom"/>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1020" w:type="dxa"/>
            <w:vAlign w:val="bottom"/>
          </w:tcPr>
          <w:p>
            <w:pPr>
              <w:jc w:val="right"/>
              <w:ind w:right="119"/>
              <w:spacing w:after="0"/>
              <w:rPr>
                <w:sz w:val="20"/>
                <w:szCs w:val="20"/>
                <w:color w:val="auto"/>
              </w:rPr>
            </w:pPr>
            <w:r>
              <w:rPr>
                <w:rFonts w:ascii="Arial" w:cs="Arial" w:eastAsia="Arial" w:hAnsi="Arial"/>
                <w:sz w:val="16"/>
                <w:szCs w:val="16"/>
                <w:b w:val="1"/>
                <w:bCs w:val="1"/>
                <w:color w:val="auto"/>
              </w:rPr>
              <w:t>345.1</w:t>
            </w:r>
          </w:p>
        </w:tc>
        <w:tc>
          <w:tcPr>
            <w:tcW w:w="16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020" w:type="dxa"/>
            <w:vAlign w:val="bottom"/>
          </w:tcPr>
          <w:p>
            <w:pPr>
              <w:jc w:val="right"/>
              <w:ind w:right="61"/>
              <w:spacing w:after="0"/>
              <w:rPr>
                <w:sz w:val="20"/>
                <w:szCs w:val="20"/>
                <w:color w:val="auto"/>
              </w:rPr>
            </w:pPr>
            <w:r>
              <w:rPr>
                <w:rFonts w:ascii="Arial" w:cs="Arial" w:eastAsia="Arial" w:hAnsi="Arial"/>
                <w:sz w:val="16"/>
                <w:szCs w:val="16"/>
                <w:b w:val="1"/>
                <w:bCs w:val="1"/>
                <w:color w:val="auto"/>
              </w:rPr>
              <w:t>336.7</w:t>
            </w:r>
          </w:p>
        </w:tc>
        <w:tc>
          <w:tcPr>
            <w:tcW w:w="22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000" w:type="dxa"/>
            <w:vAlign w:val="bottom"/>
          </w:tcPr>
          <w:p>
            <w:pPr>
              <w:jc w:val="right"/>
              <w:ind w:right="41"/>
              <w:spacing w:after="0"/>
              <w:rPr>
                <w:sz w:val="20"/>
                <w:szCs w:val="20"/>
                <w:color w:val="auto"/>
              </w:rPr>
            </w:pPr>
            <w:r>
              <w:rPr>
                <w:rFonts w:ascii="Arial" w:cs="Arial" w:eastAsia="Arial" w:hAnsi="Arial"/>
                <w:sz w:val="16"/>
                <w:szCs w:val="16"/>
                <w:b w:val="1"/>
                <w:bCs w:val="1"/>
                <w:color w:val="auto"/>
              </w:rPr>
              <w:t>—</w:t>
            </w:r>
          </w:p>
        </w:tc>
        <w:tc>
          <w:tcPr>
            <w:tcW w:w="26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200" w:type="dxa"/>
            <w:vAlign w:val="bottom"/>
          </w:tcPr>
          <w:p>
            <w:pPr>
              <w:jc w:val="right"/>
              <w:ind w:right="40"/>
              <w:spacing w:after="0"/>
              <w:rPr>
                <w:sz w:val="20"/>
                <w:szCs w:val="20"/>
                <w:color w:val="auto"/>
              </w:rPr>
            </w:pPr>
            <w:r>
              <w:rPr>
                <w:rFonts w:ascii="Arial" w:cs="Arial" w:eastAsia="Arial" w:hAnsi="Arial"/>
                <w:sz w:val="16"/>
                <w:szCs w:val="16"/>
                <w:b w:val="1"/>
                <w:bCs w:val="1"/>
                <w:color w:val="auto"/>
              </w:rPr>
              <w:t>—</w:t>
            </w:r>
          </w:p>
        </w:tc>
        <w:tc>
          <w:tcPr>
            <w:tcW w:w="36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880" w:type="dxa"/>
            <w:vAlign w:val="bottom"/>
          </w:tcPr>
          <w:p>
            <w:pPr>
              <w:jc w:val="right"/>
              <w:ind w:right="20"/>
              <w:spacing w:after="0"/>
              <w:rPr>
                <w:sz w:val="20"/>
                <w:szCs w:val="20"/>
                <w:color w:val="auto"/>
              </w:rPr>
            </w:pPr>
            <w:r>
              <w:rPr>
                <w:rFonts w:ascii="Arial" w:cs="Arial" w:eastAsia="Arial" w:hAnsi="Arial"/>
                <w:sz w:val="16"/>
                <w:szCs w:val="16"/>
                <w:b w:val="1"/>
                <w:bCs w:val="1"/>
                <w:color w:val="auto"/>
              </w:rPr>
              <w:t>336.7</w:t>
            </w:r>
          </w:p>
        </w:tc>
        <w:tc>
          <w:tcPr>
            <w:tcW w:w="0" w:type="dxa"/>
            <w:vAlign w:val="bottom"/>
          </w:tcPr>
          <w:p>
            <w:pPr>
              <w:spacing w:after="0"/>
              <w:rPr>
                <w:sz w:val="1"/>
                <w:szCs w:val="1"/>
                <w:color w:val="auto"/>
              </w:rPr>
            </w:pPr>
          </w:p>
        </w:tc>
      </w:tr>
      <w:tr>
        <w:trPr>
          <w:trHeight w:val="280"/>
        </w:trPr>
        <w:tc>
          <w:tcPr>
            <w:tcW w:w="37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Corporate debt securities</w:t>
            </w:r>
          </w:p>
        </w:tc>
        <w:tc>
          <w:tcPr>
            <w:tcW w:w="20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180"/>
              <w:spacing w:after="0"/>
              <w:rPr>
                <w:sz w:val="20"/>
                <w:szCs w:val="20"/>
                <w:color w:val="auto"/>
              </w:rPr>
            </w:pPr>
            <w:r>
              <w:rPr>
                <w:rFonts w:ascii="Arial" w:cs="Arial" w:eastAsia="Arial" w:hAnsi="Arial"/>
                <w:sz w:val="16"/>
                <w:szCs w:val="16"/>
                <w:b w:val="1"/>
                <w:bCs w:val="1"/>
                <w:color w:val="auto"/>
              </w:rPr>
              <w:t>3,181.3</w:t>
            </w:r>
          </w:p>
        </w:tc>
        <w:tc>
          <w:tcPr>
            <w:tcW w:w="22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119"/>
              <w:spacing w:after="0"/>
              <w:rPr>
                <w:sz w:val="20"/>
                <w:szCs w:val="20"/>
                <w:color w:val="auto"/>
              </w:rPr>
            </w:pPr>
            <w:r>
              <w:rPr>
                <w:rFonts w:ascii="Arial" w:cs="Arial" w:eastAsia="Arial" w:hAnsi="Arial"/>
                <w:sz w:val="16"/>
                <w:szCs w:val="16"/>
                <w:b w:val="1"/>
                <w:bCs w:val="1"/>
                <w:color w:val="auto"/>
              </w:rPr>
              <w:t>3,223.7</w:t>
            </w:r>
          </w:p>
        </w:tc>
        <w:tc>
          <w:tcPr>
            <w:tcW w:w="16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61"/>
              <w:spacing w:after="0"/>
              <w:rPr>
                <w:sz w:val="20"/>
                <w:szCs w:val="20"/>
                <w:color w:val="auto"/>
              </w:rPr>
            </w:pPr>
            <w:r>
              <w:rPr>
                <w:rFonts w:ascii="Arial" w:cs="Arial" w:eastAsia="Arial" w:hAnsi="Arial"/>
                <w:sz w:val="16"/>
                <w:szCs w:val="16"/>
                <w:b w:val="1"/>
                <w:bCs w:val="1"/>
                <w:color w:val="auto"/>
              </w:rPr>
              <w:t>—</w:t>
            </w:r>
          </w:p>
        </w:tc>
        <w:tc>
          <w:tcPr>
            <w:tcW w:w="22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41"/>
              <w:spacing w:after="0"/>
              <w:rPr>
                <w:sz w:val="20"/>
                <w:szCs w:val="20"/>
                <w:color w:val="auto"/>
              </w:rPr>
            </w:pPr>
            <w:r>
              <w:rPr>
                <w:rFonts w:ascii="Arial" w:cs="Arial" w:eastAsia="Arial" w:hAnsi="Arial"/>
                <w:sz w:val="16"/>
                <w:szCs w:val="16"/>
                <w:b w:val="1"/>
                <w:bCs w:val="1"/>
                <w:color w:val="auto"/>
              </w:rPr>
              <w:t>3,181.3</w:t>
            </w:r>
          </w:p>
        </w:tc>
        <w:tc>
          <w:tcPr>
            <w:tcW w:w="26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40"/>
              <w:spacing w:after="0"/>
              <w:rPr>
                <w:sz w:val="20"/>
                <w:szCs w:val="20"/>
                <w:color w:val="auto"/>
              </w:rPr>
            </w:pPr>
            <w:r>
              <w:rPr>
                <w:rFonts w:ascii="Arial" w:cs="Arial" w:eastAsia="Arial" w:hAnsi="Arial"/>
                <w:sz w:val="16"/>
                <w:szCs w:val="16"/>
                <w:b w:val="1"/>
                <w:bCs w:val="1"/>
                <w:color w:val="auto"/>
              </w:rPr>
              <w:t>—</w:t>
            </w:r>
          </w:p>
        </w:tc>
        <w:tc>
          <w:tcPr>
            <w:tcW w:w="36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20"/>
              <w:spacing w:after="0"/>
              <w:rPr>
                <w:sz w:val="20"/>
                <w:szCs w:val="20"/>
                <w:color w:val="auto"/>
              </w:rPr>
            </w:pPr>
            <w:r>
              <w:rPr>
                <w:rFonts w:ascii="Arial" w:cs="Arial" w:eastAsia="Arial" w:hAnsi="Arial"/>
                <w:sz w:val="16"/>
                <w:szCs w:val="16"/>
                <w:b w:val="1"/>
                <w:bCs w:val="1"/>
                <w:color w:val="auto"/>
              </w:rPr>
              <w:t>3,181.3</w:t>
            </w:r>
          </w:p>
        </w:tc>
        <w:tc>
          <w:tcPr>
            <w:tcW w:w="0" w:type="dxa"/>
            <w:vAlign w:val="bottom"/>
          </w:tcPr>
          <w:p>
            <w:pPr>
              <w:spacing w:after="0"/>
              <w:rPr>
                <w:sz w:val="1"/>
                <w:szCs w:val="1"/>
                <w:color w:val="auto"/>
              </w:rPr>
            </w:pPr>
          </w:p>
        </w:tc>
      </w:tr>
      <w:tr>
        <w:trPr>
          <w:trHeight w:val="260"/>
        </w:trPr>
        <w:tc>
          <w:tcPr>
            <w:tcW w:w="3780" w:type="dxa"/>
            <w:vAlign w:val="bottom"/>
          </w:tcPr>
          <w:p>
            <w:pPr>
              <w:ind w:left="180"/>
              <w:spacing w:after="0"/>
              <w:rPr>
                <w:sz w:val="20"/>
                <w:szCs w:val="20"/>
                <w:color w:val="auto"/>
              </w:rPr>
            </w:pPr>
            <w:r>
              <w:rPr>
                <w:rFonts w:ascii="Arial" w:cs="Arial" w:eastAsia="Arial" w:hAnsi="Arial"/>
                <w:sz w:val="16"/>
                <w:szCs w:val="16"/>
                <w:color w:val="auto"/>
              </w:rPr>
              <w:t>Mortgage-backed securities</w:t>
            </w:r>
          </w:p>
        </w:tc>
        <w:tc>
          <w:tcPr>
            <w:tcW w:w="200" w:type="dxa"/>
            <w:vAlign w:val="bottom"/>
          </w:tcPr>
          <w:p>
            <w:pPr>
              <w:spacing w:after="0"/>
              <w:rPr>
                <w:sz w:val="22"/>
                <w:szCs w:val="22"/>
                <w:color w:val="auto"/>
              </w:rPr>
            </w:pPr>
          </w:p>
        </w:tc>
        <w:tc>
          <w:tcPr>
            <w:tcW w:w="1100" w:type="dxa"/>
            <w:vAlign w:val="bottom"/>
          </w:tcPr>
          <w:p>
            <w:pPr>
              <w:jc w:val="right"/>
              <w:ind w:right="180"/>
              <w:spacing w:after="0"/>
              <w:rPr>
                <w:sz w:val="20"/>
                <w:szCs w:val="20"/>
                <w:color w:val="auto"/>
              </w:rPr>
            </w:pPr>
            <w:r>
              <w:rPr>
                <w:rFonts w:ascii="Arial" w:cs="Arial" w:eastAsia="Arial" w:hAnsi="Arial"/>
                <w:sz w:val="16"/>
                <w:szCs w:val="16"/>
                <w:b w:val="1"/>
                <w:bCs w:val="1"/>
                <w:color w:val="auto"/>
              </w:rPr>
              <w:t>205.2</w:t>
            </w:r>
          </w:p>
        </w:tc>
        <w:tc>
          <w:tcPr>
            <w:tcW w:w="220" w:type="dxa"/>
            <w:vAlign w:val="bottom"/>
          </w:tcPr>
          <w:p>
            <w:pPr>
              <w:spacing w:after="0"/>
              <w:rPr>
                <w:sz w:val="22"/>
                <w:szCs w:val="22"/>
                <w:color w:val="auto"/>
              </w:rPr>
            </w:pPr>
          </w:p>
        </w:tc>
        <w:tc>
          <w:tcPr>
            <w:tcW w:w="1020" w:type="dxa"/>
            <w:vAlign w:val="bottom"/>
          </w:tcPr>
          <w:p>
            <w:pPr>
              <w:jc w:val="right"/>
              <w:ind w:right="119"/>
              <w:spacing w:after="0"/>
              <w:rPr>
                <w:sz w:val="20"/>
                <w:szCs w:val="20"/>
                <w:color w:val="auto"/>
              </w:rPr>
            </w:pPr>
            <w:r>
              <w:rPr>
                <w:rFonts w:ascii="Arial" w:cs="Arial" w:eastAsia="Arial" w:hAnsi="Arial"/>
                <w:sz w:val="16"/>
                <w:szCs w:val="16"/>
                <w:b w:val="1"/>
                <w:bCs w:val="1"/>
                <w:color w:val="auto"/>
              </w:rPr>
              <w:t>209.9</w:t>
            </w:r>
          </w:p>
        </w:tc>
        <w:tc>
          <w:tcPr>
            <w:tcW w:w="160" w:type="dxa"/>
            <w:vAlign w:val="bottom"/>
          </w:tcPr>
          <w:p>
            <w:pPr>
              <w:spacing w:after="0"/>
              <w:rPr>
                <w:sz w:val="22"/>
                <w:szCs w:val="22"/>
                <w:color w:val="auto"/>
              </w:rPr>
            </w:pPr>
          </w:p>
        </w:tc>
        <w:tc>
          <w:tcPr>
            <w:tcW w:w="1020" w:type="dxa"/>
            <w:vAlign w:val="bottom"/>
          </w:tcPr>
          <w:p>
            <w:pPr>
              <w:jc w:val="right"/>
              <w:ind w:right="61"/>
              <w:spacing w:after="0"/>
              <w:rPr>
                <w:sz w:val="20"/>
                <w:szCs w:val="20"/>
                <w:color w:val="auto"/>
              </w:rPr>
            </w:pPr>
            <w:r>
              <w:rPr>
                <w:rFonts w:ascii="Arial" w:cs="Arial" w:eastAsia="Arial" w:hAnsi="Arial"/>
                <w:sz w:val="16"/>
                <w:szCs w:val="16"/>
                <w:b w:val="1"/>
                <w:bCs w:val="1"/>
                <w:color w:val="auto"/>
              </w:rPr>
              <w:t>—</w:t>
            </w:r>
          </w:p>
        </w:tc>
        <w:tc>
          <w:tcPr>
            <w:tcW w:w="220" w:type="dxa"/>
            <w:vAlign w:val="bottom"/>
          </w:tcPr>
          <w:p>
            <w:pPr>
              <w:spacing w:after="0"/>
              <w:rPr>
                <w:sz w:val="22"/>
                <w:szCs w:val="22"/>
                <w:color w:val="auto"/>
              </w:rPr>
            </w:pPr>
          </w:p>
        </w:tc>
        <w:tc>
          <w:tcPr>
            <w:tcW w:w="1000" w:type="dxa"/>
            <w:vAlign w:val="bottom"/>
          </w:tcPr>
          <w:p>
            <w:pPr>
              <w:jc w:val="right"/>
              <w:ind w:right="41"/>
              <w:spacing w:after="0"/>
              <w:rPr>
                <w:sz w:val="20"/>
                <w:szCs w:val="20"/>
                <w:color w:val="auto"/>
              </w:rPr>
            </w:pPr>
            <w:r>
              <w:rPr>
                <w:rFonts w:ascii="Arial" w:cs="Arial" w:eastAsia="Arial" w:hAnsi="Arial"/>
                <w:sz w:val="16"/>
                <w:szCs w:val="16"/>
                <w:b w:val="1"/>
                <w:bCs w:val="1"/>
                <w:color w:val="auto"/>
              </w:rPr>
              <w:t>205.2</w:t>
            </w:r>
          </w:p>
        </w:tc>
        <w:tc>
          <w:tcPr>
            <w:tcW w:w="260" w:type="dxa"/>
            <w:vAlign w:val="bottom"/>
          </w:tcPr>
          <w:p>
            <w:pPr>
              <w:spacing w:after="0"/>
              <w:rPr>
                <w:sz w:val="22"/>
                <w:szCs w:val="22"/>
                <w:color w:val="auto"/>
              </w:rPr>
            </w:pPr>
          </w:p>
        </w:tc>
        <w:tc>
          <w:tcPr>
            <w:tcW w:w="1200" w:type="dxa"/>
            <w:vAlign w:val="bottom"/>
          </w:tcPr>
          <w:p>
            <w:pPr>
              <w:jc w:val="right"/>
              <w:ind w:right="40"/>
              <w:spacing w:after="0"/>
              <w:rPr>
                <w:sz w:val="20"/>
                <w:szCs w:val="20"/>
                <w:color w:val="auto"/>
              </w:rPr>
            </w:pPr>
            <w:r>
              <w:rPr>
                <w:rFonts w:ascii="Arial" w:cs="Arial" w:eastAsia="Arial" w:hAnsi="Arial"/>
                <w:sz w:val="16"/>
                <w:szCs w:val="16"/>
                <w:b w:val="1"/>
                <w:bCs w:val="1"/>
                <w:color w:val="auto"/>
              </w:rPr>
              <w:t>—</w:t>
            </w:r>
          </w:p>
        </w:tc>
        <w:tc>
          <w:tcPr>
            <w:tcW w:w="360" w:type="dxa"/>
            <w:vAlign w:val="bottom"/>
          </w:tcPr>
          <w:p>
            <w:pPr>
              <w:spacing w:after="0"/>
              <w:rPr>
                <w:sz w:val="22"/>
                <w:szCs w:val="22"/>
                <w:color w:val="auto"/>
              </w:rPr>
            </w:pPr>
          </w:p>
        </w:tc>
        <w:tc>
          <w:tcPr>
            <w:tcW w:w="880" w:type="dxa"/>
            <w:vAlign w:val="bottom"/>
          </w:tcPr>
          <w:p>
            <w:pPr>
              <w:jc w:val="right"/>
              <w:ind w:right="20"/>
              <w:spacing w:after="0"/>
              <w:rPr>
                <w:sz w:val="20"/>
                <w:szCs w:val="20"/>
                <w:color w:val="auto"/>
              </w:rPr>
            </w:pPr>
            <w:r>
              <w:rPr>
                <w:rFonts w:ascii="Arial" w:cs="Arial" w:eastAsia="Arial" w:hAnsi="Arial"/>
                <w:sz w:val="16"/>
                <w:szCs w:val="16"/>
                <w:b w:val="1"/>
                <w:bCs w:val="1"/>
                <w:color w:val="auto"/>
              </w:rPr>
              <w:t>205.2</w:t>
            </w:r>
          </w:p>
        </w:tc>
        <w:tc>
          <w:tcPr>
            <w:tcW w:w="0" w:type="dxa"/>
            <w:vAlign w:val="bottom"/>
          </w:tcPr>
          <w:p>
            <w:pPr>
              <w:spacing w:after="0"/>
              <w:rPr>
                <w:sz w:val="1"/>
                <w:szCs w:val="1"/>
                <w:color w:val="auto"/>
              </w:rPr>
            </w:pPr>
          </w:p>
        </w:tc>
      </w:tr>
      <w:tr>
        <w:trPr>
          <w:trHeight w:val="280"/>
        </w:trPr>
        <w:tc>
          <w:tcPr>
            <w:tcW w:w="37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Asset-backed securities</w:t>
            </w:r>
          </w:p>
        </w:tc>
        <w:tc>
          <w:tcPr>
            <w:tcW w:w="20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180"/>
              <w:spacing w:after="0"/>
              <w:rPr>
                <w:sz w:val="20"/>
                <w:szCs w:val="20"/>
                <w:color w:val="auto"/>
              </w:rPr>
            </w:pPr>
            <w:r>
              <w:rPr>
                <w:rFonts w:ascii="Arial" w:cs="Arial" w:eastAsia="Arial" w:hAnsi="Arial"/>
                <w:sz w:val="16"/>
                <w:szCs w:val="16"/>
                <w:b w:val="1"/>
                <w:bCs w:val="1"/>
                <w:color w:val="auto"/>
              </w:rPr>
              <w:t>623.0</w:t>
            </w:r>
          </w:p>
        </w:tc>
        <w:tc>
          <w:tcPr>
            <w:tcW w:w="22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119"/>
              <w:spacing w:after="0"/>
              <w:rPr>
                <w:sz w:val="20"/>
                <w:szCs w:val="20"/>
                <w:color w:val="auto"/>
              </w:rPr>
            </w:pPr>
            <w:r>
              <w:rPr>
                <w:rFonts w:ascii="Arial" w:cs="Arial" w:eastAsia="Arial" w:hAnsi="Arial"/>
                <w:sz w:val="16"/>
                <w:szCs w:val="16"/>
                <w:b w:val="1"/>
                <w:bCs w:val="1"/>
                <w:color w:val="auto"/>
              </w:rPr>
              <w:t>627.7</w:t>
            </w:r>
          </w:p>
        </w:tc>
        <w:tc>
          <w:tcPr>
            <w:tcW w:w="16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61"/>
              <w:spacing w:after="0"/>
              <w:rPr>
                <w:sz w:val="20"/>
                <w:szCs w:val="20"/>
                <w:color w:val="auto"/>
              </w:rPr>
            </w:pPr>
            <w:r>
              <w:rPr>
                <w:rFonts w:ascii="Arial" w:cs="Arial" w:eastAsia="Arial" w:hAnsi="Arial"/>
                <w:sz w:val="16"/>
                <w:szCs w:val="16"/>
                <w:b w:val="1"/>
                <w:bCs w:val="1"/>
                <w:color w:val="auto"/>
              </w:rPr>
              <w:t>—</w:t>
            </w:r>
          </w:p>
        </w:tc>
        <w:tc>
          <w:tcPr>
            <w:tcW w:w="22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41"/>
              <w:spacing w:after="0"/>
              <w:rPr>
                <w:sz w:val="20"/>
                <w:szCs w:val="20"/>
                <w:color w:val="auto"/>
              </w:rPr>
            </w:pPr>
            <w:r>
              <w:rPr>
                <w:rFonts w:ascii="Arial" w:cs="Arial" w:eastAsia="Arial" w:hAnsi="Arial"/>
                <w:sz w:val="16"/>
                <w:szCs w:val="16"/>
                <w:b w:val="1"/>
                <w:bCs w:val="1"/>
                <w:color w:val="auto"/>
              </w:rPr>
              <w:t>623.0</w:t>
            </w:r>
          </w:p>
        </w:tc>
        <w:tc>
          <w:tcPr>
            <w:tcW w:w="26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40"/>
              <w:spacing w:after="0"/>
              <w:rPr>
                <w:sz w:val="20"/>
                <w:szCs w:val="20"/>
                <w:color w:val="auto"/>
              </w:rPr>
            </w:pPr>
            <w:r>
              <w:rPr>
                <w:rFonts w:ascii="Arial" w:cs="Arial" w:eastAsia="Arial" w:hAnsi="Arial"/>
                <w:sz w:val="16"/>
                <w:szCs w:val="16"/>
                <w:b w:val="1"/>
                <w:bCs w:val="1"/>
                <w:color w:val="auto"/>
              </w:rPr>
              <w:t>—</w:t>
            </w:r>
          </w:p>
        </w:tc>
        <w:tc>
          <w:tcPr>
            <w:tcW w:w="36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20"/>
              <w:spacing w:after="0"/>
              <w:rPr>
                <w:sz w:val="20"/>
                <w:szCs w:val="20"/>
                <w:color w:val="auto"/>
              </w:rPr>
            </w:pPr>
            <w:r>
              <w:rPr>
                <w:rFonts w:ascii="Arial" w:cs="Arial" w:eastAsia="Arial" w:hAnsi="Arial"/>
                <w:sz w:val="16"/>
                <w:szCs w:val="16"/>
                <w:b w:val="1"/>
                <w:bCs w:val="1"/>
                <w:color w:val="auto"/>
              </w:rPr>
              <w:t>623.0</w:t>
            </w:r>
          </w:p>
        </w:tc>
        <w:tc>
          <w:tcPr>
            <w:tcW w:w="0" w:type="dxa"/>
            <w:vAlign w:val="bottom"/>
          </w:tcPr>
          <w:p>
            <w:pPr>
              <w:spacing w:after="0"/>
              <w:rPr>
                <w:sz w:val="1"/>
                <w:szCs w:val="1"/>
                <w:color w:val="auto"/>
              </w:rPr>
            </w:pPr>
          </w:p>
        </w:tc>
      </w:tr>
      <w:tr>
        <w:trPr>
          <w:trHeight w:val="260"/>
        </w:trPr>
        <w:tc>
          <w:tcPr>
            <w:tcW w:w="3780" w:type="dxa"/>
            <w:vAlign w:val="bottom"/>
          </w:tcPr>
          <w:p>
            <w:pPr>
              <w:ind w:left="180"/>
              <w:spacing w:after="0"/>
              <w:rPr>
                <w:sz w:val="20"/>
                <w:szCs w:val="20"/>
                <w:color w:val="auto"/>
              </w:rPr>
            </w:pPr>
            <w:r>
              <w:rPr>
                <w:rFonts w:ascii="Arial" w:cs="Arial" w:eastAsia="Arial" w:hAnsi="Arial"/>
                <w:sz w:val="16"/>
                <w:szCs w:val="16"/>
                <w:color w:val="auto"/>
              </w:rPr>
              <w:t>Other securities</w:t>
            </w:r>
          </w:p>
        </w:tc>
        <w:tc>
          <w:tcPr>
            <w:tcW w:w="200" w:type="dxa"/>
            <w:vAlign w:val="bottom"/>
          </w:tcPr>
          <w:p>
            <w:pPr>
              <w:spacing w:after="0"/>
              <w:rPr>
                <w:sz w:val="22"/>
                <w:szCs w:val="22"/>
                <w:color w:val="auto"/>
              </w:rPr>
            </w:pPr>
          </w:p>
        </w:tc>
        <w:tc>
          <w:tcPr>
            <w:tcW w:w="1100" w:type="dxa"/>
            <w:vAlign w:val="bottom"/>
          </w:tcPr>
          <w:p>
            <w:pPr>
              <w:jc w:val="right"/>
              <w:ind w:right="180"/>
              <w:spacing w:after="0"/>
              <w:rPr>
                <w:sz w:val="20"/>
                <w:szCs w:val="20"/>
                <w:color w:val="auto"/>
              </w:rPr>
            </w:pPr>
            <w:r>
              <w:rPr>
                <w:rFonts w:ascii="Arial" w:cs="Arial" w:eastAsia="Arial" w:hAnsi="Arial"/>
                <w:sz w:val="16"/>
                <w:szCs w:val="16"/>
                <w:b w:val="1"/>
                <w:bCs w:val="1"/>
                <w:color w:val="auto"/>
              </w:rPr>
              <w:t>133.7</w:t>
            </w:r>
          </w:p>
        </w:tc>
        <w:tc>
          <w:tcPr>
            <w:tcW w:w="220" w:type="dxa"/>
            <w:vAlign w:val="bottom"/>
          </w:tcPr>
          <w:p>
            <w:pPr>
              <w:spacing w:after="0"/>
              <w:rPr>
                <w:sz w:val="22"/>
                <w:szCs w:val="22"/>
                <w:color w:val="auto"/>
              </w:rPr>
            </w:pPr>
          </w:p>
        </w:tc>
        <w:tc>
          <w:tcPr>
            <w:tcW w:w="1020" w:type="dxa"/>
            <w:vAlign w:val="bottom"/>
          </w:tcPr>
          <w:p>
            <w:pPr>
              <w:jc w:val="right"/>
              <w:ind w:right="119"/>
              <w:spacing w:after="0"/>
              <w:rPr>
                <w:sz w:val="20"/>
                <w:szCs w:val="20"/>
                <w:color w:val="auto"/>
              </w:rPr>
            </w:pPr>
            <w:r>
              <w:rPr>
                <w:rFonts w:ascii="Arial" w:cs="Arial" w:eastAsia="Arial" w:hAnsi="Arial"/>
                <w:sz w:val="16"/>
                <w:szCs w:val="16"/>
                <w:b w:val="1"/>
                <w:bCs w:val="1"/>
                <w:color w:val="auto"/>
              </w:rPr>
              <w:t>38.1</w:t>
            </w:r>
          </w:p>
        </w:tc>
        <w:tc>
          <w:tcPr>
            <w:tcW w:w="160" w:type="dxa"/>
            <w:vAlign w:val="bottom"/>
          </w:tcPr>
          <w:p>
            <w:pPr>
              <w:spacing w:after="0"/>
              <w:rPr>
                <w:sz w:val="22"/>
                <w:szCs w:val="22"/>
                <w:color w:val="auto"/>
              </w:rPr>
            </w:pPr>
          </w:p>
        </w:tc>
        <w:tc>
          <w:tcPr>
            <w:tcW w:w="1020" w:type="dxa"/>
            <w:vAlign w:val="bottom"/>
          </w:tcPr>
          <w:p>
            <w:pPr>
              <w:jc w:val="right"/>
              <w:ind w:right="61"/>
              <w:spacing w:after="0"/>
              <w:rPr>
                <w:sz w:val="20"/>
                <w:szCs w:val="20"/>
                <w:color w:val="auto"/>
              </w:rPr>
            </w:pPr>
            <w:r>
              <w:rPr>
                <w:rFonts w:ascii="Arial" w:cs="Arial" w:eastAsia="Arial" w:hAnsi="Arial"/>
                <w:sz w:val="16"/>
                <w:szCs w:val="16"/>
                <w:b w:val="1"/>
                <w:bCs w:val="1"/>
                <w:color w:val="auto"/>
              </w:rPr>
              <w:t>—</w:t>
            </w:r>
          </w:p>
        </w:tc>
        <w:tc>
          <w:tcPr>
            <w:tcW w:w="220" w:type="dxa"/>
            <w:vAlign w:val="bottom"/>
          </w:tcPr>
          <w:p>
            <w:pPr>
              <w:spacing w:after="0"/>
              <w:rPr>
                <w:sz w:val="22"/>
                <w:szCs w:val="22"/>
                <w:color w:val="auto"/>
              </w:rPr>
            </w:pPr>
          </w:p>
        </w:tc>
        <w:tc>
          <w:tcPr>
            <w:tcW w:w="1000" w:type="dxa"/>
            <w:vAlign w:val="bottom"/>
          </w:tcPr>
          <w:p>
            <w:pPr>
              <w:jc w:val="right"/>
              <w:ind w:right="41"/>
              <w:spacing w:after="0"/>
              <w:rPr>
                <w:sz w:val="20"/>
                <w:szCs w:val="20"/>
                <w:color w:val="auto"/>
              </w:rPr>
            </w:pPr>
            <w:r>
              <w:rPr>
                <w:rFonts w:ascii="Arial" w:cs="Arial" w:eastAsia="Arial" w:hAnsi="Arial"/>
                <w:sz w:val="16"/>
                <w:szCs w:val="16"/>
                <w:b w:val="1"/>
                <w:bCs w:val="1"/>
                <w:color w:val="auto"/>
              </w:rPr>
              <w:t>—</w:t>
            </w:r>
          </w:p>
        </w:tc>
        <w:tc>
          <w:tcPr>
            <w:tcW w:w="260" w:type="dxa"/>
            <w:vAlign w:val="bottom"/>
          </w:tcPr>
          <w:p>
            <w:pPr>
              <w:spacing w:after="0"/>
              <w:rPr>
                <w:sz w:val="22"/>
                <w:szCs w:val="22"/>
                <w:color w:val="auto"/>
              </w:rPr>
            </w:pPr>
          </w:p>
        </w:tc>
        <w:tc>
          <w:tcPr>
            <w:tcW w:w="1200" w:type="dxa"/>
            <w:vAlign w:val="bottom"/>
          </w:tcPr>
          <w:p>
            <w:pPr>
              <w:jc w:val="right"/>
              <w:ind w:right="40"/>
              <w:spacing w:after="0"/>
              <w:rPr>
                <w:sz w:val="20"/>
                <w:szCs w:val="20"/>
                <w:color w:val="auto"/>
              </w:rPr>
            </w:pPr>
            <w:r>
              <w:rPr>
                <w:rFonts w:ascii="Arial" w:cs="Arial" w:eastAsia="Arial" w:hAnsi="Arial"/>
                <w:sz w:val="16"/>
                <w:szCs w:val="16"/>
                <w:b w:val="1"/>
                <w:bCs w:val="1"/>
                <w:color w:val="auto"/>
              </w:rPr>
              <w:t>133.7</w:t>
            </w:r>
          </w:p>
        </w:tc>
        <w:tc>
          <w:tcPr>
            <w:tcW w:w="360" w:type="dxa"/>
            <w:vAlign w:val="bottom"/>
          </w:tcPr>
          <w:p>
            <w:pPr>
              <w:spacing w:after="0"/>
              <w:rPr>
                <w:sz w:val="22"/>
                <w:szCs w:val="22"/>
                <w:color w:val="auto"/>
              </w:rPr>
            </w:pPr>
          </w:p>
        </w:tc>
        <w:tc>
          <w:tcPr>
            <w:tcW w:w="880" w:type="dxa"/>
            <w:vAlign w:val="bottom"/>
          </w:tcPr>
          <w:p>
            <w:pPr>
              <w:jc w:val="right"/>
              <w:ind w:right="20"/>
              <w:spacing w:after="0"/>
              <w:rPr>
                <w:sz w:val="20"/>
                <w:szCs w:val="20"/>
                <w:color w:val="auto"/>
              </w:rPr>
            </w:pPr>
            <w:r>
              <w:rPr>
                <w:rFonts w:ascii="Arial" w:cs="Arial" w:eastAsia="Arial" w:hAnsi="Arial"/>
                <w:sz w:val="16"/>
                <w:szCs w:val="16"/>
                <w:b w:val="1"/>
                <w:bCs w:val="1"/>
                <w:color w:val="auto"/>
              </w:rPr>
              <w:t>133.7</w:t>
            </w:r>
          </w:p>
        </w:tc>
        <w:tc>
          <w:tcPr>
            <w:tcW w:w="0" w:type="dxa"/>
            <w:vAlign w:val="bottom"/>
          </w:tcPr>
          <w:p>
            <w:pPr>
              <w:spacing w:after="0"/>
              <w:rPr>
                <w:sz w:val="1"/>
                <w:szCs w:val="1"/>
                <w:color w:val="auto"/>
              </w:rPr>
            </w:pPr>
          </w:p>
        </w:tc>
      </w:tr>
      <w:tr>
        <w:trPr>
          <w:trHeight w:val="280"/>
        </w:trPr>
        <w:tc>
          <w:tcPr>
            <w:tcW w:w="37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Marketable equity securities</w:t>
            </w:r>
          </w:p>
        </w:tc>
        <w:tc>
          <w:tcPr>
            <w:tcW w:w="20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180"/>
              <w:spacing w:after="0"/>
              <w:rPr>
                <w:sz w:val="20"/>
                <w:szCs w:val="20"/>
                <w:color w:val="auto"/>
              </w:rPr>
            </w:pPr>
            <w:r>
              <w:rPr>
                <w:rFonts w:ascii="Arial" w:cs="Arial" w:eastAsia="Arial" w:hAnsi="Arial"/>
                <w:sz w:val="16"/>
                <w:szCs w:val="16"/>
                <w:b w:val="1"/>
                <w:bCs w:val="1"/>
                <w:color w:val="auto"/>
              </w:rPr>
              <w:t>300.9</w:t>
            </w:r>
          </w:p>
        </w:tc>
        <w:tc>
          <w:tcPr>
            <w:tcW w:w="22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119"/>
              <w:spacing w:after="0"/>
              <w:rPr>
                <w:sz w:val="20"/>
                <w:szCs w:val="20"/>
                <w:color w:val="auto"/>
              </w:rPr>
            </w:pPr>
            <w:r>
              <w:rPr>
                <w:rFonts w:ascii="Arial" w:cs="Arial" w:eastAsia="Arial" w:hAnsi="Arial"/>
                <w:sz w:val="16"/>
                <w:szCs w:val="16"/>
                <w:b w:val="1"/>
                <w:bCs w:val="1"/>
                <w:color w:val="auto"/>
              </w:rPr>
              <w:t>131.0</w:t>
            </w:r>
          </w:p>
        </w:tc>
        <w:tc>
          <w:tcPr>
            <w:tcW w:w="16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61"/>
              <w:spacing w:after="0"/>
              <w:rPr>
                <w:sz w:val="20"/>
                <w:szCs w:val="20"/>
                <w:color w:val="auto"/>
              </w:rPr>
            </w:pPr>
            <w:r>
              <w:rPr>
                <w:rFonts w:ascii="Arial" w:cs="Arial" w:eastAsia="Arial" w:hAnsi="Arial"/>
                <w:sz w:val="16"/>
                <w:szCs w:val="16"/>
                <w:b w:val="1"/>
                <w:bCs w:val="1"/>
                <w:color w:val="auto"/>
              </w:rPr>
              <w:t>300.9</w:t>
            </w:r>
          </w:p>
        </w:tc>
        <w:tc>
          <w:tcPr>
            <w:tcW w:w="22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41"/>
              <w:spacing w:after="0"/>
              <w:rPr>
                <w:sz w:val="20"/>
                <w:szCs w:val="20"/>
                <w:color w:val="auto"/>
              </w:rPr>
            </w:pPr>
            <w:r>
              <w:rPr>
                <w:rFonts w:ascii="Arial" w:cs="Arial" w:eastAsia="Arial" w:hAnsi="Arial"/>
                <w:sz w:val="16"/>
                <w:szCs w:val="16"/>
                <w:b w:val="1"/>
                <w:bCs w:val="1"/>
                <w:color w:val="auto"/>
              </w:rPr>
              <w:t>—</w:t>
            </w:r>
          </w:p>
        </w:tc>
        <w:tc>
          <w:tcPr>
            <w:tcW w:w="26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40"/>
              <w:spacing w:after="0"/>
              <w:rPr>
                <w:sz w:val="20"/>
                <w:szCs w:val="20"/>
                <w:color w:val="auto"/>
              </w:rPr>
            </w:pPr>
            <w:r>
              <w:rPr>
                <w:rFonts w:ascii="Arial" w:cs="Arial" w:eastAsia="Arial" w:hAnsi="Arial"/>
                <w:sz w:val="16"/>
                <w:szCs w:val="16"/>
                <w:b w:val="1"/>
                <w:bCs w:val="1"/>
                <w:color w:val="auto"/>
              </w:rPr>
              <w:t>—</w:t>
            </w:r>
          </w:p>
        </w:tc>
        <w:tc>
          <w:tcPr>
            <w:tcW w:w="36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20"/>
              <w:spacing w:after="0"/>
              <w:rPr>
                <w:sz w:val="20"/>
                <w:szCs w:val="20"/>
                <w:color w:val="auto"/>
              </w:rPr>
            </w:pPr>
            <w:r>
              <w:rPr>
                <w:rFonts w:ascii="Arial" w:cs="Arial" w:eastAsia="Arial" w:hAnsi="Arial"/>
                <w:sz w:val="16"/>
                <w:szCs w:val="16"/>
                <w:b w:val="1"/>
                <w:bCs w:val="1"/>
                <w:color w:val="auto"/>
              </w:rPr>
              <w:t>300.9</w:t>
            </w:r>
          </w:p>
        </w:tc>
        <w:tc>
          <w:tcPr>
            <w:tcW w:w="0" w:type="dxa"/>
            <w:vAlign w:val="bottom"/>
          </w:tcPr>
          <w:p>
            <w:pPr>
              <w:spacing w:after="0"/>
              <w:rPr>
                <w:sz w:val="1"/>
                <w:szCs w:val="1"/>
                <w:color w:val="auto"/>
              </w:rPr>
            </w:pPr>
          </w:p>
        </w:tc>
      </w:tr>
      <w:tr>
        <w:trPr>
          <w:trHeight w:val="213"/>
        </w:trPr>
        <w:tc>
          <w:tcPr>
            <w:tcW w:w="3780" w:type="dxa"/>
            <w:vAlign w:val="bottom"/>
          </w:tcPr>
          <w:p>
            <w:pPr>
              <w:ind w:left="180"/>
              <w:spacing w:after="0"/>
              <w:rPr>
                <w:sz w:val="20"/>
                <w:szCs w:val="20"/>
                <w:color w:val="auto"/>
              </w:rPr>
            </w:pPr>
            <w:r>
              <w:rPr>
                <w:rFonts w:ascii="Arial" w:cs="Arial" w:eastAsia="Arial" w:hAnsi="Arial"/>
                <w:sz w:val="16"/>
                <w:szCs w:val="16"/>
                <w:color w:val="auto"/>
              </w:rPr>
              <w:t>Equity investments without readily determinable</w:t>
            </w:r>
          </w:p>
        </w:tc>
        <w:tc>
          <w:tcPr>
            <w:tcW w:w="200" w:type="dxa"/>
            <w:vAlign w:val="bottom"/>
          </w:tcPr>
          <w:p>
            <w:pPr>
              <w:spacing w:after="0"/>
              <w:rPr>
                <w:sz w:val="18"/>
                <w:szCs w:val="18"/>
                <w:color w:val="auto"/>
              </w:rPr>
            </w:pPr>
          </w:p>
        </w:tc>
        <w:tc>
          <w:tcPr>
            <w:tcW w:w="1100" w:type="dxa"/>
            <w:vAlign w:val="bottom"/>
            <w:vMerge w:val="restart"/>
          </w:tcPr>
          <w:p>
            <w:pPr>
              <w:jc w:val="right"/>
              <w:ind w:right="180"/>
              <w:spacing w:after="0"/>
              <w:rPr>
                <w:sz w:val="20"/>
                <w:szCs w:val="20"/>
                <w:color w:val="auto"/>
              </w:rPr>
            </w:pPr>
            <w:r>
              <w:rPr>
                <w:rFonts w:ascii="Arial" w:cs="Arial" w:eastAsia="Arial" w:hAnsi="Arial"/>
                <w:sz w:val="16"/>
                <w:szCs w:val="16"/>
                <w:b w:val="1"/>
                <w:bCs w:val="1"/>
                <w:color w:val="auto"/>
              </w:rPr>
              <w:t>355.6</w:t>
            </w: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780" w:type="dxa"/>
            <w:vAlign w:val="bottom"/>
          </w:tcPr>
          <w:p>
            <w:pPr>
              <w:ind w:left="180"/>
              <w:spacing w:after="0" w:line="219" w:lineRule="exact"/>
              <w:rPr>
                <w:sz w:val="20"/>
                <w:szCs w:val="20"/>
                <w:color w:val="auto"/>
              </w:rPr>
            </w:pPr>
            <w:r>
              <w:rPr>
                <w:rFonts w:ascii="Arial" w:cs="Arial" w:eastAsia="Arial" w:hAnsi="Arial"/>
                <w:sz w:val="16"/>
                <w:szCs w:val="16"/>
                <w:color w:val="auto"/>
              </w:rPr>
              <w:t xml:space="preserve">fair values </w:t>
            </w:r>
            <w:r>
              <w:rPr>
                <w:rFonts w:ascii="Arial" w:cs="Arial" w:eastAsia="Arial" w:hAnsi="Arial"/>
                <w:sz w:val="21"/>
                <w:szCs w:val="21"/>
                <w:color w:val="auto"/>
                <w:vertAlign w:val="superscript"/>
              </w:rPr>
              <w:t>(2)</w:t>
            </w:r>
          </w:p>
        </w:tc>
        <w:tc>
          <w:tcPr>
            <w:tcW w:w="200" w:type="dxa"/>
            <w:vAlign w:val="bottom"/>
          </w:tcPr>
          <w:p>
            <w:pPr>
              <w:spacing w:after="0"/>
              <w:rPr>
                <w:sz w:val="19"/>
                <w:szCs w:val="19"/>
                <w:color w:val="auto"/>
              </w:rPr>
            </w:pPr>
          </w:p>
        </w:tc>
        <w:tc>
          <w:tcPr>
            <w:tcW w:w="1100" w:type="dxa"/>
            <w:vAlign w:val="bottom"/>
            <w:vMerge w:val="continue"/>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37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 xml:space="preserve">Equity method investments </w:t>
            </w:r>
            <w:r>
              <w:rPr>
                <w:rFonts w:ascii="Arial" w:cs="Arial" w:eastAsia="Arial" w:hAnsi="Arial"/>
                <w:sz w:val="21"/>
                <w:szCs w:val="21"/>
                <w:color w:val="auto"/>
                <w:vertAlign w:val="superscript"/>
              </w:rPr>
              <w:t>(2)</w:t>
            </w:r>
          </w:p>
        </w:tc>
        <w:tc>
          <w:tcPr>
            <w:tcW w:w="20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ind w:right="180"/>
              <w:spacing w:after="0"/>
              <w:rPr>
                <w:sz w:val="20"/>
                <w:szCs w:val="20"/>
                <w:color w:val="auto"/>
              </w:rPr>
            </w:pPr>
            <w:r>
              <w:rPr>
                <w:rFonts w:ascii="Arial" w:cs="Arial" w:eastAsia="Arial" w:hAnsi="Arial"/>
                <w:sz w:val="16"/>
                <w:szCs w:val="16"/>
                <w:b w:val="1"/>
                <w:bCs w:val="1"/>
                <w:color w:val="auto"/>
              </w:rPr>
              <w:t>238.7</w:t>
            </w:r>
          </w:p>
        </w:tc>
        <w:tc>
          <w:tcPr>
            <w:tcW w:w="22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71"/>
        </w:trPr>
        <w:tc>
          <w:tcPr>
            <w:tcW w:w="378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Noncurrent investments</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100" w:type="dxa"/>
            <w:vAlign w:val="bottom"/>
            <w:tcBorders>
              <w:bottom w:val="single" w:sz="8" w:color="auto"/>
            </w:tcBorders>
          </w:tcPr>
          <w:p>
            <w:pPr>
              <w:jc w:val="right"/>
              <w:ind w:right="180"/>
              <w:spacing w:after="0"/>
              <w:rPr>
                <w:sz w:val="20"/>
                <w:szCs w:val="20"/>
                <w:color w:val="auto"/>
              </w:rPr>
            </w:pPr>
            <w:r>
              <w:rPr>
                <w:rFonts w:ascii="Arial" w:cs="Arial" w:eastAsia="Arial" w:hAnsi="Arial"/>
                <w:sz w:val="16"/>
                <w:szCs w:val="16"/>
                <w:b w:val="1"/>
                <w:bCs w:val="1"/>
                <w:color w:val="auto"/>
              </w:rPr>
              <w:t>5,375.1</w:t>
            </w:r>
          </w:p>
        </w:tc>
        <w:tc>
          <w:tcPr>
            <w:tcW w:w="220" w:type="dxa"/>
            <w:vAlign w:val="bottom"/>
            <w:tcBorders>
              <w:bottom w:val="single" w:sz="8" w:color="CCEEFF"/>
            </w:tcBorders>
          </w:tcPr>
          <w:p>
            <w:pPr>
              <w:spacing w:after="0"/>
              <w:rPr>
                <w:sz w:val="23"/>
                <w:szCs w:val="23"/>
                <w:color w:val="auto"/>
              </w:rPr>
            </w:pPr>
          </w:p>
        </w:tc>
        <w:tc>
          <w:tcPr>
            <w:tcW w:w="1020" w:type="dxa"/>
            <w:vAlign w:val="bottom"/>
            <w:tcBorders>
              <w:bottom w:val="single" w:sz="8" w:color="CCEEFF"/>
            </w:tcBorders>
          </w:tcPr>
          <w:p>
            <w:pPr>
              <w:spacing w:after="0"/>
              <w:rPr>
                <w:sz w:val="23"/>
                <w:szCs w:val="23"/>
                <w:color w:val="auto"/>
              </w:rPr>
            </w:pPr>
          </w:p>
        </w:tc>
        <w:tc>
          <w:tcPr>
            <w:tcW w:w="160" w:type="dxa"/>
            <w:vAlign w:val="bottom"/>
            <w:tcBorders>
              <w:bottom w:val="single" w:sz="8" w:color="CCEEFF"/>
            </w:tcBorders>
          </w:tcPr>
          <w:p>
            <w:pPr>
              <w:spacing w:after="0"/>
              <w:rPr>
                <w:sz w:val="23"/>
                <w:szCs w:val="23"/>
                <w:color w:val="auto"/>
              </w:rPr>
            </w:pPr>
          </w:p>
        </w:tc>
        <w:tc>
          <w:tcPr>
            <w:tcW w:w="1020" w:type="dxa"/>
            <w:vAlign w:val="bottom"/>
            <w:tcBorders>
              <w:bottom w:val="single" w:sz="8" w:color="CCEEFF"/>
            </w:tcBorders>
          </w:tcPr>
          <w:p>
            <w:pPr>
              <w:spacing w:after="0"/>
              <w:rPr>
                <w:sz w:val="23"/>
                <w:szCs w:val="23"/>
                <w:color w:val="auto"/>
              </w:rPr>
            </w:pPr>
          </w:p>
        </w:tc>
        <w:tc>
          <w:tcPr>
            <w:tcW w:w="220" w:type="dxa"/>
            <w:vAlign w:val="bottom"/>
            <w:tcBorders>
              <w:bottom w:val="single" w:sz="8" w:color="CCEEFF"/>
            </w:tcBorders>
          </w:tcPr>
          <w:p>
            <w:pPr>
              <w:spacing w:after="0"/>
              <w:rPr>
                <w:sz w:val="23"/>
                <w:szCs w:val="23"/>
                <w:color w:val="auto"/>
              </w:rPr>
            </w:pPr>
          </w:p>
        </w:tc>
        <w:tc>
          <w:tcPr>
            <w:tcW w:w="1000" w:type="dxa"/>
            <w:vAlign w:val="bottom"/>
            <w:tcBorders>
              <w:bottom w:val="single" w:sz="8" w:color="CCEEFF"/>
            </w:tcBorders>
          </w:tcPr>
          <w:p>
            <w:pPr>
              <w:spacing w:after="0"/>
              <w:rPr>
                <w:sz w:val="23"/>
                <w:szCs w:val="23"/>
                <w:color w:val="auto"/>
              </w:rPr>
            </w:pPr>
          </w:p>
        </w:tc>
        <w:tc>
          <w:tcPr>
            <w:tcW w:w="260" w:type="dxa"/>
            <w:vAlign w:val="bottom"/>
            <w:tcBorders>
              <w:bottom w:val="single" w:sz="8" w:color="CCEEFF"/>
            </w:tcBorders>
          </w:tcPr>
          <w:p>
            <w:pPr>
              <w:spacing w:after="0"/>
              <w:rPr>
                <w:sz w:val="23"/>
                <w:szCs w:val="23"/>
                <w:color w:val="auto"/>
              </w:rPr>
            </w:pPr>
          </w:p>
        </w:tc>
        <w:tc>
          <w:tcPr>
            <w:tcW w:w="1200" w:type="dxa"/>
            <w:vAlign w:val="bottom"/>
            <w:tcBorders>
              <w:bottom w:val="single" w:sz="8" w:color="CCEEFF"/>
            </w:tcBorders>
          </w:tcPr>
          <w:p>
            <w:pPr>
              <w:spacing w:after="0"/>
              <w:rPr>
                <w:sz w:val="23"/>
                <w:szCs w:val="23"/>
                <w:color w:val="auto"/>
              </w:rPr>
            </w:pPr>
          </w:p>
        </w:tc>
        <w:tc>
          <w:tcPr>
            <w:tcW w:w="360" w:type="dxa"/>
            <w:vAlign w:val="bottom"/>
            <w:tcBorders>
              <w:bottom w:val="single" w:sz="8" w:color="CCEEFF"/>
            </w:tcBorders>
          </w:tcPr>
          <w:p>
            <w:pPr>
              <w:spacing w:after="0"/>
              <w:rPr>
                <w:sz w:val="23"/>
                <w:szCs w:val="23"/>
                <w:color w:val="auto"/>
              </w:rPr>
            </w:pPr>
          </w:p>
        </w:tc>
        <w:tc>
          <w:tcPr>
            <w:tcW w:w="880" w:type="dxa"/>
            <w:vAlign w:val="bottom"/>
            <w:tcBorders>
              <w:bottom w:val="single" w:sz="8" w:color="CCEEFF"/>
            </w:tcBorders>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37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60"/>
        </w:trPr>
        <w:tc>
          <w:tcPr>
            <w:tcW w:w="3780" w:type="dxa"/>
            <w:vAlign w:val="bottom"/>
          </w:tcPr>
          <w:p>
            <w:pPr>
              <w:ind w:left="40"/>
              <w:spacing w:after="0"/>
              <w:rPr>
                <w:sz w:val="20"/>
                <w:szCs w:val="20"/>
                <w:color w:val="auto"/>
              </w:rPr>
            </w:pPr>
            <w:r>
              <w:rPr>
                <w:rFonts w:ascii="Arial" w:cs="Arial" w:eastAsia="Arial" w:hAnsi="Arial"/>
                <w:sz w:val="16"/>
                <w:szCs w:val="16"/>
                <w:b w:val="1"/>
                <w:bCs w:val="1"/>
                <w:color w:val="auto"/>
              </w:rPr>
              <w:t>December 31, 2017</w:t>
            </w:r>
          </w:p>
        </w:tc>
        <w:tc>
          <w:tcPr>
            <w:tcW w:w="20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7"/>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equivalents</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shd w:val="clear" w:color="auto" w:fill="CCEEFF"/>
          </w:tcPr>
          <w:p>
            <w:pPr>
              <w:jc w:val="right"/>
              <w:ind w:right="180"/>
              <w:spacing w:after="0"/>
              <w:rPr>
                <w:sz w:val="20"/>
                <w:szCs w:val="20"/>
                <w:color w:val="auto"/>
              </w:rPr>
            </w:pPr>
            <w:r>
              <w:rPr>
                <w:rFonts w:ascii="Arial" w:cs="Arial" w:eastAsia="Arial" w:hAnsi="Arial"/>
                <w:sz w:val="16"/>
                <w:szCs w:val="16"/>
                <w:color w:val="auto"/>
              </w:rPr>
              <w:t>4,763.9</w:t>
            </w: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4,763.9</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4,712.4</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51.5</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4,763.9</w:t>
            </w:r>
          </w:p>
        </w:tc>
        <w:tc>
          <w:tcPr>
            <w:tcW w:w="0" w:type="dxa"/>
            <w:vAlign w:val="bottom"/>
          </w:tcPr>
          <w:p>
            <w:pPr>
              <w:spacing w:after="0"/>
              <w:rPr>
                <w:sz w:val="1"/>
                <w:szCs w:val="1"/>
                <w:color w:val="auto"/>
              </w:rPr>
            </w:pPr>
          </w:p>
        </w:tc>
      </w:tr>
      <w:tr>
        <w:trPr>
          <w:trHeight w:val="176"/>
        </w:trPr>
        <w:tc>
          <w:tcPr>
            <w:tcW w:w="37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0"/>
        </w:trPr>
        <w:tc>
          <w:tcPr>
            <w:tcW w:w="3780" w:type="dxa"/>
            <w:vAlign w:val="bottom"/>
            <w:shd w:val="clear" w:color="auto" w:fill="CCEEFF"/>
          </w:tcPr>
          <w:p>
            <w:pPr>
              <w:ind w:left="40"/>
              <w:spacing w:after="0"/>
              <w:rPr>
                <w:sz w:val="20"/>
                <w:szCs w:val="20"/>
                <w:color w:val="auto"/>
              </w:rPr>
            </w:pPr>
            <w:r>
              <w:rPr>
                <w:rFonts w:ascii="Arial" w:cs="Arial" w:eastAsia="Arial" w:hAnsi="Arial"/>
                <w:sz w:val="16"/>
                <w:szCs w:val="16"/>
                <w:color w:val="auto"/>
              </w:rPr>
              <w:t>Short-term investments:</w:t>
            </w:r>
          </w:p>
        </w:tc>
        <w:tc>
          <w:tcPr>
            <w:tcW w:w="20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0"/>
        </w:trPr>
        <w:tc>
          <w:tcPr>
            <w:tcW w:w="3780" w:type="dxa"/>
            <w:vAlign w:val="bottom"/>
          </w:tcPr>
          <w:p>
            <w:pPr>
              <w:ind w:left="180"/>
              <w:spacing w:after="0"/>
              <w:rPr>
                <w:sz w:val="20"/>
                <w:szCs w:val="20"/>
                <w:color w:val="auto"/>
              </w:rPr>
            </w:pPr>
            <w:r>
              <w:rPr>
                <w:rFonts w:ascii="Arial" w:cs="Arial" w:eastAsia="Arial" w:hAnsi="Arial"/>
                <w:sz w:val="16"/>
                <w:szCs w:val="16"/>
                <w:color w:val="auto"/>
              </w:rPr>
              <w:t>U.S. government and agency securities</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180"/>
              <w:spacing w:after="0"/>
              <w:rPr>
                <w:sz w:val="20"/>
                <w:szCs w:val="20"/>
                <w:color w:val="auto"/>
              </w:rPr>
            </w:pPr>
            <w:r>
              <w:rPr>
                <w:rFonts w:ascii="Arial" w:cs="Arial" w:eastAsia="Arial" w:hAnsi="Arial"/>
                <w:sz w:val="16"/>
                <w:szCs w:val="16"/>
                <w:color w:val="auto"/>
              </w:rPr>
              <w:t>217.8</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ind w:right="119"/>
              <w:spacing w:after="0"/>
              <w:rPr>
                <w:sz w:val="20"/>
                <w:szCs w:val="20"/>
                <w:color w:val="auto"/>
              </w:rPr>
            </w:pPr>
            <w:r>
              <w:rPr>
                <w:rFonts w:ascii="Arial" w:cs="Arial" w:eastAsia="Arial" w:hAnsi="Arial"/>
                <w:sz w:val="16"/>
                <w:szCs w:val="16"/>
                <w:color w:val="auto"/>
              </w:rPr>
              <w:t>218.2</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61"/>
              <w:spacing w:after="0"/>
              <w:rPr>
                <w:sz w:val="20"/>
                <w:szCs w:val="20"/>
                <w:color w:val="auto"/>
              </w:rPr>
            </w:pPr>
            <w:r>
              <w:rPr>
                <w:rFonts w:ascii="Arial" w:cs="Arial" w:eastAsia="Arial" w:hAnsi="Arial"/>
                <w:sz w:val="16"/>
                <w:szCs w:val="16"/>
                <w:color w:val="auto"/>
              </w:rPr>
              <w:t>217.8</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41"/>
              <w:spacing w:after="0"/>
              <w:rPr>
                <w:sz w:val="20"/>
                <w:szCs w:val="20"/>
                <w:color w:val="auto"/>
              </w:rPr>
            </w:pPr>
            <w:r>
              <w:rPr>
                <w:rFonts w:ascii="Arial" w:cs="Arial" w:eastAsia="Arial" w:hAnsi="Arial"/>
                <w:sz w:val="16"/>
                <w:szCs w:val="16"/>
                <w:color w:val="auto"/>
              </w:rPr>
              <w:t>—</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3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20"/>
              <w:spacing w:after="0"/>
              <w:rPr>
                <w:sz w:val="20"/>
                <w:szCs w:val="20"/>
                <w:color w:val="auto"/>
              </w:rPr>
            </w:pPr>
            <w:r>
              <w:rPr>
                <w:rFonts w:ascii="Arial" w:cs="Arial" w:eastAsia="Arial" w:hAnsi="Arial"/>
                <w:sz w:val="16"/>
                <w:szCs w:val="16"/>
                <w:color w:val="auto"/>
              </w:rPr>
              <w:t>217.8</w:t>
            </w:r>
          </w:p>
        </w:tc>
        <w:tc>
          <w:tcPr>
            <w:tcW w:w="0" w:type="dxa"/>
            <w:vAlign w:val="bottom"/>
          </w:tcPr>
          <w:p>
            <w:pPr>
              <w:spacing w:after="0"/>
              <w:rPr>
                <w:sz w:val="1"/>
                <w:szCs w:val="1"/>
                <w:color w:val="auto"/>
              </w:rPr>
            </w:pPr>
          </w:p>
        </w:tc>
      </w:tr>
      <w:tr>
        <w:trPr>
          <w:trHeight w:val="280"/>
        </w:trPr>
        <w:tc>
          <w:tcPr>
            <w:tcW w:w="37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Corporate debt securities</w:t>
            </w:r>
          </w:p>
        </w:tc>
        <w:tc>
          <w:tcPr>
            <w:tcW w:w="20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180"/>
              <w:spacing w:after="0"/>
              <w:rPr>
                <w:sz w:val="20"/>
                <w:szCs w:val="20"/>
                <w:color w:val="auto"/>
              </w:rPr>
            </w:pPr>
            <w:r>
              <w:rPr>
                <w:rFonts w:ascii="Arial" w:cs="Arial" w:eastAsia="Arial" w:hAnsi="Arial"/>
                <w:sz w:val="16"/>
                <w:szCs w:val="16"/>
                <w:color w:val="auto"/>
              </w:rPr>
              <w:t>1,182.3</w:t>
            </w:r>
          </w:p>
        </w:tc>
        <w:tc>
          <w:tcPr>
            <w:tcW w:w="22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1,183.2</w:t>
            </w:r>
          </w:p>
        </w:tc>
        <w:tc>
          <w:tcPr>
            <w:tcW w:w="16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1,182.3</w:t>
            </w:r>
          </w:p>
        </w:tc>
        <w:tc>
          <w:tcPr>
            <w:tcW w:w="26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1,182.3</w:t>
            </w:r>
          </w:p>
        </w:tc>
        <w:tc>
          <w:tcPr>
            <w:tcW w:w="0" w:type="dxa"/>
            <w:vAlign w:val="bottom"/>
          </w:tcPr>
          <w:p>
            <w:pPr>
              <w:spacing w:after="0"/>
              <w:rPr>
                <w:sz w:val="1"/>
                <w:szCs w:val="1"/>
                <w:color w:val="auto"/>
              </w:rPr>
            </w:pPr>
          </w:p>
        </w:tc>
      </w:tr>
      <w:tr>
        <w:trPr>
          <w:trHeight w:val="260"/>
        </w:trPr>
        <w:tc>
          <w:tcPr>
            <w:tcW w:w="3780" w:type="dxa"/>
            <w:vAlign w:val="bottom"/>
          </w:tcPr>
          <w:p>
            <w:pPr>
              <w:ind w:left="180"/>
              <w:spacing w:after="0"/>
              <w:rPr>
                <w:sz w:val="20"/>
                <w:szCs w:val="20"/>
                <w:color w:val="auto"/>
              </w:rPr>
            </w:pPr>
            <w:r>
              <w:rPr>
                <w:rFonts w:ascii="Arial" w:cs="Arial" w:eastAsia="Arial" w:hAnsi="Arial"/>
                <w:sz w:val="16"/>
                <w:szCs w:val="16"/>
                <w:color w:val="auto"/>
              </w:rPr>
              <w:t>Asset-backed securities</w:t>
            </w:r>
          </w:p>
        </w:tc>
        <w:tc>
          <w:tcPr>
            <w:tcW w:w="200" w:type="dxa"/>
            <w:vAlign w:val="bottom"/>
          </w:tcPr>
          <w:p>
            <w:pPr>
              <w:spacing w:after="0"/>
              <w:rPr>
                <w:sz w:val="22"/>
                <w:szCs w:val="22"/>
                <w:color w:val="auto"/>
              </w:rPr>
            </w:pPr>
          </w:p>
        </w:tc>
        <w:tc>
          <w:tcPr>
            <w:tcW w:w="1100" w:type="dxa"/>
            <w:vAlign w:val="bottom"/>
          </w:tcPr>
          <w:p>
            <w:pPr>
              <w:jc w:val="right"/>
              <w:ind w:right="180"/>
              <w:spacing w:after="0"/>
              <w:rPr>
                <w:sz w:val="20"/>
                <w:szCs w:val="20"/>
                <w:color w:val="auto"/>
              </w:rPr>
            </w:pPr>
            <w:r>
              <w:rPr>
                <w:rFonts w:ascii="Arial" w:cs="Arial" w:eastAsia="Arial" w:hAnsi="Arial"/>
                <w:sz w:val="16"/>
                <w:szCs w:val="16"/>
                <w:color w:val="auto"/>
              </w:rPr>
              <w:t>94.2</w:t>
            </w:r>
          </w:p>
        </w:tc>
        <w:tc>
          <w:tcPr>
            <w:tcW w:w="220" w:type="dxa"/>
            <w:vAlign w:val="bottom"/>
          </w:tcPr>
          <w:p>
            <w:pPr>
              <w:spacing w:after="0"/>
              <w:rPr>
                <w:sz w:val="22"/>
                <w:szCs w:val="22"/>
                <w:color w:val="auto"/>
              </w:rPr>
            </w:pPr>
          </w:p>
        </w:tc>
        <w:tc>
          <w:tcPr>
            <w:tcW w:w="1020" w:type="dxa"/>
            <w:vAlign w:val="bottom"/>
          </w:tcPr>
          <w:p>
            <w:pPr>
              <w:jc w:val="right"/>
              <w:ind w:right="119"/>
              <w:spacing w:after="0"/>
              <w:rPr>
                <w:sz w:val="20"/>
                <w:szCs w:val="20"/>
                <w:color w:val="auto"/>
              </w:rPr>
            </w:pPr>
            <w:r>
              <w:rPr>
                <w:rFonts w:ascii="Arial" w:cs="Arial" w:eastAsia="Arial" w:hAnsi="Arial"/>
                <w:sz w:val="16"/>
                <w:szCs w:val="16"/>
                <w:color w:val="auto"/>
              </w:rPr>
              <w:t>94.3</w:t>
            </w:r>
          </w:p>
        </w:tc>
        <w:tc>
          <w:tcPr>
            <w:tcW w:w="160" w:type="dxa"/>
            <w:vAlign w:val="bottom"/>
          </w:tcPr>
          <w:p>
            <w:pPr>
              <w:spacing w:after="0"/>
              <w:rPr>
                <w:sz w:val="22"/>
                <w:szCs w:val="22"/>
                <w:color w:val="auto"/>
              </w:rPr>
            </w:pPr>
          </w:p>
        </w:tc>
        <w:tc>
          <w:tcPr>
            <w:tcW w:w="1020" w:type="dxa"/>
            <w:vAlign w:val="bottom"/>
          </w:tcPr>
          <w:p>
            <w:pPr>
              <w:jc w:val="right"/>
              <w:ind w:right="61"/>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2"/>
                <w:szCs w:val="22"/>
                <w:color w:val="auto"/>
              </w:rPr>
            </w:pPr>
          </w:p>
        </w:tc>
        <w:tc>
          <w:tcPr>
            <w:tcW w:w="1000" w:type="dxa"/>
            <w:vAlign w:val="bottom"/>
          </w:tcPr>
          <w:p>
            <w:pPr>
              <w:jc w:val="right"/>
              <w:ind w:right="41"/>
              <w:spacing w:after="0"/>
              <w:rPr>
                <w:sz w:val="20"/>
                <w:szCs w:val="20"/>
                <w:color w:val="auto"/>
              </w:rPr>
            </w:pPr>
            <w:r>
              <w:rPr>
                <w:rFonts w:ascii="Arial" w:cs="Arial" w:eastAsia="Arial" w:hAnsi="Arial"/>
                <w:sz w:val="16"/>
                <w:szCs w:val="16"/>
                <w:color w:val="auto"/>
              </w:rPr>
              <w:t>94.2</w:t>
            </w:r>
          </w:p>
        </w:tc>
        <w:tc>
          <w:tcPr>
            <w:tcW w:w="260" w:type="dxa"/>
            <w:vAlign w:val="bottom"/>
          </w:tcPr>
          <w:p>
            <w:pPr>
              <w:spacing w:after="0"/>
              <w:rPr>
                <w:sz w:val="22"/>
                <w:szCs w:val="22"/>
                <w:color w:val="auto"/>
              </w:rPr>
            </w:pPr>
          </w:p>
        </w:tc>
        <w:tc>
          <w:tcPr>
            <w:tcW w:w="120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22"/>
                <w:szCs w:val="22"/>
                <w:color w:val="auto"/>
              </w:rPr>
            </w:pPr>
          </w:p>
        </w:tc>
        <w:tc>
          <w:tcPr>
            <w:tcW w:w="880" w:type="dxa"/>
            <w:vAlign w:val="bottom"/>
          </w:tcPr>
          <w:p>
            <w:pPr>
              <w:jc w:val="right"/>
              <w:ind w:right="20"/>
              <w:spacing w:after="0"/>
              <w:rPr>
                <w:sz w:val="20"/>
                <w:szCs w:val="20"/>
                <w:color w:val="auto"/>
              </w:rPr>
            </w:pPr>
            <w:r>
              <w:rPr>
                <w:rFonts w:ascii="Arial" w:cs="Arial" w:eastAsia="Arial" w:hAnsi="Arial"/>
                <w:sz w:val="16"/>
                <w:szCs w:val="16"/>
                <w:color w:val="auto"/>
              </w:rPr>
              <w:t>94.2</w:t>
            </w:r>
          </w:p>
        </w:tc>
        <w:tc>
          <w:tcPr>
            <w:tcW w:w="0" w:type="dxa"/>
            <w:vAlign w:val="bottom"/>
          </w:tcPr>
          <w:p>
            <w:pPr>
              <w:spacing w:after="0"/>
              <w:rPr>
                <w:sz w:val="1"/>
                <w:szCs w:val="1"/>
                <w:color w:val="auto"/>
              </w:rPr>
            </w:pPr>
          </w:p>
        </w:tc>
      </w:tr>
      <w:tr>
        <w:trPr>
          <w:trHeight w:val="273"/>
        </w:trPr>
        <w:tc>
          <w:tcPr>
            <w:tcW w:w="37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Other securities</w:t>
            </w:r>
          </w:p>
        </w:tc>
        <w:tc>
          <w:tcPr>
            <w:tcW w:w="20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ind w:right="180"/>
              <w:spacing w:after="0"/>
              <w:rPr>
                <w:sz w:val="20"/>
                <w:szCs w:val="20"/>
                <w:color w:val="auto"/>
              </w:rPr>
            </w:pPr>
            <w:r>
              <w:rPr>
                <w:rFonts w:ascii="Arial" w:cs="Arial" w:eastAsia="Arial" w:hAnsi="Arial"/>
                <w:sz w:val="16"/>
                <w:szCs w:val="16"/>
                <w:color w:val="auto"/>
              </w:rPr>
              <w:t>3.6</w:t>
            </w:r>
          </w:p>
        </w:tc>
        <w:tc>
          <w:tcPr>
            <w:tcW w:w="22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3.6</w:t>
            </w:r>
          </w:p>
        </w:tc>
        <w:tc>
          <w:tcPr>
            <w:tcW w:w="16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3.6</w:t>
            </w:r>
          </w:p>
        </w:tc>
        <w:tc>
          <w:tcPr>
            <w:tcW w:w="26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3.6</w:t>
            </w:r>
          </w:p>
        </w:tc>
        <w:tc>
          <w:tcPr>
            <w:tcW w:w="0" w:type="dxa"/>
            <w:vAlign w:val="bottom"/>
          </w:tcPr>
          <w:p>
            <w:pPr>
              <w:spacing w:after="0"/>
              <w:rPr>
                <w:sz w:val="1"/>
                <w:szCs w:val="1"/>
                <w:color w:val="auto"/>
              </w:rPr>
            </w:pPr>
          </w:p>
        </w:tc>
      </w:tr>
      <w:tr>
        <w:trPr>
          <w:trHeight w:val="277"/>
        </w:trPr>
        <w:tc>
          <w:tcPr>
            <w:tcW w:w="378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Short-term investments</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tcPr>
          <w:p>
            <w:pPr>
              <w:jc w:val="right"/>
              <w:ind w:right="180"/>
              <w:spacing w:after="0"/>
              <w:rPr>
                <w:sz w:val="20"/>
                <w:szCs w:val="20"/>
                <w:color w:val="auto"/>
              </w:rPr>
            </w:pPr>
            <w:r>
              <w:rPr>
                <w:rFonts w:ascii="Arial" w:cs="Arial" w:eastAsia="Arial" w:hAnsi="Arial"/>
                <w:sz w:val="16"/>
                <w:szCs w:val="16"/>
                <w:color w:val="auto"/>
              </w:rPr>
              <w:t>1,497.9</w:t>
            </w:r>
          </w:p>
        </w:tc>
        <w:tc>
          <w:tcPr>
            <w:tcW w:w="220" w:type="dxa"/>
            <w:vAlign w:val="bottom"/>
            <w:tcBorders>
              <w:bottom w:val="single" w:sz="8" w:color="CCEEFF"/>
            </w:tcBorders>
          </w:tcPr>
          <w:p>
            <w:pPr>
              <w:spacing w:after="0"/>
              <w:rPr>
                <w:sz w:val="24"/>
                <w:szCs w:val="24"/>
                <w:color w:val="auto"/>
              </w:rPr>
            </w:pPr>
          </w:p>
        </w:tc>
        <w:tc>
          <w:tcPr>
            <w:tcW w:w="1020" w:type="dxa"/>
            <w:vAlign w:val="bottom"/>
            <w:tcBorders>
              <w:bottom w:val="single" w:sz="8" w:color="CCEEFF"/>
            </w:tcBorders>
          </w:tcPr>
          <w:p>
            <w:pPr>
              <w:spacing w:after="0"/>
              <w:rPr>
                <w:sz w:val="24"/>
                <w:szCs w:val="24"/>
                <w:color w:val="auto"/>
              </w:rPr>
            </w:pPr>
          </w:p>
        </w:tc>
        <w:tc>
          <w:tcPr>
            <w:tcW w:w="160" w:type="dxa"/>
            <w:vAlign w:val="bottom"/>
            <w:tcBorders>
              <w:bottom w:val="single" w:sz="8" w:color="CCEEFF"/>
            </w:tcBorders>
          </w:tcPr>
          <w:p>
            <w:pPr>
              <w:spacing w:after="0"/>
              <w:rPr>
                <w:sz w:val="24"/>
                <w:szCs w:val="24"/>
                <w:color w:val="auto"/>
              </w:rPr>
            </w:pPr>
          </w:p>
        </w:tc>
        <w:tc>
          <w:tcPr>
            <w:tcW w:w="1020" w:type="dxa"/>
            <w:vAlign w:val="bottom"/>
            <w:tcBorders>
              <w:bottom w:val="single" w:sz="8" w:color="CCEEFF"/>
            </w:tcBorders>
          </w:tcPr>
          <w:p>
            <w:pPr>
              <w:spacing w:after="0"/>
              <w:rPr>
                <w:sz w:val="24"/>
                <w:szCs w:val="24"/>
                <w:color w:val="auto"/>
              </w:rPr>
            </w:pPr>
          </w:p>
        </w:tc>
        <w:tc>
          <w:tcPr>
            <w:tcW w:w="220" w:type="dxa"/>
            <w:vAlign w:val="bottom"/>
            <w:tcBorders>
              <w:bottom w:val="single" w:sz="8" w:color="CCEEFF"/>
            </w:tcBorders>
          </w:tcPr>
          <w:p>
            <w:pPr>
              <w:spacing w:after="0"/>
              <w:rPr>
                <w:sz w:val="24"/>
                <w:szCs w:val="24"/>
                <w:color w:val="auto"/>
              </w:rPr>
            </w:pPr>
          </w:p>
        </w:tc>
        <w:tc>
          <w:tcPr>
            <w:tcW w:w="1000" w:type="dxa"/>
            <w:vAlign w:val="bottom"/>
            <w:tcBorders>
              <w:bottom w:val="single" w:sz="8" w:color="CCEEFF"/>
            </w:tcBorders>
          </w:tcPr>
          <w:p>
            <w:pPr>
              <w:spacing w:after="0"/>
              <w:rPr>
                <w:sz w:val="24"/>
                <w:szCs w:val="24"/>
                <w:color w:val="auto"/>
              </w:rPr>
            </w:pPr>
          </w:p>
        </w:tc>
        <w:tc>
          <w:tcPr>
            <w:tcW w:w="260" w:type="dxa"/>
            <w:vAlign w:val="bottom"/>
            <w:tcBorders>
              <w:bottom w:val="single" w:sz="8" w:color="CCEEFF"/>
            </w:tcBorders>
          </w:tcPr>
          <w:p>
            <w:pPr>
              <w:spacing w:after="0"/>
              <w:rPr>
                <w:sz w:val="24"/>
                <w:szCs w:val="24"/>
                <w:color w:val="auto"/>
              </w:rPr>
            </w:pPr>
          </w:p>
        </w:tc>
        <w:tc>
          <w:tcPr>
            <w:tcW w:w="1200" w:type="dxa"/>
            <w:vAlign w:val="bottom"/>
            <w:tcBorders>
              <w:bottom w:val="single" w:sz="8" w:color="CCEEFF"/>
            </w:tcBorders>
          </w:tcPr>
          <w:p>
            <w:pPr>
              <w:spacing w:after="0"/>
              <w:rPr>
                <w:sz w:val="24"/>
                <w:szCs w:val="24"/>
                <w:color w:val="auto"/>
              </w:rPr>
            </w:pPr>
          </w:p>
        </w:tc>
        <w:tc>
          <w:tcPr>
            <w:tcW w:w="360" w:type="dxa"/>
            <w:vAlign w:val="bottom"/>
            <w:tcBorders>
              <w:bottom w:val="single" w:sz="8" w:color="CCEEFF"/>
            </w:tcBorders>
          </w:tcPr>
          <w:p>
            <w:pPr>
              <w:spacing w:after="0"/>
              <w:rPr>
                <w:sz w:val="24"/>
                <w:szCs w:val="24"/>
                <w:color w:val="auto"/>
              </w:rPr>
            </w:pPr>
          </w:p>
        </w:tc>
        <w:tc>
          <w:tcPr>
            <w:tcW w:w="880" w:type="dxa"/>
            <w:vAlign w:val="bottom"/>
            <w:tcBorders>
              <w:bottom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7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60"/>
        </w:trPr>
        <w:tc>
          <w:tcPr>
            <w:tcW w:w="3780" w:type="dxa"/>
            <w:vAlign w:val="bottom"/>
          </w:tcPr>
          <w:p>
            <w:pPr>
              <w:ind w:left="40"/>
              <w:spacing w:after="0"/>
              <w:rPr>
                <w:sz w:val="20"/>
                <w:szCs w:val="20"/>
                <w:color w:val="auto"/>
              </w:rPr>
            </w:pPr>
            <w:r>
              <w:rPr>
                <w:rFonts w:ascii="Arial" w:cs="Arial" w:eastAsia="Arial" w:hAnsi="Arial"/>
                <w:sz w:val="16"/>
                <w:szCs w:val="16"/>
                <w:color w:val="auto"/>
              </w:rPr>
              <w:t>Noncurrent investments:</w:t>
            </w:r>
          </w:p>
        </w:tc>
        <w:tc>
          <w:tcPr>
            <w:tcW w:w="20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0"/>
        </w:trPr>
        <w:tc>
          <w:tcPr>
            <w:tcW w:w="37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U.S. government and agency securities</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ind w:right="180"/>
              <w:spacing w:after="0"/>
              <w:rPr>
                <w:sz w:val="20"/>
                <w:szCs w:val="20"/>
                <w:color w:val="auto"/>
              </w:rPr>
            </w:pPr>
            <w:r>
              <w:rPr>
                <w:rFonts w:ascii="Arial" w:cs="Arial" w:eastAsia="Arial" w:hAnsi="Arial"/>
                <w:sz w:val="16"/>
                <w:szCs w:val="16"/>
                <w:color w:val="auto"/>
              </w:rPr>
              <w:t>360.0</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365.0</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rPr>
              <w:t>360.0</w:t>
            </w:r>
          </w:p>
        </w:tc>
        <w:tc>
          <w:tcPr>
            <w:tcW w:w="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360.0</w:t>
            </w:r>
          </w:p>
        </w:tc>
        <w:tc>
          <w:tcPr>
            <w:tcW w:w="0" w:type="dxa"/>
            <w:vAlign w:val="bottom"/>
          </w:tcPr>
          <w:p>
            <w:pPr>
              <w:spacing w:after="0"/>
              <w:rPr>
                <w:sz w:val="1"/>
                <w:szCs w:val="1"/>
                <w:color w:val="auto"/>
              </w:rPr>
            </w:pPr>
          </w:p>
        </w:tc>
      </w:tr>
      <w:tr>
        <w:trPr>
          <w:trHeight w:val="260"/>
        </w:trPr>
        <w:tc>
          <w:tcPr>
            <w:tcW w:w="3780" w:type="dxa"/>
            <w:vAlign w:val="bottom"/>
          </w:tcPr>
          <w:p>
            <w:pPr>
              <w:ind w:left="180"/>
              <w:spacing w:after="0"/>
              <w:rPr>
                <w:sz w:val="20"/>
                <w:szCs w:val="20"/>
                <w:color w:val="auto"/>
              </w:rPr>
            </w:pPr>
            <w:r>
              <w:rPr>
                <w:rFonts w:ascii="Arial" w:cs="Arial" w:eastAsia="Arial" w:hAnsi="Arial"/>
                <w:sz w:val="16"/>
                <w:szCs w:val="16"/>
                <w:color w:val="auto"/>
              </w:rPr>
              <w:t>Corporate debt securities</w:t>
            </w:r>
          </w:p>
        </w:tc>
        <w:tc>
          <w:tcPr>
            <w:tcW w:w="200" w:type="dxa"/>
            <w:vAlign w:val="bottom"/>
          </w:tcPr>
          <w:p>
            <w:pPr>
              <w:spacing w:after="0"/>
              <w:rPr>
                <w:sz w:val="22"/>
                <w:szCs w:val="22"/>
                <w:color w:val="auto"/>
              </w:rPr>
            </w:pPr>
          </w:p>
        </w:tc>
        <w:tc>
          <w:tcPr>
            <w:tcW w:w="1100" w:type="dxa"/>
            <w:vAlign w:val="bottom"/>
          </w:tcPr>
          <w:p>
            <w:pPr>
              <w:jc w:val="right"/>
              <w:ind w:right="180"/>
              <w:spacing w:after="0"/>
              <w:rPr>
                <w:sz w:val="20"/>
                <w:szCs w:val="20"/>
                <w:color w:val="auto"/>
              </w:rPr>
            </w:pPr>
            <w:r>
              <w:rPr>
                <w:rFonts w:ascii="Arial" w:cs="Arial" w:eastAsia="Arial" w:hAnsi="Arial"/>
                <w:sz w:val="16"/>
                <w:szCs w:val="16"/>
                <w:color w:val="auto"/>
              </w:rPr>
              <w:t>3,464.3</w:t>
            </w:r>
          </w:p>
        </w:tc>
        <w:tc>
          <w:tcPr>
            <w:tcW w:w="220" w:type="dxa"/>
            <w:vAlign w:val="bottom"/>
          </w:tcPr>
          <w:p>
            <w:pPr>
              <w:spacing w:after="0"/>
              <w:rPr>
                <w:sz w:val="22"/>
                <w:szCs w:val="22"/>
                <w:color w:val="auto"/>
              </w:rPr>
            </w:pPr>
          </w:p>
        </w:tc>
        <w:tc>
          <w:tcPr>
            <w:tcW w:w="1020" w:type="dxa"/>
            <w:vAlign w:val="bottom"/>
          </w:tcPr>
          <w:p>
            <w:pPr>
              <w:jc w:val="right"/>
              <w:ind w:right="119"/>
              <w:spacing w:after="0"/>
              <w:rPr>
                <w:sz w:val="20"/>
                <w:szCs w:val="20"/>
                <w:color w:val="auto"/>
              </w:rPr>
            </w:pPr>
            <w:r>
              <w:rPr>
                <w:rFonts w:ascii="Arial" w:cs="Arial" w:eastAsia="Arial" w:hAnsi="Arial"/>
                <w:sz w:val="16"/>
                <w:szCs w:val="16"/>
                <w:color w:val="auto"/>
              </w:rPr>
              <w:t>3,473.5</w:t>
            </w:r>
          </w:p>
        </w:tc>
        <w:tc>
          <w:tcPr>
            <w:tcW w:w="160" w:type="dxa"/>
            <w:vAlign w:val="bottom"/>
          </w:tcPr>
          <w:p>
            <w:pPr>
              <w:spacing w:after="0"/>
              <w:rPr>
                <w:sz w:val="22"/>
                <w:szCs w:val="22"/>
                <w:color w:val="auto"/>
              </w:rPr>
            </w:pPr>
          </w:p>
        </w:tc>
        <w:tc>
          <w:tcPr>
            <w:tcW w:w="1020" w:type="dxa"/>
            <w:vAlign w:val="bottom"/>
          </w:tcPr>
          <w:p>
            <w:pPr>
              <w:jc w:val="right"/>
              <w:ind w:right="61"/>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2"/>
                <w:szCs w:val="22"/>
                <w:color w:val="auto"/>
              </w:rPr>
            </w:pPr>
          </w:p>
        </w:tc>
        <w:tc>
          <w:tcPr>
            <w:tcW w:w="1000" w:type="dxa"/>
            <w:vAlign w:val="bottom"/>
          </w:tcPr>
          <w:p>
            <w:pPr>
              <w:jc w:val="right"/>
              <w:ind w:right="41"/>
              <w:spacing w:after="0"/>
              <w:rPr>
                <w:sz w:val="20"/>
                <w:szCs w:val="20"/>
                <w:color w:val="auto"/>
              </w:rPr>
            </w:pPr>
            <w:r>
              <w:rPr>
                <w:rFonts w:ascii="Arial" w:cs="Arial" w:eastAsia="Arial" w:hAnsi="Arial"/>
                <w:sz w:val="16"/>
                <w:szCs w:val="16"/>
                <w:color w:val="auto"/>
              </w:rPr>
              <w:t>3,464.3</w:t>
            </w:r>
          </w:p>
        </w:tc>
        <w:tc>
          <w:tcPr>
            <w:tcW w:w="260" w:type="dxa"/>
            <w:vAlign w:val="bottom"/>
          </w:tcPr>
          <w:p>
            <w:pPr>
              <w:spacing w:after="0"/>
              <w:rPr>
                <w:sz w:val="22"/>
                <w:szCs w:val="22"/>
                <w:color w:val="auto"/>
              </w:rPr>
            </w:pPr>
          </w:p>
        </w:tc>
        <w:tc>
          <w:tcPr>
            <w:tcW w:w="120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22"/>
                <w:szCs w:val="22"/>
                <w:color w:val="auto"/>
              </w:rPr>
            </w:pPr>
          </w:p>
        </w:tc>
        <w:tc>
          <w:tcPr>
            <w:tcW w:w="880" w:type="dxa"/>
            <w:vAlign w:val="bottom"/>
          </w:tcPr>
          <w:p>
            <w:pPr>
              <w:jc w:val="right"/>
              <w:ind w:right="20"/>
              <w:spacing w:after="0"/>
              <w:rPr>
                <w:sz w:val="20"/>
                <w:szCs w:val="20"/>
                <w:color w:val="auto"/>
              </w:rPr>
            </w:pPr>
            <w:r>
              <w:rPr>
                <w:rFonts w:ascii="Arial" w:cs="Arial" w:eastAsia="Arial" w:hAnsi="Arial"/>
                <w:sz w:val="16"/>
                <w:szCs w:val="16"/>
                <w:color w:val="auto"/>
              </w:rPr>
              <w:t>3,464.3</w:t>
            </w:r>
          </w:p>
        </w:tc>
        <w:tc>
          <w:tcPr>
            <w:tcW w:w="0" w:type="dxa"/>
            <w:vAlign w:val="bottom"/>
          </w:tcPr>
          <w:p>
            <w:pPr>
              <w:spacing w:after="0"/>
              <w:rPr>
                <w:sz w:val="1"/>
                <w:szCs w:val="1"/>
                <w:color w:val="auto"/>
              </w:rPr>
            </w:pPr>
          </w:p>
        </w:tc>
      </w:tr>
      <w:tr>
        <w:trPr>
          <w:trHeight w:val="280"/>
        </w:trPr>
        <w:tc>
          <w:tcPr>
            <w:tcW w:w="37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Mortgage-backed securities</w:t>
            </w:r>
          </w:p>
        </w:tc>
        <w:tc>
          <w:tcPr>
            <w:tcW w:w="20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180"/>
              <w:spacing w:after="0"/>
              <w:rPr>
                <w:sz w:val="20"/>
                <w:szCs w:val="20"/>
                <w:color w:val="auto"/>
              </w:rPr>
            </w:pPr>
            <w:r>
              <w:rPr>
                <w:rFonts w:ascii="Arial" w:cs="Arial" w:eastAsia="Arial" w:hAnsi="Arial"/>
                <w:sz w:val="16"/>
                <w:szCs w:val="16"/>
                <w:color w:val="auto"/>
              </w:rPr>
              <w:t>202.4</w:t>
            </w:r>
          </w:p>
        </w:tc>
        <w:tc>
          <w:tcPr>
            <w:tcW w:w="22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204.2</w:t>
            </w:r>
          </w:p>
        </w:tc>
        <w:tc>
          <w:tcPr>
            <w:tcW w:w="16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202.4</w:t>
            </w:r>
          </w:p>
        </w:tc>
        <w:tc>
          <w:tcPr>
            <w:tcW w:w="26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202.4</w:t>
            </w:r>
          </w:p>
        </w:tc>
        <w:tc>
          <w:tcPr>
            <w:tcW w:w="0" w:type="dxa"/>
            <w:vAlign w:val="bottom"/>
          </w:tcPr>
          <w:p>
            <w:pPr>
              <w:spacing w:after="0"/>
              <w:rPr>
                <w:sz w:val="1"/>
                <w:szCs w:val="1"/>
                <w:color w:val="auto"/>
              </w:rPr>
            </w:pPr>
          </w:p>
        </w:tc>
      </w:tr>
      <w:tr>
        <w:trPr>
          <w:trHeight w:val="260"/>
        </w:trPr>
        <w:tc>
          <w:tcPr>
            <w:tcW w:w="3780" w:type="dxa"/>
            <w:vAlign w:val="bottom"/>
          </w:tcPr>
          <w:p>
            <w:pPr>
              <w:ind w:left="180"/>
              <w:spacing w:after="0"/>
              <w:rPr>
                <w:sz w:val="20"/>
                <w:szCs w:val="20"/>
                <w:color w:val="auto"/>
              </w:rPr>
            </w:pPr>
            <w:r>
              <w:rPr>
                <w:rFonts w:ascii="Arial" w:cs="Arial" w:eastAsia="Arial" w:hAnsi="Arial"/>
                <w:sz w:val="16"/>
                <w:szCs w:val="16"/>
                <w:color w:val="auto"/>
              </w:rPr>
              <w:t>Asset-backed securities</w:t>
            </w:r>
          </w:p>
        </w:tc>
        <w:tc>
          <w:tcPr>
            <w:tcW w:w="200" w:type="dxa"/>
            <w:vAlign w:val="bottom"/>
          </w:tcPr>
          <w:p>
            <w:pPr>
              <w:spacing w:after="0"/>
              <w:rPr>
                <w:sz w:val="22"/>
                <w:szCs w:val="22"/>
                <w:color w:val="auto"/>
              </w:rPr>
            </w:pPr>
          </w:p>
        </w:tc>
        <w:tc>
          <w:tcPr>
            <w:tcW w:w="1100" w:type="dxa"/>
            <w:vAlign w:val="bottom"/>
          </w:tcPr>
          <w:p>
            <w:pPr>
              <w:jc w:val="right"/>
              <w:ind w:right="180"/>
              <w:spacing w:after="0"/>
              <w:rPr>
                <w:sz w:val="20"/>
                <w:szCs w:val="20"/>
                <w:color w:val="auto"/>
              </w:rPr>
            </w:pPr>
            <w:r>
              <w:rPr>
                <w:rFonts w:ascii="Arial" w:cs="Arial" w:eastAsia="Arial" w:hAnsi="Arial"/>
                <w:sz w:val="16"/>
                <w:szCs w:val="16"/>
                <w:color w:val="auto"/>
              </w:rPr>
              <w:t>653.9</w:t>
            </w:r>
          </w:p>
        </w:tc>
        <w:tc>
          <w:tcPr>
            <w:tcW w:w="220" w:type="dxa"/>
            <w:vAlign w:val="bottom"/>
          </w:tcPr>
          <w:p>
            <w:pPr>
              <w:spacing w:after="0"/>
              <w:rPr>
                <w:sz w:val="22"/>
                <w:szCs w:val="22"/>
                <w:color w:val="auto"/>
              </w:rPr>
            </w:pPr>
          </w:p>
        </w:tc>
        <w:tc>
          <w:tcPr>
            <w:tcW w:w="1020" w:type="dxa"/>
            <w:vAlign w:val="bottom"/>
          </w:tcPr>
          <w:p>
            <w:pPr>
              <w:jc w:val="right"/>
              <w:ind w:right="119"/>
              <w:spacing w:after="0"/>
              <w:rPr>
                <w:sz w:val="20"/>
                <w:szCs w:val="20"/>
                <w:color w:val="auto"/>
              </w:rPr>
            </w:pPr>
            <w:r>
              <w:rPr>
                <w:rFonts w:ascii="Arial" w:cs="Arial" w:eastAsia="Arial" w:hAnsi="Arial"/>
                <w:sz w:val="16"/>
                <w:szCs w:val="16"/>
                <w:color w:val="auto"/>
              </w:rPr>
              <w:t>656.0</w:t>
            </w:r>
          </w:p>
        </w:tc>
        <w:tc>
          <w:tcPr>
            <w:tcW w:w="160" w:type="dxa"/>
            <w:vAlign w:val="bottom"/>
          </w:tcPr>
          <w:p>
            <w:pPr>
              <w:spacing w:after="0"/>
              <w:rPr>
                <w:sz w:val="22"/>
                <w:szCs w:val="22"/>
                <w:color w:val="auto"/>
              </w:rPr>
            </w:pPr>
          </w:p>
        </w:tc>
        <w:tc>
          <w:tcPr>
            <w:tcW w:w="1020" w:type="dxa"/>
            <w:vAlign w:val="bottom"/>
          </w:tcPr>
          <w:p>
            <w:pPr>
              <w:jc w:val="right"/>
              <w:ind w:right="61"/>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2"/>
                <w:szCs w:val="22"/>
                <w:color w:val="auto"/>
              </w:rPr>
            </w:pPr>
          </w:p>
        </w:tc>
        <w:tc>
          <w:tcPr>
            <w:tcW w:w="1000" w:type="dxa"/>
            <w:vAlign w:val="bottom"/>
          </w:tcPr>
          <w:p>
            <w:pPr>
              <w:jc w:val="right"/>
              <w:ind w:right="41"/>
              <w:spacing w:after="0"/>
              <w:rPr>
                <w:sz w:val="20"/>
                <w:szCs w:val="20"/>
                <w:color w:val="auto"/>
              </w:rPr>
            </w:pPr>
            <w:r>
              <w:rPr>
                <w:rFonts w:ascii="Arial" w:cs="Arial" w:eastAsia="Arial" w:hAnsi="Arial"/>
                <w:sz w:val="16"/>
                <w:szCs w:val="16"/>
                <w:color w:val="auto"/>
              </w:rPr>
              <w:t>653.9</w:t>
            </w:r>
          </w:p>
        </w:tc>
        <w:tc>
          <w:tcPr>
            <w:tcW w:w="260" w:type="dxa"/>
            <w:vAlign w:val="bottom"/>
          </w:tcPr>
          <w:p>
            <w:pPr>
              <w:spacing w:after="0"/>
              <w:rPr>
                <w:sz w:val="22"/>
                <w:szCs w:val="22"/>
                <w:color w:val="auto"/>
              </w:rPr>
            </w:pPr>
          </w:p>
        </w:tc>
        <w:tc>
          <w:tcPr>
            <w:tcW w:w="120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22"/>
                <w:szCs w:val="22"/>
                <w:color w:val="auto"/>
              </w:rPr>
            </w:pPr>
          </w:p>
        </w:tc>
        <w:tc>
          <w:tcPr>
            <w:tcW w:w="880" w:type="dxa"/>
            <w:vAlign w:val="bottom"/>
          </w:tcPr>
          <w:p>
            <w:pPr>
              <w:jc w:val="right"/>
              <w:ind w:right="20"/>
              <w:spacing w:after="0"/>
              <w:rPr>
                <w:sz w:val="20"/>
                <w:szCs w:val="20"/>
                <w:color w:val="auto"/>
              </w:rPr>
            </w:pPr>
            <w:r>
              <w:rPr>
                <w:rFonts w:ascii="Arial" w:cs="Arial" w:eastAsia="Arial" w:hAnsi="Arial"/>
                <w:sz w:val="16"/>
                <w:szCs w:val="16"/>
                <w:color w:val="auto"/>
              </w:rPr>
              <w:t>653.9</w:t>
            </w:r>
          </w:p>
        </w:tc>
        <w:tc>
          <w:tcPr>
            <w:tcW w:w="0" w:type="dxa"/>
            <w:vAlign w:val="bottom"/>
          </w:tcPr>
          <w:p>
            <w:pPr>
              <w:spacing w:after="0"/>
              <w:rPr>
                <w:sz w:val="1"/>
                <w:szCs w:val="1"/>
                <w:color w:val="auto"/>
              </w:rPr>
            </w:pPr>
          </w:p>
        </w:tc>
      </w:tr>
      <w:tr>
        <w:trPr>
          <w:trHeight w:val="280"/>
        </w:trPr>
        <w:tc>
          <w:tcPr>
            <w:tcW w:w="37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Other securities</w:t>
            </w:r>
          </w:p>
        </w:tc>
        <w:tc>
          <w:tcPr>
            <w:tcW w:w="20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180"/>
              <w:spacing w:after="0"/>
              <w:rPr>
                <w:sz w:val="20"/>
                <w:szCs w:val="20"/>
                <w:color w:val="auto"/>
              </w:rPr>
            </w:pPr>
            <w:r>
              <w:rPr>
                <w:rFonts w:ascii="Arial" w:cs="Arial" w:eastAsia="Arial" w:hAnsi="Arial"/>
                <w:sz w:val="16"/>
                <w:szCs w:val="16"/>
                <w:color w:val="auto"/>
              </w:rPr>
              <w:t>132.1</w:t>
            </w:r>
          </w:p>
        </w:tc>
        <w:tc>
          <w:tcPr>
            <w:tcW w:w="22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66.4</w:t>
            </w:r>
          </w:p>
        </w:tc>
        <w:tc>
          <w:tcPr>
            <w:tcW w:w="16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132.1</w:t>
            </w:r>
          </w:p>
        </w:tc>
        <w:tc>
          <w:tcPr>
            <w:tcW w:w="36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132.1</w:t>
            </w:r>
          </w:p>
        </w:tc>
        <w:tc>
          <w:tcPr>
            <w:tcW w:w="0" w:type="dxa"/>
            <w:vAlign w:val="bottom"/>
          </w:tcPr>
          <w:p>
            <w:pPr>
              <w:spacing w:after="0"/>
              <w:rPr>
                <w:sz w:val="1"/>
                <w:szCs w:val="1"/>
                <w:color w:val="auto"/>
              </w:rPr>
            </w:pPr>
          </w:p>
        </w:tc>
      </w:tr>
      <w:tr>
        <w:trPr>
          <w:trHeight w:val="260"/>
        </w:trPr>
        <w:tc>
          <w:tcPr>
            <w:tcW w:w="3780" w:type="dxa"/>
            <w:vAlign w:val="bottom"/>
          </w:tcPr>
          <w:p>
            <w:pPr>
              <w:ind w:left="180"/>
              <w:spacing w:after="0"/>
              <w:rPr>
                <w:sz w:val="20"/>
                <w:szCs w:val="20"/>
                <w:color w:val="auto"/>
              </w:rPr>
            </w:pPr>
            <w:r>
              <w:rPr>
                <w:rFonts w:ascii="Arial" w:cs="Arial" w:eastAsia="Arial" w:hAnsi="Arial"/>
                <w:sz w:val="16"/>
                <w:szCs w:val="16"/>
                <w:color w:val="auto"/>
              </w:rPr>
              <w:t>Marketable equity securities</w:t>
            </w:r>
          </w:p>
        </w:tc>
        <w:tc>
          <w:tcPr>
            <w:tcW w:w="200" w:type="dxa"/>
            <w:vAlign w:val="bottom"/>
          </w:tcPr>
          <w:p>
            <w:pPr>
              <w:spacing w:after="0"/>
              <w:rPr>
                <w:sz w:val="22"/>
                <w:szCs w:val="22"/>
                <w:color w:val="auto"/>
              </w:rPr>
            </w:pPr>
          </w:p>
        </w:tc>
        <w:tc>
          <w:tcPr>
            <w:tcW w:w="1100" w:type="dxa"/>
            <w:vAlign w:val="bottom"/>
          </w:tcPr>
          <w:p>
            <w:pPr>
              <w:jc w:val="right"/>
              <w:ind w:right="180"/>
              <w:spacing w:after="0"/>
              <w:rPr>
                <w:sz w:val="20"/>
                <w:szCs w:val="20"/>
                <w:color w:val="auto"/>
              </w:rPr>
            </w:pPr>
            <w:r>
              <w:rPr>
                <w:rFonts w:ascii="Arial" w:cs="Arial" w:eastAsia="Arial" w:hAnsi="Arial"/>
                <w:sz w:val="16"/>
                <w:szCs w:val="16"/>
                <w:color w:val="auto"/>
              </w:rPr>
              <w:t>281.3</w:t>
            </w:r>
          </w:p>
        </w:tc>
        <w:tc>
          <w:tcPr>
            <w:tcW w:w="220" w:type="dxa"/>
            <w:vAlign w:val="bottom"/>
          </w:tcPr>
          <w:p>
            <w:pPr>
              <w:spacing w:after="0"/>
              <w:rPr>
                <w:sz w:val="22"/>
                <w:szCs w:val="22"/>
                <w:color w:val="auto"/>
              </w:rPr>
            </w:pPr>
          </w:p>
        </w:tc>
        <w:tc>
          <w:tcPr>
            <w:tcW w:w="1020" w:type="dxa"/>
            <w:vAlign w:val="bottom"/>
          </w:tcPr>
          <w:p>
            <w:pPr>
              <w:jc w:val="right"/>
              <w:ind w:right="119"/>
              <w:spacing w:after="0"/>
              <w:rPr>
                <w:sz w:val="20"/>
                <w:szCs w:val="20"/>
                <w:color w:val="auto"/>
              </w:rPr>
            </w:pPr>
            <w:r>
              <w:rPr>
                <w:rFonts w:ascii="Arial" w:cs="Arial" w:eastAsia="Arial" w:hAnsi="Arial"/>
                <w:sz w:val="16"/>
                <w:szCs w:val="16"/>
                <w:color w:val="auto"/>
              </w:rPr>
              <w:t>131.0</w:t>
            </w:r>
          </w:p>
        </w:tc>
        <w:tc>
          <w:tcPr>
            <w:tcW w:w="160" w:type="dxa"/>
            <w:vAlign w:val="bottom"/>
          </w:tcPr>
          <w:p>
            <w:pPr>
              <w:spacing w:after="0"/>
              <w:rPr>
                <w:sz w:val="22"/>
                <w:szCs w:val="22"/>
                <w:color w:val="auto"/>
              </w:rPr>
            </w:pPr>
          </w:p>
        </w:tc>
        <w:tc>
          <w:tcPr>
            <w:tcW w:w="1020" w:type="dxa"/>
            <w:vAlign w:val="bottom"/>
          </w:tcPr>
          <w:p>
            <w:pPr>
              <w:jc w:val="right"/>
              <w:ind w:right="61"/>
              <w:spacing w:after="0"/>
              <w:rPr>
                <w:sz w:val="20"/>
                <w:szCs w:val="20"/>
                <w:color w:val="auto"/>
              </w:rPr>
            </w:pPr>
            <w:r>
              <w:rPr>
                <w:rFonts w:ascii="Arial" w:cs="Arial" w:eastAsia="Arial" w:hAnsi="Arial"/>
                <w:sz w:val="16"/>
                <w:szCs w:val="16"/>
                <w:color w:val="auto"/>
              </w:rPr>
              <w:t>281.3</w:t>
            </w:r>
          </w:p>
        </w:tc>
        <w:tc>
          <w:tcPr>
            <w:tcW w:w="220" w:type="dxa"/>
            <w:vAlign w:val="bottom"/>
          </w:tcPr>
          <w:p>
            <w:pPr>
              <w:spacing w:after="0"/>
              <w:rPr>
                <w:sz w:val="22"/>
                <w:szCs w:val="22"/>
                <w:color w:val="auto"/>
              </w:rPr>
            </w:pPr>
          </w:p>
        </w:tc>
        <w:tc>
          <w:tcPr>
            <w:tcW w:w="1000" w:type="dxa"/>
            <w:vAlign w:val="bottom"/>
          </w:tcPr>
          <w:p>
            <w:pPr>
              <w:jc w:val="right"/>
              <w:ind w:right="41"/>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2"/>
                <w:szCs w:val="22"/>
                <w:color w:val="auto"/>
              </w:rPr>
            </w:pPr>
          </w:p>
        </w:tc>
        <w:tc>
          <w:tcPr>
            <w:tcW w:w="120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22"/>
                <w:szCs w:val="22"/>
                <w:color w:val="auto"/>
              </w:rPr>
            </w:pPr>
          </w:p>
        </w:tc>
        <w:tc>
          <w:tcPr>
            <w:tcW w:w="880" w:type="dxa"/>
            <w:vAlign w:val="bottom"/>
          </w:tcPr>
          <w:p>
            <w:pPr>
              <w:jc w:val="right"/>
              <w:ind w:right="20"/>
              <w:spacing w:after="0"/>
              <w:rPr>
                <w:sz w:val="20"/>
                <w:szCs w:val="20"/>
                <w:color w:val="auto"/>
              </w:rPr>
            </w:pPr>
            <w:r>
              <w:rPr>
                <w:rFonts w:ascii="Arial" w:cs="Arial" w:eastAsia="Arial" w:hAnsi="Arial"/>
                <w:sz w:val="16"/>
                <w:szCs w:val="16"/>
                <w:color w:val="auto"/>
              </w:rPr>
              <w:t>281.3</w:t>
            </w:r>
          </w:p>
        </w:tc>
        <w:tc>
          <w:tcPr>
            <w:tcW w:w="0" w:type="dxa"/>
            <w:vAlign w:val="bottom"/>
          </w:tcPr>
          <w:p>
            <w:pPr>
              <w:spacing w:after="0"/>
              <w:rPr>
                <w:sz w:val="1"/>
                <w:szCs w:val="1"/>
                <w:color w:val="auto"/>
              </w:rPr>
            </w:pPr>
          </w:p>
        </w:tc>
      </w:tr>
      <w:tr>
        <w:trPr>
          <w:trHeight w:val="280"/>
        </w:trPr>
        <w:tc>
          <w:tcPr>
            <w:tcW w:w="37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 xml:space="preserve">Cost and equity method investments </w:t>
            </w:r>
            <w:r>
              <w:rPr>
                <w:rFonts w:ascii="Arial" w:cs="Arial" w:eastAsia="Arial" w:hAnsi="Arial"/>
                <w:sz w:val="21"/>
                <w:szCs w:val="21"/>
                <w:color w:val="auto"/>
                <w:vertAlign w:val="superscript"/>
              </w:rPr>
              <w:t>(2)</w:t>
            </w:r>
          </w:p>
        </w:tc>
        <w:tc>
          <w:tcPr>
            <w:tcW w:w="200" w:type="dxa"/>
            <w:vAlign w:val="bottom"/>
            <w:tcBorders>
              <w:bottom w:val="single" w:sz="8" w:color="auto"/>
            </w:tcBorders>
            <w:shd w:val="clear" w:color="auto" w:fill="CCEEFF"/>
          </w:tcPr>
          <w:p>
            <w:pPr>
              <w:spacing w:after="0"/>
              <w:rPr>
                <w:sz w:val="24"/>
                <w:szCs w:val="24"/>
                <w:color w:val="auto"/>
              </w:rPr>
            </w:pPr>
          </w:p>
        </w:tc>
        <w:tc>
          <w:tcPr>
            <w:tcW w:w="1100" w:type="dxa"/>
            <w:vAlign w:val="bottom"/>
            <w:tcBorders>
              <w:bottom w:val="single" w:sz="8" w:color="auto"/>
            </w:tcBorders>
            <w:shd w:val="clear" w:color="auto" w:fill="CCEEFF"/>
          </w:tcPr>
          <w:p>
            <w:pPr>
              <w:jc w:val="right"/>
              <w:ind w:right="180"/>
              <w:spacing w:after="0"/>
              <w:rPr>
                <w:sz w:val="20"/>
                <w:szCs w:val="20"/>
                <w:color w:val="auto"/>
              </w:rPr>
            </w:pPr>
            <w:r>
              <w:rPr>
                <w:rFonts w:ascii="Arial" w:cs="Arial" w:eastAsia="Arial" w:hAnsi="Arial"/>
                <w:sz w:val="16"/>
                <w:szCs w:val="16"/>
                <w:color w:val="auto"/>
              </w:rPr>
              <w:t>584.8</w:t>
            </w:r>
          </w:p>
        </w:tc>
        <w:tc>
          <w:tcPr>
            <w:tcW w:w="22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3780" w:type="dxa"/>
            <w:vAlign w:val="bottom"/>
          </w:tcPr>
          <w:p>
            <w:pPr>
              <w:ind w:left="180"/>
              <w:spacing w:after="0"/>
              <w:rPr>
                <w:sz w:val="20"/>
                <w:szCs w:val="20"/>
                <w:color w:val="auto"/>
              </w:rPr>
            </w:pPr>
            <w:r>
              <w:rPr>
                <w:rFonts w:ascii="Arial" w:cs="Arial" w:eastAsia="Arial" w:hAnsi="Arial"/>
                <w:sz w:val="16"/>
                <w:szCs w:val="16"/>
                <w:color w:val="auto"/>
              </w:rPr>
              <w:t>Noncurrent investments</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tcPr>
          <w:p>
            <w:pPr>
              <w:jc w:val="right"/>
              <w:ind w:right="180"/>
              <w:spacing w:after="0"/>
              <w:rPr>
                <w:sz w:val="20"/>
                <w:szCs w:val="20"/>
                <w:color w:val="auto"/>
              </w:rPr>
            </w:pPr>
            <w:r>
              <w:rPr>
                <w:rFonts w:ascii="Arial" w:cs="Arial" w:eastAsia="Arial" w:hAnsi="Arial"/>
                <w:sz w:val="16"/>
                <w:szCs w:val="16"/>
                <w:color w:val="auto"/>
              </w:rPr>
              <w:t>5,678.8</w:t>
            </w:r>
          </w:p>
        </w:tc>
        <w:tc>
          <w:tcPr>
            <w:tcW w:w="2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101" w:lineRule="exact"/>
        <w:rPr>
          <w:sz w:val="20"/>
          <w:szCs w:val="20"/>
          <w:color w:val="auto"/>
        </w:rPr>
      </w:pPr>
    </w:p>
    <w:p>
      <w:pPr>
        <w:ind w:left="140" w:hanging="132"/>
        <w:spacing w:after="0"/>
        <w:tabs>
          <w:tab w:leader="none" w:pos="140" w:val="left"/>
        </w:tabs>
        <w:numPr>
          <w:ilvl w:val="0"/>
          <w:numId w:val="11"/>
        </w:numPr>
        <w:rPr>
          <w:rFonts w:ascii="Arial" w:cs="Arial" w:eastAsia="Arial" w:hAnsi="Arial"/>
          <w:sz w:val="16"/>
          <w:szCs w:val="16"/>
          <w:color w:val="auto"/>
          <w:vertAlign w:val="superscript"/>
        </w:rPr>
      </w:pPr>
      <w:r>
        <w:rPr>
          <w:rFonts w:ascii="Arial" w:cs="Arial" w:eastAsia="Arial" w:hAnsi="Arial"/>
          <w:sz w:val="13"/>
          <w:szCs w:val="13"/>
          <w:color w:val="auto"/>
        </w:rPr>
        <w:t>For available-for-sale debt securities, amounts disclosed represent the securities' amortized cost.</w:t>
      </w:r>
    </w:p>
    <w:p>
      <w:pPr>
        <w:spacing w:after="0" w:line="97" w:lineRule="exact"/>
        <w:rPr>
          <w:rFonts w:ascii="Arial" w:cs="Arial" w:eastAsia="Arial" w:hAnsi="Arial"/>
          <w:sz w:val="16"/>
          <w:szCs w:val="16"/>
          <w:color w:val="auto"/>
          <w:vertAlign w:val="superscript"/>
        </w:rPr>
      </w:pPr>
    </w:p>
    <w:p>
      <w:pPr>
        <w:ind w:left="180" w:right="320" w:hanging="172"/>
        <w:spacing w:after="0" w:line="225" w:lineRule="auto"/>
        <w:tabs>
          <w:tab w:leader="none" w:pos="153" w:val="left"/>
        </w:tabs>
        <w:numPr>
          <w:ilvl w:val="0"/>
          <w:numId w:val="11"/>
        </w:numPr>
        <w:rPr>
          <w:rFonts w:ascii="Arial" w:cs="Arial" w:eastAsia="Arial" w:hAnsi="Arial"/>
          <w:sz w:val="17"/>
          <w:szCs w:val="17"/>
          <w:color w:val="auto"/>
          <w:vertAlign w:val="superscript"/>
        </w:rPr>
      </w:pPr>
      <w:r>
        <w:rPr>
          <w:rFonts w:ascii="Arial" w:cs="Arial" w:eastAsia="Arial" w:hAnsi="Arial"/>
          <w:sz w:val="14"/>
          <w:szCs w:val="14"/>
          <w:color w:val="auto"/>
        </w:rPr>
        <w:t>Fair value disclosures are not applicable for equity method investments and investments accounted for under the measurement alternative for equity investments that do not have readily determinable fair values.</w:t>
      </w:r>
    </w:p>
    <w:p>
      <w:pPr>
        <w:sectPr>
          <w:pgSz w:w="11900" w:h="16838" w:orient="portrait"/>
          <w:cols w:equalWidth="0" w:num="1">
            <w:col w:w="11420"/>
          </w:cols>
          <w:pgMar w:left="240" w:top="742" w:right="239" w:bottom="1440" w:gutter="0" w:footer="0" w:header="0"/>
        </w:sect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21</w:t>
      </w:r>
    </w:p>
    <w:p>
      <w:pPr>
        <w:sectPr>
          <w:pgSz w:w="11900" w:h="16838" w:orient="portrait"/>
          <w:cols w:equalWidth="0" w:num="1">
            <w:col w:w="11420"/>
          </w:cols>
          <w:pgMar w:left="240" w:top="742" w:right="239" w:bottom="1440" w:gutter="0" w:footer="0" w:header="0"/>
          <w:type w:val="continuous"/>
        </w:sectPr>
      </w:pPr>
    </w:p>
    <w:bookmarkStart w:id="21" w:name="page22"/>
    <w:bookmarkEnd w:id="21"/>
    <w:tbl>
      <w:tblPr>
        <w:tblLayout w:type="fixed"/>
        <w:tblInd w:w="0" w:type="dxa"/>
        <w:tblCellMar>
          <w:top w:w="0" w:type="dxa"/>
          <w:left w:w="0" w:type="dxa"/>
          <w:bottom w:w="0" w:type="dxa"/>
          <w:right w:w="0" w:type="dxa"/>
        </w:tblCellMar>
      </w:tblPr>
      <w:tr>
        <w:trPr>
          <w:trHeight w:val="196"/>
        </w:trPr>
        <w:tc>
          <w:tcPr>
            <w:tcW w:w="39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4120" w:type="dxa"/>
            <w:vAlign w:val="bottom"/>
            <w:tcBorders>
              <w:bottom w:val="single" w:sz="8" w:color="auto"/>
            </w:tcBorders>
            <w:gridSpan w:val="5"/>
          </w:tcPr>
          <w:p>
            <w:pPr>
              <w:ind w:left="940"/>
              <w:spacing w:after="0"/>
              <w:rPr>
                <w:sz w:val="20"/>
                <w:szCs w:val="20"/>
                <w:color w:val="auto"/>
              </w:rPr>
            </w:pPr>
            <w:r>
              <w:rPr>
                <w:rFonts w:ascii="Arial" w:cs="Arial" w:eastAsia="Arial" w:hAnsi="Arial"/>
                <w:sz w:val="14"/>
                <w:szCs w:val="14"/>
                <w:b w:val="1"/>
                <w:bCs w:val="1"/>
                <w:color w:val="auto"/>
              </w:rPr>
              <w:t>Fair Value Measurements Using</w:t>
            </w:r>
          </w:p>
        </w:tc>
        <w:tc>
          <w:tcPr>
            <w:tcW w:w="38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175"/>
        </w:trPr>
        <w:tc>
          <w:tcPr>
            <w:tcW w:w="39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300" w:type="dxa"/>
            <w:vAlign w:val="bottom"/>
            <w:gridSpan w:val="2"/>
          </w:tcPr>
          <w:p>
            <w:pPr>
              <w:jc w:val="center"/>
              <w:spacing w:after="0"/>
              <w:rPr>
                <w:sz w:val="20"/>
                <w:szCs w:val="20"/>
                <w:color w:val="auto"/>
              </w:rPr>
            </w:pPr>
            <w:r>
              <w:rPr>
                <w:rFonts w:ascii="Arial" w:cs="Arial" w:eastAsia="Arial" w:hAnsi="Arial"/>
                <w:sz w:val="14"/>
                <w:szCs w:val="14"/>
                <w:b w:val="1"/>
                <w:bCs w:val="1"/>
                <w:color w:val="auto"/>
              </w:rPr>
              <w:t>Quoted Prices in</w:t>
            </w:r>
          </w:p>
        </w:tc>
        <w:tc>
          <w:tcPr>
            <w:tcW w:w="3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62"/>
        </w:trPr>
        <w:tc>
          <w:tcPr>
            <w:tcW w:w="39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tcPr>
          <w:p>
            <w:pPr>
              <w:jc w:val="center"/>
              <w:ind w:right="80"/>
              <w:spacing w:after="0"/>
              <w:rPr>
                <w:sz w:val="20"/>
                <w:szCs w:val="20"/>
                <w:color w:val="auto"/>
              </w:rPr>
            </w:pPr>
            <w:r>
              <w:rPr>
                <w:rFonts w:ascii="Arial" w:cs="Arial" w:eastAsia="Arial" w:hAnsi="Arial"/>
                <w:sz w:val="14"/>
                <w:szCs w:val="14"/>
                <w:b w:val="1"/>
                <w:bCs w:val="1"/>
                <w:color w:val="auto"/>
              </w:rPr>
              <w:t>Active Markets</w:t>
            </w:r>
          </w:p>
        </w:tc>
        <w:tc>
          <w:tcPr>
            <w:tcW w:w="300" w:type="dxa"/>
            <w:vAlign w:val="bottom"/>
          </w:tcPr>
          <w:p>
            <w:pPr>
              <w:spacing w:after="0"/>
              <w:rPr>
                <w:sz w:val="14"/>
                <w:szCs w:val="14"/>
                <w:color w:val="auto"/>
              </w:rPr>
            </w:pPr>
          </w:p>
        </w:tc>
        <w:tc>
          <w:tcPr>
            <w:tcW w:w="1200" w:type="dxa"/>
            <w:vAlign w:val="bottom"/>
          </w:tcPr>
          <w:p>
            <w:pPr>
              <w:jc w:val="center"/>
              <w:ind w:right="178"/>
              <w:spacing w:after="0"/>
              <w:rPr>
                <w:sz w:val="20"/>
                <w:szCs w:val="20"/>
                <w:color w:val="auto"/>
              </w:rPr>
            </w:pPr>
            <w:r>
              <w:rPr>
                <w:rFonts w:ascii="Arial" w:cs="Arial" w:eastAsia="Arial" w:hAnsi="Arial"/>
                <w:sz w:val="14"/>
                <w:szCs w:val="14"/>
                <w:b w:val="1"/>
                <w:bCs w:val="1"/>
                <w:color w:val="auto"/>
              </w:rPr>
              <w:t>Significant</w:t>
            </w:r>
          </w:p>
        </w:tc>
        <w:tc>
          <w:tcPr>
            <w:tcW w:w="240" w:type="dxa"/>
            <w:vAlign w:val="bottom"/>
          </w:tcPr>
          <w:p>
            <w:pPr>
              <w:spacing w:after="0"/>
              <w:rPr>
                <w:sz w:val="14"/>
                <w:szCs w:val="14"/>
                <w:color w:val="auto"/>
              </w:rPr>
            </w:pPr>
          </w:p>
        </w:tc>
        <w:tc>
          <w:tcPr>
            <w:tcW w:w="1200" w:type="dxa"/>
            <w:vAlign w:val="bottom"/>
          </w:tcPr>
          <w:p>
            <w:pPr>
              <w:jc w:val="center"/>
              <w:ind w:right="99"/>
              <w:spacing w:after="0"/>
              <w:rPr>
                <w:sz w:val="20"/>
                <w:szCs w:val="20"/>
                <w:color w:val="auto"/>
              </w:rPr>
            </w:pPr>
            <w:r>
              <w:rPr>
                <w:rFonts w:ascii="Arial" w:cs="Arial" w:eastAsia="Arial" w:hAnsi="Arial"/>
                <w:sz w:val="14"/>
                <w:szCs w:val="14"/>
                <w:b w:val="1"/>
                <w:bCs w:val="1"/>
                <w:color w:val="auto"/>
              </w:rPr>
              <w:t>Significant</w:t>
            </w:r>
          </w:p>
        </w:tc>
        <w:tc>
          <w:tcPr>
            <w:tcW w:w="38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2"/>
        </w:trPr>
        <w:tc>
          <w:tcPr>
            <w:tcW w:w="39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tcPr>
          <w:p>
            <w:pPr>
              <w:jc w:val="center"/>
              <w:ind w:right="80"/>
              <w:spacing w:after="0"/>
              <w:rPr>
                <w:sz w:val="20"/>
                <w:szCs w:val="20"/>
                <w:color w:val="auto"/>
              </w:rPr>
            </w:pPr>
            <w:r>
              <w:rPr>
                <w:rFonts w:ascii="Arial" w:cs="Arial" w:eastAsia="Arial" w:hAnsi="Arial"/>
                <w:sz w:val="14"/>
                <w:szCs w:val="14"/>
                <w:b w:val="1"/>
                <w:bCs w:val="1"/>
                <w:color w:val="auto"/>
              </w:rPr>
              <w:t>for Identical</w:t>
            </w:r>
          </w:p>
        </w:tc>
        <w:tc>
          <w:tcPr>
            <w:tcW w:w="1500" w:type="dxa"/>
            <w:vAlign w:val="bottom"/>
            <w:gridSpan w:val="2"/>
          </w:tcPr>
          <w:p>
            <w:pPr>
              <w:jc w:val="center"/>
              <w:spacing w:after="0"/>
              <w:rPr>
                <w:sz w:val="20"/>
                <w:szCs w:val="20"/>
                <w:color w:val="auto"/>
              </w:rPr>
            </w:pPr>
            <w:r>
              <w:rPr>
                <w:rFonts w:ascii="Arial" w:cs="Arial" w:eastAsia="Arial" w:hAnsi="Arial"/>
                <w:sz w:val="14"/>
                <w:szCs w:val="14"/>
                <w:b w:val="1"/>
                <w:bCs w:val="1"/>
                <w:color w:val="auto"/>
              </w:rPr>
              <w:t>Other Observable</w:t>
            </w:r>
          </w:p>
        </w:tc>
        <w:tc>
          <w:tcPr>
            <w:tcW w:w="240" w:type="dxa"/>
            <w:vAlign w:val="bottom"/>
          </w:tcPr>
          <w:p>
            <w:pPr>
              <w:spacing w:after="0"/>
              <w:rPr>
                <w:sz w:val="14"/>
                <w:szCs w:val="14"/>
                <w:color w:val="auto"/>
              </w:rPr>
            </w:pPr>
          </w:p>
        </w:tc>
        <w:tc>
          <w:tcPr>
            <w:tcW w:w="1200" w:type="dxa"/>
            <w:vAlign w:val="bottom"/>
          </w:tcPr>
          <w:p>
            <w:pPr>
              <w:jc w:val="center"/>
              <w:ind w:right="99"/>
              <w:spacing w:after="0"/>
              <w:rPr>
                <w:sz w:val="20"/>
                <w:szCs w:val="20"/>
                <w:color w:val="auto"/>
              </w:rPr>
            </w:pPr>
            <w:r>
              <w:rPr>
                <w:rFonts w:ascii="Arial" w:cs="Arial" w:eastAsia="Arial" w:hAnsi="Arial"/>
                <w:sz w:val="14"/>
                <w:szCs w:val="14"/>
                <w:b w:val="1"/>
                <w:bCs w:val="1"/>
                <w:color w:val="auto"/>
              </w:rPr>
              <w:t>Unobservable</w:t>
            </w:r>
          </w:p>
        </w:tc>
        <w:tc>
          <w:tcPr>
            <w:tcW w:w="38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2"/>
        </w:trPr>
        <w:tc>
          <w:tcPr>
            <w:tcW w:w="39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20" w:type="dxa"/>
            <w:vAlign w:val="bottom"/>
          </w:tcPr>
          <w:p>
            <w:pPr>
              <w:jc w:val="right"/>
              <w:ind w:right="416"/>
              <w:spacing w:after="0"/>
              <w:rPr>
                <w:sz w:val="20"/>
                <w:szCs w:val="20"/>
                <w:color w:val="auto"/>
              </w:rPr>
            </w:pPr>
            <w:r>
              <w:rPr>
                <w:rFonts w:ascii="Arial" w:cs="Arial" w:eastAsia="Arial" w:hAnsi="Arial"/>
                <w:sz w:val="14"/>
                <w:szCs w:val="14"/>
                <w:b w:val="1"/>
                <w:bCs w:val="1"/>
                <w:color w:val="auto"/>
              </w:rPr>
              <w:t>Carrying</w:t>
            </w:r>
          </w:p>
        </w:tc>
        <w:tc>
          <w:tcPr>
            <w:tcW w:w="120" w:type="dxa"/>
            <w:vAlign w:val="bottom"/>
          </w:tcPr>
          <w:p>
            <w:pPr>
              <w:spacing w:after="0"/>
              <w:rPr>
                <w:sz w:val="14"/>
                <w:szCs w:val="14"/>
                <w:color w:val="auto"/>
              </w:rPr>
            </w:pPr>
          </w:p>
        </w:tc>
        <w:tc>
          <w:tcPr>
            <w:tcW w:w="1180" w:type="dxa"/>
            <w:vAlign w:val="bottom"/>
          </w:tcPr>
          <w:p>
            <w:pPr>
              <w:jc w:val="center"/>
              <w:ind w:right="60"/>
              <w:spacing w:after="0"/>
              <w:rPr>
                <w:sz w:val="20"/>
                <w:szCs w:val="20"/>
                <w:color w:val="auto"/>
              </w:rPr>
            </w:pPr>
            <w:r>
              <w:rPr>
                <w:rFonts w:ascii="Arial" w:cs="Arial" w:eastAsia="Arial" w:hAnsi="Arial"/>
                <w:sz w:val="14"/>
                <w:szCs w:val="14"/>
                <w:b w:val="1"/>
                <w:bCs w:val="1"/>
                <w:color w:val="auto"/>
              </w:rPr>
              <w:t>Assets</w:t>
            </w:r>
          </w:p>
        </w:tc>
        <w:tc>
          <w:tcPr>
            <w:tcW w:w="300" w:type="dxa"/>
            <w:vAlign w:val="bottom"/>
          </w:tcPr>
          <w:p>
            <w:pPr>
              <w:spacing w:after="0"/>
              <w:rPr>
                <w:sz w:val="14"/>
                <w:szCs w:val="14"/>
                <w:color w:val="auto"/>
              </w:rPr>
            </w:pPr>
          </w:p>
        </w:tc>
        <w:tc>
          <w:tcPr>
            <w:tcW w:w="1200" w:type="dxa"/>
            <w:vAlign w:val="bottom"/>
          </w:tcPr>
          <w:p>
            <w:pPr>
              <w:jc w:val="center"/>
              <w:ind w:right="178"/>
              <w:spacing w:after="0"/>
              <w:rPr>
                <w:sz w:val="20"/>
                <w:szCs w:val="20"/>
                <w:color w:val="auto"/>
              </w:rPr>
            </w:pPr>
            <w:r>
              <w:rPr>
                <w:rFonts w:ascii="Arial" w:cs="Arial" w:eastAsia="Arial" w:hAnsi="Arial"/>
                <w:sz w:val="14"/>
                <w:szCs w:val="14"/>
                <w:b w:val="1"/>
                <w:bCs w:val="1"/>
                <w:color w:val="auto"/>
                <w:w w:val="99"/>
              </w:rPr>
              <w:t>Inputs</w:t>
            </w:r>
          </w:p>
        </w:tc>
        <w:tc>
          <w:tcPr>
            <w:tcW w:w="240" w:type="dxa"/>
            <w:vAlign w:val="bottom"/>
          </w:tcPr>
          <w:p>
            <w:pPr>
              <w:spacing w:after="0"/>
              <w:rPr>
                <w:sz w:val="14"/>
                <w:szCs w:val="14"/>
                <w:color w:val="auto"/>
              </w:rPr>
            </w:pPr>
          </w:p>
        </w:tc>
        <w:tc>
          <w:tcPr>
            <w:tcW w:w="1200" w:type="dxa"/>
            <w:vAlign w:val="bottom"/>
          </w:tcPr>
          <w:p>
            <w:pPr>
              <w:jc w:val="center"/>
              <w:ind w:right="99"/>
              <w:spacing w:after="0"/>
              <w:rPr>
                <w:sz w:val="20"/>
                <w:szCs w:val="20"/>
                <w:color w:val="auto"/>
              </w:rPr>
            </w:pPr>
            <w:r>
              <w:rPr>
                <w:rFonts w:ascii="Arial" w:cs="Arial" w:eastAsia="Arial" w:hAnsi="Arial"/>
                <w:sz w:val="14"/>
                <w:szCs w:val="14"/>
                <w:b w:val="1"/>
                <w:bCs w:val="1"/>
                <w:color w:val="auto"/>
                <w:w w:val="99"/>
              </w:rPr>
              <w:t>Inputs</w:t>
            </w:r>
          </w:p>
        </w:tc>
        <w:tc>
          <w:tcPr>
            <w:tcW w:w="380" w:type="dxa"/>
            <w:vAlign w:val="bottom"/>
          </w:tcPr>
          <w:p>
            <w:pPr>
              <w:spacing w:after="0"/>
              <w:rPr>
                <w:sz w:val="14"/>
                <w:szCs w:val="14"/>
                <w:color w:val="auto"/>
              </w:rPr>
            </w:pPr>
          </w:p>
        </w:tc>
        <w:tc>
          <w:tcPr>
            <w:tcW w:w="1000" w:type="dxa"/>
            <w:vAlign w:val="bottom"/>
          </w:tcPr>
          <w:p>
            <w:pPr>
              <w:jc w:val="right"/>
              <w:ind w:right="416"/>
              <w:spacing w:after="0"/>
              <w:rPr>
                <w:sz w:val="20"/>
                <w:szCs w:val="20"/>
                <w:color w:val="auto"/>
              </w:rPr>
            </w:pPr>
            <w:r>
              <w:rPr>
                <w:rFonts w:ascii="Arial" w:cs="Arial" w:eastAsia="Arial" w:hAnsi="Arial"/>
                <w:sz w:val="14"/>
                <w:szCs w:val="14"/>
                <w:b w:val="1"/>
                <w:bCs w:val="1"/>
                <w:color w:val="auto"/>
              </w:rPr>
              <w:t>Fair</w:t>
            </w:r>
          </w:p>
        </w:tc>
      </w:tr>
      <w:tr>
        <w:trPr>
          <w:trHeight w:val="196"/>
        </w:trPr>
        <w:tc>
          <w:tcPr>
            <w:tcW w:w="396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436"/>
              <w:spacing w:after="0"/>
              <w:rPr>
                <w:sz w:val="20"/>
                <w:szCs w:val="20"/>
                <w:color w:val="auto"/>
              </w:rPr>
            </w:pPr>
            <w:r>
              <w:rPr>
                <w:rFonts w:ascii="Arial" w:cs="Arial" w:eastAsia="Arial" w:hAnsi="Arial"/>
                <w:sz w:val="14"/>
                <w:szCs w:val="14"/>
                <w:b w:val="1"/>
                <w:bCs w:val="1"/>
                <w:color w:val="auto"/>
              </w:rPr>
              <w:t>Amount</w:t>
            </w:r>
          </w:p>
        </w:tc>
        <w:tc>
          <w:tcPr>
            <w:tcW w:w="12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center"/>
              <w:ind w:right="80"/>
              <w:spacing w:after="0"/>
              <w:rPr>
                <w:sz w:val="20"/>
                <w:szCs w:val="20"/>
                <w:color w:val="auto"/>
              </w:rPr>
            </w:pPr>
            <w:r>
              <w:rPr>
                <w:rFonts w:ascii="Arial" w:cs="Arial" w:eastAsia="Arial" w:hAnsi="Arial"/>
                <w:sz w:val="14"/>
                <w:szCs w:val="14"/>
                <w:b w:val="1"/>
                <w:bCs w:val="1"/>
                <w:color w:val="auto"/>
              </w:rPr>
              <w:t>(Level 1)</w:t>
            </w:r>
          </w:p>
        </w:tc>
        <w:tc>
          <w:tcPr>
            <w:tcW w:w="30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center"/>
              <w:ind w:right="178"/>
              <w:spacing w:after="0"/>
              <w:rPr>
                <w:sz w:val="20"/>
                <w:szCs w:val="20"/>
                <w:color w:val="auto"/>
              </w:rPr>
            </w:pPr>
            <w:r>
              <w:rPr>
                <w:rFonts w:ascii="Arial" w:cs="Arial" w:eastAsia="Arial" w:hAnsi="Arial"/>
                <w:sz w:val="14"/>
                <w:szCs w:val="14"/>
                <w:b w:val="1"/>
                <w:bCs w:val="1"/>
                <w:color w:val="auto"/>
              </w:rPr>
              <w:t>(Level 2)</w:t>
            </w:r>
          </w:p>
        </w:tc>
        <w:tc>
          <w:tcPr>
            <w:tcW w:w="2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center"/>
              <w:ind w:right="99"/>
              <w:spacing w:after="0"/>
              <w:rPr>
                <w:sz w:val="20"/>
                <w:szCs w:val="20"/>
                <w:color w:val="auto"/>
              </w:rPr>
            </w:pPr>
            <w:r>
              <w:rPr>
                <w:rFonts w:ascii="Arial" w:cs="Arial" w:eastAsia="Arial" w:hAnsi="Arial"/>
                <w:sz w:val="14"/>
                <w:szCs w:val="14"/>
                <w:b w:val="1"/>
                <w:bCs w:val="1"/>
                <w:color w:val="auto"/>
              </w:rPr>
              <w:t>(Level 3)</w:t>
            </w:r>
          </w:p>
        </w:tc>
        <w:tc>
          <w:tcPr>
            <w:tcW w:w="3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356"/>
              <w:spacing w:after="0"/>
              <w:rPr>
                <w:sz w:val="20"/>
                <w:szCs w:val="20"/>
                <w:color w:val="auto"/>
              </w:rPr>
            </w:pPr>
            <w:r>
              <w:rPr>
                <w:rFonts w:ascii="Arial" w:cs="Arial" w:eastAsia="Arial" w:hAnsi="Arial"/>
                <w:sz w:val="14"/>
                <w:szCs w:val="14"/>
                <w:b w:val="1"/>
                <w:bCs w:val="1"/>
                <w:color w:val="auto"/>
              </w:rPr>
              <w:t>Value</w:t>
            </w:r>
          </w:p>
        </w:tc>
      </w:tr>
      <w:tr>
        <w:trPr>
          <w:trHeight w:val="270"/>
        </w:trPr>
        <w:tc>
          <w:tcPr>
            <w:tcW w:w="396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Short-term commercial paper borrowings</w:t>
            </w:r>
          </w:p>
        </w:tc>
        <w:tc>
          <w:tcPr>
            <w:tcW w:w="62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r>
      <w:tr>
        <w:trPr>
          <w:trHeight w:val="263"/>
        </w:trPr>
        <w:tc>
          <w:tcPr>
            <w:tcW w:w="3960" w:type="dxa"/>
            <w:vAlign w:val="bottom"/>
          </w:tcPr>
          <w:p>
            <w:pPr>
              <w:ind w:left="40"/>
              <w:spacing w:after="0"/>
              <w:rPr>
                <w:sz w:val="20"/>
                <w:szCs w:val="20"/>
                <w:color w:val="auto"/>
              </w:rPr>
            </w:pPr>
            <w:r>
              <w:rPr>
                <w:rFonts w:ascii="Arial" w:cs="Arial" w:eastAsia="Arial" w:hAnsi="Arial"/>
                <w:sz w:val="18"/>
                <w:szCs w:val="18"/>
                <w:color w:val="auto"/>
              </w:rPr>
              <w:t>March 31, 2018</w:t>
            </w:r>
          </w:p>
        </w:tc>
        <w:tc>
          <w:tcPr>
            <w:tcW w:w="620" w:type="dxa"/>
            <w:vAlign w:val="bottom"/>
          </w:tcPr>
          <w:p>
            <w:pPr>
              <w:jc w:val="right"/>
              <w:ind w:right="50"/>
              <w:spacing w:after="0"/>
              <w:rPr>
                <w:sz w:val="20"/>
                <w:szCs w:val="20"/>
                <w:color w:val="auto"/>
              </w:rPr>
            </w:pPr>
            <w:r>
              <w:rPr>
                <w:rFonts w:ascii="Arial" w:cs="Arial" w:eastAsia="Arial" w:hAnsi="Arial"/>
                <w:sz w:val="18"/>
                <w:szCs w:val="18"/>
                <w:b w:val="1"/>
                <w:bCs w:val="1"/>
                <w:color w:val="auto"/>
              </w:rPr>
              <w:t>$</w:t>
            </w:r>
          </w:p>
        </w:tc>
        <w:tc>
          <w:tcPr>
            <w:tcW w:w="1220" w:type="dxa"/>
            <w:vAlign w:val="bottom"/>
          </w:tcPr>
          <w:p>
            <w:pPr>
              <w:jc w:val="right"/>
              <w:ind w:right="76"/>
              <w:spacing w:after="0"/>
              <w:rPr>
                <w:sz w:val="20"/>
                <w:szCs w:val="20"/>
                <w:color w:val="auto"/>
              </w:rPr>
            </w:pPr>
            <w:r>
              <w:rPr>
                <w:rFonts w:ascii="Arial" w:cs="Arial" w:eastAsia="Arial" w:hAnsi="Arial"/>
                <w:sz w:val="18"/>
                <w:szCs w:val="18"/>
                <w:b w:val="1"/>
                <w:bCs w:val="1"/>
                <w:color w:val="auto"/>
              </w:rPr>
              <w:t>(1,494.3)</w:t>
            </w:r>
          </w:p>
        </w:tc>
        <w:tc>
          <w:tcPr>
            <w:tcW w:w="12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Pr>
          <w:p>
            <w:pPr>
              <w:ind w:left="860"/>
              <w:spacing w:after="0"/>
              <w:rPr>
                <w:sz w:val="20"/>
                <w:szCs w:val="20"/>
                <w:color w:val="auto"/>
              </w:rPr>
            </w:pPr>
            <w:r>
              <w:rPr>
                <w:rFonts w:ascii="Arial" w:cs="Arial" w:eastAsia="Arial" w:hAnsi="Arial"/>
                <w:sz w:val="18"/>
                <w:szCs w:val="18"/>
                <w:b w:val="1"/>
                <w:bCs w:val="1"/>
                <w:color w:val="auto"/>
              </w:rPr>
              <w:t>—</w:t>
            </w:r>
          </w:p>
        </w:tc>
        <w:tc>
          <w:tcPr>
            <w:tcW w:w="300" w:type="dxa"/>
            <w:vAlign w:val="bottom"/>
          </w:tcPr>
          <w:p>
            <w:pPr>
              <w:jc w:val="right"/>
              <w:ind w:right="16"/>
              <w:spacing w:after="0"/>
              <w:rPr>
                <w:sz w:val="20"/>
                <w:szCs w:val="20"/>
                <w:color w:val="auto"/>
              </w:rPr>
            </w:pPr>
            <w:r>
              <w:rPr>
                <w:rFonts w:ascii="Arial" w:cs="Arial" w:eastAsia="Arial" w:hAnsi="Arial"/>
                <w:sz w:val="18"/>
                <w:szCs w:val="18"/>
                <w:b w:val="1"/>
                <w:bCs w:val="1"/>
                <w:color w:val="auto"/>
              </w:rPr>
              <w:t>$</w:t>
            </w:r>
          </w:p>
        </w:tc>
        <w:tc>
          <w:tcPr>
            <w:tcW w:w="1200" w:type="dxa"/>
            <w:vAlign w:val="bottom"/>
          </w:tcPr>
          <w:p>
            <w:pPr>
              <w:jc w:val="right"/>
              <w:ind w:right="18"/>
              <w:spacing w:after="0"/>
              <w:rPr>
                <w:sz w:val="20"/>
                <w:szCs w:val="20"/>
                <w:color w:val="auto"/>
              </w:rPr>
            </w:pPr>
            <w:r>
              <w:rPr>
                <w:rFonts w:ascii="Arial" w:cs="Arial" w:eastAsia="Arial" w:hAnsi="Arial"/>
                <w:sz w:val="18"/>
                <w:szCs w:val="18"/>
                <w:b w:val="1"/>
                <w:bCs w:val="1"/>
                <w:color w:val="auto"/>
              </w:rPr>
              <w:t>(1,492.8)</w:t>
            </w:r>
          </w:p>
        </w:tc>
        <w:tc>
          <w:tcPr>
            <w:tcW w:w="2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200" w:type="dxa"/>
            <w:vAlign w:val="bottom"/>
          </w:tcPr>
          <w:p>
            <w:pPr>
              <w:ind w:left="920"/>
              <w:spacing w:after="0"/>
              <w:rPr>
                <w:sz w:val="20"/>
                <w:szCs w:val="20"/>
                <w:color w:val="auto"/>
              </w:rPr>
            </w:pPr>
            <w:r>
              <w:rPr>
                <w:rFonts w:ascii="Arial" w:cs="Arial" w:eastAsia="Arial" w:hAnsi="Arial"/>
                <w:sz w:val="18"/>
                <w:szCs w:val="18"/>
                <w:b w:val="1"/>
                <w:bCs w:val="1"/>
                <w:color w:val="auto"/>
              </w:rPr>
              <w:t>—</w:t>
            </w:r>
          </w:p>
        </w:tc>
        <w:tc>
          <w:tcPr>
            <w:tcW w:w="380" w:type="dxa"/>
            <w:vAlign w:val="bottom"/>
          </w:tcPr>
          <w:p>
            <w:pPr>
              <w:jc w:val="right"/>
              <w:ind w:right="50"/>
              <w:spacing w:after="0"/>
              <w:rPr>
                <w:sz w:val="20"/>
                <w:szCs w:val="20"/>
                <w:color w:val="auto"/>
              </w:rPr>
            </w:pPr>
            <w:r>
              <w:rPr>
                <w:rFonts w:ascii="Arial" w:cs="Arial" w:eastAsia="Arial" w:hAnsi="Arial"/>
                <w:sz w:val="18"/>
                <w:szCs w:val="18"/>
                <w:b w:val="1"/>
                <w:bCs w:val="1"/>
                <w:color w:val="auto"/>
              </w:rPr>
              <w:t>$</w:t>
            </w: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(1,492.8)</w:t>
            </w:r>
          </w:p>
        </w:tc>
      </w:tr>
      <w:tr>
        <w:trPr>
          <w:trHeight w:val="277"/>
        </w:trPr>
        <w:tc>
          <w:tcPr>
            <w:tcW w:w="3960" w:type="dxa"/>
            <w:vAlign w:val="bottom"/>
            <w:shd w:val="clear" w:color="auto" w:fill="CCEEFF"/>
          </w:tcPr>
          <w:p>
            <w:pPr>
              <w:ind w:left="40"/>
              <w:spacing w:after="0"/>
              <w:rPr>
                <w:sz w:val="20"/>
                <w:szCs w:val="20"/>
                <w:color w:val="auto"/>
              </w:rPr>
            </w:pPr>
            <w:r>
              <w:rPr>
                <w:rFonts w:ascii="Arial" w:cs="Arial" w:eastAsia="Arial" w:hAnsi="Arial"/>
                <w:sz w:val="18"/>
                <w:szCs w:val="18"/>
                <w:color w:val="auto"/>
              </w:rPr>
              <w:t>December 31, 2017</w:t>
            </w:r>
          </w:p>
        </w:tc>
        <w:tc>
          <w:tcPr>
            <w:tcW w:w="62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76"/>
              <w:spacing w:after="0"/>
              <w:rPr>
                <w:sz w:val="20"/>
                <w:szCs w:val="20"/>
                <w:color w:val="auto"/>
              </w:rPr>
            </w:pPr>
            <w:r>
              <w:rPr>
                <w:rFonts w:ascii="Arial" w:cs="Arial" w:eastAsia="Arial" w:hAnsi="Arial"/>
                <w:sz w:val="18"/>
                <w:szCs w:val="18"/>
                <w:color w:val="auto"/>
              </w:rPr>
              <w:t>(2,696.8)</w:t>
            </w:r>
          </w:p>
        </w:tc>
        <w:tc>
          <w:tcPr>
            <w:tcW w:w="120" w:type="dxa"/>
            <w:vAlign w:val="bottom"/>
            <w:shd w:val="clear" w:color="auto" w:fill="CCEEFF"/>
          </w:tcPr>
          <w:p>
            <w:pPr>
              <w:spacing w:after="0"/>
              <w:rPr>
                <w:sz w:val="24"/>
                <w:szCs w:val="24"/>
                <w:color w:val="auto"/>
              </w:rPr>
            </w:pPr>
          </w:p>
        </w:tc>
        <w:tc>
          <w:tcPr>
            <w:tcW w:w="11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rPr>
              <w:t>(2,690.6)</w:t>
            </w:r>
          </w:p>
        </w:tc>
        <w:tc>
          <w:tcPr>
            <w:tcW w:w="240" w:type="dxa"/>
            <w:vAlign w:val="bottom"/>
            <w:shd w:val="clear" w:color="auto" w:fill="CCEEFF"/>
          </w:tcPr>
          <w:p>
            <w:pPr>
              <w:spacing w:after="0"/>
              <w:rPr>
                <w:sz w:val="24"/>
                <w:szCs w:val="24"/>
                <w:color w:val="auto"/>
              </w:rPr>
            </w:pPr>
          </w:p>
        </w:tc>
        <w:tc>
          <w:tcPr>
            <w:tcW w:w="1200" w:type="dxa"/>
            <w:vAlign w:val="bottom"/>
            <w:shd w:val="clear" w:color="auto" w:fill="CCEEFF"/>
          </w:tcPr>
          <w:p>
            <w:pPr>
              <w:ind w:left="92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24"/>
                <w:szCs w:val="2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(2,690.6)</w:t>
            </w:r>
          </w:p>
        </w:tc>
      </w:tr>
      <w:tr>
        <w:trPr>
          <w:trHeight w:val="263"/>
        </w:trPr>
        <w:tc>
          <w:tcPr>
            <w:tcW w:w="3960" w:type="dxa"/>
            <w:vAlign w:val="bottom"/>
          </w:tcPr>
          <w:p>
            <w:pPr>
              <w:ind w:left="40"/>
              <w:spacing w:after="0"/>
              <w:rPr>
                <w:sz w:val="20"/>
                <w:szCs w:val="20"/>
                <w:color w:val="auto"/>
              </w:rPr>
            </w:pPr>
            <w:r>
              <w:rPr>
                <w:rFonts w:ascii="Arial" w:cs="Arial" w:eastAsia="Arial" w:hAnsi="Arial"/>
                <w:sz w:val="18"/>
                <w:szCs w:val="18"/>
                <w:b w:val="1"/>
                <w:bCs w:val="1"/>
                <w:color w:val="auto"/>
              </w:rPr>
              <w:t>Long-term debt, including current portion</w:t>
            </w:r>
          </w:p>
        </w:tc>
        <w:tc>
          <w:tcPr>
            <w:tcW w:w="62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000" w:type="dxa"/>
            <w:vAlign w:val="bottom"/>
          </w:tcPr>
          <w:p>
            <w:pPr>
              <w:spacing w:after="0"/>
              <w:rPr>
                <w:sz w:val="22"/>
                <w:szCs w:val="22"/>
                <w:color w:val="auto"/>
              </w:rPr>
            </w:pPr>
          </w:p>
        </w:tc>
      </w:tr>
      <w:tr>
        <w:trPr>
          <w:trHeight w:val="277"/>
        </w:trPr>
        <w:tc>
          <w:tcPr>
            <w:tcW w:w="3960" w:type="dxa"/>
            <w:vAlign w:val="bottom"/>
            <w:shd w:val="clear" w:color="auto" w:fill="CCEEFF"/>
          </w:tcPr>
          <w:p>
            <w:pPr>
              <w:ind w:left="40"/>
              <w:spacing w:after="0"/>
              <w:rPr>
                <w:sz w:val="20"/>
                <w:szCs w:val="20"/>
                <w:color w:val="auto"/>
              </w:rPr>
            </w:pPr>
            <w:r>
              <w:rPr>
                <w:rFonts w:ascii="Arial" w:cs="Arial" w:eastAsia="Arial" w:hAnsi="Arial"/>
                <w:sz w:val="18"/>
                <w:szCs w:val="18"/>
                <w:color w:val="auto"/>
              </w:rPr>
              <w:t>March 31, 2018</w:t>
            </w:r>
          </w:p>
        </w:tc>
        <w:tc>
          <w:tcPr>
            <w:tcW w:w="62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w:t>
            </w:r>
          </w:p>
        </w:tc>
        <w:tc>
          <w:tcPr>
            <w:tcW w:w="1220" w:type="dxa"/>
            <w:vAlign w:val="bottom"/>
            <w:shd w:val="clear" w:color="auto" w:fill="CCEEFF"/>
          </w:tcPr>
          <w:p>
            <w:pPr>
              <w:jc w:val="right"/>
              <w:ind w:right="76"/>
              <w:spacing w:after="0"/>
              <w:rPr>
                <w:sz w:val="20"/>
                <w:szCs w:val="20"/>
                <w:color w:val="auto"/>
              </w:rPr>
            </w:pPr>
            <w:r>
              <w:rPr>
                <w:rFonts w:ascii="Arial" w:cs="Arial" w:eastAsia="Arial" w:hAnsi="Arial"/>
                <w:sz w:val="18"/>
                <w:szCs w:val="18"/>
                <w:b w:val="1"/>
                <w:bCs w:val="1"/>
                <w:color w:val="auto"/>
              </w:rPr>
              <w:t>(10,203.4)</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180" w:type="dxa"/>
            <w:vAlign w:val="bottom"/>
            <w:shd w:val="clear" w:color="auto" w:fill="CCEEFF"/>
          </w:tcPr>
          <w:p>
            <w:pPr>
              <w:ind w:left="860"/>
              <w:spacing w:after="0"/>
              <w:rPr>
                <w:sz w:val="20"/>
                <w:szCs w:val="20"/>
                <w:color w:val="auto"/>
              </w:rPr>
            </w:pPr>
            <w:r>
              <w:rPr>
                <w:rFonts w:ascii="Arial" w:cs="Arial" w:eastAsia="Arial" w:hAnsi="Arial"/>
                <w:sz w:val="18"/>
                <w:szCs w:val="18"/>
                <w:b w:val="1"/>
                <w:bCs w:val="1"/>
                <w:color w:val="auto"/>
              </w:rPr>
              <w:t>—</w:t>
            </w:r>
          </w:p>
        </w:tc>
        <w:tc>
          <w:tcPr>
            <w:tcW w:w="300" w:type="dxa"/>
            <w:vAlign w:val="bottom"/>
            <w:shd w:val="clear" w:color="auto" w:fill="CCEEFF"/>
          </w:tcPr>
          <w:p>
            <w:pPr>
              <w:jc w:val="right"/>
              <w:ind w:right="16"/>
              <w:spacing w:after="0"/>
              <w:rPr>
                <w:sz w:val="20"/>
                <w:szCs w:val="20"/>
                <w:color w:val="auto"/>
              </w:rPr>
            </w:pPr>
            <w:r>
              <w:rPr>
                <w:rFonts w:ascii="Arial" w:cs="Arial" w:eastAsia="Arial" w:hAnsi="Arial"/>
                <w:sz w:val="18"/>
                <w:szCs w:val="18"/>
                <w:b w:val="1"/>
                <w:bCs w:val="1"/>
                <w:color w:val="auto"/>
              </w:rPr>
              <w:t>$</w:t>
            </w:r>
          </w:p>
        </w:tc>
        <w:tc>
          <w:tcPr>
            <w:tcW w:w="1200" w:type="dxa"/>
            <w:vAlign w:val="bottom"/>
            <w:shd w:val="clear" w:color="auto" w:fill="CCEEFF"/>
          </w:tcPr>
          <w:p>
            <w:pPr>
              <w:jc w:val="right"/>
              <w:ind w:right="18"/>
              <w:spacing w:after="0"/>
              <w:rPr>
                <w:sz w:val="20"/>
                <w:szCs w:val="20"/>
                <w:color w:val="auto"/>
              </w:rPr>
            </w:pPr>
            <w:r>
              <w:rPr>
                <w:rFonts w:ascii="Arial" w:cs="Arial" w:eastAsia="Arial" w:hAnsi="Arial"/>
                <w:sz w:val="18"/>
                <w:szCs w:val="18"/>
                <w:b w:val="1"/>
                <w:bCs w:val="1"/>
                <w:color w:val="auto"/>
              </w:rPr>
              <w:t>(10,583.8)</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200" w:type="dxa"/>
            <w:vAlign w:val="bottom"/>
            <w:shd w:val="clear" w:color="auto" w:fill="CCEEFF"/>
          </w:tcPr>
          <w:p>
            <w:pPr>
              <w:ind w:left="920"/>
              <w:spacing w:after="0"/>
              <w:rPr>
                <w:sz w:val="20"/>
                <w:szCs w:val="20"/>
                <w:color w:val="auto"/>
              </w:rPr>
            </w:pPr>
            <w:r>
              <w:rPr>
                <w:rFonts w:ascii="Arial" w:cs="Arial" w:eastAsia="Arial" w:hAnsi="Arial"/>
                <w:sz w:val="18"/>
                <w:szCs w:val="18"/>
                <w:b w:val="1"/>
                <w:bCs w:val="1"/>
                <w:color w:val="auto"/>
              </w:rPr>
              <w:t>—</w:t>
            </w:r>
          </w:p>
        </w:tc>
        <w:tc>
          <w:tcPr>
            <w:tcW w:w="38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(10,583.8)</w:t>
            </w:r>
          </w:p>
        </w:tc>
      </w:tr>
      <w:tr>
        <w:trPr>
          <w:trHeight w:val="257"/>
        </w:trPr>
        <w:tc>
          <w:tcPr>
            <w:tcW w:w="3960" w:type="dxa"/>
            <w:vAlign w:val="bottom"/>
          </w:tcPr>
          <w:p>
            <w:pPr>
              <w:ind w:left="40"/>
              <w:spacing w:after="0"/>
              <w:rPr>
                <w:sz w:val="20"/>
                <w:szCs w:val="20"/>
                <w:color w:val="auto"/>
              </w:rPr>
            </w:pPr>
            <w:r>
              <w:rPr>
                <w:rFonts w:ascii="Arial" w:cs="Arial" w:eastAsia="Arial" w:hAnsi="Arial"/>
                <w:sz w:val="18"/>
                <w:szCs w:val="18"/>
                <w:color w:val="auto"/>
              </w:rPr>
              <w:t>December 31, 2017</w:t>
            </w:r>
          </w:p>
        </w:tc>
        <w:tc>
          <w:tcPr>
            <w:tcW w:w="620" w:type="dxa"/>
            <w:vAlign w:val="bottom"/>
          </w:tcPr>
          <w:p>
            <w:pPr>
              <w:spacing w:after="0"/>
              <w:rPr>
                <w:sz w:val="22"/>
                <w:szCs w:val="22"/>
                <w:color w:val="auto"/>
              </w:rPr>
            </w:pPr>
          </w:p>
        </w:tc>
        <w:tc>
          <w:tcPr>
            <w:tcW w:w="1220" w:type="dxa"/>
            <w:vAlign w:val="bottom"/>
          </w:tcPr>
          <w:p>
            <w:pPr>
              <w:jc w:val="right"/>
              <w:ind w:right="76"/>
              <w:spacing w:after="0"/>
              <w:rPr>
                <w:sz w:val="20"/>
                <w:szCs w:val="20"/>
                <w:color w:val="auto"/>
              </w:rPr>
            </w:pPr>
            <w:r>
              <w:rPr>
                <w:rFonts w:ascii="Arial" w:cs="Arial" w:eastAsia="Arial" w:hAnsi="Arial"/>
                <w:sz w:val="18"/>
                <w:szCs w:val="18"/>
                <w:color w:val="auto"/>
              </w:rPr>
              <w:t>(10,950.3)</w:t>
            </w:r>
          </w:p>
        </w:tc>
        <w:tc>
          <w:tcPr>
            <w:tcW w:w="120" w:type="dxa"/>
            <w:vAlign w:val="bottom"/>
          </w:tcPr>
          <w:p>
            <w:pPr>
              <w:spacing w:after="0"/>
              <w:rPr>
                <w:sz w:val="22"/>
                <w:szCs w:val="22"/>
                <w:color w:val="auto"/>
              </w:rPr>
            </w:pPr>
          </w:p>
        </w:tc>
        <w:tc>
          <w:tcPr>
            <w:tcW w:w="1180" w:type="dxa"/>
            <w:vAlign w:val="bottom"/>
          </w:tcPr>
          <w:p>
            <w:pPr>
              <w:ind w:left="8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2"/>
                <w:szCs w:val="22"/>
                <w:color w:val="auto"/>
              </w:rPr>
            </w:pPr>
          </w:p>
        </w:tc>
        <w:tc>
          <w:tcPr>
            <w:tcW w:w="1200" w:type="dxa"/>
            <w:vAlign w:val="bottom"/>
          </w:tcPr>
          <w:p>
            <w:pPr>
              <w:jc w:val="right"/>
              <w:ind w:right="18"/>
              <w:spacing w:after="0"/>
              <w:rPr>
                <w:sz w:val="20"/>
                <w:szCs w:val="20"/>
                <w:color w:val="auto"/>
              </w:rPr>
            </w:pPr>
            <w:r>
              <w:rPr>
                <w:rFonts w:ascii="Arial" w:cs="Arial" w:eastAsia="Arial" w:hAnsi="Arial"/>
                <w:sz w:val="18"/>
                <w:szCs w:val="18"/>
                <w:color w:val="auto"/>
              </w:rPr>
              <w:t>(11,529.9)</w:t>
            </w:r>
          </w:p>
        </w:tc>
        <w:tc>
          <w:tcPr>
            <w:tcW w:w="240" w:type="dxa"/>
            <w:vAlign w:val="bottom"/>
          </w:tcPr>
          <w:p>
            <w:pPr>
              <w:spacing w:after="0"/>
              <w:rPr>
                <w:sz w:val="22"/>
                <w:szCs w:val="22"/>
                <w:color w:val="auto"/>
              </w:rPr>
            </w:pPr>
          </w:p>
        </w:tc>
        <w:tc>
          <w:tcPr>
            <w:tcW w:w="1200" w:type="dxa"/>
            <w:vAlign w:val="bottom"/>
          </w:tcPr>
          <w:p>
            <w:pPr>
              <w:ind w:left="9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(11,529.9)</w:t>
            </w:r>
          </w:p>
        </w:tc>
      </w:tr>
    </w:tbl>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802" w:right="239" w:bottom="1440" w:gutter="0" w:footer="0" w:header="0"/>
        </w:sectPr>
      </w:pPr>
    </w:p>
    <w:bookmarkStart w:id="22" w:name="page23"/>
    <w:bookmarkEnd w:id="22"/>
    <w:tbl>
      <w:tblPr>
        <w:tblLayout w:type="fixed"/>
        <w:tblInd w:w="0" w:type="dxa"/>
        <w:tblCellMar>
          <w:top w:w="0" w:type="dxa"/>
          <w:left w:w="0" w:type="dxa"/>
          <w:bottom w:w="0" w:type="dxa"/>
          <w:right w:w="0" w:type="dxa"/>
        </w:tblCellMar>
      </w:tblPr>
      <w:tr>
        <w:trPr>
          <w:trHeight w:val="196"/>
        </w:trPr>
        <w:tc>
          <w:tcPr>
            <w:tcW w:w="4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4120" w:type="dxa"/>
            <w:vAlign w:val="bottom"/>
            <w:tcBorders>
              <w:bottom w:val="single" w:sz="8" w:color="auto"/>
            </w:tcBorders>
            <w:gridSpan w:val="5"/>
          </w:tcPr>
          <w:p>
            <w:pPr>
              <w:ind w:left="940"/>
              <w:spacing w:after="0"/>
              <w:rPr>
                <w:sz w:val="20"/>
                <w:szCs w:val="20"/>
                <w:color w:val="auto"/>
              </w:rPr>
            </w:pPr>
            <w:r>
              <w:rPr>
                <w:rFonts w:ascii="Arial" w:cs="Arial" w:eastAsia="Arial" w:hAnsi="Arial"/>
                <w:sz w:val="14"/>
                <w:szCs w:val="14"/>
                <w:b w:val="1"/>
                <w:bCs w:val="1"/>
                <w:color w:val="auto"/>
              </w:rPr>
              <w:t>Fair Value Measurements Using</w:t>
            </w:r>
          </w:p>
        </w:tc>
        <w:tc>
          <w:tcPr>
            <w:tcW w:w="40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175"/>
        </w:trPr>
        <w:tc>
          <w:tcPr>
            <w:tcW w:w="42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300" w:type="dxa"/>
            <w:vAlign w:val="bottom"/>
            <w:gridSpan w:val="2"/>
          </w:tcPr>
          <w:p>
            <w:pPr>
              <w:jc w:val="center"/>
              <w:spacing w:after="0"/>
              <w:rPr>
                <w:sz w:val="20"/>
                <w:szCs w:val="20"/>
                <w:color w:val="auto"/>
              </w:rPr>
            </w:pPr>
            <w:r>
              <w:rPr>
                <w:rFonts w:ascii="Arial" w:cs="Arial" w:eastAsia="Arial" w:hAnsi="Arial"/>
                <w:sz w:val="14"/>
                <w:szCs w:val="14"/>
                <w:b w:val="1"/>
                <w:bCs w:val="1"/>
                <w:color w:val="auto"/>
              </w:rPr>
              <w:t>Quoted Prices in</w:t>
            </w:r>
          </w:p>
        </w:tc>
        <w:tc>
          <w:tcPr>
            <w:tcW w:w="3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80" w:type="dxa"/>
            <w:vAlign w:val="bottom"/>
          </w:tcPr>
          <w:p>
            <w:pPr>
              <w:spacing w:after="0"/>
              <w:rPr>
                <w:sz w:val="15"/>
                <w:szCs w:val="15"/>
                <w:color w:val="auto"/>
              </w:rPr>
            </w:pPr>
          </w:p>
        </w:tc>
      </w:tr>
      <w:tr>
        <w:trPr>
          <w:trHeight w:val="162"/>
        </w:trPr>
        <w:tc>
          <w:tcPr>
            <w:tcW w:w="4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tcPr>
          <w:p>
            <w:pPr>
              <w:jc w:val="center"/>
              <w:ind w:right="74"/>
              <w:spacing w:after="0"/>
              <w:rPr>
                <w:sz w:val="20"/>
                <w:szCs w:val="20"/>
                <w:color w:val="auto"/>
              </w:rPr>
            </w:pPr>
            <w:r>
              <w:rPr>
                <w:rFonts w:ascii="Arial" w:cs="Arial" w:eastAsia="Arial" w:hAnsi="Arial"/>
                <w:sz w:val="14"/>
                <w:szCs w:val="14"/>
                <w:b w:val="1"/>
                <w:bCs w:val="1"/>
                <w:color w:val="auto"/>
              </w:rPr>
              <w:t>Active Markets</w:t>
            </w:r>
          </w:p>
        </w:tc>
        <w:tc>
          <w:tcPr>
            <w:tcW w:w="300" w:type="dxa"/>
            <w:vAlign w:val="bottom"/>
          </w:tcPr>
          <w:p>
            <w:pPr>
              <w:spacing w:after="0"/>
              <w:rPr>
                <w:sz w:val="14"/>
                <w:szCs w:val="14"/>
                <w:color w:val="auto"/>
              </w:rPr>
            </w:pPr>
          </w:p>
        </w:tc>
        <w:tc>
          <w:tcPr>
            <w:tcW w:w="1200" w:type="dxa"/>
            <w:vAlign w:val="bottom"/>
          </w:tcPr>
          <w:p>
            <w:pPr>
              <w:jc w:val="center"/>
              <w:ind w:right="172"/>
              <w:spacing w:after="0"/>
              <w:rPr>
                <w:sz w:val="20"/>
                <w:szCs w:val="20"/>
                <w:color w:val="auto"/>
              </w:rPr>
            </w:pPr>
            <w:r>
              <w:rPr>
                <w:rFonts w:ascii="Arial" w:cs="Arial" w:eastAsia="Arial" w:hAnsi="Arial"/>
                <w:sz w:val="14"/>
                <w:szCs w:val="14"/>
                <w:b w:val="1"/>
                <w:bCs w:val="1"/>
                <w:color w:val="auto"/>
              </w:rPr>
              <w:t>Significant</w:t>
            </w:r>
          </w:p>
        </w:tc>
        <w:tc>
          <w:tcPr>
            <w:tcW w:w="240" w:type="dxa"/>
            <w:vAlign w:val="bottom"/>
          </w:tcPr>
          <w:p>
            <w:pPr>
              <w:spacing w:after="0"/>
              <w:rPr>
                <w:sz w:val="14"/>
                <w:szCs w:val="14"/>
                <w:color w:val="auto"/>
              </w:rPr>
            </w:pPr>
          </w:p>
        </w:tc>
        <w:tc>
          <w:tcPr>
            <w:tcW w:w="1200" w:type="dxa"/>
            <w:vAlign w:val="bottom"/>
          </w:tcPr>
          <w:p>
            <w:pPr>
              <w:jc w:val="center"/>
              <w:ind w:right="93"/>
              <w:spacing w:after="0"/>
              <w:rPr>
                <w:sz w:val="20"/>
                <w:szCs w:val="20"/>
                <w:color w:val="auto"/>
              </w:rPr>
            </w:pPr>
            <w:r>
              <w:rPr>
                <w:rFonts w:ascii="Arial" w:cs="Arial" w:eastAsia="Arial" w:hAnsi="Arial"/>
                <w:sz w:val="14"/>
                <w:szCs w:val="14"/>
                <w:b w:val="1"/>
                <w:bCs w:val="1"/>
                <w:color w:val="auto"/>
              </w:rPr>
              <w:t>Significant</w:t>
            </w:r>
          </w:p>
        </w:tc>
        <w:tc>
          <w:tcPr>
            <w:tcW w:w="40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62"/>
        </w:trPr>
        <w:tc>
          <w:tcPr>
            <w:tcW w:w="4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tcPr>
          <w:p>
            <w:pPr>
              <w:jc w:val="center"/>
              <w:ind w:right="74"/>
              <w:spacing w:after="0"/>
              <w:rPr>
                <w:sz w:val="20"/>
                <w:szCs w:val="20"/>
                <w:color w:val="auto"/>
              </w:rPr>
            </w:pPr>
            <w:r>
              <w:rPr>
                <w:rFonts w:ascii="Arial" w:cs="Arial" w:eastAsia="Arial" w:hAnsi="Arial"/>
                <w:sz w:val="14"/>
                <w:szCs w:val="14"/>
                <w:b w:val="1"/>
                <w:bCs w:val="1"/>
                <w:color w:val="auto"/>
              </w:rPr>
              <w:t>for Identical</w:t>
            </w:r>
          </w:p>
        </w:tc>
        <w:tc>
          <w:tcPr>
            <w:tcW w:w="1500" w:type="dxa"/>
            <w:vAlign w:val="bottom"/>
            <w:gridSpan w:val="2"/>
          </w:tcPr>
          <w:p>
            <w:pPr>
              <w:jc w:val="center"/>
              <w:spacing w:after="0"/>
              <w:rPr>
                <w:sz w:val="20"/>
                <w:szCs w:val="20"/>
                <w:color w:val="auto"/>
              </w:rPr>
            </w:pPr>
            <w:r>
              <w:rPr>
                <w:rFonts w:ascii="Arial" w:cs="Arial" w:eastAsia="Arial" w:hAnsi="Arial"/>
                <w:sz w:val="14"/>
                <w:szCs w:val="14"/>
                <w:b w:val="1"/>
                <w:bCs w:val="1"/>
                <w:color w:val="auto"/>
              </w:rPr>
              <w:t>Other Observable</w:t>
            </w:r>
          </w:p>
        </w:tc>
        <w:tc>
          <w:tcPr>
            <w:tcW w:w="240" w:type="dxa"/>
            <w:vAlign w:val="bottom"/>
          </w:tcPr>
          <w:p>
            <w:pPr>
              <w:spacing w:after="0"/>
              <w:rPr>
                <w:sz w:val="14"/>
                <w:szCs w:val="14"/>
                <w:color w:val="auto"/>
              </w:rPr>
            </w:pPr>
          </w:p>
        </w:tc>
        <w:tc>
          <w:tcPr>
            <w:tcW w:w="1200" w:type="dxa"/>
            <w:vAlign w:val="bottom"/>
          </w:tcPr>
          <w:p>
            <w:pPr>
              <w:jc w:val="center"/>
              <w:ind w:right="93"/>
              <w:spacing w:after="0"/>
              <w:rPr>
                <w:sz w:val="20"/>
                <w:szCs w:val="20"/>
                <w:color w:val="auto"/>
              </w:rPr>
            </w:pPr>
            <w:r>
              <w:rPr>
                <w:rFonts w:ascii="Arial" w:cs="Arial" w:eastAsia="Arial" w:hAnsi="Arial"/>
                <w:sz w:val="14"/>
                <w:szCs w:val="14"/>
                <w:b w:val="1"/>
                <w:bCs w:val="1"/>
                <w:color w:val="auto"/>
              </w:rPr>
              <w:t>Unobservable</w:t>
            </w:r>
          </w:p>
        </w:tc>
        <w:tc>
          <w:tcPr>
            <w:tcW w:w="40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62"/>
        </w:trPr>
        <w:tc>
          <w:tcPr>
            <w:tcW w:w="4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20" w:type="dxa"/>
            <w:vAlign w:val="bottom"/>
          </w:tcPr>
          <w:p>
            <w:pPr>
              <w:jc w:val="right"/>
              <w:ind w:right="412"/>
              <w:spacing w:after="0"/>
              <w:rPr>
                <w:sz w:val="20"/>
                <w:szCs w:val="20"/>
                <w:color w:val="auto"/>
              </w:rPr>
            </w:pPr>
            <w:r>
              <w:rPr>
                <w:rFonts w:ascii="Arial" w:cs="Arial" w:eastAsia="Arial" w:hAnsi="Arial"/>
                <w:sz w:val="14"/>
                <w:szCs w:val="14"/>
                <w:b w:val="1"/>
                <w:bCs w:val="1"/>
                <w:color w:val="auto"/>
              </w:rPr>
              <w:t>Carrying</w:t>
            </w:r>
          </w:p>
        </w:tc>
        <w:tc>
          <w:tcPr>
            <w:tcW w:w="120" w:type="dxa"/>
            <w:vAlign w:val="bottom"/>
          </w:tcPr>
          <w:p>
            <w:pPr>
              <w:spacing w:after="0"/>
              <w:rPr>
                <w:sz w:val="14"/>
                <w:szCs w:val="14"/>
                <w:color w:val="auto"/>
              </w:rPr>
            </w:pPr>
          </w:p>
        </w:tc>
        <w:tc>
          <w:tcPr>
            <w:tcW w:w="1180" w:type="dxa"/>
            <w:vAlign w:val="bottom"/>
          </w:tcPr>
          <w:p>
            <w:pPr>
              <w:jc w:val="center"/>
              <w:ind w:right="54"/>
              <w:spacing w:after="0"/>
              <w:rPr>
                <w:sz w:val="20"/>
                <w:szCs w:val="20"/>
                <w:color w:val="auto"/>
              </w:rPr>
            </w:pPr>
            <w:r>
              <w:rPr>
                <w:rFonts w:ascii="Arial" w:cs="Arial" w:eastAsia="Arial" w:hAnsi="Arial"/>
                <w:sz w:val="14"/>
                <w:szCs w:val="14"/>
                <w:b w:val="1"/>
                <w:bCs w:val="1"/>
                <w:color w:val="auto"/>
              </w:rPr>
              <w:t>Assets</w:t>
            </w:r>
          </w:p>
        </w:tc>
        <w:tc>
          <w:tcPr>
            <w:tcW w:w="300" w:type="dxa"/>
            <w:vAlign w:val="bottom"/>
          </w:tcPr>
          <w:p>
            <w:pPr>
              <w:spacing w:after="0"/>
              <w:rPr>
                <w:sz w:val="14"/>
                <w:szCs w:val="14"/>
                <w:color w:val="auto"/>
              </w:rPr>
            </w:pPr>
          </w:p>
        </w:tc>
        <w:tc>
          <w:tcPr>
            <w:tcW w:w="1200" w:type="dxa"/>
            <w:vAlign w:val="bottom"/>
          </w:tcPr>
          <w:p>
            <w:pPr>
              <w:jc w:val="center"/>
              <w:ind w:right="172"/>
              <w:spacing w:after="0"/>
              <w:rPr>
                <w:sz w:val="20"/>
                <w:szCs w:val="20"/>
                <w:color w:val="auto"/>
              </w:rPr>
            </w:pPr>
            <w:r>
              <w:rPr>
                <w:rFonts w:ascii="Arial" w:cs="Arial" w:eastAsia="Arial" w:hAnsi="Arial"/>
                <w:sz w:val="14"/>
                <w:szCs w:val="14"/>
                <w:b w:val="1"/>
                <w:bCs w:val="1"/>
                <w:color w:val="auto"/>
                <w:w w:val="99"/>
              </w:rPr>
              <w:t>Inputs</w:t>
            </w:r>
          </w:p>
        </w:tc>
        <w:tc>
          <w:tcPr>
            <w:tcW w:w="240" w:type="dxa"/>
            <w:vAlign w:val="bottom"/>
          </w:tcPr>
          <w:p>
            <w:pPr>
              <w:spacing w:after="0"/>
              <w:rPr>
                <w:sz w:val="14"/>
                <w:szCs w:val="14"/>
                <w:color w:val="auto"/>
              </w:rPr>
            </w:pPr>
          </w:p>
        </w:tc>
        <w:tc>
          <w:tcPr>
            <w:tcW w:w="1200" w:type="dxa"/>
            <w:vAlign w:val="bottom"/>
          </w:tcPr>
          <w:p>
            <w:pPr>
              <w:jc w:val="center"/>
              <w:ind w:right="93"/>
              <w:spacing w:after="0"/>
              <w:rPr>
                <w:sz w:val="20"/>
                <w:szCs w:val="20"/>
                <w:color w:val="auto"/>
              </w:rPr>
            </w:pPr>
            <w:r>
              <w:rPr>
                <w:rFonts w:ascii="Arial" w:cs="Arial" w:eastAsia="Arial" w:hAnsi="Arial"/>
                <w:sz w:val="14"/>
                <w:szCs w:val="14"/>
                <w:b w:val="1"/>
                <w:bCs w:val="1"/>
                <w:color w:val="auto"/>
                <w:w w:val="99"/>
              </w:rPr>
              <w:t>Inputs</w:t>
            </w:r>
          </w:p>
        </w:tc>
        <w:tc>
          <w:tcPr>
            <w:tcW w:w="400" w:type="dxa"/>
            <w:vAlign w:val="bottom"/>
          </w:tcPr>
          <w:p>
            <w:pPr>
              <w:spacing w:after="0"/>
              <w:rPr>
                <w:sz w:val="14"/>
                <w:szCs w:val="14"/>
                <w:color w:val="auto"/>
              </w:rPr>
            </w:pPr>
          </w:p>
        </w:tc>
        <w:tc>
          <w:tcPr>
            <w:tcW w:w="980" w:type="dxa"/>
            <w:vAlign w:val="bottom"/>
          </w:tcPr>
          <w:p>
            <w:pPr>
              <w:jc w:val="right"/>
              <w:ind w:right="412"/>
              <w:spacing w:after="0"/>
              <w:rPr>
                <w:sz w:val="20"/>
                <w:szCs w:val="20"/>
                <w:color w:val="auto"/>
              </w:rPr>
            </w:pPr>
            <w:r>
              <w:rPr>
                <w:rFonts w:ascii="Arial" w:cs="Arial" w:eastAsia="Arial" w:hAnsi="Arial"/>
                <w:sz w:val="14"/>
                <w:szCs w:val="14"/>
                <w:b w:val="1"/>
                <w:bCs w:val="1"/>
                <w:color w:val="auto"/>
              </w:rPr>
              <w:t>Fair</w:t>
            </w:r>
          </w:p>
        </w:tc>
      </w:tr>
      <w:tr>
        <w:trPr>
          <w:trHeight w:val="196"/>
        </w:trPr>
        <w:tc>
          <w:tcPr>
            <w:tcW w:w="428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Amount</w:t>
            </w:r>
          </w:p>
        </w:tc>
        <w:tc>
          <w:tcPr>
            <w:tcW w:w="12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center"/>
              <w:ind w:right="74"/>
              <w:spacing w:after="0"/>
              <w:rPr>
                <w:sz w:val="20"/>
                <w:szCs w:val="20"/>
                <w:color w:val="auto"/>
              </w:rPr>
            </w:pPr>
            <w:r>
              <w:rPr>
                <w:rFonts w:ascii="Arial" w:cs="Arial" w:eastAsia="Arial" w:hAnsi="Arial"/>
                <w:sz w:val="14"/>
                <w:szCs w:val="14"/>
                <w:b w:val="1"/>
                <w:bCs w:val="1"/>
                <w:color w:val="auto"/>
              </w:rPr>
              <w:t>(Level 1)</w:t>
            </w:r>
          </w:p>
        </w:tc>
        <w:tc>
          <w:tcPr>
            <w:tcW w:w="30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center"/>
              <w:ind w:right="172"/>
              <w:spacing w:after="0"/>
              <w:rPr>
                <w:sz w:val="20"/>
                <w:szCs w:val="20"/>
                <w:color w:val="auto"/>
              </w:rPr>
            </w:pPr>
            <w:r>
              <w:rPr>
                <w:rFonts w:ascii="Arial" w:cs="Arial" w:eastAsia="Arial" w:hAnsi="Arial"/>
                <w:sz w:val="14"/>
                <w:szCs w:val="14"/>
                <w:b w:val="1"/>
                <w:bCs w:val="1"/>
                <w:color w:val="auto"/>
              </w:rPr>
              <w:t>(Level 2)</w:t>
            </w:r>
          </w:p>
        </w:tc>
        <w:tc>
          <w:tcPr>
            <w:tcW w:w="2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center"/>
              <w:ind w:right="93"/>
              <w:spacing w:after="0"/>
              <w:rPr>
                <w:sz w:val="20"/>
                <w:szCs w:val="20"/>
                <w:color w:val="auto"/>
              </w:rPr>
            </w:pPr>
            <w:r>
              <w:rPr>
                <w:rFonts w:ascii="Arial" w:cs="Arial" w:eastAsia="Arial" w:hAnsi="Arial"/>
                <w:sz w:val="14"/>
                <w:szCs w:val="14"/>
                <w:b w:val="1"/>
                <w:bCs w:val="1"/>
                <w:color w:val="auto"/>
              </w:rPr>
              <w:t>(Level 3)</w:t>
            </w:r>
          </w:p>
        </w:tc>
        <w:tc>
          <w:tcPr>
            <w:tcW w:w="4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Value</w:t>
            </w:r>
          </w:p>
        </w:tc>
      </w:tr>
      <w:tr>
        <w:trPr>
          <w:trHeight w:val="270"/>
        </w:trPr>
        <w:tc>
          <w:tcPr>
            <w:tcW w:w="428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March 31, 2018</w:t>
            </w:r>
          </w:p>
        </w:tc>
        <w:tc>
          <w:tcPr>
            <w:tcW w:w="30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r>
      <w:tr>
        <w:trPr>
          <w:trHeight w:val="263"/>
        </w:trPr>
        <w:tc>
          <w:tcPr>
            <w:tcW w:w="4280" w:type="dxa"/>
            <w:vAlign w:val="bottom"/>
          </w:tcPr>
          <w:p>
            <w:pPr>
              <w:ind w:left="40"/>
              <w:spacing w:after="0"/>
              <w:rPr>
                <w:sz w:val="20"/>
                <w:szCs w:val="20"/>
                <w:color w:val="auto"/>
              </w:rPr>
            </w:pPr>
            <w:r>
              <w:rPr>
                <w:rFonts w:ascii="Arial" w:cs="Arial" w:eastAsia="Arial" w:hAnsi="Arial"/>
                <w:sz w:val="18"/>
                <w:szCs w:val="18"/>
                <w:color w:val="auto"/>
              </w:rPr>
              <w:t>Risk-management instruments:</w:t>
            </w:r>
          </w:p>
        </w:tc>
        <w:tc>
          <w:tcPr>
            <w:tcW w:w="30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980" w:type="dxa"/>
            <w:vAlign w:val="bottom"/>
          </w:tcPr>
          <w:p>
            <w:pPr>
              <w:spacing w:after="0"/>
              <w:rPr>
                <w:sz w:val="22"/>
                <w:szCs w:val="22"/>
                <w:color w:val="auto"/>
              </w:rPr>
            </w:pPr>
          </w:p>
        </w:tc>
      </w:tr>
      <w:tr>
        <w:trPr>
          <w:trHeight w:val="235"/>
        </w:trPr>
        <w:tc>
          <w:tcPr>
            <w:tcW w:w="42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Interest rate contracts designated as fair value</w:t>
            </w:r>
          </w:p>
        </w:tc>
        <w:tc>
          <w:tcPr>
            <w:tcW w:w="30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r>
      <w:tr>
        <w:trPr>
          <w:trHeight w:val="230"/>
        </w:trPr>
        <w:tc>
          <w:tcPr>
            <w:tcW w:w="42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hedges:</w:t>
            </w:r>
          </w:p>
        </w:tc>
        <w:tc>
          <w:tcPr>
            <w:tcW w:w="30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r>
      <w:tr>
        <w:trPr>
          <w:trHeight w:val="263"/>
        </w:trPr>
        <w:tc>
          <w:tcPr>
            <w:tcW w:w="4280" w:type="dxa"/>
            <w:vAlign w:val="bottom"/>
          </w:tcPr>
          <w:p>
            <w:pPr>
              <w:ind w:left="380"/>
              <w:spacing w:after="0"/>
              <w:rPr>
                <w:sz w:val="20"/>
                <w:szCs w:val="20"/>
                <w:color w:val="auto"/>
              </w:rPr>
            </w:pPr>
            <w:r>
              <w:rPr>
                <w:rFonts w:ascii="Arial" w:cs="Arial" w:eastAsia="Arial" w:hAnsi="Arial"/>
                <w:sz w:val="18"/>
                <w:szCs w:val="18"/>
                <w:color w:val="auto"/>
              </w:rPr>
              <w:t>Sundry</w:t>
            </w:r>
          </w:p>
        </w:tc>
        <w:tc>
          <w:tcPr>
            <w:tcW w:w="300" w:type="dxa"/>
            <w:vAlign w:val="bottom"/>
          </w:tcPr>
          <w:p>
            <w:pPr>
              <w:jc w:val="right"/>
              <w:ind w:right="50"/>
              <w:spacing w:after="0"/>
              <w:rPr>
                <w:sz w:val="20"/>
                <w:szCs w:val="20"/>
                <w:color w:val="auto"/>
              </w:rPr>
            </w:pPr>
            <w:r>
              <w:rPr>
                <w:rFonts w:ascii="Arial" w:cs="Arial" w:eastAsia="Arial" w:hAnsi="Arial"/>
                <w:sz w:val="18"/>
                <w:szCs w:val="18"/>
                <w:b w:val="1"/>
                <w:bCs w:val="1"/>
                <w:color w:val="auto"/>
              </w:rPr>
              <w:t>$</w:t>
            </w:r>
          </w:p>
        </w:tc>
        <w:tc>
          <w:tcPr>
            <w:tcW w:w="1220" w:type="dxa"/>
            <w:vAlign w:val="bottom"/>
          </w:tcPr>
          <w:p>
            <w:pPr>
              <w:jc w:val="right"/>
              <w:ind w:right="132"/>
              <w:spacing w:after="0"/>
              <w:rPr>
                <w:sz w:val="20"/>
                <w:szCs w:val="20"/>
                <w:color w:val="auto"/>
              </w:rPr>
            </w:pPr>
            <w:r>
              <w:rPr>
                <w:rFonts w:ascii="Arial" w:cs="Arial" w:eastAsia="Arial" w:hAnsi="Arial"/>
                <w:sz w:val="18"/>
                <w:szCs w:val="18"/>
                <w:b w:val="1"/>
                <w:bCs w:val="1"/>
                <w:color w:val="auto"/>
              </w:rPr>
              <w:t>4.1</w:t>
            </w:r>
          </w:p>
        </w:tc>
        <w:tc>
          <w:tcPr>
            <w:tcW w:w="12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Pr>
          <w:p>
            <w:pPr>
              <w:ind w:left="860"/>
              <w:spacing w:after="0"/>
              <w:rPr>
                <w:sz w:val="20"/>
                <w:szCs w:val="20"/>
                <w:color w:val="auto"/>
              </w:rPr>
            </w:pPr>
            <w:r>
              <w:rPr>
                <w:rFonts w:ascii="Arial" w:cs="Arial" w:eastAsia="Arial" w:hAnsi="Arial"/>
                <w:sz w:val="18"/>
                <w:szCs w:val="18"/>
                <w:b w:val="1"/>
                <w:bCs w:val="1"/>
                <w:color w:val="auto"/>
              </w:rPr>
              <w:t>—</w:t>
            </w:r>
          </w:p>
        </w:tc>
        <w:tc>
          <w:tcPr>
            <w:tcW w:w="300" w:type="dxa"/>
            <w:vAlign w:val="bottom"/>
          </w:tcPr>
          <w:p>
            <w:pPr>
              <w:jc w:val="right"/>
              <w:ind w:right="16"/>
              <w:spacing w:after="0"/>
              <w:rPr>
                <w:sz w:val="20"/>
                <w:szCs w:val="20"/>
                <w:color w:val="auto"/>
              </w:rPr>
            </w:pPr>
            <w:r>
              <w:rPr>
                <w:rFonts w:ascii="Arial" w:cs="Arial" w:eastAsia="Arial" w:hAnsi="Arial"/>
                <w:sz w:val="18"/>
                <w:szCs w:val="18"/>
                <w:b w:val="1"/>
                <w:bCs w:val="1"/>
                <w:color w:val="auto"/>
              </w:rPr>
              <w:t>$</w:t>
            </w:r>
          </w:p>
        </w:tc>
        <w:tc>
          <w:tcPr>
            <w:tcW w:w="1200" w:type="dxa"/>
            <w:vAlign w:val="bottom"/>
          </w:tcPr>
          <w:p>
            <w:pPr>
              <w:jc w:val="right"/>
              <w:ind w:right="72"/>
              <w:spacing w:after="0"/>
              <w:rPr>
                <w:sz w:val="20"/>
                <w:szCs w:val="20"/>
                <w:color w:val="auto"/>
              </w:rPr>
            </w:pPr>
            <w:r>
              <w:rPr>
                <w:rFonts w:ascii="Arial" w:cs="Arial" w:eastAsia="Arial" w:hAnsi="Arial"/>
                <w:sz w:val="18"/>
                <w:szCs w:val="18"/>
                <w:b w:val="1"/>
                <w:bCs w:val="1"/>
                <w:color w:val="auto"/>
              </w:rPr>
              <w:t>4.1</w:t>
            </w:r>
          </w:p>
        </w:tc>
        <w:tc>
          <w:tcPr>
            <w:tcW w:w="2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200" w:type="dxa"/>
            <w:vAlign w:val="bottom"/>
          </w:tcPr>
          <w:p>
            <w:pPr>
              <w:jc w:val="right"/>
              <w:ind w:right="13"/>
              <w:spacing w:after="0"/>
              <w:rPr>
                <w:sz w:val="20"/>
                <w:szCs w:val="20"/>
                <w:color w:val="auto"/>
              </w:rPr>
            </w:pPr>
            <w:r>
              <w:rPr>
                <w:rFonts w:ascii="Arial" w:cs="Arial" w:eastAsia="Arial" w:hAnsi="Arial"/>
                <w:sz w:val="18"/>
                <w:szCs w:val="18"/>
                <w:b w:val="1"/>
                <w:bCs w:val="1"/>
                <w:color w:val="auto"/>
              </w:rPr>
              <w:t>—</w:t>
            </w:r>
          </w:p>
        </w:tc>
        <w:tc>
          <w:tcPr>
            <w:tcW w:w="400" w:type="dxa"/>
            <w:vAlign w:val="bottom"/>
          </w:tcPr>
          <w:p>
            <w:pPr>
              <w:jc w:val="right"/>
              <w:ind w:right="70"/>
              <w:spacing w:after="0"/>
              <w:rPr>
                <w:sz w:val="20"/>
                <w:szCs w:val="20"/>
                <w:color w:val="auto"/>
              </w:rPr>
            </w:pPr>
            <w:r>
              <w:rPr>
                <w:rFonts w:ascii="Arial" w:cs="Arial" w:eastAsia="Arial" w:hAnsi="Arial"/>
                <w:sz w:val="18"/>
                <w:szCs w:val="18"/>
                <w:b w:val="1"/>
                <w:bCs w:val="1"/>
                <w:color w:val="auto"/>
              </w:rPr>
              <w:t>$</w:t>
            </w:r>
          </w:p>
        </w:tc>
        <w:tc>
          <w:tcPr>
            <w:tcW w:w="980" w:type="dxa"/>
            <w:vAlign w:val="bottom"/>
          </w:tcPr>
          <w:p>
            <w:pPr>
              <w:jc w:val="right"/>
              <w:ind w:right="12"/>
              <w:spacing w:after="0"/>
              <w:rPr>
                <w:sz w:val="20"/>
                <w:szCs w:val="20"/>
                <w:color w:val="auto"/>
              </w:rPr>
            </w:pPr>
            <w:r>
              <w:rPr>
                <w:rFonts w:ascii="Arial" w:cs="Arial" w:eastAsia="Arial" w:hAnsi="Arial"/>
                <w:sz w:val="18"/>
                <w:szCs w:val="18"/>
                <w:b w:val="1"/>
                <w:bCs w:val="1"/>
                <w:color w:val="auto"/>
              </w:rPr>
              <w:t>4.1</w:t>
            </w:r>
          </w:p>
        </w:tc>
      </w:tr>
      <w:tr>
        <w:trPr>
          <w:trHeight w:val="277"/>
        </w:trPr>
        <w:tc>
          <w:tcPr>
            <w:tcW w:w="42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Other current liabilities</w:t>
            </w:r>
          </w:p>
        </w:tc>
        <w:tc>
          <w:tcPr>
            <w:tcW w:w="30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72"/>
              <w:spacing w:after="0"/>
              <w:rPr>
                <w:sz w:val="20"/>
                <w:szCs w:val="20"/>
                <w:color w:val="auto"/>
              </w:rPr>
            </w:pPr>
            <w:r>
              <w:rPr>
                <w:rFonts w:ascii="Arial" w:cs="Arial" w:eastAsia="Arial" w:hAnsi="Arial"/>
                <w:sz w:val="18"/>
                <w:szCs w:val="18"/>
                <w:b w:val="1"/>
                <w:bCs w:val="1"/>
                <w:color w:val="auto"/>
              </w:rPr>
              <w:t>(4.8)</w:t>
            </w:r>
          </w:p>
        </w:tc>
        <w:tc>
          <w:tcPr>
            <w:tcW w:w="120" w:type="dxa"/>
            <w:vAlign w:val="bottom"/>
            <w:shd w:val="clear" w:color="auto" w:fill="CCEEFF"/>
          </w:tcPr>
          <w:p>
            <w:pPr>
              <w:spacing w:after="0"/>
              <w:rPr>
                <w:sz w:val="24"/>
                <w:szCs w:val="24"/>
                <w:color w:val="auto"/>
              </w:rPr>
            </w:pPr>
          </w:p>
        </w:tc>
        <w:tc>
          <w:tcPr>
            <w:tcW w:w="1180" w:type="dxa"/>
            <w:vAlign w:val="bottom"/>
            <w:shd w:val="clear" w:color="auto" w:fill="CCEEFF"/>
          </w:tcPr>
          <w:p>
            <w:pPr>
              <w:ind w:left="860"/>
              <w:spacing w:after="0"/>
              <w:rPr>
                <w:sz w:val="20"/>
                <w:szCs w:val="20"/>
                <w:color w:val="auto"/>
              </w:rPr>
            </w:pPr>
            <w:r>
              <w:rPr>
                <w:rFonts w:ascii="Arial" w:cs="Arial" w:eastAsia="Arial" w:hAnsi="Arial"/>
                <w:sz w:val="18"/>
                <w:szCs w:val="18"/>
                <w:b w:val="1"/>
                <w:bCs w:val="1"/>
                <w:color w:val="auto"/>
              </w:rPr>
              <w:t>—</w:t>
            </w:r>
          </w:p>
        </w:tc>
        <w:tc>
          <w:tcPr>
            <w:tcW w:w="30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(4.8)</w:t>
            </w:r>
          </w:p>
        </w:tc>
        <w:tc>
          <w:tcPr>
            <w:tcW w:w="24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13"/>
              <w:spacing w:after="0"/>
              <w:rPr>
                <w:sz w:val="20"/>
                <w:szCs w:val="20"/>
                <w:color w:val="auto"/>
              </w:rPr>
            </w:pPr>
            <w:r>
              <w:rPr>
                <w:rFonts w:ascii="Arial" w:cs="Arial" w:eastAsia="Arial" w:hAnsi="Arial"/>
                <w:sz w:val="18"/>
                <w:szCs w:val="18"/>
                <w:b w:val="1"/>
                <w:bCs w:val="1"/>
                <w:color w:val="auto"/>
              </w:rPr>
              <w:t>—</w:t>
            </w:r>
          </w:p>
        </w:tc>
        <w:tc>
          <w:tcPr>
            <w:tcW w:w="400" w:type="dxa"/>
            <w:vAlign w:val="bottom"/>
            <w:shd w:val="clear" w:color="auto" w:fill="CCEEFF"/>
          </w:tcPr>
          <w:p>
            <w:pPr>
              <w:spacing w:after="0"/>
              <w:rPr>
                <w:sz w:val="24"/>
                <w:szCs w:val="2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(4.8)</w:t>
            </w:r>
          </w:p>
        </w:tc>
      </w:tr>
      <w:tr>
        <w:trPr>
          <w:trHeight w:val="263"/>
        </w:trPr>
        <w:tc>
          <w:tcPr>
            <w:tcW w:w="4280" w:type="dxa"/>
            <w:vAlign w:val="bottom"/>
          </w:tcPr>
          <w:p>
            <w:pPr>
              <w:ind w:left="380"/>
              <w:spacing w:after="0"/>
              <w:rPr>
                <w:sz w:val="20"/>
                <w:szCs w:val="20"/>
                <w:color w:val="auto"/>
              </w:rPr>
            </w:pPr>
            <w:r>
              <w:rPr>
                <w:rFonts w:ascii="Arial" w:cs="Arial" w:eastAsia="Arial" w:hAnsi="Arial"/>
                <w:sz w:val="18"/>
                <w:szCs w:val="18"/>
                <w:color w:val="auto"/>
              </w:rPr>
              <w:t>Other noncurrent liabilities</w:t>
            </w:r>
          </w:p>
        </w:tc>
        <w:tc>
          <w:tcPr>
            <w:tcW w:w="300" w:type="dxa"/>
            <w:vAlign w:val="bottom"/>
          </w:tcPr>
          <w:p>
            <w:pPr>
              <w:spacing w:after="0"/>
              <w:rPr>
                <w:sz w:val="22"/>
                <w:szCs w:val="22"/>
                <w:color w:val="auto"/>
              </w:rPr>
            </w:pPr>
          </w:p>
        </w:tc>
        <w:tc>
          <w:tcPr>
            <w:tcW w:w="1220" w:type="dxa"/>
            <w:vAlign w:val="bottom"/>
          </w:tcPr>
          <w:p>
            <w:pPr>
              <w:jc w:val="right"/>
              <w:ind w:right="72"/>
              <w:spacing w:after="0"/>
              <w:rPr>
                <w:sz w:val="20"/>
                <w:szCs w:val="20"/>
                <w:color w:val="auto"/>
              </w:rPr>
            </w:pPr>
            <w:r>
              <w:rPr>
                <w:rFonts w:ascii="Arial" w:cs="Arial" w:eastAsia="Arial" w:hAnsi="Arial"/>
                <w:sz w:val="18"/>
                <w:szCs w:val="18"/>
                <w:b w:val="1"/>
                <w:bCs w:val="1"/>
                <w:color w:val="auto"/>
              </w:rPr>
              <w:t>(29.3)</w:t>
            </w:r>
          </w:p>
        </w:tc>
        <w:tc>
          <w:tcPr>
            <w:tcW w:w="120" w:type="dxa"/>
            <w:vAlign w:val="bottom"/>
          </w:tcPr>
          <w:p>
            <w:pPr>
              <w:spacing w:after="0"/>
              <w:rPr>
                <w:sz w:val="22"/>
                <w:szCs w:val="22"/>
                <w:color w:val="auto"/>
              </w:rPr>
            </w:pPr>
          </w:p>
        </w:tc>
        <w:tc>
          <w:tcPr>
            <w:tcW w:w="1180" w:type="dxa"/>
            <w:vAlign w:val="bottom"/>
          </w:tcPr>
          <w:p>
            <w:pPr>
              <w:ind w:left="860"/>
              <w:spacing w:after="0"/>
              <w:rPr>
                <w:sz w:val="20"/>
                <w:szCs w:val="20"/>
                <w:color w:val="auto"/>
              </w:rPr>
            </w:pPr>
            <w:r>
              <w:rPr>
                <w:rFonts w:ascii="Arial" w:cs="Arial" w:eastAsia="Arial" w:hAnsi="Arial"/>
                <w:sz w:val="18"/>
                <w:szCs w:val="18"/>
                <w:b w:val="1"/>
                <w:bCs w:val="1"/>
                <w:color w:val="auto"/>
              </w:rPr>
              <w:t>—</w:t>
            </w:r>
          </w:p>
        </w:tc>
        <w:tc>
          <w:tcPr>
            <w:tcW w:w="300" w:type="dxa"/>
            <w:vAlign w:val="bottom"/>
          </w:tcPr>
          <w:p>
            <w:pPr>
              <w:spacing w:after="0"/>
              <w:rPr>
                <w:sz w:val="22"/>
                <w:szCs w:val="22"/>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b w:val="1"/>
                <w:bCs w:val="1"/>
                <w:color w:val="auto"/>
              </w:rPr>
              <w:t>(29.3)</w:t>
            </w:r>
          </w:p>
        </w:tc>
        <w:tc>
          <w:tcPr>
            <w:tcW w:w="240" w:type="dxa"/>
            <w:vAlign w:val="bottom"/>
          </w:tcPr>
          <w:p>
            <w:pPr>
              <w:spacing w:after="0"/>
              <w:rPr>
                <w:sz w:val="22"/>
                <w:szCs w:val="22"/>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b w:val="1"/>
                <w:bCs w:val="1"/>
                <w:color w:val="auto"/>
              </w:rPr>
              <w:t>—</w:t>
            </w:r>
          </w:p>
        </w:tc>
        <w:tc>
          <w:tcPr>
            <w:tcW w:w="40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(29.3)</w:t>
            </w:r>
          </w:p>
        </w:tc>
      </w:tr>
      <w:tr>
        <w:trPr>
          <w:trHeight w:val="235"/>
        </w:trPr>
        <w:tc>
          <w:tcPr>
            <w:tcW w:w="42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Cross-currency interest rate contracts designated</w:t>
            </w:r>
          </w:p>
        </w:tc>
        <w:tc>
          <w:tcPr>
            <w:tcW w:w="30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r>
      <w:tr>
        <w:trPr>
          <w:trHeight w:val="230"/>
        </w:trPr>
        <w:tc>
          <w:tcPr>
            <w:tcW w:w="42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as net investment hedges:</w:t>
            </w:r>
          </w:p>
        </w:tc>
        <w:tc>
          <w:tcPr>
            <w:tcW w:w="30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r>
      <w:tr>
        <w:trPr>
          <w:trHeight w:val="263"/>
        </w:trPr>
        <w:tc>
          <w:tcPr>
            <w:tcW w:w="4280" w:type="dxa"/>
            <w:vAlign w:val="bottom"/>
          </w:tcPr>
          <w:p>
            <w:pPr>
              <w:ind w:left="380"/>
              <w:spacing w:after="0"/>
              <w:rPr>
                <w:sz w:val="20"/>
                <w:szCs w:val="20"/>
                <w:color w:val="auto"/>
              </w:rPr>
            </w:pPr>
            <w:r>
              <w:rPr>
                <w:rFonts w:ascii="Arial" w:cs="Arial" w:eastAsia="Arial" w:hAnsi="Arial"/>
                <w:sz w:val="18"/>
                <w:szCs w:val="18"/>
                <w:color w:val="auto"/>
              </w:rPr>
              <w:t>Other current liabilities</w:t>
            </w:r>
          </w:p>
        </w:tc>
        <w:tc>
          <w:tcPr>
            <w:tcW w:w="300" w:type="dxa"/>
            <w:vAlign w:val="bottom"/>
          </w:tcPr>
          <w:p>
            <w:pPr>
              <w:spacing w:after="0"/>
              <w:rPr>
                <w:sz w:val="22"/>
                <w:szCs w:val="22"/>
                <w:color w:val="auto"/>
              </w:rPr>
            </w:pPr>
          </w:p>
        </w:tc>
        <w:tc>
          <w:tcPr>
            <w:tcW w:w="1220" w:type="dxa"/>
            <w:vAlign w:val="bottom"/>
          </w:tcPr>
          <w:p>
            <w:pPr>
              <w:jc w:val="right"/>
              <w:ind w:right="72"/>
              <w:spacing w:after="0"/>
              <w:rPr>
                <w:sz w:val="20"/>
                <w:szCs w:val="20"/>
                <w:color w:val="auto"/>
              </w:rPr>
            </w:pPr>
            <w:r>
              <w:rPr>
                <w:rFonts w:ascii="Arial" w:cs="Arial" w:eastAsia="Arial" w:hAnsi="Arial"/>
                <w:sz w:val="18"/>
                <w:szCs w:val="18"/>
                <w:b w:val="1"/>
                <w:bCs w:val="1"/>
                <w:color w:val="auto"/>
              </w:rPr>
              <w:t>(38.5)</w:t>
            </w:r>
          </w:p>
        </w:tc>
        <w:tc>
          <w:tcPr>
            <w:tcW w:w="120" w:type="dxa"/>
            <w:vAlign w:val="bottom"/>
          </w:tcPr>
          <w:p>
            <w:pPr>
              <w:spacing w:after="0"/>
              <w:rPr>
                <w:sz w:val="22"/>
                <w:szCs w:val="22"/>
                <w:color w:val="auto"/>
              </w:rPr>
            </w:pPr>
          </w:p>
        </w:tc>
        <w:tc>
          <w:tcPr>
            <w:tcW w:w="1180" w:type="dxa"/>
            <w:vAlign w:val="bottom"/>
          </w:tcPr>
          <w:p>
            <w:pPr>
              <w:ind w:left="860"/>
              <w:spacing w:after="0"/>
              <w:rPr>
                <w:sz w:val="20"/>
                <w:szCs w:val="20"/>
                <w:color w:val="auto"/>
              </w:rPr>
            </w:pPr>
            <w:r>
              <w:rPr>
                <w:rFonts w:ascii="Arial" w:cs="Arial" w:eastAsia="Arial" w:hAnsi="Arial"/>
                <w:sz w:val="18"/>
                <w:szCs w:val="18"/>
                <w:b w:val="1"/>
                <w:bCs w:val="1"/>
                <w:color w:val="auto"/>
              </w:rPr>
              <w:t>—</w:t>
            </w:r>
          </w:p>
        </w:tc>
        <w:tc>
          <w:tcPr>
            <w:tcW w:w="300" w:type="dxa"/>
            <w:vAlign w:val="bottom"/>
          </w:tcPr>
          <w:p>
            <w:pPr>
              <w:spacing w:after="0"/>
              <w:rPr>
                <w:sz w:val="22"/>
                <w:szCs w:val="22"/>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b w:val="1"/>
                <w:bCs w:val="1"/>
                <w:color w:val="auto"/>
              </w:rPr>
              <w:t>(38.5)</w:t>
            </w:r>
          </w:p>
        </w:tc>
        <w:tc>
          <w:tcPr>
            <w:tcW w:w="240" w:type="dxa"/>
            <w:vAlign w:val="bottom"/>
          </w:tcPr>
          <w:p>
            <w:pPr>
              <w:spacing w:after="0"/>
              <w:rPr>
                <w:sz w:val="22"/>
                <w:szCs w:val="22"/>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b w:val="1"/>
                <w:bCs w:val="1"/>
                <w:color w:val="auto"/>
              </w:rPr>
              <w:t>—</w:t>
            </w:r>
          </w:p>
        </w:tc>
        <w:tc>
          <w:tcPr>
            <w:tcW w:w="40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(38.5)</w:t>
            </w:r>
          </w:p>
        </w:tc>
      </w:tr>
      <w:tr>
        <w:trPr>
          <w:trHeight w:val="277"/>
        </w:trPr>
        <w:tc>
          <w:tcPr>
            <w:tcW w:w="42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Other noncurrent liabilities</w:t>
            </w:r>
          </w:p>
        </w:tc>
        <w:tc>
          <w:tcPr>
            <w:tcW w:w="30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72"/>
              <w:spacing w:after="0"/>
              <w:rPr>
                <w:sz w:val="20"/>
                <w:szCs w:val="20"/>
                <w:color w:val="auto"/>
              </w:rPr>
            </w:pPr>
            <w:r>
              <w:rPr>
                <w:rFonts w:ascii="Arial" w:cs="Arial" w:eastAsia="Arial" w:hAnsi="Arial"/>
                <w:sz w:val="18"/>
                <w:szCs w:val="18"/>
                <w:b w:val="1"/>
                <w:bCs w:val="1"/>
                <w:color w:val="auto"/>
              </w:rPr>
              <w:t>(42.5)</w:t>
            </w:r>
          </w:p>
        </w:tc>
        <w:tc>
          <w:tcPr>
            <w:tcW w:w="120" w:type="dxa"/>
            <w:vAlign w:val="bottom"/>
            <w:shd w:val="clear" w:color="auto" w:fill="CCEEFF"/>
          </w:tcPr>
          <w:p>
            <w:pPr>
              <w:spacing w:after="0"/>
              <w:rPr>
                <w:sz w:val="24"/>
                <w:szCs w:val="24"/>
                <w:color w:val="auto"/>
              </w:rPr>
            </w:pPr>
          </w:p>
        </w:tc>
        <w:tc>
          <w:tcPr>
            <w:tcW w:w="1180" w:type="dxa"/>
            <w:vAlign w:val="bottom"/>
            <w:shd w:val="clear" w:color="auto" w:fill="CCEEFF"/>
          </w:tcPr>
          <w:p>
            <w:pPr>
              <w:ind w:left="860"/>
              <w:spacing w:after="0"/>
              <w:rPr>
                <w:sz w:val="20"/>
                <w:szCs w:val="20"/>
                <w:color w:val="auto"/>
              </w:rPr>
            </w:pPr>
            <w:r>
              <w:rPr>
                <w:rFonts w:ascii="Arial" w:cs="Arial" w:eastAsia="Arial" w:hAnsi="Arial"/>
                <w:sz w:val="18"/>
                <w:szCs w:val="18"/>
                <w:b w:val="1"/>
                <w:bCs w:val="1"/>
                <w:color w:val="auto"/>
              </w:rPr>
              <w:t>—</w:t>
            </w:r>
          </w:p>
        </w:tc>
        <w:tc>
          <w:tcPr>
            <w:tcW w:w="30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(42.5)</w:t>
            </w:r>
          </w:p>
        </w:tc>
        <w:tc>
          <w:tcPr>
            <w:tcW w:w="24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13"/>
              <w:spacing w:after="0"/>
              <w:rPr>
                <w:sz w:val="20"/>
                <w:szCs w:val="20"/>
                <w:color w:val="auto"/>
              </w:rPr>
            </w:pPr>
            <w:r>
              <w:rPr>
                <w:rFonts w:ascii="Arial" w:cs="Arial" w:eastAsia="Arial" w:hAnsi="Arial"/>
                <w:sz w:val="18"/>
                <w:szCs w:val="18"/>
                <w:b w:val="1"/>
                <w:bCs w:val="1"/>
                <w:color w:val="auto"/>
              </w:rPr>
              <w:t>—</w:t>
            </w:r>
          </w:p>
        </w:tc>
        <w:tc>
          <w:tcPr>
            <w:tcW w:w="400" w:type="dxa"/>
            <w:vAlign w:val="bottom"/>
            <w:shd w:val="clear" w:color="auto" w:fill="CCEEFF"/>
          </w:tcPr>
          <w:p>
            <w:pPr>
              <w:spacing w:after="0"/>
              <w:rPr>
                <w:sz w:val="24"/>
                <w:szCs w:val="2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(42.5)</w:t>
            </w:r>
          </w:p>
        </w:tc>
      </w:tr>
      <w:tr>
        <w:trPr>
          <w:trHeight w:val="229"/>
        </w:trPr>
        <w:tc>
          <w:tcPr>
            <w:tcW w:w="4280" w:type="dxa"/>
            <w:vAlign w:val="bottom"/>
          </w:tcPr>
          <w:p>
            <w:pPr>
              <w:ind w:left="280"/>
              <w:spacing w:after="0"/>
              <w:rPr>
                <w:sz w:val="20"/>
                <w:szCs w:val="20"/>
                <w:color w:val="auto"/>
              </w:rPr>
            </w:pPr>
            <w:r>
              <w:rPr>
                <w:rFonts w:ascii="Arial" w:cs="Arial" w:eastAsia="Arial" w:hAnsi="Arial"/>
                <w:sz w:val="18"/>
                <w:szCs w:val="18"/>
                <w:color w:val="auto"/>
              </w:rPr>
              <w:t>Foreign exchange contracts not designated as</w:t>
            </w:r>
          </w:p>
        </w:tc>
        <w:tc>
          <w:tcPr>
            <w:tcW w:w="3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24"/>
        </w:trPr>
        <w:tc>
          <w:tcPr>
            <w:tcW w:w="4280" w:type="dxa"/>
            <w:vAlign w:val="bottom"/>
          </w:tcPr>
          <w:p>
            <w:pPr>
              <w:ind w:left="440"/>
              <w:spacing w:after="0"/>
              <w:rPr>
                <w:sz w:val="20"/>
                <w:szCs w:val="20"/>
                <w:color w:val="auto"/>
              </w:rPr>
            </w:pPr>
            <w:r>
              <w:rPr>
                <w:rFonts w:ascii="Arial" w:cs="Arial" w:eastAsia="Arial" w:hAnsi="Arial"/>
                <w:sz w:val="18"/>
                <w:szCs w:val="18"/>
                <w:color w:val="auto"/>
              </w:rPr>
              <w:t>hedging instruments:</w:t>
            </w:r>
          </w:p>
        </w:tc>
        <w:tc>
          <w:tcPr>
            <w:tcW w:w="3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77"/>
        </w:trPr>
        <w:tc>
          <w:tcPr>
            <w:tcW w:w="42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Other receivables</w:t>
            </w:r>
          </w:p>
        </w:tc>
        <w:tc>
          <w:tcPr>
            <w:tcW w:w="30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132"/>
              <w:spacing w:after="0"/>
              <w:rPr>
                <w:sz w:val="20"/>
                <w:szCs w:val="20"/>
                <w:color w:val="auto"/>
              </w:rPr>
            </w:pPr>
            <w:r>
              <w:rPr>
                <w:rFonts w:ascii="Arial" w:cs="Arial" w:eastAsia="Arial" w:hAnsi="Arial"/>
                <w:sz w:val="18"/>
                <w:szCs w:val="18"/>
                <w:b w:val="1"/>
                <w:bCs w:val="1"/>
                <w:color w:val="auto"/>
              </w:rPr>
              <w:t>5.5</w:t>
            </w:r>
          </w:p>
        </w:tc>
        <w:tc>
          <w:tcPr>
            <w:tcW w:w="120" w:type="dxa"/>
            <w:vAlign w:val="bottom"/>
            <w:shd w:val="clear" w:color="auto" w:fill="CCEEFF"/>
          </w:tcPr>
          <w:p>
            <w:pPr>
              <w:spacing w:after="0"/>
              <w:rPr>
                <w:sz w:val="24"/>
                <w:szCs w:val="24"/>
                <w:color w:val="auto"/>
              </w:rPr>
            </w:pPr>
          </w:p>
        </w:tc>
        <w:tc>
          <w:tcPr>
            <w:tcW w:w="1180" w:type="dxa"/>
            <w:vAlign w:val="bottom"/>
            <w:shd w:val="clear" w:color="auto" w:fill="CCEEFF"/>
          </w:tcPr>
          <w:p>
            <w:pPr>
              <w:ind w:left="860"/>
              <w:spacing w:after="0"/>
              <w:rPr>
                <w:sz w:val="20"/>
                <w:szCs w:val="20"/>
                <w:color w:val="auto"/>
              </w:rPr>
            </w:pPr>
            <w:r>
              <w:rPr>
                <w:rFonts w:ascii="Arial" w:cs="Arial" w:eastAsia="Arial" w:hAnsi="Arial"/>
                <w:sz w:val="18"/>
                <w:szCs w:val="18"/>
                <w:b w:val="1"/>
                <w:bCs w:val="1"/>
                <w:color w:val="auto"/>
              </w:rPr>
              <w:t>—</w:t>
            </w:r>
          </w:p>
        </w:tc>
        <w:tc>
          <w:tcPr>
            <w:tcW w:w="30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72"/>
              <w:spacing w:after="0"/>
              <w:rPr>
                <w:sz w:val="20"/>
                <w:szCs w:val="20"/>
                <w:color w:val="auto"/>
              </w:rPr>
            </w:pPr>
            <w:r>
              <w:rPr>
                <w:rFonts w:ascii="Arial" w:cs="Arial" w:eastAsia="Arial" w:hAnsi="Arial"/>
                <w:sz w:val="18"/>
                <w:szCs w:val="18"/>
                <w:b w:val="1"/>
                <w:bCs w:val="1"/>
                <w:color w:val="auto"/>
              </w:rPr>
              <w:t>5.5</w:t>
            </w:r>
          </w:p>
        </w:tc>
        <w:tc>
          <w:tcPr>
            <w:tcW w:w="24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13"/>
              <w:spacing w:after="0"/>
              <w:rPr>
                <w:sz w:val="20"/>
                <w:szCs w:val="20"/>
                <w:color w:val="auto"/>
              </w:rPr>
            </w:pPr>
            <w:r>
              <w:rPr>
                <w:rFonts w:ascii="Arial" w:cs="Arial" w:eastAsia="Arial" w:hAnsi="Arial"/>
                <w:sz w:val="18"/>
                <w:szCs w:val="18"/>
                <w:b w:val="1"/>
                <w:bCs w:val="1"/>
                <w:color w:val="auto"/>
              </w:rPr>
              <w:t>—</w:t>
            </w:r>
          </w:p>
        </w:tc>
        <w:tc>
          <w:tcPr>
            <w:tcW w:w="40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5.5</w:t>
            </w:r>
          </w:p>
        </w:tc>
      </w:tr>
      <w:tr>
        <w:trPr>
          <w:trHeight w:val="263"/>
        </w:trPr>
        <w:tc>
          <w:tcPr>
            <w:tcW w:w="4280" w:type="dxa"/>
            <w:vAlign w:val="bottom"/>
          </w:tcPr>
          <w:p>
            <w:pPr>
              <w:ind w:left="380"/>
              <w:spacing w:after="0"/>
              <w:rPr>
                <w:sz w:val="20"/>
                <w:szCs w:val="20"/>
                <w:color w:val="auto"/>
              </w:rPr>
            </w:pPr>
            <w:r>
              <w:rPr>
                <w:rFonts w:ascii="Arial" w:cs="Arial" w:eastAsia="Arial" w:hAnsi="Arial"/>
                <w:sz w:val="18"/>
                <w:szCs w:val="18"/>
                <w:color w:val="auto"/>
              </w:rPr>
              <w:t>Other current liabilities</w:t>
            </w:r>
          </w:p>
        </w:tc>
        <w:tc>
          <w:tcPr>
            <w:tcW w:w="300" w:type="dxa"/>
            <w:vAlign w:val="bottom"/>
          </w:tcPr>
          <w:p>
            <w:pPr>
              <w:spacing w:after="0"/>
              <w:rPr>
                <w:sz w:val="22"/>
                <w:szCs w:val="22"/>
                <w:color w:val="auto"/>
              </w:rPr>
            </w:pPr>
          </w:p>
        </w:tc>
        <w:tc>
          <w:tcPr>
            <w:tcW w:w="1220" w:type="dxa"/>
            <w:vAlign w:val="bottom"/>
          </w:tcPr>
          <w:p>
            <w:pPr>
              <w:jc w:val="right"/>
              <w:ind w:right="72"/>
              <w:spacing w:after="0"/>
              <w:rPr>
                <w:sz w:val="20"/>
                <w:szCs w:val="20"/>
                <w:color w:val="auto"/>
              </w:rPr>
            </w:pPr>
            <w:r>
              <w:rPr>
                <w:rFonts w:ascii="Arial" w:cs="Arial" w:eastAsia="Arial" w:hAnsi="Arial"/>
                <w:sz w:val="18"/>
                <w:szCs w:val="18"/>
                <w:b w:val="1"/>
                <w:bCs w:val="1"/>
                <w:color w:val="auto"/>
              </w:rPr>
              <w:t>(5.0)</w:t>
            </w:r>
          </w:p>
        </w:tc>
        <w:tc>
          <w:tcPr>
            <w:tcW w:w="120" w:type="dxa"/>
            <w:vAlign w:val="bottom"/>
          </w:tcPr>
          <w:p>
            <w:pPr>
              <w:spacing w:after="0"/>
              <w:rPr>
                <w:sz w:val="22"/>
                <w:szCs w:val="22"/>
                <w:color w:val="auto"/>
              </w:rPr>
            </w:pPr>
          </w:p>
        </w:tc>
        <w:tc>
          <w:tcPr>
            <w:tcW w:w="1180" w:type="dxa"/>
            <w:vAlign w:val="bottom"/>
          </w:tcPr>
          <w:p>
            <w:pPr>
              <w:ind w:left="860"/>
              <w:spacing w:after="0"/>
              <w:rPr>
                <w:sz w:val="20"/>
                <w:szCs w:val="20"/>
                <w:color w:val="auto"/>
              </w:rPr>
            </w:pPr>
            <w:r>
              <w:rPr>
                <w:rFonts w:ascii="Arial" w:cs="Arial" w:eastAsia="Arial" w:hAnsi="Arial"/>
                <w:sz w:val="18"/>
                <w:szCs w:val="18"/>
                <w:b w:val="1"/>
                <w:bCs w:val="1"/>
                <w:color w:val="auto"/>
              </w:rPr>
              <w:t>—</w:t>
            </w:r>
          </w:p>
        </w:tc>
        <w:tc>
          <w:tcPr>
            <w:tcW w:w="300" w:type="dxa"/>
            <w:vAlign w:val="bottom"/>
          </w:tcPr>
          <w:p>
            <w:pPr>
              <w:spacing w:after="0"/>
              <w:rPr>
                <w:sz w:val="22"/>
                <w:szCs w:val="22"/>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b w:val="1"/>
                <w:bCs w:val="1"/>
                <w:color w:val="auto"/>
              </w:rPr>
              <w:t>(5.0)</w:t>
            </w:r>
          </w:p>
        </w:tc>
        <w:tc>
          <w:tcPr>
            <w:tcW w:w="240" w:type="dxa"/>
            <w:vAlign w:val="bottom"/>
          </w:tcPr>
          <w:p>
            <w:pPr>
              <w:spacing w:after="0"/>
              <w:rPr>
                <w:sz w:val="22"/>
                <w:szCs w:val="22"/>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b w:val="1"/>
                <w:bCs w:val="1"/>
                <w:color w:val="auto"/>
              </w:rPr>
              <w:t>—</w:t>
            </w:r>
          </w:p>
        </w:tc>
        <w:tc>
          <w:tcPr>
            <w:tcW w:w="40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(5.0)</w:t>
            </w:r>
          </w:p>
        </w:tc>
      </w:tr>
      <w:tr>
        <w:trPr>
          <w:trHeight w:val="277"/>
        </w:trPr>
        <w:tc>
          <w:tcPr>
            <w:tcW w:w="4280" w:type="dxa"/>
            <w:vAlign w:val="bottom"/>
            <w:shd w:val="clear" w:color="auto" w:fill="CCEEFF"/>
          </w:tcPr>
          <w:p>
            <w:pPr>
              <w:ind w:left="40"/>
              <w:spacing w:after="0"/>
              <w:rPr>
                <w:sz w:val="20"/>
                <w:szCs w:val="20"/>
                <w:color w:val="auto"/>
              </w:rPr>
            </w:pPr>
            <w:r>
              <w:rPr>
                <w:rFonts w:ascii="Arial" w:cs="Arial" w:eastAsia="Arial" w:hAnsi="Arial"/>
                <w:sz w:val="18"/>
                <w:szCs w:val="18"/>
                <w:color w:val="auto"/>
              </w:rPr>
              <w:t xml:space="preserve">Contingent consideration liabilities </w:t>
            </w:r>
            <w:r>
              <w:rPr>
                <w:rFonts w:ascii="Arial" w:cs="Arial" w:eastAsia="Arial" w:hAnsi="Arial"/>
                <w:sz w:val="21"/>
                <w:szCs w:val="21"/>
                <w:color w:val="auto"/>
                <w:vertAlign w:val="superscript"/>
              </w:rPr>
              <w:t>(1)</w:t>
            </w:r>
            <w:r>
              <w:rPr>
                <w:rFonts w:ascii="Arial" w:cs="Arial" w:eastAsia="Arial" w:hAnsi="Arial"/>
                <w:sz w:val="18"/>
                <w:szCs w:val="18"/>
                <w:color w:val="auto"/>
              </w:rPr>
              <w:t>:</w:t>
            </w:r>
          </w:p>
        </w:tc>
        <w:tc>
          <w:tcPr>
            <w:tcW w:w="30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r>
      <w:tr>
        <w:trPr>
          <w:trHeight w:val="263"/>
        </w:trPr>
        <w:tc>
          <w:tcPr>
            <w:tcW w:w="4280" w:type="dxa"/>
            <w:vAlign w:val="bottom"/>
          </w:tcPr>
          <w:p>
            <w:pPr>
              <w:ind w:left="380"/>
              <w:spacing w:after="0"/>
              <w:rPr>
                <w:sz w:val="20"/>
                <w:szCs w:val="20"/>
                <w:color w:val="auto"/>
              </w:rPr>
            </w:pPr>
            <w:r>
              <w:rPr>
                <w:rFonts w:ascii="Arial" w:cs="Arial" w:eastAsia="Arial" w:hAnsi="Arial"/>
                <w:sz w:val="18"/>
                <w:szCs w:val="18"/>
                <w:color w:val="auto"/>
              </w:rPr>
              <w:t>Other current liabilities</w:t>
            </w:r>
          </w:p>
        </w:tc>
        <w:tc>
          <w:tcPr>
            <w:tcW w:w="300" w:type="dxa"/>
            <w:vAlign w:val="bottom"/>
          </w:tcPr>
          <w:p>
            <w:pPr>
              <w:spacing w:after="0"/>
              <w:rPr>
                <w:sz w:val="22"/>
                <w:szCs w:val="22"/>
                <w:color w:val="auto"/>
              </w:rPr>
            </w:pPr>
          </w:p>
        </w:tc>
        <w:tc>
          <w:tcPr>
            <w:tcW w:w="1220" w:type="dxa"/>
            <w:vAlign w:val="bottom"/>
          </w:tcPr>
          <w:p>
            <w:pPr>
              <w:jc w:val="right"/>
              <w:ind w:right="72"/>
              <w:spacing w:after="0"/>
              <w:rPr>
                <w:sz w:val="20"/>
                <w:szCs w:val="20"/>
                <w:color w:val="auto"/>
              </w:rPr>
            </w:pPr>
            <w:r>
              <w:rPr>
                <w:rFonts w:ascii="Arial" w:cs="Arial" w:eastAsia="Arial" w:hAnsi="Arial"/>
                <w:sz w:val="18"/>
                <w:szCs w:val="18"/>
                <w:b w:val="1"/>
                <w:bCs w:val="1"/>
                <w:color w:val="auto"/>
              </w:rPr>
              <w:t>(153.7)</w:t>
            </w:r>
          </w:p>
        </w:tc>
        <w:tc>
          <w:tcPr>
            <w:tcW w:w="120" w:type="dxa"/>
            <w:vAlign w:val="bottom"/>
          </w:tcPr>
          <w:p>
            <w:pPr>
              <w:spacing w:after="0"/>
              <w:rPr>
                <w:sz w:val="22"/>
                <w:szCs w:val="22"/>
                <w:color w:val="auto"/>
              </w:rPr>
            </w:pPr>
          </w:p>
        </w:tc>
        <w:tc>
          <w:tcPr>
            <w:tcW w:w="1180" w:type="dxa"/>
            <w:vAlign w:val="bottom"/>
          </w:tcPr>
          <w:p>
            <w:pPr>
              <w:ind w:left="860"/>
              <w:spacing w:after="0"/>
              <w:rPr>
                <w:sz w:val="20"/>
                <w:szCs w:val="20"/>
                <w:color w:val="auto"/>
              </w:rPr>
            </w:pPr>
            <w:r>
              <w:rPr>
                <w:rFonts w:ascii="Arial" w:cs="Arial" w:eastAsia="Arial" w:hAnsi="Arial"/>
                <w:sz w:val="18"/>
                <w:szCs w:val="18"/>
                <w:b w:val="1"/>
                <w:bCs w:val="1"/>
                <w:color w:val="auto"/>
              </w:rPr>
              <w:t>—</w:t>
            </w:r>
          </w:p>
        </w:tc>
        <w:tc>
          <w:tcPr>
            <w:tcW w:w="300" w:type="dxa"/>
            <w:vAlign w:val="bottom"/>
          </w:tcPr>
          <w:p>
            <w:pPr>
              <w:spacing w:after="0"/>
              <w:rPr>
                <w:sz w:val="22"/>
                <w:szCs w:val="22"/>
                <w:color w:val="auto"/>
              </w:rPr>
            </w:pPr>
          </w:p>
        </w:tc>
        <w:tc>
          <w:tcPr>
            <w:tcW w:w="1200" w:type="dxa"/>
            <w:vAlign w:val="bottom"/>
          </w:tcPr>
          <w:p>
            <w:pPr>
              <w:jc w:val="right"/>
              <w:ind w:right="72"/>
              <w:spacing w:after="0"/>
              <w:rPr>
                <w:sz w:val="20"/>
                <w:szCs w:val="20"/>
                <w:color w:val="auto"/>
              </w:rPr>
            </w:pPr>
            <w:r>
              <w:rPr>
                <w:rFonts w:ascii="Arial" w:cs="Arial" w:eastAsia="Arial" w:hAnsi="Arial"/>
                <w:sz w:val="18"/>
                <w:szCs w:val="18"/>
                <w:b w:val="1"/>
                <w:bCs w:val="1"/>
                <w:color w:val="auto"/>
              </w:rPr>
              <w:t>—</w:t>
            </w:r>
          </w:p>
        </w:tc>
        <w:tc>
          <w:tcPr>
            <w:tcW w:w="24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(153.7)</w:t>
            </w:r>
          </w:p>
        </w:tc>
        <w:tc>
          <w:tcPr>
            <w:tcW w:w="40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(153.7)</w:t>
            </w:r>
          </w:p>
        </w:tc>
      </w:tr>
      <w:tr>
        <w:trPr>
          <w:trHeight w:val="277"/>
        </w:trPr>
        <w:tc>
          <w:tcPr>
            <w:tcW w:w="42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Other noncurrent liabilities</w:t>
            </w:r>
          </w:p>
        </w:tc>
        <w:tc>
          <w:tcPr>
            <w:tcW w:w="30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72"/>
              <w:spacing w:after="0"/>
              <w:rPr>
                <w:sz w:val="20"/>
                <w:szCs w:val="20"/>
                <w:color w:val="auto"/>
              </w:rPr>
            </w:pPr>
            <w:r>
              <w:rPr>
                <w:rFonts w:ascii="Arial" w:cs="Arial" w:eastAsia="Arial" w:hAnsi="Arial"/>
                <w:sz w:val="18"/>
                <w:szCs w:val="18"/>
                <w:b w:val="1"/>
                <w:bCs w:val="1"/>
                <w:color w:val="auto"/>
              </w:rPr>
              <w:t>(46.2)</w:t>
            </w:r>
          </w:p>
        </w:tc>
        <w:tc>
          <w:tcPr>
            <w:tcW w:w="120" w:type="dxa"/>
            <w:vAlign w:val="bottom"/>
            <w:shd w:val="clear" w:color="auto" w:fill="CCEEFF"/>
          </w:tcPr>
          <w:p>
            <w:pPr>
              <w:spacing w:after="0"/>
              <w:rPr>
                <w:sz w:val="24"/>
                <w:szCs w:val="24"/>
                <w:color w:val="auto"/>
              </w:rPr>
            </w:pPr>
          </w:p>
        </w:tc>
        <w:tc>
          <w:tcPr>
            <w:tcW w:w="1180" w:type="dxa"/>
            <w:vAlign w:val="bottom"/>
            <w:shd w:val="clear" w:color="auto" w:fill="CCEEFF"/>
          </w:tcPr>
          <w:p>
            <w:pPr>
              <w:ind w:left="860"/>
              <w:spacing w:after="0"/>
              <w:rPr>
                <w:sz w:val="20"/>
                <w:szCs w:val="20"/>
                <w:color w:val="auto"/>
              </w:rPr>
            </w:pPr>
            <w:r>
              <w:rPr>
                <w:rFonts w:ascii="Arial" w:cs="Arial" w:eastAsia="Arial" w:hAnsi="Arial"/>
                <w:sz w:val="18"/>
                <w:szCs w:val="18"/>
                <w:b w:val="1"/>
                <w:bCs w:val="1"/>
                <w:color w:val="auto"/>
              </w:rPr>
              <w:t>—</w:t>
            </w:r>
          </w:p>
        </w:tc>
        <w:tc>
          <w:tcPr>
            <w:tcW w:w="30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72"/>
              <w:spacing w:after="0"/>
              <w:rPr>
                <w:sz w:val="20"/>
                <w:szCs w:val="20"/>
                <w:color w:val="auto"/>
              </w:rPr>
            </w:pPr>
            <w:r>
              <w:rPr>
                <w:rFonts w:ascii="Arial" w:cs="Arial" w:eastAsia="Arial" w:hAnsi="Arial"/>
                <w:sz w:val="18"/>
                <w:szCs w:val="18"/>
                <w:b w:val="1"/>
                <w:bCs w:val="1"/>
                <w:color w:val="auto"/>
              </w:rPr>
              <w:t>—</w:t>
            </w:r>
          </w:p>
        </w:tc>
        <w:tc>
          <w:tcPr>
            <w:tcW w:w="240" w:type="dxa"/>
            <w:vAlign w:val="bottom"/>
            <w:shd w:val="clear" w:color="auto" w:fill="CCEEFF"/>
          </w:tcPr>
          <w:p>
            <w:pPr>
              <w:spacing w:after="0"/>
              <w:rPr>
                <w:sz w:val="24"/>
                <w:szCs w:val="2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(46.2)</w:t>
            </w:r>
          </w:p>
        </w:tc>
        <w:tc>
          <w:tcPr>
            <w:tcW w:w="400" w:type="dxa"/>
            <w:vAlign w:val="bottom"/>
            <w:shd w:val="clear" w:color="auto" w:fill="CCEEFF"/>
          </w:tcPr>
          <w:p>
            <w:pPr>
              <w:spacing w:after="0"/>
              <w:rPr>
                <w:sz w:val="24"/>
                <w:szCs w:val="2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(46.2)</w:t>
            </w:r>
          </w:p>
        </w:tc>
      </w:tr>
      <w:tr>
        <w:trPr>
          <w:trHeight w:val="324"/>
        </w:trPr>
        <w:tc>
          <w:tcPr>
            <w:tcW w:w="4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270"/>
        </w:trPr>
        <w:tc>
          <w:tcPr>
            <w:tcW w:w="428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December 31, 2017</w:t>
            </w:r>
          </w:p>
        </w:tc>
        <w:tc>
          <w:tcPr>
            <w:tcW w:w="30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r>
      <w:tr>
        <w:trPr>
          <w:trHeight w:val="263"/>
        </w:trPr>
        <w:tc>
          <w:tcPr>
            <w:tcW w:w="4280" w:type="dxa"/>
            <w:vAlign w:val="bottom"/>
          </w:tcPr>
          <w:p>
            <w:pPr>
              <w:ind w:left="40"/>
              <w:spacing w:after="0"/>
              <w:rPr>
                <w:sz w:val="20"/>
                <w:szCs w:val="20"/>
                <w:color w:val="auto"/>
              </w:rPr>
            </w:pPr>
            <w:r>
              <w:rPr>
                <w:rFonts w:ascii="Arial" w:cs="Arial" w:eastAsia="Arial" w:hAnsi="Arial"/>
                <w:sz w:val="18"/>
                <w:szCs w:val="18"/>
                <w:color w:val="auto"/>
              </w:rPr>
              <w:t>Risk-management instruments:</w:t>
            </w:r>
          </w:p>
        </w:tc>
        <w:tc>
          <w:tcPr>
            <w:tcW w:w="30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980" w:type="dxa"/>
            <w:vAlign w:val="bottom"/>
          </w:tcPr>
          <w:p>
            <w:pPr>
              <w:spacing w:after="0"/>
              <w:rPr>
                <w:sz w:val="22"/>
                <w:szCs w:val="22"/>
                <w:color w:val="auto"/>
              </w:rPr>
            </w:pPr>
          </w:p>
        </w:tc>
      </w:tr>
      <w:tr>
        <w:trPr>
          <w:trHeight w:val="235"/>
        </w:trPr>
        <w:tc>
          <w:tcPr>
            <w:tcW w:w="42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Interest rate contracts designated as fair value</w:t>
            </w:r>
          </w:p>
        </w:tc>
        <w:tc>
          <w:tcPr>
            <w:tcW w:w="30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r>
      <w:tr>
        <w:trPr>
          <w:trHeight w:val="230"/>
        </w:trPr>
        <w:tc>
          <w:tcPr>
            <w:tcW w:w="42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hedges:</w:t>
            </w:r>
          </w:p>
        </w:tc>
        <w:tc>
          <w:tcPr>
            <w:tcW w:w="30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r>
      <w:tr>
        <w:trPr>
          <w:trHeight w:val="263"/>
        </w:trPr>
        <w:tc>
          <w:tcPr>
            <w:tcW w:w="4280" w:type="dxa"/>
            <w:vAlign w:val="bottom"/>
          </w:tcPr>
          <w:p>
            <w:pPr>
              <w:ind w:left="380"/>
              <w:spacing w:after="0"/>
              <w:rPr>
                <w:sz w:val="20"/>
                <w:szCs w:val="20"/>
                <w:color w:val="auto"/>
              </w:rPr>
            </w:pPr>
            <w:r>
              <w:rPr>
                <w:rFonts w:ascii="Arial" w:cs="Arial" w:eastAsia="Arial" w:hAnsi="Arial"/>
                <w:sz w:val="18"/>
                <w:szCs w:val="18"/>
                <w:color w:val="auto"/>
              </w:rPr>
              <w:t>Other receivables</w:t>
            </w:r>
          </w:p>
        </w:tc>
        <w:tc>
          <w:tcPr>
            <w:tcW w:w="3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32"/>
              <w:spacing w:after="0"/>
              <w:rPr>
                <w:sz w:val="20"/>
                <w:szCs w:val="20"/>
                <w:color w:val="auto"/>
              </w:rPr>
            </w:pPr>
            <w:r>
              <w:rPr>
                <w:rFonts w:ascii="Arial" w:cs="Arial" w:eastAsia="Arial" w:hAnsi="Arial"/>
                <w:sz w:val="18"/>
                <w:szCs w:val="18"/>
                <w:color w:val="auto"/>
              </w:rPr>
              <w:t>0.8</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ind w:left="86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16"/>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72"/>
              <w:spacing w:after="0"/>
              <w:rPr>
                <w:sz w:val="20"/>
                <w:szCs w:val="20"/>
                <w:color w:val="auto"/>
              </w:rPr>
            </w:pPr>
            <w:r>
              <w:rPr>
                <w:rFonts w:ascii="Arial" w:cs="Arial" w:eastAsia="Arial" w:hAnsi="Arial"/>
                <w:sz w:val="18"/>
                <w:szCs w:val="18"/>
                <w:color w:val="auto"/>
              </w:rPr>
              <w:t>0.8</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4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0.8</w:t>
            </w:r>
          </w:p>
        </w:tc>
      </w:tr>
      <w:tr>
        <w:trPr>
          <w:trHeight w:val="277"/>
        </w:trPr>
        <w:tc>
          <w:tcPr>
            <w:tcW w:w="42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Sundry</w:t>
            </w:r>
          </w:p>
        </w:tc>
        <w:tc>
          <w:tcPr>
            <w:tcW w:w="30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35.1</w:t>
            </w:r>
          </w:p>
        </w:tc>
        <w:tc>
          <w:tcPr>
            <w:tcW w:w="120" w:type="dxa"/>
            <w:vAlign w:val="bottom"/>
            <w:shd w:val="clear" w:color="auto" w:fill="CCEEFF"/>
          </w:tcPr>
          <w:p>
            <w:pPr>
              <w:spacing w:after="0"/>
              <w:rPr>
                <w:sz w:val="24"/>
                <w:szCs w:val="24"/>
                <w:color w:val="auto"/>
              </w:rPr>
            </w:pPr>
          </w:p>
        </w:tc>
        <w:tc>
          <w:tcPr>
            <w:tcW w:w="11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35.1</w:t>
            </w:r>
          </w:p>
        </w:tc>
        <w:tc>
          <w:tcPr>
            <w:tcW w:w="24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35.1</w:t>
            </w:r>
          </w:p>
        </w:tc>
      </w:tr>
      <w:tr>
        <w:trPr>
          <w:trHeight w:val="263"/>
        </w:trPr>
        <w:tc>
          <w:tcPr>
            <w:tcW w:w="4280" w:type="dxa"/>
            <w:vAlign w:val="bottom"/>
          </w:tcPr>
          <w:p>
            <w:pPr>
              <w:ind w:left="380"/>
              <w:spacing w:after="0"/>
              <w:rPr>
                <w:sz w:val="20"/>
                <w:szCs w:val="20"/>
                <w:color w:val="auto"/>
              </w:rPr>
            </w:pPr>
            <w:r>
              <w:rPr>
                <w:rFonts w:ascii="Arial" w:cs="Arial" w:eastAsia="Arial" w:hAnsi="Arial"/>
                <w:sz w:val="18"/>
                <w:szCs w:val="18"/>
                <w:color w:val="auto"/>
              </w:rPr>
              <w:t>Other current liabilities</w:t>
            </w:r>
          </w:p>
        </w:tc>
        <w:tc>
          <w:tcPr>
            <w:tcW w:w="300" w:type="dxa"/>
            <w:vAlign w:val="bottom"/>
          </w:tcPr>
          <w:p>
            <w:pPr>
              <w:spacing w:after="0"/>
              <w:rPr>
                <w:sz w:val="22"/>
                <w:szCs w:val="22"/>
                <w:color w:val="auto"/>
              </w:rPr>
            </w:pPr>
          </w:p>
        </w:tc>
        <w:tc>
          <w:tcPr>
            <w:tcW w:w="1220" w:type="dxa"/>
            <w:vAlign w:val="bottom"/>
          </w:tcPr>
          <w:p>
            <w:pPr>
              <w:jc w:val="right"/>
              <w:ind w:right="72"/>
              <w:spacing w:after="0"/>
              <w:rPr>
                <w:sz w:val="20"/>
                <w:szCs w:val="20"/>
                <w:color w:val="auto"/>
              </w:rPr>
            </w:pPr>
            <w:r>
              <w:rPr>
                <w:rFonts w:ascii="Arial" w:cs="Arial" w:eastAsia="Arial" w:hAnsi="Arial"/>
                <w:sz w:val="18"/>
                <w:szCs w:val="18"/>
                <w:color w:val="auto"/>
              </w:rPr>
              <w:t>(0.2)</w:t>
            </w:r>
          </w:p>
        </w:tc>
        <w:tc>
          <w:tcPr>
            <w:tcW w:w="120" w:type="dxa"/>
            <w:vAlign w:val="bottom"/>
          </w:tcPr>
          <w:p>
            <w:pPr>
              <w:spacing w:after="0"/>
              <w:rPr>
                <w:sz w:val="22"/>
                <w:szCs w:val="22"/>
                <w:color w:val="auto"/>
              </w:rPr>
            </w:pPr>
          </w:p>
        </w:tc>
        <w:tc>
          <w:tcPr>
            <w:tcW w:w="1180" w:type="dxa"/>
            <w:vAlign w:val="bottom"/>
          </w:tcPr>
          <w:p>
            <w:pPr>
              <w:ind w:left="8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2"/>
                <w:szCs w:val="22"/>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(0.2)</w:t>
            </w:r>
          </w:p>
        </w:tc>
        <w:tc>
          <w:tcPr>
            <w:tcW w:w="240" w:type="dxa"/>
            <w:vAlign w:val="bottom"/>
          </w:tcPr>
          <w:p>
            <w:pPr>
              <w:spacing w:after="0"/>
              <w:rPr>
                <w:sz w:val="22"/>
                <w:szCs w:val="22"/>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(0.2)</w:t>
            </w:r>
          </w:p>
        </w:tc>
      </w:tr>
      <w:tr>
        <w:trPr>
          <w:trHeight w:val="277"/>
        </w:trPr>
        <w:tc>
          <w:tcPr>
            <w:tcW w:w="42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Other noncurrent liabilities</w:t>
            </w:r>
          </w:p>
        </w:tc>
        <w:tc>
          <w:tcPr>
            <w:tcW w:w="30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(10.5)</w:t>
            </w:r>
          </w:p>
        </w:tc>
        <w:tc>
          <w:tcPr>
            <w:tcW w:w="120" w:type="dxa"/>
            <w:vAlign w:val="bottom"/>
            <w:shd w:val="clear" w:color="auto" w:fill="CCEEFF"/>
          </w:tcPr>
          <w:p>
            <w:pPr>
              <w:spacing w:after="0"/>
              <w:rPr>
                <w:sz w:val="24"/>
                <w:szCs w:val="24"/>
                <w:color w:val="auto"/>
              </w:rPr>
            </w:pPr>
          </w:p>
        </w:tc>
        <w:tc>
          <w:tcPr>
            <w:tcW w:w="11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(10.5)</w:t>
            </w:r>
          </w:p>
        </w:tc>
        <w:tc>
          <w:tcPr>
            <w:tcW w:w="24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24"/>
                <w:szCs w:val="2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w:t>
            </w:r>
          </w:p>
        </w:tc>
      </w:tr>
      <w:tr>
        <w:trPr>
          <w:trHeight w:val="229"/>
        </w:trPr>
        <w:tc>
          <w:tcPr>
            <w:tcW w:w="4280" w:type="dxa"/>
            <w:vAlign w:val="bottom"/>
          </w:tcPr>
          <w:p>
            <w:pPr>
              <w:ind w:left="280"/>
              <w:spacing w:after="0"/>
              <w:rPr>
                <w:sz w:val="20"/>
                <w:szCs w:val="20"/>
                <w:color w:val="auto"/>
              </w:rPr>
            </w:pPr>
            <w:r>
              <w:rPr>
                <w:rFonts w:ascii="Arial" w:cs="Arial" w:eastAsia="Arial" w:hAnsi="Arial"/>
                <w:sz w:val="18"/>
                <w:szCs w:val="18"/>
                <w:color w:val="auto"/>
              </w:rPr>
              <w:t>Cross-currency interest rate contracts designated</w:t>
            </w:r>
          </w:p>
        </w:tc>
        <w:tc>
          <w:tcPr>
            <w:tcW w:w="3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24"/>
        </w:trPr>
        <w:tc>
          <w:tcPr>
            <w:tcW w:w="4280" w:type="dxa"/>
            <w:vAlign w:val="bottom"/>
          </w:tcPr>
          <w:p>
            <w:pPr>
              <w:ind w:left="440"/>
              <w:spacing w:after="0"/>
              <w:rPr>
                <w:sz w:val="20"/>
                <w:szCs w:val="20"/>
                <w:color w:val="auto"/>
              </w:rPr>
            </w:pPr>
            <w:r>
              <w:rPr>
                <w:rFonts w:ascii="Arial" w:cs="Arial" w:eastAsia="Arial" w:hAnsi="Arial"/>
                <w:sz w:val="18"/>
                <w:szCs w:val="18"/>
                <w:color w:val="auto"/>
              </w:rPr>
              <w:t>as net investment hedges:</w:t>
            </w:r>
          </w:p>
        </w:tc>
        <w:tc>
          <w:tcPr>
            <w:tcW w:w="3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77"/>
        </w:trPr>
        <w:tc>
          <w:tcPr>
            <w:tcW w:w="42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Other current liabilities</w:t>
            </w:r>
          </w:p>
        </w:tc>
        <w:tc>
          <w:tcPr>
            <w:tcW w:w="30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(33.4)</w:t>
            </w:r>
          </w:p>
        </w:tc>
        <w:tc>
          <w:tcPr>
            <w:tcW w:w="120" w:type="dxa"/>
            <w:vAlign w:val="bottom"/>
            <w:shd w:val="clear" w:color="auto" w:fill="CCEEFF"/>
          </w:tcPr>
          <w:p>
            <w:pPr>
              <w:spacing w:after="0"/>
              <w:rPr>
                <w:sz w:val="24"/>
                <w:szCs w:val="24"/>
                <w:color w:val="auto"/>
              </w:rPr>
            </w:pPr>
          </w:p>
        </w:tc>
        <w:tc>
          <w:tcPr>
            <w:tcW w:w="11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(33.4)</w:t>
            </w:r>
          </w:p>
        </w:tc>
        <w:tc>
          <w:tcPr>
            <w:tcW w:w="24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24"/>
                <w:szCs w:val="2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(33.4)</w:t>
            </w:r>
          </w:p>
        </w:tc>
      </w:tr>
      <w:tr>
        <w:trPr>
          <w:trHeight w:val="263"/>
        </w:trPr>
        <w:tc>
          <w:tcPr>
            <w:tcW w:w="4280" w:type="dxa"/>
            <w:vAlign w:val="bottom"/>
          </w:tcPr>
          <w:p>
            <w:pPr>
              <w:ind w:left="380"/>
              <w:spacing w:after="0"/>
              <w:rPr>
                <w:sz w:val="20"/>
                <w:szCs w:val="20"/>
                <w:color w:val="auto"/>
              </w:rPr>
            </w:pPr>
            <w:r>
              <w:rPr>
                <w:rFonts w:ascii="Arial" w:cs="Arial" w:eastAsia="Arial" w:hAnsi="Arial"/>
                <w:sz w:val="18"/>
                <w:szCs w:val="18"/>
                <w:color w:val="auto"/>
              </w:rPr>
              <w:t>Other noncurrent liabilities</w:t>
            </w:r>
          </w:p>
        </w:tc>
        <w:tc>
          <w:tcPr>
            <w:tcW w:w="300" w:type="dxa"/>
            <w:vAlign w:val="bottom"/>
          </w:tcPr>
          <w:p>
            <w:pPr>
              <w:spacing w:after="0"/>
              <w:rPr>
                <w:sz w:val="22"/>
                <w:szCs w:val="22"/>
                <w:color w:val="auto"/>
              </w:rPr>
            </w:pPr>
          </w:p>
        </w:tc>
        <w:tc>
          <w:tcPr>
            <w:tcW w:w="1220" w:type="dxa"/>
            <w:vAlign w:val="bottom"/>
          </w:tcPr>
          <w:p>
            <w:pPr>
              <w:jc w:val="right"/>
              <w:ind w:right="72"/>
              <w:spacing w:after="0"/>
              <w:rPr>
                <w:sz w:val="20"/>
                <w:szCs w:val="20"/>
                <w:color w:val="auto"/>
              </w:rPr>
            </w:pPr>
            <w:r>
              <w:rPr>
                <w:rFonts w:ascii="Arial" w:cs="Arial" w:eastAsia="Arial" w:hAnsi="Arial"/>
                <w:sz w:val="18"/>
                <w:szCs w:val="18"/>
                <w:color w:val="auto"/>
              </w:rPr>
              <w:t>(26.0)</w:t>
            </w:r>
          </w:p>
        </w:tc>
        <w:tc>
          <w:tcPr>
            <w:tcW w:w="120" w:type="dxa"/>
            <w:vAlign w:val="bottom"/>
          </w:tcPr>
          <w:p>
            <w:pPr>
              <w:spacing w:after="0"/>
              <w:rPr>
                <w:sz w:val="22"/>
                <w:szCs w:val="22"/>
                <w:color w:val="auto"/>
              </w:rPr>
            </w:pPr>
          </w:p>
        </w:tc>
        <w:tc>
          <w:tcPr>
            <w:tcW w:w="1180" w:type="dxa"/>
            <w:vAlign w:val="bottom"/>
          </w:tcPr>
          <w:p>
            <w:pPr>
              <w:ind w:left="8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2"/>
                <w:szCs w:val="22"/>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(26.0)</w:t>
            </w:r>
          </w:p>
        </w:tc>
        <w:tc>
          <w:tcPr>
            <w:tcW w:w="240" w:type="dxa"/>
            <w:vAlign w:val="bottom"/>
          </w:tcPr>
          <w:p>
            <w:pPr>
              <w:spacing w:after="0"/>
              <w:rPr>
                <w:sz w:val="22"/>
                <w:szCs w:val="22"/>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(26.0)</w:t>
            </w:r>
          </w:p>
        </w:tc>
      </w:tr>
      <w:tr>
        <w:trPr>
          <w:trHeight w:val="235"/>
        </w:trPr>
        <w:tc>
          <w:tcPr>
            <w:tcW w:w="42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Foreign exchange contracts not designated as</w:t>
            </w:r>
          </w:p>
        </w:tc>
        <w:tc>
          <w:tcPr>
            <w:tcW w:w="30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r>
      <w:tr>
        <w:trPr>
          <w:trHeight w:val="230"/>
        </w:trPr>
        <w:tc>
          <w:tcPr>
            <w:tcW w:w="42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hedging instruments:</w:t>
            </w:r>
          </w:p>
        </w:tc>
        <w:tc>
          <w:tcPr>
            <w:tcW w:w="30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r>
      <w:tr>
        <w:trPr>
          <w:trHeight w:val="263"/>
        </w:trPr>
        <w:tc>
          <w:tcPr>
            <w:tcW w:w="4280" w:type="dxa"/>
            <w:vAlign w:val="bottom"/>
          </w:tcPr>
          <w:p>
            <w:pPr>
              <w:ind w:left="380"/>
              <w:spacing w:after="0"/>
              <w:rPr>
                <w:sz w:val="20"/>
                <w:szCs w:val="20"/>
                <w:color w:val="auto"/>
              </w:rPr>
            </w:pPr>
            <w:r>
              <w:rPr>
                <w:rFonts w:ascii="Arial" w:cs="Arial" w:eastAsia="Arial" w:hAnsi="Arial"/>
                <w:sz w:val="18"/>
                <w:szCs w:val="18"/>
                <w:color w:val="auto"/>
              </w:rPr>
              <w:t>Other receivables</w:t>
            </w:r>
          </w:p>
        </w:tc>
        <w:tc>
          <w:tcPr>
            <w:tcW w:w="300" w:type="dxa"/>
            <w:vAlign w:val="bottom"/>
          </w:tcPr>
          <w:p>
            <w:pPr>
              <w:spacing w:after="0"/>
              <w:rPr>
                <w:sz w:val="22"/>
                <w:szCs w:val="22"/>
                <w:color w:val="auto"/>
              </w:rPr>
            </w:pPr>
          </w:p>
        </w:tc>
        <w:tc>
          <w:tcPr>
            <w:tcW w:w="1220" w:type="dxa"/>
            <w:vAlign w:val="bottom"/>
          </w:tcPr>
          <w:p>
            <w:pPr>
              <w:jc w:val="right"/>
              <w:ind w:right="132"/>
              <w:spacing w:after="0"/>
              <w:rPr>
                <w:sz w:val="20"/>
                <w:szCs w:val="20"/>
                <w:color w:val="auto"/>
              </w:rPr>
            </w:pPr>
            <w:r>
              <w:rPr>
                <w:rFonts w:ascii="Arial" w:cs="Arial" w:eastAsia="Arial" w:hAnsi="Arial"/>
                <w:sz w:val="18"/>
                <w:szCs w:val="18"/>
                <w:color w:val="auto"/>
              </w:rPr>
              <w:t>26.8</w:t>
            </w:r>
          </w:p>
        </w:tc>
        <w:tc>
          <w:tcPr>
            <w:tcW w:w="120" w:type="dxa"/>
            <w:vAlign w:val="bottom"/>
          </w:tcPr>
          <w:p>
            <w:pPr>
              <w:spacing w:after="0"/>
              <w:rPr>
                <w:sz w:val="22"/>
                <w:szCs w:val="22"/>
                <w:color w:val="auto"/>
              </w:rPr>
            </w:pPr>
          </w:p>
        </w:tc>
        <w:tc>
          <w:tcPr>
            <w:tcW w:w="1180" w:type="dxa"/>
            <w:vAlign w:val="bottom"/>
          </w:tcPr>
          <w:p>
            <w:pPr>
              <w:ind w:left="8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2"/>
                <w:szCs w:val="22"/>
                <w:color w:val="auto"/>
              </w:rPr>
            </w:pPr>
          </w:p>
        </w:tc>
        <w:tc>
          <w:tcPr>
            <w:tcW w:w="1200" w:type="dxa"/>
            <w:vAlign w:val="bottom"/>
          </w:tcPr>
          <w:p>
            <w:pPr>
              <w:jc w:val="right"/>
              <w:ind w:right="72"/>
              <w:spacing w:after="0"/>
              <w:rPr>
                <w:sz w:val="20"/>
                <w:szCs w:val="20"/>
                <w:color w:val="auto"/>
              </w:rPr>
            </w:pPr>
            <w:r>
              <w:rPr>
                <w:rFonts w:ascii="Arial" w:cs="Arial" w:eastAsia="Arial" w:hAnsi="Arial"/>
                <w:sz w:val="18"/>
                <w:szCs w:val="18"/>
                <w:color w:val="auto"/>
              </w:rPr>
              <w:t>26.8</w:t>
            </w:r>
          </w:p>
        </w:tc>
        <w:tc>
          <w:tcPr>
            <w:tcW w:w="240" w:type="dxa"/>
            <w:vAlign w:val="bottom"/>
          </w:tcPr>
          <w:p>
            <w:pPr>
              <w:spacing w:after="0"/>
              <w:rPr>
                <w:sz w:val="22"/>
                <w:szCs w:val="22"/>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2"/>
                <w:szCs w:val="22"/>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26.8</w:t>
            </w:r>
          </w:p>
        </w:tc>
      </w:tr>
      <w:tr>
        <w:trPr>
          <w:trHeight w:val="277"/>
        </w:trPr>
        <w:tc>
          <w:tcPr>
            <w:tcW w:w="42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Other current liabilities</w:t>
            </w:r>
          </w:p>
        </w:tc>
        <w:tc>
          <w:tcPr>
            <w:tcW w:w="30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(36.0)</w:t>
            </w:r>
          </w:p>
        </w:tc>
        <w:tc>
          <w:tcPr>
            <w:tcW w:w="120" w:type="dxa"/>
            <w:vAlign w:val="bottom"/>
            <w:shd w:val="clear" w:color="auto" w:fill="CCEEFF"/>
          </w:tcPr>
          <w:p>
            <w:pPr>
              <w:spacing w:after="0"/>
              <w:rPr>
                <w:sz w:val="24"/>
                <w:szCs w:val="24"/>
                <w:color w:val="auto"/>
              </w:rPr>
            </w:pPr>
          </w:p>
        </w:tc>
        <w:tc>
          <w:tcPr>
            <w:tcW w:w="11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(36.0)</w:t>
            </w:r>
          </w:p>
        </w:tc>
        <w:tc>
          <w:tcPr>
            <w:tcW w:w="24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24"/>
                <w:szCs w:val="2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(36.0)</w:t>
            </w:r>
          </w:p>
        </w:tc>
      </w:tr>
      <w:tr>
        <w:trPr>
          <w:trHeight w:val="270"/>
        </w:trPr>
        <w:tc>
          <w:tcPr>
            <w:tcW w:w="4280" w:type="dxa"/>
            <w:vAlign w:val="bottom"/>
          </w:tcPr>
          <w:p>
            <w:pPr>
              <w:ind w:left="40"/>
              <w:spacing w:after="0"/>
              <w:rPr>
                <w:sz w:val="20"/>
                <w:szCs w:val="20"/>
                <w:color w:val="auto"/>
              </w:rPr>
            </w:pPr>
            <w:r>
              <w:rPr>
                <w:rFonts w:ascii="Arial" w:cs="Arial" w:eastAsia="Arial" w:hAnsi="Arial"/>
                <w:sz w:val="18"/>
                <w:szCs w:val="18"/>
                <w:color w:val="auto"/>
              </w:rPr>
              <w:t xml:space="preserve">Contingent consideration liabilities </w:t>
            </w:r>
            <w:r>
              <w:rPr>
                <w:rFonts w:ascii="Arial" w:cs="Arial" w:eastAsia="Arial" w:hAnsi="Arial"/>
                <w:sz w:val="21"/>
                <w:szCs w:val="21"/>
                <w:color w:val="auto"/>
                <w:vertAlign w:val="superscript"/>
              </w:rPr>
              <w:t>(1)</w:t>
            </w:r>
            <w:r>
              <w:rPr>
                <w:rFonts w:ascii="Arial" w:cs="Arial" w:eastAsia="Arial" w:hAnsi="Arial"/>
                <w:sz w:val="18"/>
                <w:szCs w:val="18"/>
                <w:color w:val="auto"/>
              </w:rPr>
              <w:t>:</w:t>
            </w:r>
          </w:p>
        </w:tc>
        <w:tc>
          <w:tcPr>
            <w:tcW w:w="30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980" w:type="dxa"/>
            <w:vAlign w:val="bottom"/>
          </w:tcPr>
          <w:p>
            <w:pPr>
              <w:spacing w:after="0"/>
              <w:rPr>
                <w:sz w:val="23"/>
                <w:szCs w:val="23"/>
                <w:color w:val="auto"/>
              </w:rPr>
            </w:pPr>
          </w:p>
        </w:tc>
      </w:tr>
      <w:tr>
        <w:trPr>
          <w:trHeight w:val="270"/>
        </w:trPr>
        <w:tc>
          <w:tcPr>
            <w:tcW w:w="42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Other current liabilities</w:t>
            </w:r>
          </w:p>
        </w:tc>
        <w:tc>
          <w:tcPr>
            <w:tcW w:w="30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(208.0)</w:t>
            </w:r>
          </w:p>
        </w:tc>
        <w:tc>
          <w:tcPr>
            <w:tcW w:w="120" w:type="dxa"/>
            <w:vAlign w:val="bottom"/>
            <w:shd w:val="clear" w:color="auto" w:fill="CCEEFF"/>
          </w:tcPr>
          <w:p>
            <w:pPr>
              <w:spacing w:after="0"/>
              <w:rPr>
                <w:sz w:val="23"/>
                <w:szCs w:val="23"/>
                <w:color w:val="auto"/>
              </w:rPr>
            </w:pPr>
          </w:p>
        </w:tc>
        <w:tc>
          <w:tcPr>
            <w:tcW w:w="11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3"/>
                <w:szCs w:val="23"/>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(208.0)</w:t>
            </w:r>
          </w:p>
        </w:tc>
        <w:tc>
          <w:tcPr>
            <w:tcW w:w="400" w:type="dxa"/>
            <w:vAlign w:val="bottom"/>
            <w:shd w:val="clear" w:color="auto" w:fill="CCEEFF"/>
          </w:tcPr>
          <w:p>
            <w:pPr>
              <w:spacing w:after="0"/>
              <w:rPr>
                <w:sz w:val="23"/>
                <w:szCs w:val="23"/>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(208.0)</w:t>
            </w:r>
          </w:p>
        </w:tc>
      </w:tr>
      <w:tr>
        <w:trPr>
          <w:trHeight w:val="257"/>
        </w:trPr>
        <w:tc>
          <w:tcPr>
            <w:tcW w:w="4280" w:type="dxa"/>
            <w:vAlign w:val="bottom"/>
          </w:tcPr>
          <w:p>
            <w:pPr>
              <w:ind w:left="380"/>
              <w:spacing w:after="0"/>
              <w:rPr>
                <w:sz w:val="20"/>
                <w:szCs w:val="20"/>
                <w:color w:val="auto"/>
              </w:rPr>
            </w:pPr>
            <w:r>
              <w:rPr>
                <w:rFonts w:ascii="Arial" w:cs="Arial" w:eastAsia="Arial" w:hAnsi="Arial"/>
                <w:sz w:val="18"/>
                <w:szCs w:val="18"/>
                <w:color w:val="auto"/>
              </w:rPr>
              <w:t>Other noncurrent liabilities</w:t>
            </w:r>
          </w:p>
        </w:tc>
        <w:tc>
          <w:tcPr>
            <w:tcW w:w="300" w:type="dxa"/>
            <w:vAlign w:val="bottom"/>
          </w:tcPr>
          <w:p>
            <w:pPr>
              <w:spacing w:after="0"/>
              <w:rPr>
                <w:sz w:val="22"/>
                <w:szCs w:val="22"/>
                <w:color w:val="auto"/>
              </w:rPr>
            </w:pPr>
          </w:p>
        </w:tc>
        <w:tc>
          <w:tcPr>
            <w:tcW w:w="1220" w:type="dxa"/>
            <w:vAlign w:val="bottom"/>
          </w:tcPr>
          <w:p>
            <w:pPr>
              <w:jc w:val="right"/>
              <w:ind w:right="72"/>
              <w:spacing w:after="0"/>
              <w:rPr>
                <w:sz w:val="20"/>
                <w:szCs w:val="20"/>
                <w:color w:val="auto"/>
              </w:rPr>
            </w:pPr>
            <w:r>
              <w:rPr>
                <w:rFonts w:ascii="Arial" w:cs="Arial" w:eastAsia="Arial" w:hAnsi="Arial"/>
                <w:sz w:val="18"/>
                <w:szCs w:val="18"/>
                <w:color w:val="auto"/>
              </w:rPr>
              <w:t>(45.2)</w:t>
            </w:r>
          </w:p>
        </w:tc>
        <w:tc>
          <w:tcPr>
            <w:tcW w:w="120" w:type="dxa"/>
            <w:vAlign w:val="bottom"/>
          </w:tcPr>
          <w:p>
            <w:pPr>
              <w:spacing w:after="0"/>
              <w:rPr>
                <w:sz w:val="22"/>
                <w:szCs w:val="22"/>
                <w:color w:val="auto"/>
              </w:rPr>
            </w:pPr>
          </w:p>
        </w:tc>
        <w:tc>
          <w:tcPr>
            <w:tcW w:w="1180" w:type="dxa"/>
            <w:vAlign w:val="bottom"/>
          </w:tcPr>
          <w:p>
            <w:pPr>
              <w:ind w:left="8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2"/>
                <w:szCs w:val="22"/>
                <w:color w:val="auto"/>
              </w:rPr>
            </w:pPr>
          </w:p>
        </w:tc>
        <w:tc>
          <w:tcPr>
            <w:tcW w:w="120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(45.2)</w:t>
            </w:r>
          </w:p>
        </w:tc>
        <w:tc>
          <w:tcPr>
            <w:tcW w:w="40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(45.2)</w:t>
            </w:r>
          </w:p>
        </w:tc>
      </w:tr>
    </w:tbl>
    <w:p>
      <w:pPr>
        <w:spacing w:after="0" w:line="115" w:lineRule="exact"/>
        <w:rPr>
          <w:sz w:val="20"/>
          <w:szCs w:val="20"/>
          <w:color w:val="auto"/>
        </w:rPr>
      </w:pPr>
    </w:p>
    <w:p>
      <w:pPr>
        <w:ind w:left="140" w:hanging="132"/>
        <w:spacing w:after="0"/>
        <w:tabs>
          <w:tab w:leader="none" w:pos="140" w:val="left"/>
        </w:tabs>
        <w:numPr>
          <w:ilvl w:val="0"/>
          <w:numId w:val="12"/>
        </w:numPr>
        <w:rPr>
          <w:rFonts w:ascii="Arial" w:cs="Arial" w:eastAsia="Arial" w:hAnsi="Arial"/>
          <w:sz w:val="16"/>
          <w:szCs w:val="16"/>
          <w:color w:val="auto"/>
          <w:vertAlign w:val="superscript"/>
        </w:rPr>
      </w:pPr>
      <w:r>
        <w:rPr>
          <w:rFonts w:ascii="Arial" w:cs="Arial" w:eastAsia="Arial" w:hAnsi="Arial"/>
          <w:sz w:val="13"/>
          <w:szCs w:val="13"/>
          <w:color w:val="auto"/>
        </w:rPr>
        <w:t>Contingent consideration liabilities primarily relate to the Erbitux arrangement with BMS discussed in Note 4.</w:t>
      </w:r>
    </w:p>
    <w:p>
      <w:pPr>
        <w:spacing w:after="0" w:line="92"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Risk-management instruments above are disclosed on a gross basis. There are various rights of setoff associated with certain of the risk-management instruments above that are subject to an enforceable master netting arrangement or similar agreements. Although various rights of setoff and master netting arrangements or similar agreements may exist with the individual counterparties to the risk-management instruments above, individually, these financial rights are not material.</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910" w:right="239" w:bottom="1440" w:gutter="0" w:footer="0" w:header="0"/>
        </w:sectPr>
      </w:pPr>
    </w:p>
    <w:bookmarkStart w:id="23" w:name="page24"/>
    <w:bookmarkEnd w:id="23"/>
    <w:p>
      <w:pPr>
        <w:ind w:right="160"/>
        <w:spacing w:after="0" w:line="253" w:lineRule="auto"/>
        <w:rPr>
          <w:sz w:val="20"/>
          <w:szCs w:val="20"/>
          <w:color w:val="auto"/>
        </w:rPr>
      </w:pPr>
      <w:r>
        <w:rPr>
          <w:rFonts w:ascii="Arial" w:cs="Arial" w:eastAsia="Arial" w:hAnsi="Arial"/>
          <w:sz w:val="18"/>
          <w:szCs w:val="18"/>
          <w:color w:val="auto"/>
        </w:rPr>
        <w:t>We determine our Level 1 and Level 2 fair value measurements based on a market approach using quoted market values, significant other observable inputs for identical or comparable assets or liabilities, or discounted cash flow analyses. Level 3 fair value measurements for other investment securities are determined using unobservable inputs, including the investments' cost adjusted for impairments and price changes from orderly transactions. The fair values of equity method investments and investments measured under the measurement alternative for equity investments that do not have readily determinable fair values are not readily available.</w:t>
      </w:r>
    </w:p>
    <w:p>
      <w:pPr>
        <w:spacing w:after="0" w:line="97"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Contingent consideration liabilities primarily include contingent consideration related to Erbitux, for which the fair value was estimated using a discounted cash flow analysis and Level 3 inputs, including projections representative of a market participant view for net sales in North America through September 2018 and an estimated discount rate. The amount to be paid is calculated as a tiered percentage of net sales (see Note 4) and will, therefore, vary directly with increases and decreases in net sales of Erbitux in North America. There is no cap on the amount that may be paid pursuant to this arrangement. The decrease in the fair value of the contingent consideration liabilities during the three months ended March 31, 2018 was due primarily to cash payments of $55.1 million related to Erbitux. The change in the fair value of the contingent consideration liabilities recognized in earnings during the three months ended March 31, 2018 and 2017 due to changes in time value of money was not material.</w:t>
      </w:r>
    </w:p>
    <w:p>
      <w:pPr>
        <w:spacing w:after="0" w:line="98"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summarizes the contractual maturities of our investments in debt securities measured at fair value as of March 31, 2018:</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64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Maturities by Period</w:t>
            </w: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r>
      <w:tr>
        <w:trPr>
          <w:trHeight w:val="175"/>
        </w:trPr>
        <w:tc>
          <w:tcPr>
            <w:tcW w:w="46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40" w:type="dxa"/>
            <w:vAlign w:val="bottom"/>
          </w:tcPr>
          <w:p>
            <w:pPr>
              <w:jc w:val="center"/>
              <w:ind w:right="102"/>
              <w:spacing w:after="0"/>
              <w:rPr>
                <w:sz w:val="20"/>
                <w:szCs w:val="20"/>
                <w:color w:val="auto"/>
              </w:rPr>
            </w:pPr>
            <w:r>
              <w:rPr>
                <w:rFonts w:ascii="Arial" w:cs="Arial" w:eastAsia="Arial" w:hAnsi="Arial"/>
                <w:sz w:val="14"/>
                <w:szCs w:val="14"/>
                <w:b w:val="1"/>
                <w:bCs w:val="1"/>
                <w:color w:val="auto"/>
              </w:rPr>
              <w:t>Less Than</w:t>
            </w:r>
          </w:p>
        </w:tc>
        <w:tc>
          <w:tcPr>
            <w:tcW w:w="420" w:type="dxa"/>
            <w:vAlign w:val="bottom"/>
          </w:tcPr>
          <w:p>
            <w:pPr>
              <w:spacing w:after="0"/>
              <w:rPr>
                <w:sz w:val="15"/>
                <w:szCs w:val="15"/>
                <w:color w:val="auto"/>
              </w:rPr>
            </w:pPr>
          </w:p>
        </w:tc>
        <w:tc>
          <w:tcPr>
            <w:tcW w:w="1080" w:type="dxa"/>
            <w:vAlign w:val="bottom"/>
          </w:tcPr>
          <w:p>
            <w:pPr>
              <w:jc w:val="center"/>
              <w:ind w:right="302"/>
              <w:spacing w:after="0"/>
              <w:rPr>
                <w:sz w:val="20"/>
                <w:szCs w:val="20"/>
                <w:color w:val="auto"/>
              </w:rPr>
            </w:pPr>
            <w:r>
              <w:rPr>
                <w:rFonts w:ascii="Arial" w:cs="Arial" w:eastAsia="Arial" w:hAnsi="Arial"/>
                <w:sz w:val="14"/>
                <w:szCs w:val="14"/>
                <w:b w:val="1"/>
                <w:bCs w:val="1"/>
                <w:color w:val="auto"/>
              </w:rPr>
              <w:t>1-5</w:t>
            </w:r>
          </w:p>
        </w:tc>
        <w:tc>
          <w:tcPr>
            <w:tcW w:w="300" w:type="dxa"/>
            <w:vAlign w:val="bottom"/>
          </w:tcPr>
          <w:p>
            <w:pPr>
              <w:spacing w:after="0"/>
              <w:rPr>
                <w:sz w:val="15"/>
                <w:szCs w:val="15"/>
                <w:color w:val="auto"/>
              </w:rPr>
            </w:pPr>
          </w:p>
        </w:tc>
        <w:tc>
          <w:tcPr>
            <w:tcW w:w="1000" w:type="dxa"/>
            <w:vAlign w:val="bottom"/>
          </w:tcPr>
          <w:p>
            <w:pPr>
              <w:jc w:val="right"/>
              <w:ind w:right="422"/>
              <w:spacing w:after="0"/>
              <w:rPr>
                <w:sz w:val="20"/>
                <w:szCs w:val="20"/>
                <w:color w:val="auto"/>
              </w:rPr>
            </w:pPr>
            <w:r>
              <w:rPr>
                <w:rFonts w:ascii="Arial" w:cs="Arial" w:eastAsia="Arial" w:hAnsi="Arial"/>
                <w:sz w:val="14"/>
                <w:szCs w:val="14"/>
                <w:b w:val="1"/>
                <w:bCs w:val="1"/>
                <w:color w:val="auto"/>
              </w:rPr>
              <w:t>6-10</w:t>
            </w:r>
          </w:p>
        </w:tc>
        <w:tc>
          <w:tcPr>
            <w:tcW w:w="280" w:type="dxa"/>
            <w:vAlign w:val="bottom"/>
          </w:tcPr>
          <w:p>
            <w:pPr>
              <w:spacing w:after="0"/>
              <w:rPr>
                <w:sz w:val="15"/>
                <w:szCs w:val="15"/>
                <w:color w:val="auto"/>
              </w:rPr>
            </w:pPr>
          </w:p>
        </w:tc>
        <w:tc>
          <w:tcPr>
            <w:tcW w:w="1080" w:type="dxa"/>
            <w:vAlign w:val="bottom"/>
          </w:tcPr>
          <w:p>
            <w:pPr>
              <w:jc w:val="center"/>
              <w:ind w:right="122"/>
              <w:spacing w:after="0"/>
              <w:rPr>
                <w:sz w:val="20"/>
                <w:szCs w:val="20"/>
                <w:color w:val="auto"/>
              </w:rPr>
            </w:pPr>
            <w:r>
              <w:rPr>
                <w:rFonts w:ascii="Arial" w:cs="Arial" w:eastAsia="Arial" w:hAnsi="Arial"/>
                <w:sz w:val="14"/>
                <w:szCs w:val="14"/>
                <w:b w:val="1"/>
                <w:bCs w:val="1"/>
                <w:color w:val="auto"/>
              </w:rPr>
              <w:t>More Than</w:t>
            </w:r>
          </w:p>
        </w:tc>
      </w:tr>
      <w:tr>
        <w:trPr>
          <w:trHeight w:val="196"/>
        </w:trPr>
        <w:tc>
          <w:tcPr>
            <w:tcW w:w="464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99"/>
              <w:spacing w:after="0"/>
              <w:rPr>
                <w:sz w:val="20"/>
                <w:szCs w:val="20"/>
                <w:color w:val="auto"/>
              </w:rPr>
            </w:pPr>
            <w:r>
              <w:rPr>
                <w:rFonts w:ascii="Arial" w:cs="Arial" w:eastAsia="Arial" w:hAnsi="Arial"/>
                <w:sz w:val="14"/>
                <w:szCs w:val="14"/>
                <w:b w:val="1"/>
                <w:bCs w:val="1"/>
                <w:color w:val="auto"/>
              </w:rPr>
              <w:t>Total</w:t>
            </w:r>
          </w:p>
        </w:tc>
        <w:tc>
          <w:tcPr>
            <w:tcW w:w="3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center"/>
              <w:ind w:right="102"/>
              <w:spacing w:after="0"/>
              <w:rPr>
                <w:sz w:val="20"/>
                <w:szCs w:val="20"/>
                <w:color w:val="auto"/>
              </w:rPr>
            </w:pPr>
            <w:r>
              <w:rPr>
                <w:rFonts w:ascii="Arial" w:cs="Arial" w:eastAsia="Arial" w:hAnsi="Arial"/>
                <w:sz w:val="14"/>
                <w:szCs w:val="14"/>
                <w:b w:val="1"/>
                <w:bCs w:val="1"/>
                <w:color w:val="auto"/>
                <w:w w:val="99"/>
              </w:rPr>
              <w:t>1 Year</w:t>
            </w:r>
          </w:p>
        </w:tc>
        <w:tc>
          <w:tcPr>
            <w:tcW w:w="4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center"/>
              <w:ind w:right="302"/>
              <w:spacing w:after="0"/>
              <w:rPr>
                <w:sz w:val="20"/>
                <w:szCs w:val="20"/>
                <w:color w:val="auto"/>
              </w:rPr>
            </w:pPr>
            <w:r>
              <w:rPr>
                <w:rFonts w:ascii="Arial" w:cs="Arial" w:eastAsia="Arial" w:hAnsi="Arial"/>
                <w:sz w:val="14"/>
                <w:szCs w:val="14"/>
                <w:b w:val="1"/>
                <w:bCs w:val="1"/>
                <w:color w:val="auto"/>
                <w:w w:val="99"/>
              </w:rPr>
              <w:t>Years</w:t>
            </w: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center"/>
              <w:ind w:right="222"/>
              <w:spacing w:after="0"/>
              <w:rPr>
                <w:sz w:val="20"/>
                <w:szCs w:val="20"/>
                <w:color w:val="auto"/>
              </w:rPr>
            </w:pPr>
            <w:r>
              <w:rPr>
                <w:rFonts w:ascii="Arial" w:cs="Arial" w:eastAsia="Arial" w:hAnsi="Arial"/>
                <w:sz w:val="14"/>
                <w:szCs w:val="14"/>
                <w:b w:val="1"/>
                <w:bCs w:val="1"/>
                <w:color w:val="auto"/>
                <w:w w:val="99"/>
              </w:rPr>
              <w:t>Years</w:t>
            </w:r>
          </w:p>
        </w:tc>
        <w:tc>
          <w:tcPr>
            <w:tcW w:w="28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center"/>
              <w:ind w:right="102"/>
              <w:spacing w:after="0"/>
              <w:rPr>
                <w:sz w:val="20"/>
                <w:szCs w:val="20"/>
                <w:color w:val="auto"/>
              </w:rPr>
            </w:pPr>
            <w:r>
              <w:rPr>
                <w:rFonts w:ascii="Arial" w:cs="Arial" w:eastAsia="Arial" w:hAnsi="Arial"/>
                <w:sz w:val="14"/>
                <w:szCs w:val="14"/>
                <w:b w:val="1"/>
                <w:bCs w:val="1"/>
                <w:color w:val="auto"/>
              </w:rPr>
              <w:t>10 Years</w:t>
            </w:r>
          </w:p>
        </w:tc>
      </w:tr>
      <w:tr>
        <w:trPr>
          <w:trHeight w:val="270"/>
        </w:trPr>
        <w:tc>
          <w:tcPr>
            <w:tcW w:w="4640" w:type="dxa"/>
            <w:vAlign w:val="bottom"/>
            <w:shd w:val="clear" w:color="auto" w:fill="CCEEFF"/>
          </w:tcPr>
          <w:p>
            <w:pPr>
              <w:ind w:left="40"/>
              <w:spacing w:after="0"/>
              <w:rPr>
                <w:sz w:val="20"/>
                <w:szCs w:val="20"/>
                <w:color w:val="auto"/>
              </w:rPr>
            </w:pPr>
            <w:r>
              <w:rPr>
                <w:rFonts w:ascii="Arial" w:cs="Arial" w:eastAsia="Arial" w:hAnsi="Arial"/>
                <w:sz w:val="18"/>
                <w:szCs w:val="18"/>
                <w:color w:val="auto"/>
              </w:rPr>
              <w:t>Fair value of debt securities</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rPr>
              <w:t>6,047.1</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2"/>
              <w:spacing w:after="0"/>
              <w:rPr>
                <w:sz w:val="20"/>
                <w:szCs w:val="20"/>
                <w:color w:val="auto"/>
              </w:rPr>
            </w:pPr>
            <w:r>
              <w:rPr>
                <w:rFonts w:ascii="Arial" w:cs="Arial" w:eastAsia="Arial" w:hAnsi="Arial"/>
                <w:sz w:val="18"/>
                <w:szCs w:val="18"/>
                <w:color w:val="auto"/>
              </w:rPr>
              <w:t>1,700.9</w:t>
            </w:r>
          </w:p>
        </w:tc>
        <w:tc>
          <w:tcPr>
            <w:tcW w:w="420" w:type="dxa"/>
            <w:vAlign w:val="bottom"/>
            <w:shd w:val="clear" w:color="auto" w:fill="CCEEFF"/>
          </w:tcPr>
          <w:p>
            <w:pPr>
              <w:jc w:val="right"/>
              <w:ind w:right="79"/>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122"/>
              <w:spacing w:after="0"/>
              <w:rPr>
                <w:sz w:val="20"/>
                <w:szCs w:val="20"/>
                <w:color w:val="auto"/>
              </w:rPr>
            </w:pPr>
            <w:r>
              <w:rPr>
                <w:rFonts w:ascii="Arial" w:cs="Arial" w:eastAsia="Arial" w:hAnsi="Arial"/>
                <w:sz w:val="18"/>
                <w:szCs w:val="18"/>
                <w:color w:val="auto"/>
              </w:rPr>
              <w:t>3,885.6</w:t>
            </w:r>
          </w:p>
        </w:tc>
        <w:tc>
          <w:tcPr>
            <w:tcW w:w="3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42"/>
              <w:spacing w:after="0"/>
              <w:rPr>
                <w:sz w:val="20"/>
                <w:szCs w:val="20"/>
                <w:color w:val="auto"/>
              </w:rPr>
            </w:pPr>
            <w:r>
              <w:rPr>
                <w:rFonts w:ascii="Arial" w:cs="Arial" w:eastAsia="Arial" w:hAnsi="Arial"/>
                <w:sz w:val="18"/>
                <w:szCs w:val="18"/>
                <w:color w:val="auto"/>
              </w:rPr>
              <w:t>205.4</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22"/>
              <w:spacing w:after="0"/>
              <w:rPr>
                <w:sz w:val="20"/>
                <w:szCs w:val="20"/>
                <w:color w:val="auto"/>
              </w:rPr>
            </w:pPr>
            <w:r>
              <w:rPr>
                <w:rFonts w:ascii="Arial" w:cs="Arial" w:eastAsia="Arial" w:hAnsi="Arial"/>
                <w:sz w:val="18"/>
                <w:szCs w:val="18"/>
                <w:color w:val="auto"/>
              </w:rPr>
              <w:t>255.2</w:t>
            </w:r>
          </w:p>
        </w:tc>
      </w:tr>
    </w:tbl>
    <w:p>
      <w:pPr>
        <w:spacing w:after="0" w:line="107" w:lineRule="exact"/>
        <w:rPr>
          <w:sz w:val="20"/>
          <w:szCs w:val="20"/>
          <w:color w:val="auto"/>
        </w:rPr>
      </w:pPr>
    </w:p>
    <w:p>
      <w:pPr>
        <w:ind w:right="60"/>
        <w:spacing w:after="0" w:line="262" w:lineRule="auto"/>
        <w:rPr>
          <w:sz w:val="20"/>
          <w:szCs w:val="20"/>
          <w:color w:val="auto"/>
        </w:rPr>
      </w:pPr>
      <w:r>
        <w:rPr>
          <w:rFonts w:ascii="Arial" w:cs="Arial" w:eastAsia="Arial" w:hAnsi="Arial"/>
          <w:sz w:val="18"/>
          <w:szCs w:val="18"/>
          <w:color w:val="auto"/>
        </w:rPr>
        <w:t>A summary of the fair value of available-for-sale securities in an unrealized gain or loss position and the amount of unrealized gains and losses (pretax) in accumulated other comprehensive loss follows:</w:t>
      </w: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940" w:type="dxa"/>
            <w:vAlign w:val="bottom"/>
            <w:tcBorders>
              <w:bottom w:val="single" w:sz="8" w:color="auto"/>
            </w:tcBorders>
          </w:tcPr>
          <w:p>
            <w:pPr>
              <w:spacing w:after="0"/>
              <w:rPr>
                <w:sz w:val="17"/>
                <w:szCs w:val="17"/>
                <w:color w:val="auto"/>
              </w:rPr>
            </w:pPr>
          </w:p>
        </w:tc>
        <w:tc>
          <w:tcPr>
            <w:tcW w:w="196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March 31, 2018</w:t>
            </w:r>
          </w:p>
        </w:tc>
        <w:tc>
          <w:tcPr>
            <w:tcW w:w="30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December 31, 2017</w:t>
            </w:r>
          </w:p>
        </w:tc>
      </w:tr>
      <w:tr>
        <w:trPr>
          <w:trHeight w:val="270"/>
        </w:trPr>
        <w:tc>
          <w:tcPr>
            <w:tcW w:w="5940" w:type="dxa"/>
            <w:vAlign w:val="bottom"/>
            <w:shd w:val="clear" w:color="auto" w:fill="CCEEFF"/>
          </w:tcPr>
          <w:p>
            <w:pPr>
              <w:ind w:left="40"/>
              <w:spacing w:after="0"/>
              <w:rPr>
                <w:sz w:val="20"/>
                <w:szCs w:val="20"/>
                <w:color w:val="auto"/>
              </w:rPr>
            </w:pPr>
            <w:r>
              <w:rPr>
                <w:rFonts w:ascii="Arial" w:cs="Arial" w:eastAsia="Arial" w:hAnsi="Arial"/>
                <w:sz w:val="18"/>
                <w:szCs w:val="18"/>
                <w:color w:val="auto"/>
              </w:rPr>
              <w:t>Unrealized gross gains</w:t>
            </w:r>
          </w:p>
        </w:tc>
        <w:tc>
          <w:tcPr>
            <w:tcW w:w="196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w:t>
            </w:r>
          </w:p>
        </w:tc>
        <w:tc>
          <w:tcPr>
            <w:tcW w:w="1580" w:type="dxa"/>
            <w:vAlign w:val="bottom"/>
            <w:shd w:val="clear" w:color="auto" w:fill="CCEEFF"/>
          </w:tcPr>
          <w:p>
            <w:pPr>
              <w:jc w:val="right"/>
              <w:ind w:right="34"/>
              <w:spacing w:after="0"/>
              <w:rPr>
                <w:sz w:val="20"/>
                <w:szCs w:val="20"/>
                <w:color w:val="auto"/>
              </w:rPr>
            </w:pPr>
            <w:r>
              <w:rPr>
                <w:rFonts w:ascii="Arial" w:cs="Arial" w:eastAsia="Arial" w:hAnsi="Arial"/>
                <w:sz w:val="18"/>
                <w:szCs w:val="18"/>
                <w:b w:val="1"/>
                <w:bCs w:val="1"/>
                <w:color w:val="auto"/>
              </w:rPr>
              <w:t>4.1</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184.7</w:t>
            </w:r>
          </w:p>
        </w:tc>
      </w:tr>
      <w:tr>
        <w:trPr>
          <w:trHeight w:val="263"/>
        </w:trPr>
        <w:tc>
          <w:tcPr>
            <w:tcW w:w="5940" w:type="dxa"/>
            <w:vAlign w:val="bottom"/>
          </w:tcPr>
          <w:p>
            <w:pPr>
              <w:ind w:left="40"/>
              <w:spacing w:after="0"/>
              <w:rPr>
                <w:sz w:val="20"/>
                <w:szCs w:val="20"/>
                <w:color w:val="auto"/>
              </w:rPr>
            </w:pPr>
            <w:r>
              <w:rPr>
                <w:rFonts w:ascii="Arial" w:cs="Arial" w:eastAsia="Arial" w:hAnsi="Arial"/>
                <w:sz w:val="18"/>
                <w:szCs w:val="18"/>
                <w:color w:val="auto"/>
              </w:rPr>
              <w:t>Unrealized gross losses</w:t>
            </w:r>
          </w:p>
        </w:tc>
        <w:tc>
          <w:tcPr>
            <w:tcW w:w="1960" w:type="dxa"/>
            <w:vAlign w:val="bottom"/>
          </w:tcPr>
          <w:p>
            <w:pPr>
              <w:spacing w:after="0"/>
              <w:rPr>
                <w:sz w:val="22"/>
                <w:szCs w:val="22"/>
                <w:color w:val="auto"/>
              </w:rPr>
            </w:pPr>
          </w:p>
        </w:tc>
        <w:tc>
          <w:tcPr>
            <w:tcW w:w="1580" w:type="dxa"/>
            <w:vAlign w:val="bottom"/>
          </w:tcPr>
          <w:p>
            <w:pPr>
              <w:jc w:val="right"/>
              <w:ind w:right="34"/>
              <w:spacing w:after="0"/>
              <w:rPr>
                <w:sz w:val="20"/>
                <w:szCs w:val="20"/>
                <w:color w:val="auto"/>
              </w:rPr>
            </w:pPr>
            <w:r>
              <w:rPr>
                <w:rFonts w:ascii="Arial" w:cs="Arial" w:eastAsia="Arial" w:hAnsi="Arial"/>
                <w:sz w:val="18"/>
                <w:szCs w:val="18"/>
                <w:b w:val="1"/>
                <w:bCs w:val="1"/>
                <w:color w:val="auto"/>
              </w:rPr>
              <w:t>69.4</w:t>
            </w:r>
          </w:p>
        </w:tc>
        <w:tc>
          <w:tcPr>
            <w:tcW w:w="300" w:type="dxa"/>
            <w:vAlign w:val="bottom"/>
          </w:tcPr>
          <w:p>
            <w:pPr>
              <w:spacing w:after="0"/>
              <w:rPr>
                <w:sz w:val="22"/>
                <w:szCs w:val="22"/>
                <w:color w:val="auto"/>
              </w:rPr>
            </w:pPr>
          </w:p>
        </w:tc>
        <w:tc>
          <w:tcPr>
            <w:tcW w:w="1640" w:type="dxa"/>
            <w:vAlign w:val="bottom"/>
          </w:tcPr>
          <w:p>
            <w:pPr>
              <w:jc w:val="right"/>
              <w:ind w:right="14"/>
              <w:spacing w:after="0"/>
              <w:rPr>
                <w:sz w:val="20"/>
                <w:szCs w:val="20"/>
                <w:color w:val="auto"/>
              </w:rPr>
            </w:pPr>
            <w:r>
              <w:rPr>
                <w:rFonts w:ascii="Arial" w:cs="Arial" w:eastAsia="Arial" w:hAnsi="Arial"/>
                <w:sz w:val="18"/>
                <w:szCs w:val="18"/>
                <w:color w:val="auto"/>
              </w:rPr>
              <w:t>47.5</w:t>
            </w:r>
          </w:p>
        </w:tc>
      </w:tr>
      <w:tr>
        <w:trPr>
          <w:trHeight w:val="277"/>
        </w:trPr>
        <w:tc>
          <w:tcPr>
            <w:tcW w:w="5940" w:type="dxa"/>
            <w:vAlign w:val="bottom"/>
            <w:shd w:val="clear" w:color="auto" w:fill="CCEEFF"/>
          </w:tcPr>
          <w:p>
            <w:pPr>
              <w:ind w:left="40"/>
              <w:spacing w:after="0"/>
              <w:rPr>
                <w:sz w:val="20"/>
                <w:szCs w:val="20"/>
                <w:color w:val="auto"/>
              </w:rPr>
            </w:pPr>
            <w:r>
              <w:rPr>
                <w:rFonts w:ascii="Arial" w:cs="Arial" w:eastAsia="Arial" w:hAnsi="Arial"/>
                <w:sz w:val="18"/>
                <w:szCs w:val="18"/>
                <w:color w:val="auto"/>
              </w:rPr>
              <w:t>Fair value of securities in an unrealized gain position</w:t>
            </w:r>
          </w:p>
        </w:tc>
        <w:tc>
          <w:tcPr>
            <w:tcW w:w="1960" w:type="dxa"/>
            <w:vAlign w:val="bottom"/>
            <w:shd w:val="clear" w:color="auto" w:fill="CCEEFF"/>
          </w:tcPr>
          <w:p>
            <w:pPr>
              <w:spacing w:after="0"/>
              <w:rPr>
                <w:sz w:val="24"/>
                <w:szCs w:val="24"/>
                <w:color w:val="auto"/>
              </w:rPr>
            </w:pPr>
          </w:p>
        </w:tc>
        <w:tc>
          <w:tcPr>
            <w:tcW w:w="1580" w:type="dxa"/>
            <w:vAlign w:val="bottom"/>
            <w:shd w:val="clear" w:color="auto" w:fill="CCEEFF"/>
          </w:tcPr>
          <w:p>
            <w:pPr>
              <w:jc w:val="right"/>
              <w:ind w:right="34"/>
              <w:spacing w:after="0"/>
              <w:rPr>
                <w:sz w:val="20"/>
                <w:szCs w:val="20"/>
                <w:color w:val="auto"/>
              </w:rPr>
            </w:pPr>
            <w:r>
              <w:rPr>
                <w:rFonts w:ascii="Arial" w:cs="Arial" w:eastAsia="Arial" w:hAnsi="Arial"/>
                <w:sz w:val="18"/>
                <w:szCs w:val="18"/>
                <w:b w:val="1"/>
                <w:bCs w:val="1"/>
                <w:color w:val="auto"/>
              </w:rPr>
              <w:t>582.4</w:t>
            </w:r>
          </w:p>
        </w:tc>
        <w:tc>
          <w:tcPr>
            <w:tcW w:w="300" w:type="dxa"/>
            <w:vAlign w:val="bottom"/>
            <w:shd w:val="clear" w:color="auto" w:fill="CCEEFF"/>
          </w:tcPr>
          <w:p>
            <w:pPr>
              <w:spacing w:after="0"/>
              <w:rPr>
                <w:sz w:val="24"/>
                <w:szCs w:val="24"/>
                <w:color w:val="auto"/>
              </w:rPr>
            </w:pPr>
          </w:p>
        </w:tc>
        <w:tc>
          <w:tcPr>
            <w:tcW w:w="16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1,434.2</w:t>
            </w:r>
          </w:p>
        </w:tc>
      </w:tr>
      <w:tr>
        <w:trPr>
          <w:trHeight w:val="257"/>
        </w:trPr>
        <w:tc>
          <w:tcPr>
            <w:tcW w:w="5940" w:type="dxa"/>
            <w:vAlign w:val="bottom"/>
          </w:tcPr>
          <w:p>
            <w:pPr>
              <w:ind w:left="40"/>
              <w:spacing w:after="0"/>
              <w:rPr>
                <w:sz w:val="20"/>
                <w:szCs w:val="20"/>
                <w:color w:val="auto"/>
              </w:rPr>
            </w:pPr>
            <w:r>
              <w:rPr>
                <w:rFonts w:ascii="Arial" w:cs="Arial" w:eastAsia="Arial" w:hAnsi="Arial"/>
                <w:sz w:val="18"/>
                <w:szCs w:val="18"/>
                <w:color w:val="auto"/>
              </w:rPr>
              <w:t>Fair value of securities in an unrealized loss position</w:t>
            </w:r>
          </w:p>
        </w:tc>
        <w:tc>
          <w:tcPr>
            <w:tcW w:w="1960" w:type="dxa"/>
            <w:vAlign w:val="bottom"/>
          </w:tcPr>
          <w:p>
            <w:pPr>
              <w:spacing w:after="0"/>
              <w:rPr>
                <w:sz w:val="22"/>
                <w:szCs w:val="22"/>
                <w:color w:val="auto"/>
              </w:rPr>
            </w:pPr>
          </w:p>
        </w:tc>
        <w:tc>
          <w:tcPr>
            <w:tcW w:w="1580" w:type="dxa"/>
            <w:vAlign w:val="bottom"/>
          </w:tcPr>
          <w:p>
            <w:pPr>
              <w:jc w:val="right"/>
              <w:ind w:right="34"/>
              <w:spacing w:after="0"/>
              <w:rPr>
                <w:sz w:val="20"/>
                <w:szCs w:val="20"/>
                <w:color w:val="auto"/>
              </w:rPr>
            </w:pPr>
            <w:r>
              <w:rPr>
                <w:rFonts w:ascii="Arial" w:cs="Arial" w:eastAsia="Arial" w:hAnsi="Arial"/>
                <w:sz w:val="18"/>
                <w:szCs w:val="18"/>
                <w:b w:val="1"/>
                <w:bCs w:val="1"/>
                <w:color w:val="auto"/>
              </w:rPr>
              <w:t>5,132.2</w:t>
            </w:r>
          </w:p>
        </w:tc>
        <w:tc>
          <w:tcPr>
            <w:tcW w:w="300" w:type="dxa"/>
            <w:vAlign w:val="bottom"/>
          </w:tcPr>
          <w:p>
            <w:pPr>
              <w:spacing w:after="0"/>
              <w:rPr>
                <w:sz w:val="22"/>
                <w:szCs w:val="22"/>
                <w:color w:val="auto"/>
              </w:rPr>
            </w:pPr>
          </w:p>
        </w:tc>
        <w:tc>
          <w:tcPr>
            <w:tcW w:w="1640" w:type="dxa"/>
            <w:vAlign w:val="bottom"/>
          </w:tcPr>
          <w:p>
            <w:pPr>
              <w:jc w:val="right"/>
              <w:ind w:right="14"/>
              <w:spacing w:after="0"/>
              <w:rPr>
                <w:sz w:val="20"/>
                <w:szCs w:val="20"/>
                <w:color w:val="auto"/>
              </w:rPr>
            </w:pPr>
            <w:r>
              <w:rPr>
                <w:rFonts w:ascii="Arial" w:cs="Arial" w:eastAsia="Arial" w:hAnsi="Arial"/>
                <w:sz w:val="18"/>
                <w:szCs w:val="18"/>
                <w:color w:val="auto"/>
              </w:rPr>
              <w:t>4,692.8</w:t>
            </w:r>
          </w:p>
        </w:tc>
      </w:tr>
    </w:tbl>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amount of unrealized gains and losses (pretax) recognized in our statement of operations for equity securities held as of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March 31, 2018 is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272415</wp:posOffset>
            </wp:positionV>
            <wp:extent cx="5994400" cy="1714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994400" cy="171450"/>
                    </a:xfrm>
                    <a:prstGeom prst="rect">
                      <a:avLst/>
                    </a:prstGeom>
                    <a:noFill/>
                  </pic:spPr>
                </pic:pic>
              </a:graphicData>
            </a:graphic>
          </wp:anchor>
        </w:drawing>
      </w:r>
    </w:p>
    <w:p>
      <w:pPr>
        <w:spacing w:after="0" w:line="200" w:lineRule="exact"/>
        <w:rPr>
          <w:sz w:val="20"/>
          <w:szCs w:val="20"/>
          <w:color w:val="auto"/>
        </w:rPr>
      </w:pPr>
    </w:p>
    <w:p>
      <w:pPr>
        <w:spacing w:after="0" w:line="226" w:lineRule="exact"/>
        <w:rPr>
          <w:sz w:val="20"/>
          <w:szCs w:val="20"/>
          <w:color w:val="auto"/>
        </w:rPr>
      </w:pPr>
    </w:p>
    <w:p>
      <w:pPr>
        <w:ind w:left="40"/>
        <w:spacing w:after="0"/>
        <w:tabs>
          <w:tab w:leader="none" w:pos="7640" w:val="left"/>
          <w:tab w:leader="none" w:pos="9000" w:val="left"/>
        </w:tabs>
        <w:rPr>
          <w:sz w:val="20"/>
          <w:szCs w:val="20"/>
          <w:color w:val="auto"/>
        </w:rPr>
      </w:pPr>
      <w:r>
        <w:rPr>
          <w:rFonts w:ascii="Arial" w:cs="Arial" w:eastAsia="Arial" w:hAnsi="Arial"/>
          <w:sz w:val="18"/>
          <w:szCs w:val="18"/>
          <w:color w:val="auto"/>
        </w:rPr>
        <w:t>Unrealized gain (loss), net</w:t>
      </w:r>
      <w:r>
        <w:rPr>
          <w:sz w:val="20"/>
          <w:szCs w:val="20"/>
          <w:color w:val="auto"/>
        </w:rPr>
        <w:tab/>
      </w:r>
      <w:r>
        <w:rPr>
          <w:rFonts w:ascii="Arial" w:cs="Arial" w:eastAsia="Arial" w:hAnsi="Arial"/>
          <w:sz w:val="18"/>
          <w:szCs w:val="18"/>
          <w:b w:val="1"/>
          <w:bCs w:val="1"/>
          <w:color w:val="auto"/>
        </w:rPr>
        <w:t>$</w:t>
      </w:r>
      <w:r>
        <w:rPr>
          <w:sz w:val="20"/>
          <w:szCs w:val="20"/>
          <w:color w:val="auto"/>
        </w:rPr>
        <w:tab/>
      </w:r>
      <w:r>
        <w:rPr>
          <w:rFonts w:ascii="Arial" w:cs="Arial" w:eastAsia="Arial" w:hAnsi="Arial"/>
          <w:sz w:val="17"/>
          <w:szCs w:val="17"/>
          <w:b w:val="1"/>
          <w:bCs w:val="1"/>
          <w:color w:val="auto"/>
        </w:rPr>
        <w:t>18.7</w:t>
      </w:r>
    </w:p>
    <w:p>
      <w:pPr>
        <w:spacing w:after="0" w:line="153" w:lineRule="exact"/>
        <w:rPr>
          <w:sz w:val="20"/>
          <w:szCs w:val="20"/>
          <w:color w:val="auto"/>
        </w:rPr>
      </w:pPr>
    </w:p>
    <w:p>
      <w:pPr>
        <w:ind w:right="240"/>
        <w:spacing w:after="0" w:line="262" w:lineRule="auto"/>
        <w:rPr>
          <w:sz w:val="20"/>
          <w:szCs w:val="20"/>
          <w:color w:val="auto"/>
        </w:rPr>
      </w:pPr>
      <w:r>
        <w:rPr>
          <w:rFonts w:ascii="Arial" w:cs="Arial" w:eastAsia="Arial" w:hAnsi="Arial"/>
          <w:sz w:val="18"/>
          <w:szCs w:val="18"/>
          <w:color w:val="auto"/>
        </w:rPr>
        <w:t>We periodically assess our investment in available-for-sale securities for other-than-temporary impairment losses. There were no other-than-temporary impairment losses in either the three months ended March 31, 2018 or the three months ended March 31, 2017.</w:t>
      </w:r>
    </w:p>
    <w:p>
      <w:pPr>
        <w:spacing w:after="0" w:line="88" w:lineRule="exact"/>
        <w:rPr>
          <w:sz w:val="20"/>
          <w:szCs w:val="20"/>
          <w:color w:val="auto"/>
        </w:rPr>
      </w:pPr>
    </w:p>
    <w:p>
      <w:pPr>
        <w:ind w:right="700"/>
        <w:spacing w:after="0" w:line="262" w:lineRule="auto"/>
        <w:rPr>
          <w:sz w:val="20"/>
          <w:szCs w:val="20"/>
          <w:color w:val="auto"/>
        </w:rPr>
      </w:pPr>
      <w:r>
        <w:rPr>
          <w:rFonts w:ascii="Arial" w:cs="Arial" w:eastAsia="Arial" w:hAnsi="Arial"/>
          <w:sz w:val="18"/>
          <w:szCs w:val="18"/>
          <w:color w:val="auto"/>
        </w:rPr>
        <w:t>We periodically assess our investments in equity securities other than public equity securities for impairment losses. Impairment losses recognized on these equity securities in the three months ended March 31, 2018 were immaterial.</w:t>
      </w:r>
    </w:p>
    <w:p>
      <w:pPr>
        <w:spacing w:after="0" w:line="88" w:lineRule="exact"/>
        <w:rPr>
          <w:sz w:val="20"/>
          <w:szCs w:val="20"/>
          <w:color w:val="auto"/>
        </w:rPr>
      </w:pPr>
    </w:p>
    <w:p>
      <w:pPr>
        <w:jc w:val="both"/>
        <w:ind w:right="80"/>
        <w:spacing w:after="0" w:line="256" w:lineRule="auto"/>
        <w:rPr>
          <w:sz w:val="20"/>
          <w:szCs w:val="20"/>
          <w:color w:val="auto"/>
        </w:rPr>
      </w:pPr>
      <w:r>
        <w:rPr>
          <w:rFonts w:ascii="Arial" w:cs="Arial" w:eastAsia="Arial" w:hAnsi="Arial"/>
          <w:sz w:val="18"/>
          <w:szCs w:val="18"/>
          <w:color w:val="auto"/>
        </w:rPr>
        <w:t>For fixed-income securities, the amount of credit losses are determined by comparing the difference between the present value of future cash flows expected to be collected on these securities and the amortized cost. Factors considered in assessing credit losses include the position in the capital structure, vintage and amount of collateral, delinquency rates, current credit support, and geographic concentration.</w:t>
      </w:r>
    </w:p>
    <w:p>
      <w:pPr>
        <w:spacing w:after="0" w:line="94" w:lineRule="exact"/>
        <w:rPr>
          <w:sz w:val="20"/>
          <w:szCs w:val="20"/>
          <w:color w:val="auto"/>
        </w:rPr>
      </w:pPr>
    </w:p>
    <w:p>
      <w:pPr>
        <w:ind w:right="260"/>
        <w:spacing w:after="0" w:line="262" w:lineRule="auto"/>
        <w:rPr>
          <w:sz w:val="20"/>
          <w:szCs w:val="20"/>
          <w:color w:val="auto"/>
        </w:rPr>
      </w:pPr>
      <w:r>
        <w:rPr>
          <w:rFonts w:ascii="Arial" w:cs="Arial" w:eastAsia="Arial" w:hAnsi="Arial"/>
          <w:sz w:val="18"/>
          <w:szCs w:val="18"/>
          <w:color w:val="auto"/>
        </w:rPr>
        <w:t>For equity securities, factors considered in assessing impairment losses include the financial condition and near term prospects of the issuer and general market conditions and industry specific factors.</w:t>
      </w:r>
    </w:p>
    <w:p>
      <w:pPr>
        <w:spacing w:after="0" w:line="88" w:lineRule="exact"/>
        <w:rPr>
          <w:sz w:val="20"/>
          <w:szCs w:val="20"/>
          <w:color w:val="auto"/>
        </w:rPr>
      </w:pPr>
    </w:p>
    <w:p>
      <w:pPr>
        <w:ind w:right="220"/>
        <w:spacing w:after="0" w:line="253" w:lineRule="auto"/>
        <w:rPr>
          <w:sz w:val="20"/>
          <w:szCs w:val="20"/>
          <w:color w:val="auto"/>
        </w:rPr>
      </w:pPr>
      <w:r>
        <w:rPr>
          <w:rFonts w:ascii="Arial" w:cs="Arial" w:eastAsia="Arial" w:hAnsi="Arial"/>
          <w:sz w:val="18"/>
          <w:szCs w:val="18"/>
          <w:color w:val="auto"/>
        </w:rPr>
        <w:t>As of March 31, 2018, the available-for-sale securities in an unrealized loss position include primarily fixed-rate debt securities of varying maturities, which are sensitive to changes in the yield curve and other market conditions. Approximately 90 percent of the fixed-rate debt securities in a loss position are investment-grade debt securities. As of March 31, 2018, we do not intend to sell, and it is not more likely than not that we will be required to sell the securities in a loss position before the market values recover or the underlying cash flows have been received, and there is no indication of default on interest or principal payments for any of our debt securities.</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706" w:right="239" w:bottom="1440" w:gutter="0" w:footer="0" w:header="0"/>
        </w:sectPr>
      </w:pPr>
    </w:p>
    <w:bookmarkStart w:id="24" w:name="page25"/>
    <w:bookmarkEnd w:id="24"/>
    <w:p>
      <w:pPr>
        <w:spacing w:after="0"/>
        <w:rPr>
          <w:sz w:val="20"/>
          <w:szCs w:val="20"/>
          <w:color w:val="auto"/>
        </w:rPr>
      </w:pPr>
      <w:r>
        <w:rPr>
          <w:rFonts w:ascii="Arial" w:cs="Arial" w:eastAsia="Arial" w:hAnsi="Arial"/>
          <w:sz w:val="18"/>
          <w:szCs w:val="18"/>
          <w:color w:val="auto"/>
        </w:rPr>
        <w:t>Activity related to our investment portfolio, substantially all of which related to equity and available-for-sale securities, was as follows:</w:t>
      </w:r>
    </w:p>
    <w:p>
      <w:pPr>
        <w:spacing w:after="0" w:line="159" w:lineRule="exact"/>
        <w:rPr>
          <w:sz w:val="20"/>
          <w:szCs w:val="20"/>
          <w:color w:val="auto"/>
        </w:rPr>
      </w:pPr>
    </w:p>
    <w:p>
      <w:pPr>
        <w:ind w:left="9600"/>
        <w:spacing w:after="0"/>
        <w:rPr>
          <w:sz w:val="20"/>
          <w:szCs w:val="20"/>
          <w:color w:val="auto"/>
        </w:rPr>
      </w:pPr>
      <w:r>
        <w:rPr>
          <w:rFonts w:ascii="Arial" w:cs="Arial" w:eastAsia="Arial" w:hAnsi="Arial"/>
          <w:sz w:val="14"/>
          <w:szCs w:val="14"/>
          <w:b w:val="1"/>
          <w:bCs w:val="1"/>
          <w:color w:val="auto"/>
        </w:rPr>
        <w:t>Three Months Ended</w:t>
      </w:r>
    </w:p>
    <w:p>
      <w:pPr>
        <w:spacing w:after="0" w:line="19" w:lineRule="exact"/>
        <w:rPr>
          <w:sz w:val="20"/>
          <w:szCs w:val="20"/>
          <w:color w:val="auto"/>
        </w:rPr>
      </w:pPr>
    </w:p>
    <w:p>
      <w:pPr>
        <w:ind w:left="1000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5862320</wp:posOffset>
            </wp:positionH>
            <wp:positionV relativeFrom="paragraph">
              <wp:posOffset>14605</wp:posOffset>
            </wp:positionV>
            <wp:extent cx="138938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389380" cy="8890"/>
                    </a:xfrm>
                    <a:prstGeom prst="rect">
                      <a:avLst/>
                    </a:prstGeom>
                    <a:noFill/>
                  </pic:spPr>
                </pic:pic>
              </a:graphicData>
            </a:graphic>
          </wp:anchor>
        </w:drawing>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880" w:type="dxa"/>
            <w:vAlign w:val="bottom"/>
            <w:tcBorders>
              <w:bottom w:val="single" w:sz="8" w:color="auto"/>
            </w:tcBorders>
          </w:tcPr>
          <w:p>
            <w:pPr>
              <w:spacing w:after="0"/>
              <w:rPr>
                <w:sz w:val="17"/>
                <w:szCs w:val="17"/>
                <w:color w:val="auto"/>
              </w:rPr>
            </w:pPr>
          </w:p>
        </w:tc>
        <w:tc>
          <w:tcPr>
            <w:tcW w:w="36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2018</w:t>
            </w:r>
          </w:p>
        </w:tc>
        <w:tc>
          <w:tcPr>
            <w:tcW w:w="114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2017</w:t>
            </w:r>
          </w:p>
        </w:tc>
      </w:tr>
      <w:tr>
        <w:trPr>
          <w:trHeight w:val="270"/>
        </w:trPr>
        <w:tc>
          <w:tcPr>
            <w:tcW w:w="5880" w:type="dxa"/>
            <w:vAlign w:val="bottom"/>
            <w:shd w:val="clear" w:color="auto" w:fill="CCEEFF"/>
          </w:tcPr>
          <w:p>
            <w:pPr>
              <w:ind w:left="40"/>
              <w:spacing w:after="0"/>
              <w:rPr>
                <w:sz w:val="20"/>
                <w:szCs w:val="20"/>
                <w:color w:val="auto"/>
              </w:rPr>
            </w:pPr>
            <w:r>
              <w:rPr>
                <w:rFonts w:ascii="Arial" w:cs="Arial" w:eastAsia="Arial" w:hAnsi="Arial"/>
                <w:sz w:val="18"/>
                <w:szCs w:val="18"/>
                <w:color w:val="auto"/>
              </w:rPr>
              <w:t>Proceeds from sales</w:t>
            </w:r>
          </w:p>
        </w:tc>
        <w:tc>
          <w:tcPr>
            <w:tcW w:w="360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w:t>
            </w:r>
          </w:p>
        </w:tc>
        <w:tc>
          <w:tcPr>
            <w:tcW w:w="800" w:type="dxa"/>
            <w:vAlign w:val="bottom"/>
            <w:shd w:val="clear" w:color="auto" w:fill="CCEEFF"/>
          </w:tcPr>
          <w:p>
            <w:pPr>
              <w:jc w:val="right"/>
              <w:ind w:right="34"/>
              <w:spacing w:after="0"/>
              <w:rPr>
                <w:sz w:val="20"/>
                <w:szCs w:val="20"/>
                <w:color w:val="auto"/>
              </w:rPr>
            </w:pPr>
            <w:r>
              <w:rPr>
                <w:rFonts w:ascii="Arial" w:cs="Arial" w:eastAsia="Arial" w:hAnsi="Arial"/>
                <w:sz w:val="18"/>
                <w:szCs w:val="18"/>
                <w:b w:val="1"/>
                <w:bCs w:val="1"/>
                <w:color w:val="auto"/>
              </w:rPr>
              <w:t>592.6</w:t>
            </w:r>
          </w:p>
        </w:tc>
        <w:tc>
          <w:tcPr>
            <w:tcW w:w="11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  1,092.5</w:t>
            </w:r>
          </w:p>
        </w:tc>
      </w:tr>
      <w:tr>
        <w:trPr>
          <w:trHeight w:val="263"/>
        </w:trPr>
        <w:tc>
          <w:tcPr>
            <w:tcW w:w="5880" w:type="dxa"/>
            <w:vAlign w:val="bottom"/>
          </w:tcPr>
          <w:p>
            <w:pPr>
              <w:ind w:left="40"/>
              <w:spacing w:after="0"/>
              <w:rPr>
                <w:sz w:val="20"/>
                <w:szCs w:val="20"/>
                <w:color w:val="auto"/>
              </w:rPr>
            </w:pPr>
            <w:r>
              <w:rPr>
                <w:rFonts w:ascii="Arial" w:cs="Arial" w:eastAsia="Arial" w:hAnsi="Arial"/>
                <w:sz w:val="18"/>
                <w:szCs w:val="18"/>
                <w:color w:val="auto"/>
              </w:rPr>
              <w:t>Realized gross gains on sales</w:t>
            </w:r>
          </w:p>
        </w:tc>
        <w:tc>
          <w:tcPr>
            <w:tcW w:w="3600" w:type="dxa"/>
            <w:vAlign w:val="bottom"/>
          </w:tcPr>
          <w:p>
            <w:pPr>
              <w:spacing w:after="0"/>
              <w:rPr>
                <w:sz w:val="22"/>
                <w:szCs w:val="22"/>
                <w:color w:val="auto"/>
              </w:rPr>
            </w:pPr>
          </w:p>
        </w:tc>
        <w:tc>
          <w:tcPr>
            <w:tcW w:w="800" w:type="dxa"/>
            <w:vAlign w:val="bottom"/>
          </w:tcPr>
          <w:p>
            <w:pPr>
              <w:jc w:val="right"/>
              <w:ind w:right="34"/>
              <w:spacing w:after="0"/>
              <w:rPr>
                <w:sz w:val="20"/>
                <w:szCs w:val="20"/>
                <w:color w:val="auto"/>
              </w:rPr>
            </w:pPr>
            <w:r>
              <w:rPr>
                <w:rFonts w:ascii="Arial" w:cs="Arial" w:eastAsia="Arial" w:hAnsi="Arial"/>
                <w:sz w:val="18"/>
                <w:szCs w:val="18"/>
                <w:b w:val="1"/>
                <w:bCs w:val="1"/>
                <w:color w:val="auto"/>
              </w:rPr>
              <w:t>2.1</w:t>
            </w: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51.7</w:t>
            </w:r>
          </w:p>
        </w:tc>
      </w:tr>
      <w:tr>
        <w:trPr>
          <w:trHeight w:val="277"/>
        </w:trPr>
        <w:tc>
          <w:tcPr>
            <w:tcW w:w="5880" w:type="dxa"/>
            <w:vAlign w:val="bottom"/>
            <w:shd w:val="clear" w:color="auto" w:fill="CCEEFF"/>
          </w:tcPr>
          <w:p>
            <w:pPr>
              <w:ind w:left="40"/>
              <w:spacing w:after="0"/>
              <w:rPr>
                <w:sz w:val="20"/>
                <w:szCs w:val="20"/>
                <w:color w:val="auto"/>
              </w:rPr>
            </w:pPr>
            <w:r>
              <w:rPr>
                <w:rFonts w:ascii="Arial" w:cs="Arial" w:eastAsia="Arial" w:hAnsi="Arial"/>
                <w:sz w:val="18"/>
                <w:szCs w:val="18"/>
                <w:color w:val="auto"/>
              </w:rPr>
              <w:t>Realized gross losses on sales</w:t>
            </w:r>
          </w:p>
        </w:tc>
        <w:tc>
          <w:tcPr>
            <w:tcW w:w="360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34"/>
              <w:spacing w:after="0"/>
              <w:rPr>
                <w:sz w:val="20"/>
                <w:szCs w:val="20"/>
                <w:color w:val="auto"/>
              </w:rPr>
            </w:pPr>
            <w:r>
              <w:rPr>
                <w:rFonts w:ascii="Arial" w:cs="Arial" w:eastAsia="Arial" w:hAnsi="Arial"/>
                <w:sz w:val="18"/>
                <w:szCs w:val="18"/>
                <w:b w:val="1"/>
                <w:bCs w:val="1"/>
                <w:color w:val="auto"/>
              </w:rPr>
              <w:t>1.6</w:t>
            </w:r>
          </w:p>
        </w:tc>
        <w:tc>
          <w:tcPr>
            <w:tcW w:w="11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1.3</w:t>
            </w:r>
          </w:p>
        </w:tc>
      </w:tr>
    </w:tbl>
    <w:p>
      <w:pPr>
        <w:spacing w:after="0" w:line="107" w:lineRule="exact"/>
        <w:rPr>
          <w:sz w:val="20"/>
          <w:szCs w:val="20"/>
          <w:color w:val="auto"/>
        </w:rPr>
      </w:pPr>
    </w:p>
    <w:p>
      <w:pPr>
        <w:ind w:right="60"/>
        <w:spacing w:after="0" w:line="262" w:lineRule="auto"/>
        <w:rPr>
          <w:sz w:val="20"/>
          <w:szCs w:val="20"/>
          <w:color w:val="auto"/>
        </w:rPr>
      </w:pPr>
      <w:r>
        <w:rPr>
          <w:rFonts w:ascii="Arial" w:cs="Arial" w:eastAsia="Arial" w:hAnsi="Arial"/>
          <w:sz w:val="18"/>
          <w:szCs w:val="18"/>
          <w:color w:val="auto"/>
        </w:rPr>
        <w:t>Realized gains and losses on sales of available-for-sale investments are computed based upon specific identification of the initial cost adjusted for any other-than-temporary declines in fair value that were recorded in earnings.</w:t>
      </w:r>
    </w:p>
    <w:p>
      <w:pPr>
        <w:spacing w:after="0" w:line="88" w:lineRule="exact"/>
        <w:rPr>
          <w:sz w:val="20"/>
          <w:szCs w:val="20"/>
          <w:color w:val="auto"/>
        </w:rPr>
      </w:pPr>
    </w:p>
    <w:p>
      <w:pPr>
        <w:ind w:right="320"/>
        <w:spacing w:after="0" w:line="254" w:lineRule="auto"/>
        <w:rPr>
          <w:sz w:val="20"/>
          <w:szCs w:val="20"/>
          <w:color w:val="auto"/>
        </w:rPr>
      </w:pPr>
      <w:r>
        <w:rPr>
          <w:rFonts w:ascii="Arial" w:cs="Arial" w:eastAsia="Arial" w:hAnsi="Arial"/>
          <w:sz w:val="18"/>
          <w:szCs w:val="18"/>
          <w:color w:val="auto"/>
        </w:rPr>
        <w:t>Adjustments recorded to our equity investments without readily determinable fair values are based upon changes in the equity instrument's value resulting from observable price changes in orderly transactions for an identical or similar investment of the same issuer. Downward adjustments resulting from an impairment are recorded based upon the impairment considerations mentioned above. Adjustments recorded during the three months ended March 31, 2018 were immaterial.</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Accounts Receivable Factoring Arrangements</w:t>
      </w:r>
    </w:p>
    <w:p>
      <w:pPr>
        <w:spacing w:after="0" w:line="135" w:lineRule="exact"/>
        <w:rPr>
          <w:sz w:val="20"/>
          <w:szCs w:val="20"/>
          <w:color w:val="auto"/>
        </w:rPr>
      </w:pPr>
    </w:p>
    <w:p>
      <w:pPr>
        <w:ind w:right="100"/>
        <w:spacing w:after="0" w:line="252" w:lineRule="auto"/>
        <w:rPr>
          <w:sz w:val="20"/>
          <w:szCs w:val="20"/>
          <w:color w:val="auto"/>
        </w:rPr>
      </w:pPr>
      <w:r>
        <w:rPr>
          <w:rFonts w:ascii="Arial" w:cs="Arial" w:eastAsia="Arial" w:hAnsi="Arial"/>
          <w:sz w:val="18"/>
          <w:szCs w:val="18"/>
          <w:color w:val="auto"/>
        </w:rPr>
        <w:t>We have entered into accounts receivable factoring agreements with financial institutions to sell certain of our non-U.S. accounts receivable. These transactions are accounted for as sales and result in a reduction in accounts receivable because the agreements transfer effective control over and risk related to the receivables to the buyers. Our factoring agreements do not allow for recourse in the event of uncollectibility, and we do not retain any interest in the underlying accounts receivable once sold. We derecognized $680.8 million and $723.2 million of accounts receivable as of March 31, 2018 and December 31, 2017, respectively, under these factoring arrangements. The cost of factoring such accounts receivable on our consolidated condensed results of operations for the three months ended March 31, 2018 and 2017 was not material.</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Shareholders’ Equity</w:t>
      </w:r>
    </w:p>
    <w:p>
      <w:pPr>
        <w:spacing w:after="0" w:line="193"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During the three months ended March 31, 2018 and 2017, we repurchased $1.10 billion, or 14.1 million shares, and $60.0 million of shares, respectively, associated with our $5.00 billion share repurchase program announced in October 2013. A payment of $60.0 million was made in the fourth quarter of 2016 for shares repurchased in 2017. As of March 31, 2018, there were $950.7 million of shares remaining in that program.</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Income Taxes</w:t>
      </w:r>
    </w:p>
    <w:p>
      <w:pPr>
        <w:spacing w:after="0" w:line="193" w:lineRule="exact"/>
        <w:rPr>
          <w:sz w:val="20"/>
          <w:szCs w:val="20"/>
          <w:color w:val="auto"/>
        </w:rPr>
      </w:pPr>
    </w:p>
    <w:p>
      <w:pPr>
        <w:ind w:right="100"/>
        <w:spacing w:after="0" w:line="252" w:lineRule="auto"/>
        <w:rPr>
          <w:sz w:val="20"/>
          <w:szCs w:val="20"/>
          <w:color w:val="auto"/>
        </w:rPr>
      </w:pPr>
      <w:r>
        <w:rPr>
          <w:rFonts w:ascii="Arial" w:cs="Arial" w:eastAsia="Arial" w:hAnsi="Arial"/>
          <w:sz w:val="18"/>
          <w:szCs w:val="18"/>
          <w:color w:val="auto"/>
        </w:rPr>
        <w:t>During the three months ended March 31, 2018, we incurred $223.6 million of income tax expense. In December 2017, the President of the U.S. signed into law the Tax Cuts and Jobs Act (2017 Tax Act), which includes significant changes to the U.S. corporate income tax system, including a reduction in the corporate income tax rate, transition to a territorial tax system, and modifications to the international tax provisions. The changes that became effective January 1, 2018 resulted in a reduction to our tax expense for the three months ended March 31, 2018 compared to the three months ended March 31, 2017. During the three months ended March 31, 2017, we incurred $172.0 million of income tax, despite earning $61.2 million of income before income taxes, as a result of the non-deductible $857.6 million acquired IPR&amp;D charge for the acquisition of CoLucid.</w:t>
      </w:r>
    </w:p>
    <w:p>
      <w:pPr>
        <w:spacing w:after="0" w:line="207" w:lineRule="exact"/>
        <w:rPr>
          <w:sz w:val="20"/>
          <w:szCs w:val="20"/>
          <w:color w:val="auto"/>
        </w:rPr>
      </w:pPr>
    </w:p>
    <w:p>
      <w:pPr>
        <w:ind w:right="80"/>
        <w:spacing w:after="0" w:line="251" w:lineRule="auto"/>
        <w:rPr>
          <w:sz w:val="20"/>
          <w:szCs w:val="20"/>
          <w:color w:val="auto"/>
        </w:rPr>
      </w:pPr>
      <w:r>
        <w:rPr>
          <w:rFonts w:ascii="Arial" w:cs="Arial" w:eastAsia="Arial" w:hAnsi="Arial"/>
          <w:sz w:val="18"/>
          <w:szCs w:val="18"/>
          <w:color w:val="auto"/>
        </w:rPr>
        <w:t>At March 31, 2018, our accounting for the 2017 Tax Act is incomplete; however, we expect to complete our accounting by December 2018. As discussed in our 2017 Annual Report on Form 10-K, we recorded provisional adjustments for effects that we were able to reasonably estimate. Those effects included the one-time repatriation transition tax (also known as the 'Toll Tax'), re-measurement of deferred tax assets and liabilities, unremitted earnings, executive compensation, and uncertain tax positions. At year-end, we were not able to make reasonable estimates for Global Intangible Low-Taxed Income (GILTI) deferred taxes or valuation allowances; therefore, we did not record provisional amounts. We are still evaluating the effects of the GILTI provisions and assessing our valuation allowances, and we have not yet determined our accounting policy election with respect to GILTI deferred taxes or the application of intra-entity transfers of inventory; therefore, the estimated annual effective tax rate reflects GILTI as a period expense. For the first quarter of 2018, we have not made any additional measurement-period adjustments related to these provisional items as we are continuing to collect and analyze additional</w:t>
      </w: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706" w:right="239" w:bottom="1440" w:gutter="0" w:footer="0" w:header="0"/>
        </w:sectPr>
      </w:pPr>
    </w:p>
    <w:bookmarkStart w:id="25" w:name="page26"/>
    <w:bookmarkEnd w:id="25"/>
    <w:p>
      <w:pPr>
        <w:ind w:right="280"/>
        <w:spacing w:after="0" w:line="262" w:lineRule="auto"/>
        <w:rPr>
          <w:sz w:val="20"/>
          <w:szCs w:val="20"/>
          <w:color w:val="auto"/>
        </w:rPr>
      </w:pPr>
      <w:r>
        <w:rPr>
          <w:rFonts w:ascii="Arial" w:cs="Arial" w:eastAsia="Arial" w:hAnsi="Arial"/>
          <w:sz w:val="18"/>
          <w:szCs w:val="18"/>
          <w:color w:val="auto"/>
        </w:rPr>
        <w:t>information as well as evaluate the interpretations and assumptions made. Updates to our calculations may result in material changes to the provisional adjustments recorded at year-end and the estimated annual effective tax rate.</w:t>
      </w:r>
    </w:p>
    <w:p>
      <w:pPr>
        <w:spacing w:after="0" w:line="88" w:lineRule="exact"/>
        <w:rPr>
          <w:sz w:val="20"/>
          <w:szCs w:val="20"/>
          <w:color w:val="auto"/>
        </w:rPr>
      </w:pPr>
    </w:p>
    <w:p>
      <w:pPr>
        <w:jc w:val="both"/>
        <w:ind w:right="260"/>
        <w:spacing w:after="0" w:line="256" w:lineRule="auto"/>
        <w:rPr>
          <w:sz w:val="20"/>
          <w:szCs w:val="20"/>
          <w:color w:val="auto"/>
        </w:rPr>
      </w:pPr>
      <w:r>
        <w:rPr>
          <w:rFonts w:ascii="Arial" w:cs="Arial" w:eastAsia="Arial" w:hAnsi="Arial"/>
          <w:sz w:val="18"/>
          <w:szCs w:val="18"/>
          <w:color w:val="auto"/>
        </w:rPr>
        <w:t>The U.S. examination of tax years 2013-2015 began in 2016. While we believe it is reasonably possible that this audit could reach resolution within the next 12 months, the IRS examination of tax years 2013-2015 remains ongoing. Therefore, it is not possible to reasonably estimate the change to unrecognized tax benefits and the related future cash flows.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Retirement Benefits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Net pension and retiree health benefit (income) cost included the following components:</w:t>
      </w:r>
    </w:p>
    <w:p>
      <w:pPr>
        <w:spacing w:after="0" w:line="213" w:lineRule="exact"/>
        <w:rPr>
          <w:sz w:val="20"/>
          <w:szCs w:val="20"/>
          <w:color w:val="auto"/>
        </w:rPr>
      </w:pPr>
    </w:p>
    <w:p>
      <w:pPr>
        <w:ind w:left="8960"/>
        <w:spacing w:after="0"/>
        <w:rPr>
          <w:sz w:val="20"/>
          <w:szCs w:val="20"/>
          <w:color w:val="auto"/>
        </w:rPr>
      </w:pPr>
      <w:r>
        <w:rPr>
          <w:rFonts w:ascii="Arial" w:cs="Arial" w:eastAsia="Arial" w:hAnsi="Arial"/>
          <w:sz w:val="14"/>
          <w:szCs w:val="14"/>
          <w:b w:val="1"/>
          <w:bCs w:val="1"/>
          <w:color w:val="auto"/>
        </w:rPr>
        <w:t>Defined Benefit Pension Plans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5433695</wp:posOffset>
            </wp:positionH>
            <wp:positionV relativeFrom="paragraph">
              <wp:posOffset>26035</wp:posOffset>
            </wp:positionV>
            <wp:extent cx="181800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818005" cy="8890"/>
                    </a:xfrm>
                    <a:prstGeom prst="rect">
                      <a:avLst/>
                    </a:prstGeom>
                    <a:noFill/>
                  </pic:spPr>
                </pic:pic>
              </a:graphicData>
            </a:graphic>
          </wp:anchor>
        </w:drawing>
      </w:r>
    </w:p>
    <w:p>
      <w:pPr>
        <w:spacing w:after="0" w:line="49" w:lineRule="exact"/>
        <w:rPr>
          <w:sz w:val="20"/>
          <w:szCs w:val="20"/>
          <w:color w:val="auto"/>
        </w:rPr>
      </w:pPr>
    </w:p>
    <w:p>
      <w:pPr>
        <w:ind w:left="9280"/>
        <w:spacing w:after="0"/>
        <w:rPr>
          <w:sz w:val="20"/>
          <w:szCs w:val="20"/>
          <w:color w:val="auto"/>
        </w:rPr>
      </w:pPr>
      <w:r>
        <w:rPr>
          <w:rFonts w:ascii="Arial" w:cs="Arial" w:eastAsia="Arial" w:hAnsi="Arial"/>
          <w:sz w:val="14"/>
          <w:szCs w:val="14"/>
          <w:b w:val="1"/>
          <w:bCs w:val="1"/>
          <w:color w:val="auto"/>
        </w:rPr>
        <w:t>Three Months Ended</w:t>
      </w:r>
    </w:p>
    <w:p>
      <w:pPr>
        <w:spacing w:after="0" w:line="19" w:lineRule="exact"/>
        <w:rPr>
          <w:sz w:val="20"/>
          <w:szCs w:val="20"/>
          <w:color w:val="auto"/>
        </w:rPr>
      </w:pPr>
    </w:p>
    <w:p>
      <w:pPr>
        <w:jc w:val="center"/>
        <w:ind w:left="858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5433695</wp:posOffset>
            </wp:positionH>
            <wp:positionV relativeFrom="paragraph">
              <wp:posOffset>14605</wp:posOffset>
            </wp:positionV>
            <wp:extent cx="1818005"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818005" cy="8890"/>
                    </a:xfrm>
                    <a:prstGeom prst="rect">
                      <a:avLst/>
                    </a:prstGeom>
                    <a:noFill/>
                  </pic:spPr>
                </pic:pic>
              </a:graphicData>
            </a:graphic>
          </wp:anchor>
        </w:drawing>
      </w:r>
    </w:p>
    <w:p>
      <w:pPr>
        <w:spacing w:after="0" w:line="85" w:lineRule="exact"/>
        <w:rPr>
          <w:sz w:val="20"/>
          <w:szCs w:val="20"/>
          <w:color w:val="auto"/>
        </w:rPr>
      </w:pPr>
    </w:p>
    <w:p>
      <w:pPr>
        <w:ind w:left="9080"/>
        <w:spacing w:after="0"/>
        <w:tabs>
          <w:tab w:leader="none" w:pos="10560" w:val="left"/>
        </w:tabs>
        <w:rPr>
          <w:sz w:val="20"/>
          <w:szCs w:val="20"/>
          <w:color w:val="auto"/>
        </w:rPr>
      </w:pPr>
      <w:r>
        <w:rPr>
          <w:rFonts w:ascii="Arial" w:cs="Arial" w:eastAsia="Arial" w:hAnsi="Arial"/>
          <w:sz w:val="14"/>
          <w:szCs w:val="14"/>
          <w:b w:val="1"/>
          <w:bCs w:val="1"/>
          <w:color w:val="auto"/>
        </w:rPr>
        <w:t>2018</w:t>
      </w:r>
      <w:r>
        <w:rPr>
          <w:sz w:val="20"/>
          <w:szCs w:val="20"/>
          <w:color w:val="auto"/>
        </w:rPr>
        <w:tab/>
      </w:r>
      <w:r>
        <w:rPr>
          <w:rFonts w:ascii="Arial" w:cs="Arial" w:eastAsia="Arial" w:hAnsi="Arial"/>
          <w:sz w:val="14"/>
          <w:szCs w:val="14"/>
          <w:b w:val="1"/>
          <w:bCs w:val="1"/>
          <w:color w:val="auto"/>
        </w:rPr>
        <w:t>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246620" cy="18034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74" w:lineRule="exact"/>
        <w:rPr>
          <w:sz w:val="20"/>
          <w:szCs w:val="20"/>
          <w:color w:val="auto"/>
        </w:rPr>
      </w:pPr>
    </w:p>
    <w:p>
      <w:pPr>
        <w:ind w:left="40"/>
        <w:spacing w:after="0"/>
        <w:rPr>
          <w:sz w:val="20"/>
          <w:szCs w:val="20"/>
          <w:color w:val="auto"/>
        </w:rPr>
      </w:pPr>
      <w:r>
        <w:rPr>
          <w:rFonts w:ascii="Arial" w:cs="Arial" w:eastAsia="Arial" w:hAnsi="Arial"/>
          <w:sz w:val="18"/>
          <w:szCs w:val="18"/>
          <w:color w:val="auto"/>
        </w:rPr>
        <w:t>Components of net periodic benefit cost:</w:t>
      </w:r>
    </w:p>
    <w:p>
      <w:pPr>
        <w:sectPr>
          <w:pgSz w:w="11900" w:h="16838" w:orient="portrait"/>
          <w:cols w:equalWidth="0" w:num="1">
            <w:col w:w="11420"/>
          </w:cols>
          <w:pgMar w:left="240" w:top="706" w:right="239" w:bottom="1440" w:gutter="0" w:footer="0" w:header="0"/>
        </w:sectPr>
      </w:pPr>
    </w:p>
    <w:p>
      <w:pPr>
        <w:spacing w:after="0" w:line="63" w:lineRule="exact"/>
        <w:rPr>
          <w:sz w:val="20"/>
          <w:szCs w:val="20"/>
          <w:color w:val="auto"/>
        </w:rPr>
      </w:pPr>
    </w:p>
    <w:p>
      <w:pPr>
        <w:ind w:left="280"/>
        <w:spacing w:after="0"/>
        <w:rPr>
          <w:sz w:val="20"/>
          <w:szCs w:val="20"/>
          <w:color w:val="auto"/>
        </w:rPr>
      </w:pPr>
      <w:r>
        <w:rPr>
          <w:rFonts w:ascii="Arial" w:cs="Arial" w:eastAsia="Arial" w:hAnsi="Arial"/>
          <w:sz w:val="18"/>
          <w:szCs w:val="18"/>
          <w:color w:val="auto"/>
        </w:rPr>
        <w:t>Service cost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280"/>
        <w:spacing w:after="0"/>
        <w:rPr>
          <w:sz w:val="20"/>
          <w:szCs w:val="20"/>
          <w:color w:val="auto"/>
        </w:rPr>
      </w:pPr>
      <w:r>
        <w:rPr>
          <w:rFonts w:ascii="Arial" w:cs="Arial" w:eastAsia="Arial" w:hAnsi="Arial"/>
          <w:sz w:val="18"/>
          <w:szCs w:val="18"/>
          <w:color w:val="auto"/>
        </w:rPr>
        <w:t>Interest cost</w:t>
      </w:r>
    </w:p>
    <w:p>
      <w:pPr>
        <w:spacing w:after="0" w:line="63" w:lineRule="exact"/>
        <w:rPr>
          <w:sz w:val="20"/>
          <w:szCs w:val="20"/>
          <w:color w:val="auto"/>
        </w:rPr>
      </w:pPr>
    </w:p>
    <w:p>
      <w:pPr>
        <w:ind w:left="280"/>
        <w:spacing w:after="0"/>
        <w:rPr>
          <w:sz w:val="20"/>
          <w:szCs w:val="20"/>
          <w:color w:val="auto"/>
        </w:rPr>
      </w:pPr>
      <w:r>
        <w:rPr>
          <w:rFonts w:ascii="Arial" w:cs="Arial" w:eastAsia="Arial" w:hAnsi="Arial"/>
          <w:sz w:val="18"/>
          <w:szCs w:val="18"/>
          <w:color w:val="auto"/>
        </w:rPr>
        <w:t>Expected return on plan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280"/>
        <w:spacing w:after="0"/>
        <w:rPr>
          <w:sz w:val="20"/>
          <w:szCs w:val="20"/>
          <w:color w:val="auto"/>
        </w:rPr>
      </w:pPr>
      <w:r>
        <w:rPr>
          <w:rFonts w:ascii="Arial" w:cs="Arial" w:eastAsia="Arial" w:hAnsi="Arial"/>
          <w:sz w:val="17"/>
          <w:szCs w:val="17"/>
          <w:color w:val="auto"/>
        </w:rPr>
        <w:t>Amortization of prior service cost</w:t>
      </w:r>
    </w:p>
    <w:p>
      <w:pPr>
        <w:spacing w:after="0" w:line="75" w:lineRule="exact"/>
        <w:rPr>
          <w:sz w:val="20"/>
          <w:szCs w:val="20"/>
          <w:color w:val="auto"/>
        </w:rPr>
      </w:pPr>
    </w:p>
    <w:p>
      <w:pPr>
        <w:ind w:left="280"/>
        <w:spacing w:after="0"/>
        <w:rPr>
          <w:sz w:val="20"/>
          <w:szCs w:val="20"/>
          <w:color w:val="auto"/>
        </w:rPr>
      </w:pPr>
      <w:r>
        <w:rPr>
          <w:rFonts w:ascii="Arial" w:cs="Arial" w:eastAsia="Arial" w:hAnsi="Arial"/>
          <w:sz w:val="18"/>
          <w:szCs w:val="18"/>
          <w:color w:val="auto"/>
        </w:rPr>
        <w:t>Recognized actuarial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9748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197485"/>
                    </a:xfrm>
                    <a:prstGeom prst="rect">
                      <a:avLst/>
                    </a:prstGeom>
                    <a:noFill/>
                  </pic:spPr>
                </pic:pic>
              </a:graphicData>
            </a:graphic>
          </wp:anchor>
        </w:drawing>
      </w:r>
    </w:p>
    <w:p>
      <w:pPr>
        <w:spacing w:after="0" w:line="70" w:lineRule="exact"/>
        <w:rPr>
          <w:sz w:val="20"/>
          <w:szCs w:val="20"/>
          <w:color w:val="auto"/>
        </w:rPr>
      </w:pPr>
    </w:p>
    <w:p>
      <w:pPr>
        <w:ind w:left="280"/>
        <w:spacing w:after="0"/>
        <w:rPr>
          <w:sz w:val="20"/>
          <w:szCs w:val="20"/>
          <w:color w:val="auto"/>
        </w:rPr>
      </w:pPr>
      <w:r>
        <w:rPr>
          <w:rFonts w:ascii="Arial" w:cs="Arial" w:eastAsia="Arial" w:hAnsi="Arial"/>
          <w:sz w:val="18"/>
          <w:szCs w:val="18"/>
          <w:color w:val="auto"/>
        </w:rPr>
        <w:t>Net periodic benefit cost</w:t>
      </w:r>
    </w:p>
    <w:p>
      <w:pPr>
        <w:spacing w:after="0" w:line="20" w:lineRule="exact"/>
        <w:rPr>
          <w:sz w:val="20"/>
          <w:szCs w:val="20"/>
          <w:color w:val="auto"/>
        </w:rPr>
      </w:pPr>
      <w:r>
        <w:rPr>
          <w:sz w:val="20"/>
          <w:szCs w:val="20"/>
          <w:color w:val="auto"/>
        </w:rPr>
        <w:br w:type="column"/>
      </w:r>
    </w:p>
    <w:p>
      <w:pPr>
        <w:spacing w:after="0" w:line="21" w:lineRule="exact"/>
        <w:rPr>
          <w:sz w:val="20"/>
          <w:szCs w:val="20"/>
          <w:color w:val="auto"/>
        </w:rPr>
      </w:pPr>
    </w:p>
    <w:p>
      <w:pPr>
        <w:spacing w:after="0"/>
        <w:tabs>
          <w:tab w:leader="none" w:pos="880" w:val="left"/>
          <w:tab w:leader="none" w:pos="1460" w:val="left"/>
          <w:tab w:leader="none" w:pos="2360" w:val="left"/>
        </w:tabs>
        <w:rPr>
          <w:sz w:val="20"/>
          <w:szCs w:val="20"/>
          <w:color w:val="auto"/>
        </w:rPr>
      </w:pPr>
      <w:r>
        <w:rPr>
          <w:rFonts w:ascii="Arial" w:cs="Arial" w:eastAsia="Arial" w:hAnsi="Arial"/>
          <w:sz w:val="18"/>
          <w:szCs w:val="18"/>
          <w:b w:val="1"/>
          <w:bCs w:val="1"/>
          <w:color w:val="auto"/>
        </w:rPr>
        <w:t>$</w:t>
      </w:r>
      <w:r>
        <w:rPr>
          <w:sz w:val="20"/>
          <w:szCs w:val="20"/>
          <w:color w:val="auto"/>
        </w:rPr>
        <w:tab/>
      </w:r>
      <w:r>
        <w:rPr>
          <w:rFonts w:ascii="Arial" w:cs="Arial" w:eastAsia="Arial" w:hAnsi="Arial"/>
          <w:sz w:val="18"/>
          <w:szCs w:val="18"/>
          <w:b w:val="1"/>
          <w:bCs w:val="1"/>
          <w:color w:val="auto"/>
        </w:rPr>
        <w:t>80.4</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78.9</w:t>
      </w:r>
    </w:p>
    <w:p>
      <w:pPr>
        <w:spacing w:after="0" w:line="63" w:lineRule="exact"/>
        <w:rPr>
          <w:sz w:val="20"/>
          <w:szCs w:val="20"/>
          <w:color w:val="auto"/>
        </w:rPr>
      </w:pPr>
    </w:p>
    <w:p>
      <w:pPr>
        <w:ind w:left="800"/>
        <w:spacing w:after="0"/>
        <w:tabs>
          <w:tab w:leader="none" w:pos="2260" w:val="left"/>
        </w:tabs>
        <w:rPr>
          <w:sz w:val="20"/>
          <w:szCs w:val="20"/>
          <w:color w:val="auto"/>
        </w:rPr>
      </w:pPr>
      <w:r>
        <w:rPr>
          <w:rFonts w:ascii="Arial" w:cs="Arial" w:eastAsia="Arial" w:hAnsi="Arial"/>
          <w:sz w:val="18"/>
          <w:szCs w:val="18"/>
          <w:b w:val="1"/>
          <w:bCs w:val="1"/>
          <w:color w:val="auto"/>
        </w:rPr>
        <w:t>112.6</w:t>
      </w:r>
      <w:r>
        <w:rPr>
          <w:sz w:val="20"/>
          <w:szCs w:val="20"/>
          <w:color w:val="auto"/>
        </w:rPr>
        <w:tab/>
      </w:r>
      <w:r>
        <w:rPr>
          <w:rFonts w:ascii="Arial" w:cs="Arial" w:eastAsia="Arial" w:hAnsi="Arial"/>
          <w:sz w:val="18"/>
          <w:szCs w:val="18"/>
          <w:color w:val="auto"/>
        </w:rPr>
        <w:t>102.4</w:t>
      </w:r>
    </w:p>
    <w:p>
      <w:pPr>
        <w:spacing w:after="0" w:line="63" w:lineRule="exact"/>
        <w:rPr>
          <w:sz w:val="20"/>
          <w:szCs w:val="20"/>
          <w:color w:val="auto"/>
        </w:rPr>
      </w:pPr>
    </w:p>
    <w:p>
      <w:pPr>
        <w:jc w:val="right"/>
        <w:ind w:right="40"/>
        <w:spacing w:after="0"/>
        <w:tabs>
          <w:tab w:leader="none" w:pos="560" w:val="left"/>
        </w:tabs>
        <w:rPr>
          <w:sz w:val="20"/>
          <w:szCs w:val="20"/>
          <w:color w:val="auto"/>
        </w:rPr>
      </w:pPr>
      <w:r>
        <w:rPr>
          <w:rFonts w:ascii="Arial" w:cs="Arial" w:eastAsia="Arial" w:hAnsi="Arial"/>
          <w:sz w:val="18"/>
          <w:szCs w:val="18"/>
          <w:b w:val="1"/>
          <w:bCs w:val="1"/>
          <w:color w:val="auto"/>
        </w:rPr>
        <w:t>(212.5)</w:t>
      </w:r>
      <w:r>
        <w:rPr>
          <w:sz w:val="20"/>
          <w:szCs w:val="20"/>
          <w:color w:val="auto"/>
        </w:rPr>
        <w:tab/>
      </w:r>
      <w:r>
        <w:rPr>
          <w:rFonts w:ascii="Arial" w:cs="Arial" w:eastAsia="Arial" w:hAnsi="Arial"/>
          <w:sz w:val="18"/>
          <w:szCs w:val="18"/>
          <w:color w:val="auto"/>
        </w:rPr>
        <w:t>(194.0)</w:t>
      </w:r>
    </w:p>
    <w:p>
      <w:pPr>
        <w:spacing w:after="0" w:line="63" w:lineRule="exact"/>
        <w:rPr>
          <w:sz w:val="20"/>
          <w:szCs w:val="20"/>
          <w:color w:val="auto"/>
        </w:rPr>
      </w:pPr>
    </w:p>
    <w:p>
      <w:pPr>
        <w:ind w:left="1000"/>
        <w:spacing w:after="0"/>
        <w:tabs>
          <w:tab w:leader="none" w:pos="2460" w:val="left"/>
        </w:tabs>
        <w:rPr>
          <w:sz w:val="20"/>
          <w:szCs w:val="20"/>
          <w:color w:val="auto"/>
        </w:rPr>
      </w:pPr>
      <w:r>
        <w:rPr>
          <w:rFonts w:ascii="Arial" w:cs="Arial" w:eastAsia="Arial" w:hAnsi="Arial"/>
          <w:sz w:val="18"/>
          <w:szCs w:val="18"/>
          <w:b w:val="1"/>
          <w:bCs w:val="1"/>
          <w:color w:val="auto"/>
        </w:rPr>
        <w:t>1.2</w:t>
      </w:r>
      <w:r>
        <w:rPr>
          <w:sz w:val="20"/>
          <w:szCs w:val="20"/>
          <w:color w:val="auto"/>
        </w:rPr>
        <w:tab/>
      </w:r>
      <w:r>
        <w:rPr>
          <w:rFonts w:ascii="Arial" w:cs="Arial" w:eastAsia="Arial" w:hAnsi="Arial"/>
          <w:sz w:val="18"/>
          <w:szCs w:val="18"/>
          <w:color w:val="auto"/>
        </w:rPr>
        <w:t>1.4</w:t>
      </w:r>
    </w:p>
    <w:p>
      <w:pPr>
        <w:spacing w:after="0" w:line="63" w:lineRule="exact"/>
        <w:rPr>
          <w:sz w:val="20"/>
          <w:szCs w:val="20"/>
          <w:color w:val="auto"/>
        </w:rPr>
      </w:pPr>
    </w:p>
    <w:p>
      <w:pPr>
        <w:ind w:left="900"/>
        <w:spacing w:after="0"/>
        <w:tabs>
          <w:tab w:leader="none" w:pos="2360" w:val="left"/>
        </w:tabs>
        <w:rPr>
          <w:sz w:val="20"/>
          <w:szCs w:val="20"/>
          <w:color w:val="auto"/>
        </w:rPr>
      </w:pPr>
      <w:r>
        <w:rPr>
          <w:rFonts w:ascii="Arial" w:cs="Arial" w:eastAsia="Arial" w:hAnsi="Arial"/>
          <w:sz w:val="18"/>
          <w:szCs w:val="18"/>
          <w:b w:val="1"/>
          <w:bCs w:val="1"/>
          <w:color w:val="auto"/>
        </w:rPr>
        <w:t>90.4</w:t>
      </w:r>
      <w:r>
        <w:rPr>
          <w:sz w:val="20"/>
          <w:szCs w:val="20"/>
          <w:color w:val="auto"/>
        </w:rPr>
        <w:tab/>
      </w:r>
      <w:r>
        <w:rPr>
          <w:rFonts w:ascii="Arial" w:cs="Arial" w:eastAsia="Arial" w:hAnsi="Arial"/>
          <w:sz w:val="18"/>
          <w:szCs w:val="18"/>
          <w:color w:val="auto"/>
        </w:rPr>
        <w:t>72.7</w:t>
      </w:r>
    </w:p>
    <w:p>
      <w:pPr>
        <w:spacing w:after="0" w:line="77" w:lineRule="exact"/>
        <w:rPr>
          <w:sz w:val="20"/>
          <w:szCs w:val="20"/>
          <w:color w:val="auto"/>
        </w:rPr>
      </w:pPr>
    </w:p>
    <w:p>
      <w:pPr>
        <w:spacing w:after="0"/>
        <w:tabs>
          <w:tab w:leader="none" w:pos="880" w:val="left"/>
          <w:tab w:leader="none" w:pos="1460" w:val="left"/>
          <w:tab w:leader="none" w:pos="2360" w:val="left"/>
        </w:tabs>
        <w:rPr>
          <w:sz w:val="20"/>
          <w:szCs w:val="20"/>
          <w:color w:val="auto"/>
        </w:rPr>
      </w:pPr>
      <w:r>
        <w:rPr>
          <w:rFonts w:ascii="Arial" w:cs="Arial" w:eastAsia="Arial" w:hAnsi="Arial"/>
          <w:sz w:val="18"/>
          <w:szCs w:val="18"/>
          <w:b w:val="1"/>
          <w:bCs w:val="1"/>
          <w:color w:val="auto"/>
        </w:rPr>
        <w:t>$</w:t>
      </w:r>
      <w:r>
        <w:rPr>
          <w:sz w:val="20"/>
          <w:szCs w:val="20"/>
          <w:color w:val="auto"/>
        </w:rPr>
        <w:tab/>
      </w:r>
      <w:r>
        <w:rPr>
          <w:rFonts w:ascii="Arial" w:cs="Arial" w:eastAsia="Arial" w:hAnsi="Arial"/>
          <w:sz w:val="18"/>
          <w:szCs w:val="18"/>
          <w:b w:val="1"/>
          <w:bCs w:val="1"/>
          <w:color w:val="auto"/>
        </w:rPr>
        <w:t>72.1</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61.4</w:t>
      </w:r>
    </w:p>
    <w:p>
      <w:pPr>
        <w:spacing w:after="0" w:line="383" w:lineRule="exact"/>
        <w:rPr>
          <w:sz w:val="20"/>
          <w:szCs w:val="20"/>
          <w:color w:val="auto"/>
        </w:rPr>
      </w:pPr>
    </w:p>
    <w:p>
      <w:pPr>
        <w:ind w:left="460"/>
        <w:spacing w:after="0"/>
        <w:rPr>
          <w:sz w:val="20"/>
          <w:szCs w:val="20"/>
          <w:color w:val="auto"/>
        </w:rPr>
      </w:pPr>
      <w:r>
        <w:rPr>
          <w:rFonts w:ascii="Arial" w:cs="Arial" w:eastAsia="Arial" w:hAnsi="Arial"/>
          <w:sz w:val="14"/>
          <w:szCs w:val="14"/>
          <w:b w:val="1"/>
          <w:bCs w:val="1"/>
          <w:color w:val="auto"/>
        </w:rPr>
        <w:t>Retiree Health Benefit Plans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26035</wp:posOffset>
            </wp:positionV>
            <wp:extent cx="1818005"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818005" cy="8890"/>
                    </a:xfrm>
                    <a:prstGeom prst="rect">
                      <a:avLst/>
                    </a:prstGeom>
                    <a:noFill/>
                  </pic:spPr>
                </pic:pic>
              </a:graphicData>
            </a:graphic>
          </wp:anchor>
        </w:drawing>
      </w:r>
    </w:p>
    <w:p>
      <w:pPr>
        <w:spacing w:after="0" w:line="49" w:lineRule="exact"/>
        <w:rPr>
          <w:sz w:val="20"/>
          <w:szCs w:val="20"/>
          <w:color w:val="auto"/>
        </w:rPr>
      </w:pPr>
    </w:p>
    <w:p>
      <w:pPr>
        <w:ind w:left="700"/>
        <w:spacing w:after="0"/>
        <w:rPr>
          <w:sz w:val="20"/>
          <w:szCs w:val="20"/>
          <w:color w:val="auto"/>
        </w:rPr>
      </w:pPr>
      <w:r>
        <w:rPr>
          <w:rFonts w:ascii="Arial" w:cs="Arial" w:eastAsia="Arial" w:hAnsi="Arial"/>
          <w:sz w:val="14"/>
          <w:szCs w:val="14"/>
          <w:b w:val="1"/>
          <w:bCs w:val="1"/>
          <w:color w:val="auto"/>
        </w:rPr>
        <w:t>Three Months Ended</w:t>
      </w:r>
    </w:p>
    <w:p>
      <w:pPr>
        <w:spacing w:after="0" w:line="19" w:lineRule="exact"/>
        <w:rPr>
          <w:sz w:val="20"/>
          <w:szCs w:val="20"/>
          <w:color w:val="auto"/>
        </w:rPr>
      </w:pPr>
    </w:p>
    <w:p>
      <w:pPr>
        <w:ind w:left="110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14605</wp:posOffset>
            </wp:positionV>
            <wp:extent cx="1818005"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818005" cy="8890"/>
                    </a:xfrm>
                    <a:prstGeom prst="rect">
                      <a:avLst/>
                    </a:prstGeom>
                    <a:noFill/>
                  </pic:spPr>
                </pic:pic>
              </a:graphicData>
            </a:graphic>
          </wp:anchor>
        </w:drawing>
      </w:r>
    </w:p>
    <w:p>
      <w:pPr>
        <w:spacing w:after="0" w:line="105" w:lineRule="exact"/>
        <w:rPr>
          <w:sz w:val="20"/>
          <w:szCs w:val="20"/>
          <w:color w:val="auto"/>
        </w:rPr>
      </w:pPr>
    </w:p>
    <w:p>
      <w:pPr>
        <w:sectPr>
          <w:pgSz w:w="11900" w:h="16838" w:orient="portrait"/>
          <w:cols w:equalWidth="0" w:num="2">
            <w:col w:w="7860" w:space="720"/>
            <w:col w:w="2840"/>
          </w:cols>
          <w:pgMar w:left="240" w:top="706" w:right="239" w:bottom="1440" w:gutter="0" w:footer="0" w:header="0"/>
          <w:type w:val="continuous"/>
        </w:sectPr>
      </w:pPr>
    </w:p>
    <w:tbl>
      <w:tblPr>
        <w:tblLayout w:type="fixed"/>
        <w:tblInd w:w="0" w:type="dxa"/>
        <w:tblCellMar>
          <w:top w:w="0" w:type="dxa"/>
          <w:left w:w="0" w:type="dxa"/>
          <w:bottom w:w="0" w:type="dxa"/>
          <w:right w:w="0" w:type="dxa"/>
        </w:tblCellMar>
      </w:tblPr>
      <w:tr>
        <w:trPr>
          <w:trHeight w:val="196"/>
        </w:trPr>
        <w:tc>
          <w:tcPr>
            <w:tcW w:w="85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56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2017</w:t>
            </w:r>
          </w:p>
        </w:tc>
      </w:tr>
      <w:tr>
        <w:trPr>
          <w:trHeight w:val="270"/>
        </w:trPr>
        <w:tc>
          <w:tcPr>
            <w:tcW w:w="8560" w:type="dxa"/>
            <w:vAlign w:val="bottom"/>
            <w:shd w:val="clear" w:color="auto" w:fill="CCEEFF"/>
          </w:tcPr>
          <w:p>
            <w:pPr>
              <w:ind w:left="40"/>
              <w:spacing w:after="0"/>
              <w:rPr>
                <w:sz w:val="20"/>
                <w:szCs w:val="20"/>
                <w:color w:val="auto"/>
              </w:rPr>
            </w:pPr>
            <w:r>
              <w:rPr>
                <w:rFonts w:ascii="Arial" w:cs="Arial" w:eastAsia="Arial" w:hAnsi="Arial"/>
                <w:sz w:val="18"/>
                <w:szCs w:val="18"/>
                <w:color w:val="auto"/>
              </w:rPr>
              <w:t>Components of net periodic benefit income:</w:t>
            </w:r>
          </w:p>
        </w:tc>
        <w:tc>
          <w:tcPr>
            <w:tcW w:w="86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r>
      <w:tr>
        <w:trPr>
          <w:trHeight w:val="263"/>
        </w:trPr>
        <w:tc>
          <w:tcPr>
            <w:tcW w:w="8560" w:type="dxa"/>
            <w:vAlign w:val="bottom"/>
          </w:tcPr>
          <w:p>
            <w:pPr>
              <w:ind w:left="280"/>
              <w:spacing w:after="0"/>
              <w:rPr>
                <w:sz w:val="20"/>
                <w:szCs w:val="20"/>
                <w:color w:val="auto"/>
              </w:rPr>
            </w:pPr>
            <w:r>
              <w:rPr>
                <w:rFonts w:ascii="Arial" w:cs="Arial" w:eastAsia="Arial" w:hAnsi="Arial"/>
                <w:sz w:val="18"/>
                <w:szCs w:val="18"/>
                <w:color w:val="auto"/>
              </w:rPr>
              <w:t>Service cost</w:t>
            </w:r>
          </w:p>
        </w:tc>
        <w:tc>
          <w:tcPr>
            <w:tcW w:w="860" w:type="dxa"/>
            <w:vAlign w:val="bottom"/>
          </w:tcPr>
          <w:p>
            <w:pPr>
              <w:jc w:val="right"/>
              <w:ind w:right="656"/>
              <w:spacing w:after="0"/>
              <w:rPr>
                <w:sz w:val="20"/>
                <w:szCs w:val="20"/>
                <w:color w:val="auto"/>
              </w:rPr>
            </w:pPr>
            <w:r>
              <w:rPr>
                <w:rFonts w:ascii="Arial" w:cs="Arial" w:eastAsia="Arial" w:hAnsi="Arial"/>
                <w:sz w:val="18"/>
                <w:szCs w:val="18"/>
                <w:b w:val="1"/>
                <w:bCs w:val="1"/>
                <w:color w:val="auto"/>
                <w:w w:val="99"/>
              </w:rPr>
              <w:t>$</w:t>
            </w:r>
          </w:p>
        </w:tc>
        <w:tc>
          <w:tcPr>
            <w:tcW w:w="560" w:type="dxa"/>
            <w:vAlign w:val="bottom"/>
          </w:tcPr>
          <w:p>
            <w:pPr>
              <w:jc w:val="right"/>
              <w:ind w:right="70"/>
              <w:spacing w:after="0"/>
              <w:rPr>
                <w:sz w:val="20"/>
                <w:szCs w:val="20"/>
                <w:color w:val="auto"/>
              </w:rPr>
            </w:pPr>
            <w:r>
              <w:rPr>
                <w:rFonts w:ascii="Arial" w:cs="Arial" w:eastAsia="Arial" w:hAnsi="Arial"/>
                <w:sz w:val="18"/>
                <w:szCs w:val="18"/>
                <w:b w:val="1"/>
                <w:bCs w:val="1"/>
                <w:color w:val="auto"/>
              </w:rPr>
              <w:t>10.7</w:t>
            </w:r>
          </w:p>
        </w:tc>
        <w:tc>
          <w:tcPr>
            <w:tcW w:w="40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11.2</w:t>
            </w:r>
          </w:p>
        </w:tc>
      </w:tr>
      <w:tr>
        <w:trPr>
          <w:trHeight w:val="277"/>
        </w:trPr>
        <w:tc>
          <w:tcPr>
            <w:tcW w:w="85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Interest cost</w:t>
            </w:r>
          </w:p>
        </w:tc>
        <w:tc>
          <w:tcPr>
            <w:tcW w:w="860" w:type="dxa"/>
            <w:vAlign w:val="bottom"/>
            <w:shd w:val="clear" w:color="auto" w:fill="CCEEFF"/>
          </w:tcPr>
          <w:p>
            <w:pPr>
              <w:spacing w:after="0"/>
              <w:rPr>
                <w:sz w:val="24"/>
                <w:szCs w:val="24"/>
                <w:color w:val="auto"/>
              </w:rPr>
            </w:pPr>
          </w:p>
        </w:tc>
        <w:tc>
          <w:tcPr>
            <w:tcW w:w="56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13.9</w:t>
            </w:r>
          </w:p>
        </w:tc>
        <w:tc>
          <w:tcPr>
            <w:tcW w:w="40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13.0</w:t>
            </w:r>
          </w:p>
        </w:tc>
      </w:tr>
      <w:tr>
        <w:trPr>
          <w:trHeight w:val="263"/>
        </w:trPr>
        <w:tc>
          <w:tcPr>
            <w:tcW w:w="8560" w:type="dxa"/>
            <w:vAlign w:val="bottom"/>
          </w:tcPr>
          <w:p>
            <w:pPr>
              <w:ind w:left="280"/>
              <w:spacing w:after="0"/>
              <w:rPr>
                <w:sz w:val="20"/>
                <w:szCs w:val="20"/>
                <w:color w:val="auto"/>
              </w:rPr>
            </w:pPr>
            <w:r>
              <w:rPr>
                <w:rFonts w:ascii="Arial" w:cs="Arial" w:eastAsia="Arial" w:hAnsi="Arial"/>
                <w:sz w:val="18"/>
                <w:szCs w:val="18"/>
                <w:color w:val="auto"/>
              </w:rPr>
              <w:t>Expected return on plan assets</w:t>
            </w:r>
          </w:p>
        </w:tc>
        <w:tc>
          <w:tcPr>
            <w:tcW w:w="860" w:type="dxa"/>
            <w:vAlign w:val="bottom"/>
          </w:tcPr>
          <w:p>
            <w:pPr>
              <w:spacing w:after="0"/>
              <w:rPr>
                <w:sz w:val="22"/>
                <w:szCs w:val="22"/>
                <w:color w:val="auto"/>
              </w:rPr>
            </w:pPr>
          </w:p>
        </w:tc>
        <w:tc>
          <w:tcPr>
            <w:tcW w:w="560" w:type="dxa"/>
            <w:vAlign w:val="bottom"/>
          </w:tcPr>
          <w:p>
            <w:pPr>
              <w:jc w:val="right"/>
              <w:ind w:right="10"/>
              <w:spacing w:after="0"/>
              <w:rPr>
                <w:sz w:val="20"/>
                <w:szCs w:val="20"/>
                <w:color w:val="auto"/>
              </w:rPr>
            </w:pPr>
            <w:r>
              <w:rPr>
                <w:rFonts w:ascii="Arial" w:cs="Arial" w:eastAsia="Arial" w:hAnsi="Arial"/>
                <w:sz w:val="18"/>
                <w:szCs w:val="18"/>
                <w:b w:val="1"/>
                <w:bCs w:val="1"/>
                <w:color w:val="auto"/>
                <w:w w:val="93"/>
              </w:rPr>
              <w:t>(43.9)</w:t>
            </w:r>
          </w:p>
        </w:tc>
        <w:tc>
          <w:tcPr>
            <w:tcW w:w="40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(40.3)</w:t>
            </w:r>
          </w:p>
        </w:tc>
      </w:tr>
      <w:tr>
        <w:trPr>
          <w:trHeight w:val="277"/>
        </w:trPr>
        <w:tc>
          <w:tcPr>
            <w:tcW w:w="85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Amortization of prior service benefit</w:t>
            </w:r>
          </w:p>
        </w:tc>
        <w:tc>
          <w:tcPr>
            <w:tcW w:w="860" w:type="dxa"/>
            <w:vAlign w:val="bottom"/>
            <w:shd w:val="clear" w:color="auto" w:fill="CCEEFF"/>
          </w:tcPr>
          <w:p>
            <w:pPr>
              <w:spacing w:after="0"/>
              <w:rPr>
                <w:sz w:val="24"/>
                <w:szCs w:val="24"/>
                <w:color w:val="auto"/>
              </w:rPr>
            </w:pPr>
          </w:p>
        </w:tc>
        <w:tc>
          <w:tcPr>
            <w:tcW w:w="56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3"/>
              </w:rPr>
              <w:t>(20.5)</w:t>
            </w:r>
          </w:p>
        </w:tc>
        <w:tc>
          <w:tcPr>
            <w:tcW w:w="400" w:type="dxa"/>
            <w:vAlign w:val="bottom"/>
            <w:shd w:val="clear" w:color="auto" w:fill="CCEEFF"/>
          </w:tcPr>
          <w:p>
            <w:pPr>
              <w:spacing w:after="0"/>
              <w:rPr>
                <w:sz w:val="24"/>
                <w:szCs w:val="2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w:t>
            </w:r>
          </w:p>
        </w:tc>
      </w:tr>
      <w:tr>
        <w:trPr>
          <w:trHeight w:val="264"/>
        </w:trPr>
        <w:tc>
          <w:tcPr>
            <w:tcW w:w="8560" w:type="dxa"/>
            <w:vAlign w:val="bottom"/>
            <w:tcBorders>
              <w:bottom w:val="single" w:sz="8" w:color="CCEEFF"/>
            </w:tcBorders>
          </w:tcPr>
          <w:p>
            <w:pPr>
              <w:ind w:left="280"/>
              <w:spacing w:after="0"/>
              <w:rPr>
                <w:sz w:val="20"/>
                <w:szCs w:val="20"/>
                <w:color w:val="auto"/>
              </w:rPr>
            </w:pPr>
            <w:r>
              <w:rPr>
                <w:rFonts w:ascii="Arial" w:cs="Arial" w:eastAsia="Arial" w:hAnsi="Arial"/>
                <w:sz w:val="18"/>
                <w:szCs w:val="18"/>
                <w:color w:val="auto"/>
              </w:rPr>
              <w:t>Recognized actuarial loss</w:t>
            </w:r>
          </w:p>
        </w:tc>
        <w:tc>
          <w:tcPr>
            <w:tcW w:w="86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2.4</w:t>
            </w:r>
          </w:p>
        </w:tc>
        <w:tc>
          <w:tcPr>
            <w:tcW w:w="4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4.1</w:t>
            </w:r>
          </w:p>
        </w:tc>
      </w:tr>
      <w:tr>
        <w:trPr>
          <w:trHeight w:val="277"/>
        </w:trPr>
        <w:tc>
          <w:tcPr>
            <w:tcW w:w="85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Net periodic benefit income</w:t>
            </w:r>
          </w:p>
        </w:tc>
        <w:tc>
          <w:tcPr>
            <w:tcW w:w="860" w:type="dxa"/>
            <w:vAlign w:val="bottom"/>
            <w:tcBorders>
              <w:bottom w:val="single" w:sz="8" w:color="auto"/>
            </w:tcBorders>
            <w:shd w:val="clear" w:color="auto" w:fill="CCEEFF"/>
          </w:tcPr>
          <w:p>
            <w:pPr>
              <w:jc w:val="right"/>
              <w:ind w:right="656"/>
              <w:spacing w:after="0"/>
              <w:rPr>
                <w:sz w:val="20"/>
                <w:szCs w:val="20"/>
                <w:color w:val="auto"/>
              </w:rPr>
            </w:pPr>
            <w:r>
              <w:rPr>
                <w:rFonts w:ascii="Arial" w:cs="Arial" w:eastAsia="Arial" w:hAnsi="Arial"/>
                <w:sz w:val="18"/>
                <w:szCs w:val="18"/>
                <w:b w:val="1"/>
                <w:bCs w:val="1"/>
                <w:color w:val="auto"/>
                <w:w w:val="99"/>
              </w:rPr>
              <w:t>$</w:t>
            </w:r>
          </w:p>
        </w:tc>
        <w:tc>
          <w:tcPr>
            <w:tcW w:w="5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3"/>
              </w:rPr>
              <w:t>(37.4)</w:t>
            </w:r>
          </w:p>
        </w:tc>
        <w:tc>
          <w:tcPr>
            <w:tcW w:w="40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(34.5)</w:t>
            </w:r>
          </w:p>
        </w:tc>
      </w:tr>
    </w:tbl>
    <w:p>
      <w:pPr>
        <w:spacing w:after="0" w:line="107"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We contributed approximately $15 million required to satisfy minimum funding requirements to our defined benefit pension and retiree health benefit plans during the three months ended March 31, 2018. Additional discretionary funding in the aggregate was not material during the three months ended March 31, 2018. During the remainder of 2018, we expect to make contributions to our defined benefit pension and retiree health benefit plans of approximately $40 million to satisfy minimum funding requirements. No additional discretionary funding for the remainder of 2018 has been approved at this time.</w:t>
      </w:r>
    </w:p>
    <w:p>
      <w:pPr>
        <w:spacing w:after="0" w:line="79" w:lineRule="exact"/>
        <w:rPr>
          <w:sz w:val="20"/>
          <w:szCs w:val="20"/>
          <w:color w:val="auto"/>
        </w:rPr>
      </w:pPr>
    </w:p>
    <w:p>
      <w:pPr>
        <w:ind w:right="240"/>
        <w:spacing w:after="0" w:line="266" w:lineRule="auto"/>
        <w:rPr>
          <w:sz w:val="20"/>
          <w:szCs w:val="20"/>
          <w:color w:val="auto"/>
        </w:rPr>
      </w:pPr>
      <w:r>
        <w:rPr>
          <w:rFonts w:ascii="Arial" w:cs="Arial" w:eastAsia="Arial" w:hAnsi="Arial"/>
          <w:sz w:val="18"/>
          <w:szCs w:val="18"/>
          <w:color w:val="auto"/>
        </w:rPr>
        <w:t xml:space="preserve">As discussed in Note 2, upon adoption of Accounting Standards Update 2017-07, </w:t>
      </w:r>
      <w:r>
        <w:rPr>
          <w:rFonts w:ascii="Arial" w:cs="Arial" w:eastAsia="Arial" w:hAnsi="Arial"/>
          <w:sz w:val="18"/>
          <w:szCs w:val="18"/>
          <w:i w:val="1"/>
          <w:iCs w:val="1"/>
          <w:color w:val="auto"/>
        </w:rPr>
        <w:t>Compensation-Retirement Benefits: Improving the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Presentation of Net Periodic Pension Cost and Net Periodic Postretirement Benefit Cost, </w:t>
      </w:r>
      <w:r>
        <w:rPr>
          <w:rFonts w:ascii="Arial" w:cs="Arial" w:eastAsia="Arial" w:hAnsi="Arial"/>
          <w:sz w:val="18"/>
          <w:szCs w:val="18"/>
          <w:color w:val="auto"/>
        </w:rPr>
        <w:t>pension and retiree health benefit cost components</w:t>
      </w:r>
      <w:r>
        <w:rPr>
          <w:rFonts w:ascii="Arial" w:cs="Arial" w:eastAsia="Arial" w:hAnsi="Arial"/>
          <w:sz w:val="18"/>
          <w:szCs w:val="18"/>
          <w:i w:val="1"/>
          <w:iCs w:val="1"/>
          <w:color w:val="auto"/>
        </w:rPr>
        <w:t xml:space="preserve"> </w:t>
      </w:r>
      <w:r>
        <w:rPr>
          <w:rFonts w:ascii="Arial" w:cs="Arial" w:eastAsia="Arial" w:hAnsi="Arial"/>
          <w:sz w:val="18"/>
          <w:szCs w:val="18"/>
          <w:color w:val="auto"/>
        </w:rPr>
        <w:t>other than service costs are presented in other–net, (income) expense.</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706" w:right="239" w:bottom="1440" w:gutter="0" w:footer="0" w:header="0"/>
          <w:type w:val="continuous"/>
        </w:sectPr>
      </w:pPr>
    </w:p>
    <w:bookmarkStart w:id="26" w:name="page27"/>
    <w:bookmarkEnd w:id="26"/>
    <w:p>
      <w:pPr>
        <w:spacing w:after="0"/>
        <w:rPr>
          <w:sz w:val="20"/>
          <w:szCs w:val="20"/>
          <w:color w:val="auto"/>
        </w:rPr>
      </w:pPr>
      <w:r>
        <w:rPr>
          <w:rFonts w:ascii="Arial" w:cs="Arial" w:eastAsia="Arial" w:hAnsi="Arial"/>
          <w:sz w:val="18"/>
          <w:szCs w:val="18"/>
          <w:b w:val="1"/>
          <w:bCs w:val="1"/>
          <w:color w:val="auto"/>
        </w:rPr>
        <w:t>Note 10: Contingencies</w:t>
      </w:r>
    </w:p>
    <w:p>
      <w:pPr>
        <w:spacing w:after="0" w:line="193" w:lineRule="exact"/>
        <w:rPr>
          <w:sz w:val="20"/>
          <w:szCs w:val="20"/>
          <w:color w:val="auto"/>
        </w:rPr>
      </w:pPr>
    </w:p>
    <w:p>
      <w:pPr>
        <w:ind w:right="100"/>
        <w:spacing w:after="0" w:line="243" w:lineRule="auto"/>
        <w:rPr>
          <w:sz w:val="20"/>
          <w:szCs w:val="20"/>
          <w:color w:val="auto"/>
        </w:rPr>
      </w:pPr>
      <w:r>
        <w:rPr>
          <w:rFonts w:ascii="Arial" w:cs="Arial" w:eastAsia="Arial" w:hAnsi="Arial"/>
          <w:sz w:val="18"/>
          <w:szCs w:val="18"/>
          <w:color w:val="auto"/>
        </w:rPr>
        <w:t>We are a party to various legal actions and government investigations. The most significant of these are described below. It is not possible to determine the outcome of these matters, and we cannot reasonably estimate the maximum potential exposure or the range of possible loss in excess of amounts accrued for any of these matters; however, we believe that, except as noted below with respect to the Alimta</w:t>
      </w:r>
      <w:r>
        <w:rPr>
          <w:rFonts w:ascii="Arial" w:cs="Arial" w:eastAsia="Arial" w:hAnsi="Arial"/>
          <w:sz w:val="21"/>
          <w:szCs w:val="21"/>
          <w:color w:val="auto"/>
          <w:vertAlign w:val="superscript"/>
        </w:rPr>
        <w:t>®</w:t>
      </w:r>
      <w:r>
        <w:rPr>
          <w:rFonts w:ascii="Arial" w:cs="Arial" w:eastAsia="Arial" w:hAnsi="Arial"/>
          <w:sz w:val="18"/>
          <w:szCs w:val="18"/>
          <w:color w:val="auto"/>
        </w:rPr>
        <w:t xml:space="preserve"> patent litigation and administrative proceedings, the resolution of all such matters will not have a material adverse effect on our consolidated financial position or liquidity, but could possibly be material to our consolidated results of operations in any one accounting period.</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Alimta Patent Litigation and Administrative Proceedings</w:t>
      </w:r>
    </w:p>
    <w:p>
      <w:pPr>
        <w:spacing w:after="0" w:line="193"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A number of generic manufacturers are seeking approvals in the U.S., Japan, and a number of countries in Europe to market generic forms of Alimta prior to the expiration of our vitamin regimen patents, alleging that those patents are invalid, not infringed, or both. We believe our Alimta vitamin regimen patents are valid and enforceable against these generic manufacturers. However, it is not possible to determine the ultimate outcome of the proceedings, and accordingly, we can provide no assurance that we will prevail. An unfavorable outcome could have a material adverse impact on our future consolidated results of operations, liquidity, and financial position. We expect that a loss of exclusivity for Alimta would result in a rapid and severe decline in future revenue for the product in the relevant market.</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U.S. Patent Litigation and Administrative Proceedings</w:t>
      </w:r>
    </w:p>
    <w:p>
      <w:pPr>
        <w:spacing w:after="0" w:line="117"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 xml:space="preserve">In the U.S., more than 10 Abbreviated New Drug Applications (ANDAs) seeking approval to market generic versions of Alimta prior to the expiration of our vitamin regimen patent (expiring in 2021 plus pediatric exclusivity expiring in 2022) have been filed by a number of companies, including Teva Parenteral Medicines, Inc. (Teva) and APP Pharmaceuticals, LLC (APP) pursuant to procedures set out in the Drug Price Competition and Patent Term Restoration Act of 1984 (the Hatch-Waxman Act). We have received favorable decisions from the U.S. Court of Appeals for the Federal Circuit (affirming the U.S. District Court for the Southern District of Indiana's decisions finding our U.S. vitamin regimen patent valid and infringed) against Teva, APP, and two other defendants' proposed products, and similar favorable judgments have been entered by the U.S. District Court for the Southern District of Indiana against five other companies. The remaining ANDA applicants have agreed to a preliminary injunction or stay pending the appeal of the </w:t>
      </w:r>
      <w:r>
        <w:rPr>
          <w:rFonts w:ascii="Arial" w:cs="Arial" w:eastAsia="Arial" w:hAnsi="Arial"/>
          <w:sz w:val="18"/>
          <w:szCs w:val="18"/>
          <w:i w:val="1"/>
          <w:iCs w:val="1"/>
          <w:color w:val="auto"/>
        </w:rPr>
        <w:t>inter partes</w:t>
      </w:r>
      <w:r>
        <w:rPr>
          <w:rFonts w:ascii="Arial" w:cs="Arial" w:eastAsia="Arial" w:hAnsi="Arial"/>
          <w:sz w:val="18"/>
          <w:szCs w:val="18"/>
          <w:color w:val="auto"/>
        </w:rPr>
        <w:t xml:space="preserve"> review (IPR) described below. In October 2017, the U.S. Patent and Trademark Office issued written decisions in our favor following IPR of our vitamin regimen patent, finding that the generic company petitioners failed to show that the claims in our patent are unpatentable. A number of these challengers have filed an appeal.</w:t>
      </w:r>
    </w:p>
    <w:p>
      <w:pPr>
        <w:spacing w:after="0" w:line="104" w:lineRule="exact"/>
        <w:rPr>
          <w:sz w:val="20"/>
          <w:szCs w:val="20"/>
          <w:color w:val="auto"/>
        </w:rPr>
      </w:pPr>
    </w:p>
    <w:p>
      <w:pPr>
        <w:ind w:right="300"/>
        <w:spacing w:after="0" w:line="254" w:lineRule="auto"/>
        <w:rPr>
          <w:sz w:val="20"/>
          <w:szCs w:val="20"/>
          <w:color w:val="auto"/>
        </w:rPr>
      </w:pPr>
      <w:r>
        <w:rPr>
          <w:rFonts w:ascii="Arial" w:cs="Arial" w:eastAsia="Arial" w:hAnsi="Arial"/>
          <w:sz w:val="18"/>
          <w:szCs w:val="18"/>
          <w:color w:val="auto"/>
        </w:rPr>
        <w:t>We currently have pending lawsuits in the U.S. District Court for the Southern District of Indiana alleging infringement against Dr. Reddy's Laboratories (Dr. Reddy), Hospira, Inc., Actavis LLC, and Apotex Inc. in response to their alternative forms of pemetrexed products, and a similar lawsuit was filed in the U.S. District Court for Delaware against Eagle Pharmaceuticals, Inc. The trial against Dr. Reddy completed in February 2018, and we expect a decision in mid-2018.</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European Patent Litigation and Administrative Proceedings</w:t>
      </w:r>
    </w:p>
    <w:p>
      <w:pPr>
        <w:spacing w:after="0" w:line="117"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In July 2017, the United Kingdom (U.K.) Supreme Court ruled that commercialization of certain salt forms of pemetrexed (the active ingredient in Alimta), including pemetrexed products diluted in saline or dextrose, by Actavis Group ehf and other Actavis companies (collectively, Actavis) directly infringes our vitamin regimen patents in the U.K., Italy, France, and Spain. In February 2016, the U.K. High Court ruled that Actavis’ commercialization of a different proposed product diluted in dextrose solution would not infringe the patent in the U.K., Italy, France, and Spain. This case has now been superseded by the U.K. Supreme Court's decision.</w:t>
      </w:r>
    </w:p>
    <w:p>
      <w:pPr>
        <w:spacing w:after="0" w:line="97" w:lineRule="exact"/>
        <w:rPr>
          <w:sz w:val="20"/>
          <w:szCs w:val="20"/>
          <w:color w:val="auto"/>
        </w:rPr>
      </w:pPr>
    </w:p>
    <w:p>
      <w:pPr>
        <w:jc w:val="both"/>
        <w:ind w:right="120"/>
        <w:spacing w:after="0" w:line="256" w:lineRule="auto"/>
        <w:rPr>
          <w:sz w:val="20"/>
          <w:szCs w:val="20"/>
          <w:color w:val="auto"/>
        </w:rPr>
      </w:pPr>
      <w:r>
        <w:rPr>
          <w:rFonts w:ascii="Arial" w:cs="Arial" w:eastAsia="Arial" w:hAnsi="Arial"/>
          <w:sz w:val="18"/>
          <w:szCs w:val="18"/>
          <w:color w:val="auto"/>
        </w:rPr>
        <w:t>In June 2016, the German Federal Supreme Court granted our appeal against certain Actavis companies, vacating the prior German Court of Appeal’s ruling that our vitamin regimen patent in Germany would not be infringed by a dipotassium salt form of pemetrexed, and returned the case to the Court of Appeal to reconsider issues relating to infringement.</w:t>
      </w:r>
    </w:p>
    <w:p>
      <w:pPr>
        <w:spacing w:after="0" w:line="94" w:lineRule="exact"/>
        <w:rPr>
          <w:sz w:val="20"/>
          <w:szCs w:val="20"/>
          <w:color w:val="auto"/>
        </w:rPr>
      </w:pPr>
    </w:p>
    <w:p>
      <w:pPr>
        <w:ind w:right="100"/>
        <w:spacing w:after="0" w:line="274" w:lineRule="auto"/>
        <w:rPr>
          <w:sz w:val="20"/>
          <w:szCs w:val="20"/>
          <w:color w:val="auto"/>
        </w:rPr>
      </w:pPr>
      <w:r>
        <w:rPr>
          <w:rFonts w:ascii="Arial" w:cs="Arial" w:eastAsia="Arial" w:hAnsi="Arial"/>
          <w:sz w:val="17"/>
          <w:szCs w:val="17"/>
          <w:color w:val="auto"/>
        </w:rPr>
        <w:t>In separate proceedings in May 2016 and June 2016, the German courts confirmed preliminary injunctions against Hexal AG (Hexal), which had stated its intention to launch a generic disodium salt product diluted in saline solution in Germany, and ratiopharm GmbH (ratiopharm), a subsidiary of Teva, which had stated its intention to launch a proposed alternative salt form of pemetrexed product diluted in dextrose solution. The German Court of Appeal affirmed the preliminary injunction against ratiopharm in May 2017. The preliminary injunction against Hexal was</w:t>
      </w: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00"/>
          </w:cols>
          <w:pgMar w:left="240" w:top="576" w:right="259" w:bottom="1440" w:gutter="0" w:footer="0" w:header="0"/>
        </w:sectPr>
      </w:pPr>
    </w:p>
    <w:bookmarkStart w:id="27" w:name="page28"/>
    <w:bookmarkEnd w:id="27"/>
    <w:p>
      <w:pPr>
        <w:spacing w:after="0" w:line="252" w:lineRule="auto"/>
        <w:rPr>
          <w:sz w:val="20"/>
          <w:szCs w:val="20"/>
          <w:color w:val="auto"/>
        </w:rPr>
      </w:pPr>
      <w:r>
        <w:rPr>
          <w:rFonts w:ascii="Arial" w:cs="Arial" w:eastAsia="Arial" w:hAnsi="Arial"/>
          <w:sz w:val="18"/>
          <w:szCs w:val="18"/>
          <w:color w:val="auto"/>
        </w:rPr>
        <w:t>not appealed. The preliminary injunctions against both Hexal and ratiopharm will remain in place pending the outcome of the cases on the merits. In late 2016, the German courts issued preliminary injunctions against two other companies that had stated their intentions to launch a proposed alternative salt form of pemetrexed product diluted in dextrose solution. Hexal, Stada Arzneimittel AG and ratiopharm have separately challenged the validity of our vitamin regimen patent before the German Federal Patent court. The hearing will take place in mid-2018. We do not anticipate any generic entry into the German market at least until either the Court of Appeal considers the issues remanded by the German Federal Supreme Court in the proceedings against Actavis, or the injunctions are lifted.</w:t>
      </w:r>
    </w:p>
    <w:p>
      <w:pPr>
        <w:spacing w:after="0" w:line="101" w:lineRule="exact"/>
        <w:rPr>
          <w:sz w:val="20"/>
          <w:szCs w:val="20"/>
          <w:color w:val="auto"/>
        </w:rPr>
      </w:pPr>
    </w:p>
    <w:p>
      <w:pPr>
        <w:ind w:right="160"/>
        <w:spacing w:after="0" w:line="253" w:lineRule="auto"/>
        <w:rPr>
          <w:sz w:val="20"/>
          <w:szCs w:val="20"/>
          <w:color w:val="auto"/>
        </w:rPr>
      </w:pPr>
      <w:r>
        <w:rPr>
          <w:rFonts w:ascii="Arial" w:cs="Arial" w:eastAsia="Arial" w:hAnsi="Arial"/>
          <w:sz w:val="18"/>
          <w:szCs w:val="18"/>
          <w:color w:val="auto"/>
        </w:rPr>
        <w:t>Additional legal proceedings are ongoing in various national courts of other European countries. We are aware that generic competitors have received approval to market generic versions of pemetrexed in major European markets, and that a generic product is currently on the market in France. In light of the U.K. Supreme Court judgment finding infringement in the U.K., France, Italy and Spain, Actavis has withdrawn its previously launched-at-risk generic products from these markets. We will continue to seek to remove any generic pemetrexed products launched at risk in European markets and defend the patents against validity challenges</w:t>
      </w:r>
      <w:r>
        <w:rPr>
          <w:rFonts w:ascii="Arial" w:cs="Arial" w:eastAsia="Arial" w:hAnsi="Arial"/>
          <w:sz w:val="16"/>
          <w:szCs w:val="16"/>
          <w:color w:val="auto"/>
        </w:rPr>
        <w:t>.</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Japanese Administrative Proceedings</w:t>
      </w:r>
    </w:p>
    <w:p>
      <w:pPr>
        <w:spacing w:after="0" w:line="117"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Three separate sets of demands for invalidation of our two vitamin regimen patents, involving several companies, have been filed with the Japanese Patent Office (JPO). In February 2017, the Japan Intellectual Property High Court confirmed the decisions of the JPO upholding the validity of both our vitamin regime patents in the challenge initiated by Sawai Pharmaceutical Co., Ltd. and joined by three other companies. This decision is now final. In May 2017, the JPO resumed one of the two remaining sets of demands, brought by Nipro Corporation (Nipro). A decision from the JPO on the Nipro demand for invalidation is expected mid-2018. The other set of demands, brought by Hospira USA and Hospira Inc., remains suspended. If upheld through all challenges, these patents provide intellectual property protection for Alimta until June 2021. Notwithstanding our patents, generic versions of Alimta were approved in Japan starting in February 2016. We do not currently anticipate that generic versions of Alimta will proceed to pricing approval.</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Actos</w:t>
      </w:r>
      <w:r>
        <w:rPr>
          <w:rFonts w:ascii="Arial" w:cs="Arial" w:eastAsia="Arial" w:hAnsi="Arial"/>
          <w:sz w:val="21"/>
          <w:szCs w:val="21"/>
          <w:b w:val="1"/>
          <w:bCs w:val="1"/>
          <w:color w:val="auto"/>
          <w:vertAlign w:val="superscript"/>
        </w:rPr>
        <w:t>®</w:t>
      </w:r>
      <w:r>
        <w:rPr>
          <w:rFonts w:ascii="Arial" w:cs="Arial" w:eastAsia="Arial" w:hAnsi="Arial"/>
          <w:sz w:val="18"/>
          <w:szCs w:val="18"/>
          <w:b w:val="1"/>
          <w:bCs w:val="1"/>
          <w:color w:val="auto"/>
        </w:rPr>
        <w:t xml:space="preserve"> Product Liability Litigation</w:t>
      </w:r>
    </w:p>
    <w:p>
      <w:pPr>
        <w:spacing w:after="0" w:line="159"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We were named along with Takeda Chemical Industries, Ltd. and Takeda affiliates (collectively, Takeda) as a defendant in approximately 6,700 product liability cases in the U.S. related to the diabetes medication Actos, which we co-promoted with Takeda in the U.S. from 1999 until 2006. In general, plaintiffs in these actions alleged that Actos caused or contributed to their bladder cancer. Almost all of these cases were included as part of a resolution program announced by Takeda in April 2015 in which Takeda has paid approximately $2.4 billion to resolve the vast majority of the U.S. product liability lawsuits involving Actos. Although the vast majority of U.S. product liability lawsuits involving Actos are included in the resolution program, there may be additional cases pending against Takeda and us following completion of the resolution program.</w:t>
      </w:r>
    </w:p>
    <w:p>
      <w:pPr>
        <w:spacing w:after="0" w:line="99" w:lineRule="exact"/>
        <w:rPr>
          <w:sz w:val="20"/>
          <w:szCs w:val="20"/>
          <w:color w:val="auto"/>
        </w:rPr>
      </w:pPr>
    </w:p>
    <w:p>
      <w:pPr>
        <w:ind w:right="180"/>
        <w:spacing w:after="0" w:line="256" w:lineRule="auto"/>
        <w:rPr>
          <w:sz w:val="20"/>
          <w:szCs w:val="20"/>
          <w:color w:val="auto"/>
        </w:rPr>
      </w:pPr>
      <w:r>
        <w:rPr>
          <w:rFonts w:ascii="Arial" w:cs="Arial" w:eastAsia="Arial" w:hAnsi="Arial"/>
          <w:sz w:val="18"/>
          <w:szCs w:val="18"/>
          <w:color w:val="auto"/>
        </w:rPr>
        <w:t>We are also named along with Takeda as a defendant in three purported product liability class actions in Canada related to Actos, including one in Ontario (</w:t>
      </w:r>
      <w:r>
        <w:rPr>
          <w:rFonts w:ascii="Arial" w:cs="Arial" w:eastAsia="Arial" w:hAnsi="Arial"/>
          <w:sz w:val="18"/>
          <w:szCs w:val="18"/>
          <w:i w:val="1"/>
          <w:iCs w:val="1"/>
          <w:color w:val="auto"/>
        </w:rPr>
        <w:t>Casseres et al. v. Takeda Pharmaceutical North America, Inc., et al.</w:t>
      </w:r>
      <w:r>
        <w:rPr>
          <w:rFonts w:ascii="Arial" w:cs="Arial" w:eastAsia="Arial" w:hAnsi="Arial"/>
          <w:sz w:val="18"/>
          <w:szCs w:val="18"/>
          <w:color w:val="auto"/>
        </w:rPr>
        <w:t>), one in Quebec (</w:t>
      </w:r>
      <w:r>
        <w:rPr>
          <w:rFonts w:ascii="Arial" w:cs="Arial" w:eastAsia="Arial" w:hAnsi="Arial"/>
          <w:sz w:val="18"/>
          <w:szCs w:val="18"/>
          <w:i w:val="1"/>
          <w:iCs w:val="1"/>
          <w:color w:val="auto"/>
        </w:rPr>
        <w:t>Whyte et al. v. Eli Lilly et al.</w:t>
      </w:r>
      <w:r>
        <w:rPr>
          <w:rFonts w:ascii="Arial" w:cs="Arial" w:eastAsia="Arial" w:hAnsi="Arial"/>
          <w:sz w:val="18"/>
          <w:szCs w:val="18"/>
          <w:color w:val="auto"/>
        </w:rPr>
        <w:t>), and one in Alberta (</w:t>
      </w:r>
      <w:r>
        <w:rPr>
          <w:rFonts w:ascii="Arial" w:cs="Arial" w:eastAsia="Arial" w:hAnsi="Arial"/>
          <w:sz w:val="18"/>
          <w:szCs w:val="18"/>
          <w:i w:val="1"/>
          <w:iCs w:val="1"/>
          <w:color w:val="auto"/>
        </w:rPr>
        <w:t>Epp v. Takeda Canada et al.</w:t>
      </w:r>
      <w:r>
        <w:rPr>
          <w:rFonts w:ascii="Arial" w:cs="Arial" w:eastAsia="Arial" w:hAnsi="Arial"/>
          <w:sz w:val="18"/>
          <w:szCs w:val="18"/>
          <w:color w:val="auto"/>
        </w:rPr>
        <w:t>). We promoted Actos in Canada until 2009.</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We believe these lawsuits are without merit, and we and Takeda are prepared to defend against them vigorously.</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Cymbalta</w:t>
      </w:r>
      <w:r>
        <w:rPr>
          <w:rFonts w:ascii="Arial" w:cs="Arial" w:eastAsia="Arial" w:hAnsi="Arial"/>
          <w:sz w:val="21"/>
          <w:szCs w:val="21"/>
          <w:b w:val="1"/>
          <w:bCs w:val="1"/>
          <w:color w:val="auto"/>
          <w:vertAlign w:val="superscript"/>
        </w:rPr>
        <w:t>®</w:t>
      </w:r>
      <w:r>
        <w:rPr>
          <w:rFonts w:ascii="Arial" w:cs="Arial" w:eastAsia="Arial" w:hAnsi="Arial"/>
          <w:sz w:val="18"/>
          <w:szCs w:val="18"/>
          <w:b w:val="1"/>
          <w:bCs w:val="1"/>
          <w:color w:val="auto"/>
        </w:rPr>
        <w:t xml:space="preserve"> Product Liability Litigation</w:t>
      </w:r>
    </w:p>
    <w:p>
      <w:pPr>
        <w:spacing w:after="0" w:line="159"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 xml:space="preserve">We were named as a defendant in a purported class-action lawsuit in the U.S. District Court for the Central District of California (now called </w:t>
      </w:r>
      <w:r>
        <w:rPr>
          <w:rFonts w:ascii="Arial" w:cs="Arial" w:eastAsia="Arial" w:hAnsi="Arial"/>
          <w:sz w:val="18"/>
          <w:szCs w:val="18"/>
          <w:i w:val="1"/>
          <w:iCs w:val="1"/>
          <w:color w:val="auto"/>
        </w:rPr>
        <w:t>Strafford et al. v. Eli Lilly and Company</w:t>
      </w:r>
      <w:r>
        <w:rPr>
          <w:rFonts w:ascii="Arial" w:cs="Arial" w:eastAsia="Arial" w:hAnsi="Arial"/>
          <w:sz w:val="18"/>
          <w:szCs w:val="18"/>
          <w:color w:val="auto"/>
        </w:rPr>
        <w:t>) involving Cymbalta. The plaintiffs, purporting to represent a class of all persons within the U.S. who</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purchased and/or paid for Cymbalta, asserted claims under the consumer protection statutes of four states, California, Massachusetts, Missouri, and New York, and sought declaratory, injunctive, and monetary relief for various alleged economic injuries arising from discontinuing treatment with Cymbalta. In December 2014, the district court denied the plaintiffs' motion for class certification. Plaintiffs filed a petition with the U.S. Court of Appeals for the Ninth Circuit requesting permission to file an interlocutory appeal of the denial of class certification, which was denied. Plaintiffs filed a second motion for certification under the consumer protection acts of New York and Massachusetts. The district court denied that motion for class certification in July 2015. The district court dismissed the suits and plaintiffs appealed to the U.S. Court of Appeals for the Ninth Circuit. In June 2017, we moved to dismiss the appeal for lack of jurisdiction based on the U.S. Supreme Court's recent decision in </w:t>
      </w:r>
      <w:r>
        <w:rPr>
          <w:rFonts w:ascii="Arial" w:cs="Arial" w:eastAsia="Arial" w:hAnsi="Arial"/>
          <w:sz w:val="18"/>
          <w:szCs w:val="18"/>
          <w:i w:val="1"/>
          <w:iCs w:val="1"/>
          <w:color w:val="auto"/>
        </w:rPr>
        <w:t>Microsoft v. Baker</w:t>
      </w:r>
      <w:r>
        <w:rPr>
          <w:rFonts w:ascii="Arial" w:cs="Arial" w:eastAsia="Arial" w:hAnsi="Arial"/>
          <w:sz w:val="18"/>
          <w:szCs w:val="18"/>
          <w:color w:val="auto"/>
        </w:rPr>
        <w:t>. In November 2017, the U.S. Court of Appeals for the Ninth Circuit dismissed the suit. Plaintiffs continue to contest the</w:t>
      </w:r>
      <w:r>
        <w:rPr>
          <w:rFonts w:ascii="Arial" w:cs="Arial" w:eastAsia="Arial" w:hAnsi="Arial"/>
          <w:sz w:val="18"/>
          <w:szCs w:val="18"/>
          <w:i w:val="1"/>
          <w:iCs w:val="1"/>
          <w:color w:val="auto"/>
        </w:rPr>
        <w:t xml:space="preserve"> </w:t>
      </w:r>
      <w:r>
        <w:rPr>
          <w:rFonts w:ascii="Arial" w:cs="Arial" w:eastAsia="Arial" w:hAnsi="Arial"/>
          <w:sz w:val="18"/>
          <w:szCs w:val="18"/>
          <w:color w:val="auto"/>
        </w:rPr>
        <w:t>dismissal.</w:t>
      </w:r>
    </w:p>
    <w:p>
      <w:pPr>
        <w:spacing w:after="0" w:line="2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706" w:right="239" w:bottom="1440" w:gutter="0" w:footer="0" w:header="0"/>
        </w:sectPr>
      </w:pPr>
    </w:p>
    <w:bookmarkStart w:id="28" w:name="page29"/>
    <w:bookmarkEnd w:id="28"/>
    <w:p>
      <w:pPr>
        <w:ind w:right="140"/>
        <w:spacing w:after="0" w:line="252" w:lineRule="auto"/>
        <w:rPr>
          <w:sz w:val="20"/>
          <w:szCs w:val="20"/>
          <w:color w:val="auto"/>
        </w:rPr>
      </w:pPr>
      <w:r>
        <w:rPr>
          <w:rFonts w:ascii="Arial" w:cs="Arial" w:eastAsia="Arial" w:hAnsi="Arial"/>
          <w:sz w:val="18"/>
          <w:szCs w:val="18"/>
          <w:color w:val="auto"/>
        </w:rPr>
        <w:t>We are named in approximately 140 lawsuits involving approximately 1,470 plaintiffs filed in various federal and state courts alleging injuries arising from discontinuation of treatment with Cymbalta. These include approximately 40 individual and multi-plaintiff cases filed in California state court, centralized in a California Judicial Counsel Coordination Proceeding pending in Los Angeles. The first individual product liability cases were tried in August 2015 and resulted in defense verdicts against four plaintiffs. We believe all these Cymbalta lawsuits and claims are without merit. We have reached a settlement framework that provides for a comprehensive resolution of nearly all of these personal injury claims, filed or unfiled, alleging injuries from discontinuing treatment with Cymbalta. There can be no assurances, however, that a final settlement will be reached.</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Brazil–Employee Litigation</w:t>
      </w:r>
    </w:p>
    <w:p>
      <w:pPr>
        <w:spacing w:after="0" w:line="193"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Our subsidiary in Brazil, Eli Lilly do Brasil Limitada (Lilly Brasil), is named in a lawsuit brought by the Labor Attorney for the 15th Region in the Labor Court of Paulinia, State of Sao Paulo, Brazil, alleging possible harm to employees and former employees caused by exposure to heavy metals at a former Lilly Brasil manufacturing facility in Cosmopolis, Brazil, operated by the company between 1977 and 2003. The plaintiffs allege that some employees at the facility were exposed to benzene and heavy metals; however, Lilly Brasil maintains that these alleged contaminants were never used in the facility. In May 2014, the labor court judge ruled against Lilly Brasil. The judge's ruling orders Lilly Brasil to undertake several actions of unspecified financial impact, including paying lifetime medical insurance for the employees and contractors who worked at the Cosmopolis facility more than six months during the affected years and their children born during and after this period. While we cannot currently estimate the range of reasonably possible financial losses that could arise in the event we do not ultimately prevail in the litigation, the judge has estimated the total financial impact of the ruling to be approximately 1.0 billion Brazilian real (approximately $300 million as of March 31, 2018) plus interest. We filed an appeal in May 2014. In April 2018 the appeals court heard oral arguments in preparation for giving its written judgment on the appeal. We expect a written decision in May 2018. While the written decision has not yet been issued, the appeals court issued a press release indicating that it would affirm the lower court's ruling with the total financial impact of the ruling estimated to be approximately 500 million Brazilian real (approximately $150 million as of March 31, 2018). We strongly disagree with the court's decision and plan to appeal.</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We are also named in approximately 30 lawsuits filed in the same court by individual former employees making similar claims.</w:t>
      </w:r>
    </w:p>
    <w:p>
      <w:pPr>
        <w:spacing w:after="0" w:line="117"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Lilly Brasil and Elanco Quimica Ltda. have been named in a lawsuit involving approximately 305 individuals alleging that the companies failed to provide warnings regarding exposure to heavy metals or proper equipment at the former Cosmopolis facility, and that this alleged failure could result in possible harm to employees, former employees, and their dependents. In June 2017, the court denied the plaintiffs' request for a preliminary injunction. In September 2017, the court dismissed the claims brought by all but the first named plaintiff. The plaintiffs are appealing that decision.</w:t>
      </w:r>
    </w:p>
    <w:p>
      <w:pPr>
        <w:spacing w:after="0" w:line="97" w:lineRule="exact"/>
        <w:rPr>
          <w:sz w:val="20"/>
          <w:szCs w:val="20"/>
          <w:color w:val="auto"/>
        </w:rPr>
      </w:pPr>
    </w:p>
    <w:p>
      <w:pPr>
        <w:ind w:right="180"/>
        <w:spacing w:after="0" w:line="254" w:lineRule="auto"/>
        <w:rPr>
          <w:sz w:val="20"/>
          <w:szCs w:val="20"/>
          <w:color w:val="auto"/>
        </w:rPr>
      </w:pPr>
      <w:r>
        <w:rPr>
          <w:rFonts w:ascii="Arial" w:cs="Arial" w:eastAsia="Arial" w:hAnsi="Arial"/>
          <w:sz w:val="18"/>
          <w:szCs w:val="18"/>
          <w:color w:val="auto"/>
        </w:rPr>
        <w:t>Lilly Brasil and Elanco Quimica Ltda. have also been named in a separate lawsuit involving approximately 105 individuals alleging that the companies failed to provide warnings regarding exposure to heavy metals or proper equipment at the former Cosmopolis facility, and that this alleged failure could result in possible harm to contractors and suppliers, and their dependents. In November 2017, the court dismissed the claims brought by all but the first named plaintiff.</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We believe all of these lawsuits are without merit and are prepared to defend against them vigorously.</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Agri Stats, Inc.</w:t>
      </w:r>
    </w:p>
    <w:p>
      <w:pPr>
        <w:spacing w:after="0" w:line="139"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Agri Stats, Inc., our subsidiary, has been named as a co-defendant in four antitrust suits, including one putative class-action, filed in the U.S. District Court for the Northern District of Illinois. Plaintiffs consist of private direct and indirect purchasers of broiler chickens who allege that the defendants engaged in a conspiracy to limit U.S. chicken production and inflate prices. We believe these claims are without merit and are prepared to defend against them vigorously.</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 Liability Insurance</w:t>
      </w:r>
    </w:p>
    <w:p>
      <w:pPr>
        <w:spacing w:after="0" w:line="193"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Because of the nature of pharmaceutical products, it is possible that we could become subject to large numbers of product liability and related claims in the future. Due to a very restrictive market for product liability insurance, we are self-insured for product liability losses for all our currently marketed products.</w:t>
      </w: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706" w:right="239" w:bottom="1440" w:gutter="0" w:footer="0" w:header="0"/>
        </w:sectPr>
      </w:pPr>
    </w:p>
    <w:bookmarkStart w:id="29" w:name="page30"/>
    <w:bookmarkEnd w:id="29"/>
    <w:p>
      <w:pPr>
        <w:spacing w:after="0"/>
        <w:tabs>
          <w:tab w:leader="none" w:pos="900" w:val="left"/>
        </w:tabs>
        <w:rPr>
          <w:sz w:val="20"/>
          <w:szCs w:val="20"/>
          <w:color w:val="auto"/>
        </w:rPr>
      </w:pPr>
      <w:r>
        <w:rPr>
          <w:rFonts w:ascii="Arial" w:cs="Arial" w:eastAsia="Arial" w:hAnsi="Arial"/>
          <w:sz w:val="18"/>
          <w:szCs w:val="18"/>
          <w:b w:val="1"/>
          <w:bCs w:val="1"/>
          <w:color w:val="auto"/>
        </w:rPr>
        <w:t>Note 11:</w:t>
      </w:r>
      <w:r>
        <w:rPr>
          <w:sz w:val="20"/>
          <w:szCs w:val="20"/>
          <w:color w:val="auto"/>
        </w:rPr>
        <w:tab/>
      </w:r>
      <w:r>
        <w:rPr>
          <w:rFonts w:ascii="Arial" w:cs="Arial" w:eastAsia="Arial" w:hAnsi="Arial"/>
          <w:sz w:val="17"/>
          <w:szCs w:val="17"/>
          <w:b w:val="1"/>
          <w:bCs w:val="1"/>
          <w:color w:val="auto"/>
        </w:rPr>
        <w:t>Other Comprehensive Income (Loss)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summarize the activity related to each component of other comprehensive income (loss) during the three months ended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March 31, 2018 and 2017:</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7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80" w:type="dxa"/>
            <w:vAlign w:val="bottom"/>
          </w:tcPr>
          <w:p>
            <w:pPr>
              <w:jc w:val="center"/>
              <w:ind w:right="160"/>
              <w:spacing w:after="0"/>
              <w:rPr>
                <w:sz w:val="20"/>
                <w:szCs w:val="20"/>
                <w:color w:val="auto"/>
              </w:rPr>
            </w:pPr>
            <w:r>
              <w:rPr>
                <w:rFonts w:ascii="Arial" w:cs="Arial" w:eastAsia="Arial" w:hAnsi="Arial"/>
                <w:sz w:val="13"/>
                <w:szCs w:val="13"/>
                <w:b w:val="1"/>
                <w:bCs w:val="1"/>
                <w:color w:val="auto"/>
                <w:w w:val="96"/>
              </w:rPr>
              <w:t>Defined Benefit</w:t>
            </w:r>
          </w:p>
        </w:tc>
        <w:tc>
          <w:tcPr>
            <w:tcW w:w="20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3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60" w:type="dxa"/>
            <w:vAlign w:val="bottom"/>
          </w:tcPr>
          <w:p>
            <w:pPr>
              <w:jc w:val="center"/>
              <w:ind w:right="60"/>
              <w:spacing w:after="0" w:line="135" w:lineRule="exact"/>
              <w:rPr>
                <w:sz w:val="20"/>
                <w:szCs w:val="20"/>
                <w:color w:val="auto"/>
              </w:rPr>
            </w:pPr>
            <w:r>
              <w:rPr>
                <w:rFonts w:ascii="Arial" w:cs="Arial" w:eastAsia="Arial" w:hAnsi="Arial"/>
                <w:sz w:val="13"/>
                <w:szCs w:val="13"/>
                <w:b w:val="1"/>
                <w:bCs w:val="1"/>
                <w:color w:val="auto"/>
                <w:w w:val="95"/>
              </w:rPr>
              <w:t>Foreign Currency</w:t>
            </w:r>
          </w:p>
        </w:tc>
        <w:tc>
          <w:tcPr>
            <w:tcW w:w="5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80" w:type="dxa"/>
            <w:vAlign w:val="bottom"/>
          </w:tcPr>
          <w:p>
            <w:pPr>
              <w:jc w:val="center"/>
              <w:ind w:right="140"/>
              <w:spacing w:after="0" w:line="135" w:lineRule="exact"/>
              <w:rPr>
                <w:sz w:val="20"/>
                <w:szCs w:val="20"/>
                <w:color w:val="auto"/>
              </w:rPr>
            </w:pPr>
            <w:r>
              <w:rPr>
                <w:rFonts w:ascii="Arial" w:cs="Arial" w:eastAsia="Arial" w:hAnsi="Arial"/>
                <w:sz w:val="13"/>
                <w:szCs w:val="13"/>
                <w:b w:val="1"/>
                <w:bCs w:val="1"/>
                <w:color w:val="auto"/>
                <w:w w:val="95"/>
              </w:rPr>
              <w:t>Pension and</w:t>
            </w:r>
          </w:p>
        </w:tc>
        <w:tc>
          <w:tcPr>
            <w:tcW w:w="20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780" w:type="dxa"/>
            <w:vAlign w:val="bottom"/>
            <w:vMerge w:val="restart"/>
          </w:tcPr>
          <w:p>
            <w:pPr>
              <w:spacing w:after="0"/>
              <w:rPr>
                <w:sz w:val="20"/>
                <w:szCs w:val="20"/>
                <w:color w:val="auto"/>
              </w:rPr>
            </w:pPr>
            <w:r>
              <w:rPr>
                <w:rFonts w:ascii="Arial" w:cs="Arial" w:eastAsia="Arial" w:hAnsi="Arial"/>
                <w:sz w:val="14"/>
                <w:szCs w:val="14"/>
                <w:b w:val="1"/>
                <w:bCs w:val="1"/>
                <w:color w:val="auto"/>
              </w:rPr>
              <w:t>(Amounts presented net of taxes)</w:t>
            </w:r>
          </w:p>
        </w:tc>
        <w:tc>
          <w:tcPr>
            <w:tcW w:w="160" w:type="dxa"/>
            <w:vAlign w:val="bottom"/>
          </w:tcPr>
          <w:p>
            <w:pPr>
              <w:spacing w:after="0"/>
              <w:rPr>
                <w:sz w:val="11"/>
                <w:szCs w:val="11"/>
                <w:color w:val="auto"/>
              </w:rPr>
            </w:pPr>
          </w:p>
        </w:tc>
        <w:tc>
          <w:tcPr>
            <w:tcW w:w="1260" w:type="dxa"/>
            <w:vAlign w:val="bottom"/>
          </w:tcPr>
          <w:p>
            <w:pPr>
              <w:jc w:val="center"/>
              <w:ind w:right="60"/>
              <w:spacing w:after="0" w:line="135" w:lineRule="exact"/>
              <w:rPr>
                <w:sz w:val="20"/>
                <w:szCs w:val="20"/>
                <w:color w:val="auto"/>
              </w:rPr>
            </w:pPr>
            <w:r>
              <w:rPr>
                <w:rFonts w:ascii="Arial" w:cs="Arial" w:eastAsia="Arial" w:hAnsi="Arial"/>
                <w:sz w:val="13"/>
                <w:szCs w:val="13"/>
                <w:b w:val="1"/>
                <w:bCs w:val="1"/>
                <w:color w:val="auto"/>
                <w:w w:val="96"/>
              </w:rPr>
              <w:t>Translation</w:t>
            </w:r>
          </w:p>
        </w:tc>
        <w:tc>
          <w:tcPr>
            <w:tcW w:w="1620" w:type="dxa"/>
            <w:vAlign w:val="bottom"/>
            <w:gridSpan w:val="2"/>
          </w:tcPr>
          <w:p>
            <w:pPr>
              <w:jc w:val="right"/>
              <w:ind w:right="50"/>
              <w:spacing w:after="0" w:line="135" w:lineRule="exact"/>
              <w:rPr>
                <w:sz w:val="20"/>
                <w:szCs w:val="20"/>
                <w:color w:val="auto"/>
              </w:rPr>
            </w:pPr>
            <w:r>
              <w:rPr>
                <w:rFonts w:ascii="Arial" w:cs="Arial" w:eastAsia="Arial" w:hAnsi="Arial"/>
                <w:sz w:val="13"/>
                <w:szCs w:val="13"/>
                <w:b w:val="1"/>
                <w:bCs w:val="1"/>
                <w:color w:val="auto"/>
              </w:rPr>
              <w:t>Unrealized Net Gains</w:t>
            </w:r>
          </w:p>
        </w:tc>
        <w:tc>
          <w:tcPr>
            <w:tcW w:w="1540" w:type="dxa"/>
            <w:vAlign w:val="bottom"/>
            <w:gridSpan w:val="2"/>
          </w:tcPr>
          <w:p>
            <w:pPr>
              <w:jc w:val="center"/>
              <w:spacing w:after="0" w:line="135" w:lineRule="exact"/>
              <w:rPr>
                <w:sz w:val="20"/>
                <w:szCs w:val="20"/>
                <w:color w:val="auto"/>
              </w:rPr>
            </w:pPr>
            <w:r>
              <w:rPr>
                <w:rFonts w:ascii="Arial" w:cs="Arial" w:eastAsia="Arial" w:hAnsi="Arial"/>
                <w:sz w:val="13"/>
                <w:szCs w:val="13"/>
                <w:b w:val="1"/>
                <w:bCs w:val="1"/>
                <w:color w:val="auto"/>
                <w:w w:val="96"/>
              </w:rPr>
              <w:t>Retiree Health Benefit</w:t>
            </w:r>
          </w:p>
        </w:tc>
        <w:tc>
          <w:tcPr>
            <w:tcW w:w="200" w:type="dxa"/>
            <w:vAlign w:val="bottom"/>
          </w:tcPr>
          <w:p>
            <w:pPr>
              <w:spacing w:after="0"/>
              <w:rPr>
                <w:sz w:val="11"/>
                <w:szCs w:val="11"/>
                <w:color w:val="auto"/>
              </w:rPr>
            </w:pPr>
          </w:p>
        </w:tc>
        <w:tc>
          <w:tcPr>
            <w:tcW w:w="1300" w:type="dxa"/>
            <w:vAlign w:val="bottom"/>
          </w:tcPr>
          <w:p>
            <w:pPr>
              <w:ind w:left="20"/>
              <w:spacing w:after="0" w:line="135" w:lineRule="exact"/>
              <w:rPr>
                <w:sz w:val="20"/>
                <w:szCs w:val="20"/>
                <w:color w:val="auto"/>
              </w:rPr>
            </w:pPr>
            <w:r>
              <w:rPr>
                <w:rFonts w:ascii="Arial" w:cs="Arial" w:eastAsia="Arial" w:hAnsi="Arial"/>
                <w:sz w:val="13"/>
                <w:szCs w:val="13"/>
                <w:b w:val="1"/>
                <w:bCs w:val="1"/>
                <w:color w:val="auto"/>
              </w:rPr>
              <w:t>Effective Portion of</w:t>
            </w:r>
          </w:p>
        </w:tc>
        <w:tc>
          <w:tcPr>
            <w:tcW w:w="240" w:type="dxa"/>
            <w:vAlign w:val="bottom"/>
          </w:tcPr>
          <w:p>
            <w:pPr>
              <w:spacing w:after="0"/>
              <w:rPr>
                <w:sz w:val="11"/>
                <w:szCs w:val="11"/>
                <w:color w:val="auto"/>
              </w:rPr>
            </w:pPr>
          </w:p>
        </w:tc>
        <w:tc>
          <w:tcPr>
            <w:tcW w:w="1320" w:type="dxa"/>
            <w:vAlign w:val="bottom"/>
          </w:tcPr>
          <w:p>
            <w:pPr>
              <w:jc w:val="center"/>
              <w:ind w:right="34"/>
              <w:spacing w:after="0" w:line="135" w:lineRule="exact"/>
              <w:rPr>
                <w:sz w:val="20"/>
                <w:szCs w:val="20"/>
                <w:color w:val="auto"/>
              </w:rPr>
            </w:pPr>
            <w:r>
              <w:rPr>
                <w:rFonts w:ascii="Arial" w:cs="Arial" w:eastAsia="Arial" w:hAnsi="Arial"/>
                <w:sz w:val="13"/>
                <w:szCs w:val="13"/>
                <w:b w:val="1"/>
                <w:bCs w:val="1"/>
                <w:color w:val="auto"/>
                <w:w w:val="96"/>
              </w:rPr>
              <w:t>Accumulated Other</w:t>
            </w:r>
          </w:p>
        </w:tc>
        <w:tc>
          <w:tcPr>
            <w:tcW w:w="0" w:type="dxa"/>
            <w:vAlign w:val="bottom"/>
          </w:tcPr>
          <w:p>
            <w:pPr>
              <w:spacing w:after="0"/>
              <w:rPr>
                <w:sz w:val="1"/>
                <w:szCs w:val="1"/>
                <w:color w:val="auto"/>
              </w:rPr>
            </w:pPr>
          </w:p>
        </w:tc>
      </w:tr>
      <w:tr>
        <w:trPr>
          <w:trHeight w:val="178"/>
        </w:trPr>
        <w:tc>
          <w:tcPr>
            <w:tcW w:w="3780" w:type="dxa"/>
            <w:vAlign w:val="bottom"/>
            <w:tcBorders>
              <w:bottom w:val="single" w:sz="8" w:color="auto"/>
            </w:tcBorders>
            <w:vMerge w:val="continue"/>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center"/>
              <w:ind w:right="60"/>
              <w:spacing w:after="0"/>
              <w:rPr>
                <w:sz w:val="20"/>
                <w:szCs w:val="20"/>
                <w:color w:val="auto"/>
              </w:rPr>
            </w:pPr>
            <w:r>
              <w:rPr>
                <w:rFonts w:ascii="Arial" w:cs="Arial" w:eastAsia="Arial" w:hAnsi="Arial"/>
                <w:sz w:val="13"/>
                <w:szCs w:val="13"/>
                <w:b w:val="1"/>
                <w:bCs w:val="1"/>
                <w:color w:val="auto"/>
                <w:w w:val="98"/>
              </w:rPr>
              <w:t>Gains (Losses)</w:t>
            </w:r>
          </w:p>
        </w:tc>
        <w:tc>
          <w:tcPr>
            <w:tcW w:w="1620" w:type="dxa"/>
            <w:vAlign w:val="bottom"/>
            <w:tcBorders>
              <w:bottom w:val="single" w:sz="8" w:color="auto"/>
            </w:tcBorders>
            <w:gridSpan w:val="2"/>
          </w:tcPr>
          <w:p>
            <w:pPr>
              <w:ind w:left="180"/>
              <w:spacing w:after="0"/>
              <w:rPr>
                <w:sz w:val="20"/>
                <w:szCs w:val="20"/>
                <w:color w:val="auto"/>
              </w:rPr>
            </w:pPr>
            <w:r>
              <w:rPr>
                <w:rFonts w:ascii="Arial" w:cs="Arial" w:eastAsia="Arial" w:hAnsi="Arial"/>
                <w:sz w:val="13"/>
                <w:szCs w:val="13"/>
                <w:b w:val="1"/>
                <w:bCs w:val="1"/>
                <w:color w:val="auto"/>
              </w:rPr>
              <w:t>(Losses) on Securities</w:t>
            </w:r>
          </w:p>
        </w:tc>
        <w:tc>
          <w:tcPr>
            <w:tcW w:w="26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center"/>
              <w:ind w:right="140"/>
              <w:spacing w:after="0"/>
              <w:rPr>
                <w:sz w:val="20"/>
                <w:szCs w:val="20"/>
                <w:color w:val="auto"/>
              </w:rPr>
            </w:pPr>
            <w:r>
              <w:rPr>
                <w:rFonts w:ascii="Arial" w:cs="Arial" w:eastAsia="Arial" w:hAnsi="Arial"/>
                <w:sz w:val="13"/>
                <w:szCs w:val="13"/>
                <w:b w:val="1"/>
                <w:bCs w:val="1"/>
                <w:color w:val="auto"/>
                <w:w w:val="97"/>
              </w:rPr>
              <w:t>Plans</w:t>
            </w:r>
          </w:p>
        </w:tc>
        <w:tc>
          <w:tcPr>
            <w:tcW w:w="20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ind w:left="40"/>
              <w:spacing w:after="0"/>
              <w:rPr>
                <w:sz w:val="20"/>
                <w:szCs w:val="20"/>
                <w:color w:val="auto"/>
              </w:rPr>
            </w:pPr>
            <w:r>
              <w:rPr>
                <w:rFonts w:ascii="Arial" w:cs="Arial" w:eastAsia="Arial" w:hAnsi="Arial"/>
                <w:sz w:val="13"/>
                <w:szCs w:val="13"/>
                <w:b w:val="1"/>
                <w:bCs w:val="1"/>
                <w:color w:val="auto"/>
              </w:rPr>
              <w:t>Cash Flow Hedges</w:t>
            </w:r>
          </w:p>
        </w:tc>
        <w:tc>
          <w:tcPr>
            <w:tcW w:w="1560" w:type="dxa"/>
            <w:vAlign w:val="bottom"/>
            <w:tcBorders>
              <w:bottom w:val="single" w:sz="8" w:color="auto"/>
            </w:tcBorders>
            <w:gridSpan w:val="2"/>
          </w:tcPr>
          <w:p>
            <w:pPr>
              <w:jc w:val="center"/>
              <w:ind w:left="39"/>
              <w:spacing w:after="0"/>
              <w:rPr>
                <w:sz w:val="20"/>
                <w:szCs w:val="20"/>
                <w:color w:val="auto"/>
              </w:rPr>
            </w:pPr>
            <w:r>
              <w:rPr>
                <w:rFonts w:ascii="Arial" w:cs="Arial" w:eastAsia="Arial" w:hAnsi="Arial"/>
                <w:sz w:val="13"/>
                <w:szCs w:val="13"/>
                <w:b w:val="1"/>
                <w:bCs w:val="1"/>
                <w:color w:val="auto"/>
                <w:w w:val="97"/>
              </w:rPr>
              <w:t>Comprehensive Loss</w:t>
            </w:r>
          </w:p>
        </w:tc>
        <w:tc>
          <w:tcPr>
            <w:tcW w:w="0" w:type="dxa"/>
            <w:vAlign w:val="bottom"/>
          </w:tcPr>
          <w:p>
            <w:pPr>
              <w:spacing w:after="0"/>
              <w:rPr>
                <w:sz w:val="1"/>
                <w:szCs w:val="1"/>
                <w:color w:val="auto"/>
              </w:rPr>
            </w:pPr>
          </w:p>
        </w:tc>
      </w:tr>
      <w:tr>
        <w:trPr>
          <w:trHeight w:val="270"/>
        </w:trPr>
        <w:tc>
          <w:tcPr>
            <w:tcW w:w="3780" w:type="dxa"/>
            <w:vAlign w:val="bottom"/>
            <w:shd w:val="clear" w:color="auto" w:fill="CCEEFF"/>
          </w:tcPr>
          <w:p>
            <w:pPr>
              <w:ind w:left="40"/>
              <w:spacing w:after="0"/>
              <w:rPr>
                <w:sz w:val="20"/>
                <w:szCs w:val="20"/>
                <w:color w:val="auto"/>
              </w:rPr>
            </w:pPr>
            <w:r>
              <w:rPr>
                <w:rFonts w:ascii="Arial" w:cs="Arial" w:eastAsia="Arial" w:hAnsi="Arial"/>
                <w:sz w:val="18"/>
                <w:szCs w:val="18"/>
                <w:color w:val="auto"/>
              </w:rPr>
              <w:t xml:space="preserve">Balance at January 1, 2018 </w:t>
            </w:r>
            <w:r>
              <w:rPr>
                <w:rFonts w:ascii="Arial" w:cs="Arial" w:eastAsia="Arial" w:hAnsi="Arial"/>
                <w:sz w:val="21"/>
                <w:szCs w:val="21"/>
                <w:color w:val="auto"/>
                <w:vertAlign w:val="superscript"/>
              </w:rPr>
              <w:t>(3)</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260" w:type="dxa"/>
            <w:vAlign w:val="bottom"/>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(1,233.4)</w:t>
            </w:r>
          </w:p>
        </w:tc>
        <w:tc>
          <w:tcPr>
            <w:tcW w:w="54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w:t>
            </w:r>
          </w:p>
        </w:tc>
        <w:tc>
          <w:tcPr>
            <w:tcW w:w="1080" w:type="dxa"/>
            <w:vAlign w:val="bottom"/>
            <w:shd w:val="clear" w:color="auto" w:fill="CCEEFF"/>
          </w:tcPr>
          <w:p>
            <w:pPr>
              <w:jc w:val="right"/>
              <w:ind w:right="190"/>
              <w:spacing w:after="0"/>
              <w:rPr>
                <w:sz w:val="20"/>
                <w:szCs w:val="20"/>
                <w:color w:val="auto"/>
              </w:rPr>
            </w:pPr>
            <w:r>
              <w:rPr>
                <w:rFonts w:ascii="Arial" w:cs="Arial" w:eastAsia="Arial" w:hAnsi="Arial"/>
                <w:sz w:val="18"/>
                <w:szCs w:val="18"/>
                <w:b w:val="1"/>
                <w:bCs w:val="1"/>
                <w:color w:val="auto"/>
              </w:rPr>
              <w:t>113.5</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280" w:type="dxa"/>
            <w:vAlign w:val="bottom"/>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(4,340.7)</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300" w:type="dxa"/>
            <w:vAlign w:val="bottom"/>
            <w:shd w:val="clear" w:color="auto" w:fill="CCEEFF"/>
          </w:tcPr>
          <w:p>
            <w:pPr>
              <w:jc w:val="right"/>
              <w:ind w:right="77"/>
              <w:spacing w:after="0"/>
              <w:rPr>
                <w:sz w:val="20"/>
                <w:szCs w:val="20"/>
                <w:color w:val="auto"/>
              </w:rPr>
            </w:pPr>
            <w:r>
              <w:rPr>
                <w:rFonts w:ascii="Arial" w:cs="Arial" w:eastAsia="Arial" w:hAnsi="Arial"/>
                <w:sz w:val="18"/>
                <w:szCs w:val="18"/>
                <w:b w:val="1"/>
                <w:bCs w:val="1"/>
                <w:color w:val="auto"/>
              </w:rPr>
              <w:t>(234.3)</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320" w:type="dxa"/>
            <w:vAlign w:val="bottom"/>
            <w:shd w:val="clear" w:color="auto" w:fill="CCEEFF"/>
          </w:tcPr>
          <w:p>
            <w:pPr>
              <w:jc w:val="right"/>
              <w:ind w:right="74"/>
              <w:spacing w:after="0"/>
              <w:rPr>
                <w:sz w:val="20"/>
                <w:szCs w:val="20"/>
                <w:color w:val="auto"/>
              </w:rPr>
            </w:pPr>
            <w:r>
              <w:rPr>
                <w:rFonts w:ascii="Arial" w:cs="Arial" w:eastAsia="Arial" w:hAnsi="Arial"/>
                <w:sz w:val="18"/>
                <w:szCs w:val="18"/>
                <w:b w:val="1"/>
                <w:bCs w:val="1"/>
                <w:color w:val="auto"/>
              </w:rPr>
              <w:t>(5,694.9)</w:t>
            </w:r>
          </w:p>
        </w:tc>
        <w:tc>
          <w:tcPr>
            <w:tcW w:w="0" w:type="dxa"/>
            <w:vAlign w:val="bottom"/>
          </w:tcPr>
          <w:p>
            <w:pPr>
              <w:spacing w:after="0"/>
              <w:rPr>
                <w:sz w:val="1"/>
                <w:szCs w:val="1"/>
                <w:color w:val="auto"/>
              </w:rPr>
            </w:pPr>
          </w:p>
        </w:tc>
      </w:tr>
      <w:tr>
        <w:trPr>
          <w:trHeight w:val="162"/>
        </w:trPr>
        <w:tc>
          <w:tcPr>
            <w:tcW w:w="3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6"/>
        </w:trPr>
        <w:tc>
          <w:tcPr>
            <w:tcW w:w="37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Reclassification due to adoption of new</w:t>
            </w: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76"/>
        </w:trPr>
        <w:tc>
          <w:tcPr>
            <w:tcW w:w="37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 xml:space="preserve">accounting standard </w:t>
            </w:r>
            <w:r>
              <w:rPr>
                <w:rFonts w:ascii="Arial" w:cs="Arial" w:eastAsia="Arial" w:hAnsi="Arial"/>
                <w:sz w:val="21"/>
                <w:szCs w:val="21"/>
                <w:color w:val="auto"/>
                <w:vertAlign w:val="superscript"/>
              </w:rPr>
              <w:t>(4)</w:t>
            </w:r>
          </w:p>
        </w:tc>
        <w:tc>
          <w:tcPr>
            <w:tcW w:w="160" w:type="dxa"/>
            <w:vAlign w:val="bottom"/>
            <w:shd w:val="clear" w:color="auto" w:fill="CCEEFF"/>
          </w:tcPr>
          <w:p>
            <w:pPr>
              <w:spacing w:after="0"/>
              <w:rPr>
                <w:sz w:val="24"/>
                <w:szCs w:val="24"/>
                <w:color w:val="auto"/>
              </w:rPr>
            </w:pPr>
          </w:p>
        </w:tc>
        <w:tc>
          <w:tcPr>
            <w:tcW w:w="1260" w:type="dxa"/>
            <w:vAlign w:val="bottom"/>
            <w:vMerge w:val="restart"/>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w:t>
            </w:r>
          </w:p>
        </w:tc>
        <w:tc>
          <w:tcPr>
            <w:tcW w:w="540" w:type="dxa"/>
            <w:vAlign w:val="bottom"/>
            <w:shd w:val="clear" w:color="auto" w:fill="CCEEFF"/>
          </w:tcPr>
          <w:p>
            <w:pPr>
              <w:spacing w:after="0"/>
              <w:rPr>
                <w:sz w:val="24"/>
                <w:szCs w:val="24"/>
                <w:color w:val="auto"/>
              </w:rPr>
            </w:pPr>
          </w:p>
        </w:tc>
        <w:tc>
          <w:tcPr>
            <w:tcW w:w="1080" w:type="dxa"/>
            <w:vAlign w:val="bottom"/>
            <w:vMerge w:val="restart"/>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(128.9)</w:t>
            </w:r>
          </w:p>
        </w:tc>
        <w:tc>
          <w:tcPr>
            <w:tcW w:w="260" w:type="dxa"/>
            <w:vAlign w:val="bottom"/>
            <w:shd w:val="clear" w:color="auto" w:fill="CCEEFF"/>
          </w:tcPr>
          <w:p>
            <w:pPr>
              <w:spacing w:after="0"/>
              <w:rPr>
                <w:sz w:val="24"/>
                <w:szCs w:val="24"/>
                <w:color w:val="auto"/>
              </w:rPr>
            </w:pPr>
          </w:p>
        </w:tc>
        <w:tc>
          <w:tcPr>
            <w:tcW w:w="1280" w:type="dxa"/>
            <w:vAlign w:val="bottom"/>
            <w:vMerge w:val="restart"/>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200" w:type="dxa"/>
            <w:vAlign w:val="bottom"/>
            <w:shd w:val="clear" w:color="auto" w:fill="CCEEFF"/>
          </w:tcPr>
          <w:p>
            <w:pPr>
              <w:spacing w:after="0"/>
              <w:rPr>
                <w:sz w:val="24"/>
                <w:szCs w:val="24"/>
                <w:color w:val="auto"/>
              </w:rPr>
            </w:pPr>
          </w:p>
        </w:tc>
        <w:tc>
          <w:tcPr>
            <w:tcW w:w="1300" w:type="dxa"/>
            <w:vAlign w:val="bottom"/>
            <w:vMerge w:val="restart"/>
            <w:shd w:val="clear" w:color="auto" w:fill="CCEEFF"/>
          </w:tcPr>
          <w:p>
            <w:pPr>
              <w:jc w:val="right"/>
              <w:ind w:right="137"/>
              <w:spacing w:after="0"/>
              <w:rPr>
                <w:sz w:val="20"/>
                <w:szCs w:val="20"/>
                <w:color w:val="auto"/>
              </w:rPr>
            </w:pPr>
            <w:r>
              <w:rPr>
                <w:rFonts w:ascii="Arial" w:cs="Arial" w:eastAsia="Arial" w:hAnsi="Arial"/>
                <w:sz w:val="18"/>
                <w:szCs w:val="18"/>
                <w:b w:val="1"/>
                <w:bCs w:val="1"/>
                <w:color w:val="auto"/>
              </w:rPr>
              <w:t>—</w:t>
            </w:r>
          </w:p>
        </w:tc>
        <w:tc>
          <w:tcPr>
            <w:tcW w:w="240" w:type="dxa"/>
            <w:vAlign w:val="bottom"/>
            <w:shd w:val="clear" w:color="auto" w:fill="CCEEFF"/>
          </w:tcPr>
          <w:p>
            <w:pPr>
              <w:spacing w:after="0"/>
              <w:rPr>
                <w:sz w:val="24"/>
                <w:szCs w:val="24"/>
                <w:color w:val="auto"/>
              </w:rPr>
            </w:pPr>
          </w:p>
        </w:tc>
        <w:tc>
          <w:tcPr>
            <w:tcW w:w="1320" w:type="dxa"/>
            <w:vAlign w:val="bottom"/>
            <w:vMerge w:val="restart"/>
            <w:shd w:val="clear" w:color="auto" w:fill="CCEEFF"/>
          </w:tcPr>
          <w:p>
            <w:pPr>
              <w:jc w:val="right"/>
              <w:ind w:right="74"/>
              <w:spacing w:after="0"/>
              <w:rPr>
                <w:sz w:val="20"/>
                <w:szCs w:val="20"/>
                <w:color w:val="auto"/>
              </w:rPr>
            </w:pPr>
            <w:r>
              <w:rPr>
                <w:rFonts w:ascii="Arial" w:cs="Arial" w:eastAsia="Arial" w:hAnsi="Arial"/>
                <w:sz w:val="18"/>
                <w:szCs w:val="18"/>
                <w:b w:val="1"/>
                <w:bCs w:val="1"/>
                <w:color w:val="auto"/>
              </w:rPr>
              <w:t>(128.9)</w:t>
            </w:r>
          </w:p>
        </w:tc>
        <w:tc>
          <w:tcPr>
            <w:tcW w:w="0" w:type="dxa"/>
            <w:vAlign w:val="bottom"/>
          </w:tcPr>
          <w:p>
            <w:pPr>
              <w:spacing w:after="0"/>
              <w:rPr>
                <w:sz w:val="1"/>
                <w:szCs w:val="1"/>
                <w:color w:val="auto"/>
              </w:rPr>
            </w:pPr>
          </w:p>
        </w:tc>
      </w:tr>
      <w:tr>
        <w:trPr>
          <w:trHeight w:val="159"/>
        </w:trPr>
        <w:tc>
          <w:tcPr>
            <w:tcW w:w="37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260" w:type="dxa"/>
            <w:vAlign w:val="bottom"/>
            <w:vMerge w:val="continue"/>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080" w:type="dxa"/>
            <w:vAlign w:val="bottom"/>
            <w:vMerge w:val="continue"/>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280" w:type="dxa"/>
            <w:vAlign w:val="bottom"/>
            <w:vMerge w:val="continue"/>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300" w:type="dxa"/>
            <w:vAlign w:val="bottom"/>
            <w:vMerge w:val="continue"/>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320" w:type="dxa"/>
            <w:vAlign w:val="bottom"/>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29"/>
        </w:trPr>
        <w:tc>
          <w:tcPr>
            <w:tcW w:w="3780" w:type="dxa"/>
            <w:vAlign w:val="bottom"/>
          </w:tcPr>
          <w:p>
            <w:pPr>
              <w:ind w:left="180"/>
              <w:spacing w:after="0"/>
              <w:rPr>
                <w:sz w:val="20"/>
                <w:szCs w:val="20"/>
                <w:color w:val="auto"/>
              </w:rPr>
            </w:pPr>
            <w:r>
              <w:rPr>
                <w:rFonts w:ascii="Arial" w:cs="Arial" w:eastAsia="Arial" w:hAnsi="Arial"/>
                <w:sz w:val="18"/>
                <w:szCs w:val="18"/>
                <w:color w:val="auto"/>
              </w:rPr>
              <w:t>Other comprehensive income (loss) before</w:t>
            </w:r>
          </w:p>
        </w:tc>
        <w:tc>
          <w:tcPr>
            <w:tcW w:w="160" w:type="dxa"/>
            <w:vAlign w:val="bottom"/>
          </w:tcPr>
          <w:p>
            <w:pPr>
              <w:spacing w:after="0"/>
              <w:rPr>
                <w:sz w:val="19"/>
                <w:szCs w:val="19"/>
                <w:color w:val="auto"/>
              </w:rPr>
            </w:pPr>
          </w:p>
        </w:tc>
        <w:tc>
          <w:tcPr>
            <w:tcW w:w="1260" w:type="dxa"/>
            <w:vAlign w:val="bottom"/>
            <w:vMerge w:val="restart"/>
          </w:tcPr>
          <w:p>
            <w:pPr>
              <w:jc w:val="right"/>
              <w:ind w:right="120"/>
              <w:spacing w:after="0"/>
              <w:rPr>
                <w:sz w:val="20"/>
                <w:szCs w:val="20"/>
                <w:color w:val="auto"/>
              </w:rPr>
            </w:pPr>
            <w:r>
              <w:rPr>
                <w:rFonts w:ascii="Arial" w:cs="Arial" w:eastAsia="Arial" w:hAnsi="Arial"/>
                <w:sz w:val="18"/>
                <w:szCs w:val="18"/>
                <w:b w:val="1"/>
                <w:bCs w:val="1"/>
                <w:color w:val="auto"/>
              </w:rPr>
              <w:t>382.8</w:t>
            </w:r>
          </w:p>
        </w:tc>
        <w:tc>
          <w:tcPr>
            <w:tcW w:w="540" w:type="dxa"/>
            <w:vAlign w:val="bottom"/>
          </w:tcPr>
          <w:p>
            <w:pPr>
              <w:spacing w:after="0"/>
              <w:rPr>
                <w:sz w:val="19"/>
                <w:szCs w:val="19"/>
                <w:color w:val="auto"/>
              </w:rPr>
            </w:pPr>
          </w:p>
        </w:tc>
        <w:tc>
          <w:tcPr>
            <w:tcW w:w="1080" w:type="dxa"/>
            <w:vAlign w:val="bottom"/>
            <w:vMerge w:val="restart"/>
          </w:tcPr>
          <w:p>
            <w:pPr>
              <w:jc w:val="right"/>
              <w:ind w:right="130"/>
              <w:spacing w:after="0"/>
              <w:rPr>
                <w:sz w:val="20"/>
                <w:szCs w:val="20"/>
                <w:color w:val="auto"/>
              </w:rPr>
            </w:pPr>
            <w:r>
              <w:rPr>
                <w:rFonts w:ascii="Arial" w:cs="Arial" w:eastAsia="Arial" w:hAnsi="Arial"/>
                <w:sz w:val="18"/>
                <w:szCs w:val="18"/>
                <w:b w:val="1"/>
                <w:bCs w:val="1"/>
                <w:color w:val="auto"/>
              </w:rPr>
              <w:t>(36.0)</w:t>
            </w:r>
          </w:p>
        </w:tc>
        <w:tc>
          <w:tcPr>
            <w:tcW w:w="260" w:type="dxa"/>
            <w:vAlign w:val="bottom"/>
          </w:tcPr>
          <w:p>
            <w:pPr>
              <w:spacing w:after="0"/>
              <w:rPr>
                <w:sz w:val="19"/>
                <w:szCs w:val="19"/>
                <w:color w:val="auto"/>
              </w:rPr>
            </w:pPr>
          </w:p>
        </w:tc>
        <w:tc>
          <w:tcPr>
            <w:tcW w:w="1280" w:type="dxa"/>
            <w:vAlign w:val="bottom"/>
            <w:vMerge w:val="restart"/>
          </w:tcPr>
          <w:p>
            <w:pPr>
              <w:jc w:val="right"/>
              <w:ind w:right="120"/>
              <w:spacing w:after="0"/>
              <w:rPr>
                <w:sz w:val="20"/>
                <w:szCs w:val="20"/>
                <w:color w:val="auto"/>
              </w:rPr>
            </w:pPr>
            <w:r>
              <w:rPr>
                <w:rFonts w:ascii="Arial" w:cs="Arial" w:eastAsia="Arial" w:hAnsi="Arial"/>
                <w:sz w:val="18"/>
                <w:szCs w:val="18"/>
                <w:b w:val="1"/>
                <w:bCs w:val="1"/>
                <w:color w:val="auto"/>
              </w:rPr>
              <w:t>(22.1)</w:t>
            </w:r>
          </w:p>
        </w:tc>
        <w:tc>
          <w:tcPr>
            <w:tcW w:w="200" w:type="dxa"/>
            <w:vAlign w:val="bottom"/>
          </w:tcPr>
          <w:p>
            <w:pPr>
              <w:spacing w:after="0"/>
              <w:rPr>
                <w:sz w:val="19"/>
                <w:szCs w:val="19"/>
                <w:color w:val="auto"/>
              </w:rPr>
            </w:pPr>
          </w:p>
        </w:tc>
        <w:tc>
          <w:tcPr>
            <w:tcW w:w="1300" w:type="dxa"/>
            <w:vAlign w:val="bottom"/>
            <w:vMerge w:val="restart"/>
          </w:tcPr>
          <w:p>
            <w:pPr>
              <w:jc w:val="right"/>
              <w:ind w:right="77"/>
              <w:spacing w:after="0"/>
              <w:rPr>
                <w:sz w:val="20"/>
                <w:szCs w:val="20"/>
                <w:color w:val="auto"/>
              </w:rPr>
            </w:pPr>
            <w:r>
              <w:rPr>
                <w:rFonts w:ascii="Arial" w:cs="Arial" w:eastAsia="Arial" w:hAnsi="Arial"/>
                <w:sz w:val="18"/>
                <w:szCs w:val="18"/>
                <w:b w:val="1"/>
                <w:bCs w:val="1"/>
                <w:color w:val="auto"/>
              </w:rPr>
              <w:t>(0.1)</w:t>
            </w:r>
          </w:p>
        </w:tc>
        <w:tc>
          <w:tcPr>
            <w:tcW w:w="240" w:type="dxa"/>
            <w:vAlign w:val="bottom"/>
          </w:tcPr>
          <w:p>
            <w:pPr>
              <w:spacing w:after="0"/>
              <w:rPr>
                <w:sz w:val="19"/>
                <w:szCs w:val="19"/>
                <w:color w:val="auto"/>
              </w:rPr>
            </w:pPr>
          </w:p>
        </w:tc>
        <w:tc>
          <w:tcPr>
            <w:tcW w:w="1320" w:type="dxa"/>
            <w:vAlign w:val="bottom"/>
            <w:vMerge w:val="restart"/>
          </w:tcPr>
          <w:p>
            <w:pPr>
              <w:jc w:val="right"/>
              <w:ind w:right="134"/>
              <w:spacing w:after="0"/>
              <w:rPr>
                <w:sz w:val="20"/>
                <w:szCs w:val="20"/>
                <w:color w:val="auto"/>
              </w:rPr>
            </w:pPr>
            <w:r>
              <w:rPr>
                <w:rFonts w:ascii="Arial" w:cs="Arial" w:eastAsia="Arial" w:hAnsi="Arial"/>
                <w:sz w:val="18"/>
                <w:szCs w:val="18"/>
                <w:b w:val="1"/>
                <w:bCs w:val="1"/>
                <w:color w:val="auto"/>
              </w:rPr>
              <w:t>324.6</w:t>
            </w:r>
          </w:p>
        </w:tc>
        <w:tc>
          <w:tcPr>
            <w:tcW w:w="0" w:type="dxa"/>
            <w:vAlign w:val="bottom"/>
          </w:tcPr>
          <w:p>
            <w:pPr>
              <w:spacing w:after="0"/>
              <w:rPr>
                <w:sz w:val="1"/>
                <w:szCs w:val="1"/>
                <w:color w:val="auto"/>
              </w:rPr>
            </w:pPr>
          </w:p>
        </w:tc>
      </w:tr>
      <w:tr>
        <w:trPr>
          <w:trHeight w:val="224"/>
        </w:trPr>
        <w:tc>
          <w:tcPr>
            <w:tcW w:w="3780" w:type="dxa"/>
            <w:vAlign w:val="bottom"/>
          </w:tcPr>
          <w:p>
            <w:pPr>
              <w:ind w:left="340"/>
              <w:spacing w:after="0"/>
              <w:rPr>
                <w:sz w:val="20"/>
                <w:szCs w:val="20"/>
                <w:color w:val="auto"/>
              </w:rPr>
            </w:pPr>
            <w:r>
              <w:rPr>
                <w:rFonts w:ascii="Arial" w:cs="Arial" w:eastAsia="Arial" w:hAnsi="Arial"/>
                <w:sz w:val="18"/>
                <w:szCs w:val="18"/>
                <w:color w:val="auto"/>
              </w:rPr>
              <w:t>reclassifications</w:t>
            </w:r>
          </w:p>
        </w:tc>
        <w:tc>
          <w:tcPr>
            <w:tcW w:w="160" w:type="dxa"/>
            <w:vAlign w:val="bottom"/>
          </w:tcPr>
          <w:p>
            <w:pPr>
              <w:spacing w:after="0"/>
              <w:rPr>
                <w:sz w:val="19"/>
                <w:szCs w:val="19"/>
                <w:color w:val="auto"/>
              </w:rPr>
            </w:pPr>
          </w:p>
        </w:tc>
        <w:tc>
          <w:tcPr>
            <w:tcW w:w="1260" w:type="dxa"/>
            <w:vAlign w:val="bottom"/>
            <w:vMerge w:val="continue"/>
          </w:tcPr>
          <w:p>
            <w:pPr>
              <w:spacing w:after="0"/>
              <w:rPr>
                <w:sz w:val="19"/>
                <w:szCs w:val="19"/>
                <w:color w:val="auto"/>
              </w:rPr>
            </w:pPr>
          </w:p>
        </w:tc>
        <w:tc>
          <w:tcPr>
            <w:tcW w:w="540" w:type="dxa"/>
            <w:vAlign w:val="bottom"/>
          </w:tcPr>
          <w:p>
            <w:pPr>
              <w:spacing w:after="0"/>
              <w:rPr>
                <w:sz w:val="19"/>
                <w:szCs w:val="19"/>
                <w:color w:val="auto"/>
              </w:rPr>
            </w:pPr>
          </w:p>
        </w:tc>
        <w:tc>
          <w:tcPr>
            <w:tcW w:w="1080" w:type="dxa"/>
            <w:vAlign w:val="bottom"/>
            <w:vMerge w:val="continue"/>
          </w:tcPr>
          <w:p>
            <w:pPr>
              <w:spacing w:after="0"/>
              <w:rPr>
                <w:sz w:val="19"/>
                <w:szCs w:val="19"/>
                <w:color w:val="auto"/>
              </w:rPr>
            </w:pPr>
          </w:p>
        </w:tc>
        <w:tc>
          <w:tcPr>
            <w:tcW w:w="260" w:type="dxa"/>
            <w:vAlign w:val="bottom"/>
          </w:tcPr>
          <w:p>
            <w:pPr>
              <w:spacing w:after="0"/>
              <w:rPr>
                <w:sz w:val="19"/>
                <w:szCs w:val="19"/>
                <w:color w:val="auto"/>
              </w:rPr>
            </w:pPr>
          </w:p>
        </w:tc>
        <w:tc>
          <w:tcPr>
            <w:tcW w:w="1280" w:type="dxa"/>
            <w:vAlign w:val="bottom"/>
            <w:vMerge w:val="continue"/>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vMerge w:val="continue"/>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5"/>
        </w:trPr>
        <w:tc>
          <w:tcPr>
            <w:tcW w:w="37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amount reclassified from accumulated</w:t>
            </w:r>
          </w:p>
        </w:tc>
        <w:tc>
          <w:tcPr>
            <w:tcW w:w="160" w:type="dxa"/>
            <w:vAlign w:val="bottom"/>
            <w:shd w:val="clear" w:color="auto" w:fill="CCEEFF"/>
          </w:tcPr>
          <w:p>
            <w:pPr>
              <w:spacing w:after="0"/>
              <w:rPr>
                <w:sz w:val="20"/>
                <w:szCs w:val="20"/>
                <w:color w:val="auto"/>
              </w:rPr>
            </w:pPr>
          </w:p>
        </w:tc>
        <w:tc>
          <w:tcPr>
            <w:tcW w:w="1260" w:type="dxa"/>
            <w:vAlign w:val="bottom"/>
            <w:vMerge w:val="restart"/>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w:t>
            </w:r>
          </w:p>
        </w:tc>
        <w:tc>
          <w:tcPr>
            <w:tcW w:w="540" w:type="dxa"/>
            <w:vAlign w:val="bottom"/>
            <w:shd w:val="clear" w:color="auto" w:fill="CCEEFF"/>
          </w:tcPr>
          <w:p>
            <w:pPr>
              <w:spacing w:after="0"/>
              <w:rPr>
                <w:sz w:val="20"/>
                <w:szCs w:val="20"/>
                <w:color w:val="auto"/>
              </w:rPr>
            </w:pPr>
          </w:p>
        </w:tc>
        <w:tc>
          <w:tcPr>
            <w:tcW w:w="1080" w:type="dxa"/>
            <w:vAlign w:val="bottom"/>
            <w:vMerge w:val="restart"/>
            <w:shd w:val="clear" w:color="auto" w:fill="CCEEFF"/>
          </w:tcPr>
          <w:p>
            <w:pPr>
              <w:jc w:val="right"/>
              <w:ind w:right="190"/>
              <w:spacing w:after="0"/>
              <w:rPr>
                <w:sz w:val="20"/>
                <w:szCs w:val="20"/>
                <w:color w:val="auto"/>
              </w:rPr>
            </w:pPr>
            <w:r>
              <w:rPr>
                <w:rFonts w:ascii="Arial" w:cs="Arial" w:eastAsia="Arial" w:hAnsi="Arial"/>
                <w:sz w:val="18"/>
                <w:szCs w:val="18"/>
                <w:b w:val="1"/>
                <w:bCs w:val="1"/>
                <w:color w:val="auto"/>
              </w:rPr>
              <w:t>0.4</w:t>
            </w:r>
          </w:p>
        </w:tc>
        <w:tc>
          <w:tcPr>
            <w:tcW w:w="260" w:type="dxa"/>
            <w:vAlign w:val="bottom"/>
            <w:shd w:val="clear" w:color="auto" w:fill="CCEEFF"/>
          </w:tcPr>
          <w:p>
            <w:pPr>
              <w:spacing w:after="0"/>
              <w:rPr>
                <w:sz w:val="20"/>
                <w:szCs w:val="20"/>
                <w:color w:val="auto"/>
              </w:rPr>
            </w:pPr>
          </w:p>
        </w:tc>
        <w:tc>
          <w:tcPr>
            <w:tcW w:w="1280" w:type="dxa"/>
            <w:vAlign w:val="bottom"/>
            <w:vMerge w:val="restart"/>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58.4</w:t>
            </w:r>
          </w:p>
        </w:tc>
        <w:tc>
          <w:tcPr>
            <w:tcW w:w="200" w:type="dxa"/>
            <w:vAlign w:val="bottom"/>
            <w:shd w:val="clear" w:color="auto" w:fill="CCEEFF"/>
          </w:tcPr>
          <w:p>
            <w:pPr>
              <w:spacing w:after="0"/>
              <w:rPr>
                <w:sz w:val="20"/>
                <w:szCs w:val="20"/>
                <w:color w:val="auto"/>
              </w:rPr>
            </w:pPr>
          </w:p>
        </w:tc>
        <w:tc>
          <w:tcPr>
            <w:tcW w:w="1300" w:type="dxa"/>
            <w:vAlign w:val="bottom"/>
            <w:vMerge w:val="restart"/>
            <w:shd w:val="clear" w:color="auto" w:fill="CCEEFF"/>
          </w:tcPr>
          <w:p>
            <w:pPr>
              <w:jc w:val="right"/>
              <w:ind w:right="137"/>
              <w:spacing w:after="0"/>
              <w:rPr>
                <w:sz w:val="20"/>
                <w:szCs w:val="20"/>
                <w:color w:val="auto"/>
              </w:rPr>
            </w:pPr>
            <w:r>
              <w:rPr>
                <w:rFonts w:ascii="Arial" w:cs="Arial" w:eastAsia="Arial" w:hAnsi="Arial"/>
                <w:sz w:val="18"/>
                <w:szCs w:val="18"/>
                <w:b w:val="1"/>
                <w:bCs w:val="1"/>
                <w:color w:val="auto"/>
              </w:rPr>
              <w:t>2.9</w:t>
            </w:r>
          </w:p>
        </w:tc>
        <w:tc>
          <w:tcPr>
            <w:tcW w:w="240" w:type="dxa"/>
            <w:vAlign w:val="bottom"/>
            <w:shd w:val="clear" w:color="auto" w:fill="CCEEFF"/>
          </w:tcPr>
          <w:p>
            <w:pPr>
              <w:spacing w:after="0"/>
              <w:rPr>
                <w:sz w:val="20"/>
                <w:szCs w:val="20"/>
                <w:color w:val="auto"/>
              </w:rPr>
            </w:pPr>
          </w:p>
        </w:tc>
        <w:tc>
          <w:tcPr>
            <w:tcW w:w="1320" w:type="dxa"/>
            <w:vAlign w:val="bottom"/>
            <w:vMerge w:val="restart"/>
            <w:shd w:val="clear" w:color="auto" w:fill="CCEEFF"/>
          </w:tcPr>
          <w:p>
            <w:pPr>
              <w:jc w:val="right"/>
              <w:ind w:right="134"/>
              <w:spacing w:after="0"/>
              <w:rPr>
                <w:sz w:val="20"/>
                <w:szCs w:val="20"/>
                <w:color w:val="auto"/>
              </w:rPr>
            </w:pPr>
            <w:r>
              <w:rPr>
                <w:rFonts w:ascii="Arial" w:cs="Arial" w:eastAsia="Arial" w:hAnsi="Arial"/>
                <w:sz w:val="18"/>
                <w:szCs w:val="18"/>
                <w:b w:val="1"/>
                <w:bCs w:val="1"/>
                <w:color w:val="auto"/>
              </w:rPr>
              <w:t>61.7</w:t>
            </w:r>
          </w:p>
        </w:tc>
        <w:tc>
          <w:tcPr>
            <w:tcW w:w="0" w:type="dxa"/>
            <w:vAlign w:val="bottom"/>
          </w:tcPr>
          <w:p>
            <w:pPr>
              <w:spacing w:after="0"/>
              <w:rPr>
                <w:sz w:val="1"/>
                <w:szCs w:val="1"/>
                <w:color w:val="auto"/>
              </w:rPr>
            </w:pPr>
          </w:p>
        </w:tc>
      </w:tr>
      <w:tr>
        <w:trPr>
          <w:trHeight w:val="224"/>
        </w:trPr>
        <w:tc>
          <w:tcPr>
            <w:tcW w:w="37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comprehensive loss</w:t>
            </w:r>
          </w:p>
        </w:tc>
        <w:tc>
          <w:tcPr>
            <w:tcW w:w="1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vMerge w:val="continue"/>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vMerge w:val="continue"/>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vMerge w:val="continue"/>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vMerge w:val="continue"/>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3780" w:type="dxa"/>
            <w:vAlign w:val="bottom"/>
          </w:tcPr>
          <w:p>
            <w:pPr>
              <w:ind w:left="180"/>
              <w:spacing w:after="0"/>
              <w:rPr>
                <w:sz w:val="20"/>
                <w:szCs w:val="20"/>
                <w:color w:val="auto"/>
              </w:rPr>
            </w:pPr>
            <w:r>
              <w:rPr>
                <w:rFonts w:ascii="Arial" w:cs="Arial" w:eastAsia="Arial" w:hAnsi="Arial"/>
                <w:sz w:val="18"/>
                <w:szCs w:val="18"/>
                <w:color w:val="auto"/>
              </w:rPr>
              <w:t>Net other comprehensive income (loss)</w:t>
            </w:r>
          </w:p>
        </w:tc>
        <w:tc>
          <w:tcPr>
            <w:tcW w:w="160" w:type="dxa"/>
            <w:vAlign w:val="bottom"/>
          </w:tcPr>
          <w:p>
            <w:pPr>
              <w:spacing w:after="0"/>
              <w:rPr>
                <w:sz w:val="22"/>
                <w:szCs w:val="22"/>
                <w:color w:val="auto"/>
              </w:rPr>
            </w:pPr>
          </w:p>
        </w:tc>
        <w:tc>
          <w:tcPr>
            <w:tcW w:w="1260" w:type="dxa"/>
            <w:vAlign w:val="bottom"/>
          </w:tcPr>
          <w:p>
            <w:pPr>
              <w:jc w:val="right"/>
              <w:ind w:right="120"/>
              <w:spacing w:after="0"/>
              <w:rPr>
                <w:sz w:val="20"/>
                <w:szCs w:val="20"/>
                <w:color w:val="auto"/>
              </w:rPr>
            </w:pPr>
            <w:r>
              <w:rPr>
                <w:rFonts w:ascii="Arial" w:cs="Arial" w:eastAsia="Arial" w:hAnsi="Arial"/>
                <w:sz w:val="18"/>
                <w:szCs w:val="18"/>
                <w:b w:val="1"/>
                <w:bCs w:val="1"/>
                <w:color w:val="auto"/>
              </w:rPr>
              <w:t>382.8</w:t>
            </w:r>
          </w:p>
        </w:tc>
        <w:tc>
          <w:tcPr>
            <w:tcW w:w="540" w:type="dxa"/>
            <w:vAlign w:val="bottom"/>
          </w:tcPr>
          <w:p>
            <w:pPr>
              <w:spacing w:after="0"/>
              <w:rPr>
                <w:sz w:val="22"/>
                <w:szCs w:val="22"/>
                <w:color w:val="auto"/>
              </w:rPr>
            </w:pPr>
          </w:p>
        </w:tc>
        <w:tc>
          <w:tcPr>
            <w:tcW w:w="1080" w:type="dxa"/>
            <w:vAlign w:val="bottom"/>
          </w:tcPr>
          <w:p>
            <w:pPr>
              <w:jc w:val="right"/>
              <w:ind w:right="130"/>
              <w:spacing w:after="0"/>
              <w:rPr>
                <w:sz w:val="20"/>
                <w:szCs w:val="20"/>
                <w:color w:val="auto"/>
              </w:rPr>
            </w:pPr>
            <w:r>
              <w:rPr>
                <w:rFonts w:ascii="Arial" w:cs="Arial" w:eastAsia="Arial" w:hAnsi="Arial"/>
                <w:sz w:val="18"/>
                <w:szCs w:val="18"/>
                <w:b w:val="1"/>
                <w:bCs w:val="1"/>
                <w:color w:val="auto"/>
              </w:rPr>
              <w:t>(35.6)</w:t>
            </w:r>
          </w:p>
        </w:tc>
        <w:tc>
          <w:tcPr>
            <w:tcW w:w="260" w:type="dxa"/>
            <w:vAlign w:val="bottom"/>
          </w:tcPr>
          <w:p>
            <w:pPr>
              <w:spacing w:after="0"/>
              <w:rPr>
                <w:sz w:val="22"/>
                <w:szCs w:val="22"/>
                <w:color w:val="auto"/>
              </w:rPr>
            </w:pPr>
          </w:p>
        </w:tc>
        <w:tc>
          <w:tcPr>
            <w:tcW w:w="1280" w:type="dxa"/>
            <w:vAlign w:val="bottom"/>
          </w:tcPr>
          <w:p>
            <w:pPr>
              <w:jc w:val="right"/>
              <w:ind w:right="180"/>
              <w:spacing w:after="0"/>
              <w:rPr>
                <w:sz w:val="20"/>
                <w:szCs w:val="20"/>
                <w:color w:val="auto"/>
              </w:rPr>
            </w:pPr>
            <w:r>
              <w:rPr>
                <w:rFonts w:ascii="Arial" w:cs="Arial" w:eastAsia="Arial" w:hAnsi="Arial"/>
                <w:sz w:val="18"/>
                <w:szCs w:val="18"/>
                <w:b w:val="1"/>
                <w:bCs w:val="1"/>
                <w:color w:val="auto"/>
              </w:rPr>
              <w:t>36.3</w:t>
            </w:r>
          </w:p>
        </w:tc>
        <w:tc>
          <w:tcPr>
            <w:tcW w:w="200" w:type="dxa"/>
            <w:vAlign w:val="bottom"/>
          </w:tcPr>
          <w:p>
            <w:pPr>
              <w:spacing w:after="0"/>
              <w:rPr>
                <w:sz w:val="22"/>
                <w:szCs w:val="22"/>
                <w:color w:val="auto"/>
              </w:rPr>
            </w:pPr>
          </w:p>
        </w:tc>
        <w:tc>
          <w:tcPr>
            <w:tcW w:w="1300" w:type="dxa"/>
            <w:vAlign w:val="bottom"/>
          </w:tcPr>
          <w:p>
            <w:pPr>
              <w:jc w:val="right"/>
              <w:ind w:right="137"/>
              <w:spacing w:after="0"/>
              <w:rPr>
                <w:sz w:val="20"/>
                <w:szCs w:val="20"/>
                <w:color w:val="auto"/>
              </w:rPr>
            </w:pPr>
            <w:r>
              <w:rPr>
                <w:rFonts w:ascii="Arial" w:cs="Arial" w:eastAsia="Arial" w:hAnsi="Arial"/>
                <w:sz w:val="18"/>
                <w:szCs w:val="18"/>
                <w:b w:val="1"/>
                <w:bCs w:val="1"/>
                <w:color w:val="auto"/>
              </w:rPr>
              <w:t>2.8</w:t>
            </w:r>
          </w:p>
        </w:tc>
        <w:tc>
          <w:tcPr>
            <w:tcW w:w="240" w:type="dxa"/>
            <w:vAlign w:val="bottom"/>
          </w:tcPr>
          <w:p>
            <w:pPr>
              <w:spacing w:after="0"/>
              <w:rPr>
                <w:sz w:val="22"/>
                <w:szCs w:val="22"/>
                <w:color w:val="auto"/>
              </w:rPr>
            </w:pPr>
          </w:p>
        </w:tc>
        <w:tc>
          <w:tcPr>
            <w:tcW w:w="1320" w:type="dxa"/>
            <w:vAlign w:val="bottom"/>
          </w:tcPr>
          <w:p>
            <w:pPr>
              <w:jc w:val="right"/>
              <w:ind w:right="134"/>
              <w:spacing w:after="0"/>
              <w:rPr>
                <w:sz w:val="20"/>
                <w:szCs w:val="20"/>
                <w:color w:val="auto"/>
              </w:rPr>
            </w:pPr>
            <w:r>
              <w:rPr>
                <w:rFonts w:ascii="Arial" w:cs="Arial" w:eastAsia="Arial" w:hAnsi="Arial"/>
                <w:sz w:val="18"/>
                <w:szCs w:val="18"/>
                <w:b w:val="1"/>
                <w:bCs w:val="1"/>
                <w:color w:val="auto"/>
              </w:rPr>
              <w:t>386.3</w:t>
            </w:r>
          </w:p>
        </w:tc>
        <w:tc>
          <w:tcPr>
            <w:tcW w:w="0" w:type="dxa"/>
            <w:vAlign w:val="bottom"/>
          </w:tcPr>
          <w:p>
            <w:pPr>
              <w:spacing w:after="0"/>
              <w:rPr>
                <w:sz w:val="1"/>
                <w:szCs w:val="1"/>
                <w:color w:val="auto"/>
              </w:rPr>
            </w:pPr>
          </w:p>
        </w:tc>
      </w:tr>
      <w:tr>
        <w:trPr>
          <w:trHeight w:val="169"/>
        </w:trPr>
        <w:tc>
          <w:tcPr>
            <w:tcW w:w="378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1260" w:type="dxa"/>
            <w:vAlign w:val="bottom"/>
            <w:tcBorders>
              <w:bottom w:val="single" w:sz="8" w:color="auto"/>
            </w:tcBorders>
            <w:shd w:val="clear" w:color="auto" w:fill="CCEEFF"/>
          </w:tcPr>
          <w:p>
            <w:pPr>
              <w:spacing w:after="0"/>
              <w:rPr>
                <w:sz w:val="14"/>
                <w:szCs w:val="14"/>
                <w:color w:val="auto"/>
              </w:rPr>
            </w:pPr>
          </w:p>
        </w:tc>
        <w:tc>
          <w:tcPr>
            <w:tcW w:w="540" w:type="dxa"/>
            <w:vAlign w:val="bottom"/>
            <w:tcBorders>
              <w:bottom w:val="single" w:sz="8" w:color="auto"/>
            </w:tcBorders>
            <w:shd w:val="clear" w:color="auto" w:fill="CCEEFF"/>
          </w:tcPr>
          <w:p>
            <w:pPr>
              <w:spacing w:after="0"/>
              <w:rPr>
                <w:sz w:val="14"/>
                <w:szCs w:val="14"/>
                <w:color w:val="auto"/>
              </w:rPr>
            </w:pPr>
          </w:p>
        </w:tc>
        <w:tc>
          <w:tcPr>
            <w:tcW w:w="1080" w:type="dxa"/>
            <w:vAlign w:val="bottom"/>
            <w:tcBorders>
              <w:bottom w:val="single" w:sz="8" w:color="auto"/>
            </w:tcBorders>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spacing w:after="0"/>
              <w:rPr>
                <w:sz w:val="14"/>
                <w:szCs w:val="14"/>
                <w:color w:val="auto"/>
              </w:rPr>
            </w:pPr>
          </w:p>
        </w:tc>
        <w:tc>
          <w:tcPr>
            <w:tcW w:w="1280" w:type="dxa"/>
            <w:vAlign w:val="bottom"/>
            <w:tcBorders>
              <w:bottom w:val="single" w:sz="8" w:color="auto"/>
            </w:tcBorders>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1300" w:type="dxa"/>
            <w:vAlign w:val="bottom"/>
            <w:tcBorders>
              <w:bottom w:val="single" w:sz="8" w:color="auto"/>
            </w:tcBorders>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1320" w:type="dxa"/>
            <w:vAlign w:val="bottom"/>
            <w:tcBorders>
              <w:bottom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71"/>
        </w:trPr>
        <w:tc>
          <w:tcPr>
            <w:tcW w:w="3780" w:type="dxa"/>
            <w:vAlign w:val="bottom"/>
          </w:tcPr>
          <w:p>
            <w:pPr>
              <w:ind w:left="40"/>
              <w:spacing w:after="0"/>
              <w:rPr>
                <w:sz w:val="20"/>
                <w:szCs w:val="20"/>
                <w:color w:val="auto"/>
              </w:rPr>
            </w:pPr>
            <w:r>
              <w:rPr>
                <w:rFonts w:ascii="Arial" w:cs="Arial" w:eastAsia="Arial" w:hAnsi="Arial"/>
                <w:sz w:val="18"/>
                <w:szCs w:val="18"/>
                <w:color w:val="auto"/>
              </w:rPr>
              <w:t>Balance at March 31, 2018</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260" w:type="dxa"/>
            <w:vAlign w:val="bottom"/>
            <w:tcBorders>
              <w:bottom w:val="single" w:sz="8" w:color="auto"/>
            </w:tcBorders>
          </w:tcPr>
          <w:p>
            <w:pPr>
              <w:jc w:val="right"/>
              <w:ind w:right="60"/>
              <w:spacing w:after="0"/>
              <w:rPr>
                <w:sz w:val="20"/>
                <w:szCs w:val="20"/>
                <w:color w:val="auto"/>
              </w:rPr>
            </w:pPr>
            <w:r>
              <w:rPr>
                <w:rFonts w:ascii="Arial" w:cs="Arial" w:eastAsia="Arial" w:hAnsi="Arial"/>
                <w:sz w:val="18"/>
                <w:szCs w:val="18"/>
                <w:b w:val="1"/>
                <w:bCs w:val="1"/>
                <w:color w:val="auto"/>
              </w:rPr>
              <w:t>(850.6)</w:t>
            </w:r>
          </w:p>
        </w:tc>
        <w:tc>
          <w:tcPr>
            <w:tcW w:w="540" w:type="dxa"/>
            <w:vAlign w:val="bottom"/>
            <w:tcBorders>
              <w:bottom w:val="single" w:sz="8" w:color="auto"/>
            </w:tcBorders>
          </w:tcPr>
          <w:p>
            <w:pPr>
              <w:ind w:left="160"/>
              <w:spacing w:after="0"/>
              <w:rPr>
                <w:sz w:val="20"/>
                <w:szCs w:val="20"/>
                <w:color w:val="auto"/>
              </w:rPr>
            </w:pPr>
            <w:r>
              <w:rPr>
                <w:rFonts w:ascii="Arial" w:cs="Arial" w:eastAsia="Arial" w:hAnsi="Arial"/>
                <w:sz w:val="18"/>
                <w:szCs w:val="18"/>
                <w:b w:val="1"/>
                <w:bCs w:val="1"/>
                <w:color w:val="auto"/>
              </w:rPr>
              <w:t>$</w:t>
            </w:r>
          </w:p>
        </w:tc>
        <w:tc>
          <w:tcPr>
            <w:tcW w:w="10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(51.0)</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280" w:type="dxa"/>
            <w:vAlign w:val="bottom"/>
            <w:tcBorders>
              <w:bottom w:val="single" w:sz="8" w:color="auto"/>
            </w:tcBorders>
          </w:tcPr>
          <w:p>
            <w:pPr>
              <w:jc w:val="right"/>
              <w:ind w:right="120"/>
              <w:spacing w:after="0"/>
              <w:rPr>
                <w:sz w:val="20"/>
                <w:szCs w:val="20"/>
                <w:color w:val="auto"/>
              </w:rPr>
            </w:pPr>
            <w:r>
              <w:rPr>
                <w:rFonts w:ascii="Arial" w:cs="Arial" w:eastAsia="Arial" w:hAnsi="Arial"/>
                <w:sz w:val="18"/>
                <w:szCs w:val="18"/>
                <w:b w:val="1"/>
                <w:bCs w:val="1"/>
                <w:color w:val="auto"/>
              </w:rPr>
              <w:t>(4,304.4)</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300" w:type="dxa"/>
            <w:vAlign w:val="bottom"/>
            <w:tcBorders>
              <w:bottom w:val="single" w:sz="8" w:color="auto"/>
            </w:tcBorders>
          </w:tcPr>
          <w:p>
            <w:pPr>
              <w:jc w:val="right"/>
              <w:ind w:right="77"/>
              <w:spacing w:after="0"/>
              <w:rPr>
                <w:sz w:val="20"/>
                <w:szCs w:val="20"/>
                <w:color w:val="auto"/>
              </w:rPr>
            </w:pPr>
            <w:r>
              <w:rPr>
                <w:rFonts w:ascii="Arial" w:cs="Arial" w:eastAsia="Arial" w:hAnsi="Arial"/>
                <w:sz w:val="18"/>
                <w:szCs w:val="18"/>
                <w:b w:val="1"/>
                <w:bCs w:val="1"/>
                <w:color w:val="auto"/>
              </w:rPr>
              <w:t>(231.5)</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320" w:type="dxa"/>
            <w:vAlign w:val="bottom"/>
            <w:tcBorders>
              <w:bottom w:val="single" w:sz="8" w:color="auto"/>
            </w:tcBorders>
          </w:tcPr>
          <w:p>
            <w:pPr>
              <w:jc w:val="right"/>
              <w:ind w:right="74"/>
              <w:spacing w:after="0"/>
              <w:rPr>
                <w:sz w:val="20"/>
                <w:szCs w:val="20"/>
                <w:color w:val="auto"/>
              </w:rPr>
            </w:pPr>
            <w:r>
              <w:rPr>
                <w:rFonts w:ascii="Arial" w:cs="Arial" w:eastAsia="Arial" w:hAnsi="Arial"/>
                <w:sz w:val="18"/>
                <w:szCs w:val="18"/>
                <w:b w:val="1"/>
                <w:bCs w:val="1"/>
                <w:color w:val="auto"/>
              </w:rPr>
              <w:t>(5,437.5)</w:t>
            </w:r>
          </w:p>
        </w:tc>
        <w:tc>
          <w:tcPr>
            <w:tcW w:w="0" w:type="dxa"/>
            <w:vAlign w:val="bottom"/>
          </w:tcPr>
          <w:p>
            <w:pPr>
              <w:spacing w:after="0"/>
              <w:rPr>
                <w:sz w:val="1"/>
                <w:szCs w:val="1"/>
                <w:color w:val="auto"/>
              </w:rPr>
            </w:pPr>
          </w:p>
        </w:tc>
      </w:tr>
      <w:tr>
        <w:trPr>
          <w:trHeight w:val="383"/>
        </w:trPr>
        <w:tc>
          <w:tcPr>
            <w:tcW w:w="3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80" w:type="dxa"/>
            <w:vAlign w:val="bottom"/>
          </w:tcPr>
          <w:p>
            <w:pPr>
              <w:jc w:val="center"/>
              <w:ind w:right="160"/>
              <w:spacing w:after="0"/>
              <w:rPr>
                <w:sz w:val="20"/>
                <w:szCs w:val="20"/>
                <w:color w:val="auto"/>
              </w:rPr>
            </w:pPr>
            <w:r>
              <w:rPr>
                <w:rFonts w:ascii="Arial" w:cs="Arial" w:eastAsia="Arial" w:hAnsi="Arial"/>
                <w:sz w:val="13"/>
                <w:szCs w:val="13"/>
                <w:b w:val="1"/>
                <w:bCs w:val="1"/>
                <w:color w:val="auto"/>
                <w:w w:val="96"/>
              </w:rPr>
              <w:t>Defined Benefit</w:t>
            </w:r>
          </w:p>
        </w:tc>
        <w:tc>
          <w:tcPr>
            <w:tcW w:w="2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3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60" w:type="dxa"/>
            <w:vAlign w:val="bottom"/>
          </w:tcPr>
          <w:p>
            <w:pPr>
              <w:jc w:val="center"/>
              <w:ind w:right="60"/>
              <w:spacing w:after="0" w:line="135" w:lineRule="exact"/>
              <w:rPr>
                <w:sz w:val="20"/>
                <w:szCs w:val="20"/>
                <w:color w:val="auto"/>
              </w:rPr>
            </w:pPr>
            <w:r>
              <w:rPr>
                <w:rFonts w:ascii="Arial" w:cs="Arial" w:eastAsia="Arial" w:hAnsi="Arial"/>
                <w:sz w:val="13"/>
                <w:szCs w:val="13"/>
                <w:b w:val="1"/>
                <w:bCs w:val="1"/>
                <w:color w:val="auto"/>
                <w:w w:val="95"/>
              </w:rPr>
              <w:t>Foreign Currency</w:t>
            </w:r>
          </w:p>
        </w:tc>
        <w:tc>
          <w:tcPr>
            <w:tcW w:w="5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80" w:type="dxa"/>
            <w:vAlign w:val="bottom"/>
          </w:tcPr>
          <w:p>
            <w:pPr>
              <w:jc w:val="center"/>
              <w:ind w:right="140"/>
              <w:spacing w:after="0" w:line="135" w:lineRule="exact"/>
              <w:rPr>
                <w:sz w:val="20"/>
                <w:szCs w:val="20"/>
                <w:color w:val="auto"/>
              </w:rPr>
            </w:pPr>
            <w:r>
              <w:rPr>
                <w:rFonts w:ascii="Arial" w:cs="Arial" w:eastAsia="Arial" w:hAnsi="Arial"/>
                <w:sz w:val="13"/>
                <w:szCs w:val="13"/>
                <w:b w:val="1"/>
                <w:bCs w:val="1"/>
                <w:color w:val="auto"/>
                <w:w w:val="95"/>
              </w:rPr>
              <w:t>Pension and</w:t>
            </w:r>
          </w:p>
        </w:tc>
        <w:tc>
          <w:tcPr>
            <w:tcW w:w="20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780" w:type="dxa"/>
            <w:vAlign w:val="bottom"/>
            <w:vMerge w:val="restart"/>
          </w:tcPr>
          <w:p>
            <w:pPr>
              <w:spacing w:after="0"/>
              <w:rPr>
                <w:sz w:val="20"/>
                <w:szCs w:val="20"/>
                <w:color w:val="auto"/>
              </w:rPr>
            </w:pPr>
            <w:r>
              <w:rPr>
                <w:rFonts w:ascii="Arial" w:cs="Arial" w:eastAsia="Arial" w:hAnsi="Arial"/>
                <w:sz w:val="14"/>
                <w:szCs w:val="14"/>
                <w:b w:val="1"/>
                <w:bCs w:val="1"/>
                <w:color w:val="auto"/>
              </w:rPr>
              <w:t>(Amounts presented net of taxes)</w:t>
            </w:r>
          </w:p>
        </w:tc>
        <w:tc>
          <w:tcPr>
            <w:tcW w:w="160" w:type="dxa"/>
            <w:vAlign w:val="bottom"/>
          </w:tcPr>
          <w:p>
            <w:pPr>
              <w:spacing w:after="0"/>
              <w:rPr>
                <w:sz w:val="11"/>
                <w:szCs w:val="11"/>
                <w:color w:val="auto"/>
              </w:rPr>
            </w:pPr>
          </w:p>
        </w:tc>
        <w:tc>
          <w:tcPr>
            <w:tcW w:w="1260" w:type="dxa"/>
            <w:vAlign w:val="bottom"/>
          </w:tcPr>
          <w:p>
            <w:pPr>
              <w:jc w:val="center"/>
              <w:ind w:right="60"/>
              <w:spacing w:after="0" w:line="135" w:lineRule="exact"/>
              <w:rPr>
                <w:sz w:val="20"/>
                <w:szCs w:val="20"/>
                <w:color w:val="auto"/>
              </w:rPr>
            </w:pPr>
            <w:r>
              <w:rPr>
                <w:rFonts w:ascii="Arial" w:cs="Arial" w:eastAsia="Arial" w:hAnsi="Arial"/>
                <w:sz w:val="13"/>
                <w:szCs w:val="13"/>
                <w:b w:val="1"/>
                <w:bCs w:val="1"/>
                <w:color w:val="auto"/>
                <w:w w:val="96"/>
              </w:rPr>
              <w:t>Translation</w:t>
            </w:r>
          </w:p>
        </w:tc>
        <w:tc>
          <w:tcPr>
            <w:tcW w:w="1620" w:type="dxa"/>
            <w:vAlign w:val="bottom"/>
            <w:gridSpan w:val="2"/>
          </w:tcPr>
          <w:p>
            <w:pPr>
              <w:jc w:val="right"/>
              <w:ind w:right="50"/>
              <w:spacing w:after="0" w:line="135" w:lineRule="exact"/>
              <w:rPr>
                <w:sz w:val="20"/>
                <w:szCs w:val="20"/>
                <w:color w:val="auto"/>
              </w:rPr>
            </w:pPr>
            <w:r>
              <w:rPr>
                <w:rFonts w:ascii="Arial" w:cs="Arial" w:eastAsia="Arial" w:hAnsi="Arial"/>
                <w:sz w:val="13"/>
                <w:szCs w:val="13"/>
                <w:b w:val="1"/>
                <w:bCs w:val="1"/>
                <w:color w:val="auto"/>
              </w:rPr>
              <w:t>Unrealized Net Gains</w:t>
            </w:r>
          </w:p>
        </w:tc>
        <w:tc>
          <w:tcPr>
            <w:tcW w:w="1540" w:type="dxa"/>
            <w:vAlign w:val="bottom"/>
            <w:gridSpan w:val="2"/>
          </w:tcPr>
          <w:p>
            <w:pPr>
              <w:jc w:val="center"/>
              <w:spacing w:after="0" w:line="135" w:lineRule="exact"/>
              <w:rPr>
                <w:sz w:val="20"/>
                <w:szCs w:val="20"/>
                <w:color w:val="auto"/>
              </w:rPr>
            </w:pPr>
            <w:r>
              <w:rPr>
                <w:rFonts w:ascii="Arial" w:cs="Arial" w:eastAsia="Arial" w:hAnsi="Arial"/>
                <w:sz w:val="13"/>
                <w:szCs w:val="13"/>
                <w:b w:val="1"/>
                <w:bCs w:val="1"/>
                <w:color w:val="auto"/>
                <w:w w:val="96"/>
              </w:rPr>
              <w:t>Retiree Health Benefit</w:t>
            </w:r>
          </w:p>
        </w:tc>
        <w:tc>
          <w:tcPr>
            <w:tcW w:w="200" w:type="dxa"/>
            <w:vAlign w:val="bottom"/>
          </w:tcPr>
          <w:p>
            <w:pPr>
              <w:spacing w:after="0"/>
              <w:rPr>
                <w:sz w:val="11"/>
                <w:szCs w:val="11"/>
                <w:color w:val="auto"/>
              </w:rPr>
            </w:pPr>
          </w:p>
        </w:tc>
        <w:tc>
          <w:tcPr>
            <w:tcW w:w="1300" w:type="dxa"/>
            <w:vAlign w:val="bottom"/>
          </w:tcPr>
          <w:p>
            <w:pPr>
              <w:ind w:left="20"/>
              <w:spacing w:after="0" w:line="135" w:lineRule="exact"/>
              <w:rPr>
                <w:sz w:val="20"/>
                <w:szCs w:val="20"/>
                <w:color w:val="auto"/>
              </w:rPr>
            </w:pPr>
            <w:r>
              <w:rPr>
                <w:rFonts w:ascii="Arial" w:cs="Arial" w:eastAsia="Arial" w:hAnsi="Arial"/>
                <w:sz w:val="13"/>
                <w:szCs w:val="13"/>
                <w:b w:val="1"/>
                <w:bCs w:val="1"/>
                <w:color w:val="auto"/>
              </w:rPr>
              <w:t>Effective Portion of</w:t>
            </w:r>
          </w:p>
        </w:tc>
        <w:tc>
          <w:tcPr>
            <w:tcW w:w="240" w:type="dxa"/>
            <w:vAlign w:val="bottom"/>
          </w:tcPr>
          <w:p>
            <w:pPr>
              <w:spacing w:after="0"/>
              <w:rPr>
                <w:sz w:val="11"/>
                <w:szCs w:val="11"/>
                <w:color w:val="auto"/>
              </w:rPr>
            </w:pPr>
          </w:p>
        </w:tc>
        <w:tc>
          <w:tcPr>
            <w:tcW w:w="1320" w:type="dxa"/>
            <w:vAlign w:val="bottom"/>
          </w:tcPr>
          <w:p>
            <w:pPr>
              <w:jc w:val="center"/>
              <w:ind w:right="34"/>
              <w:spacing w:after="0" w:line="135" w:lineRule="exact"/>
              <w:rPr>
                <w:sz w:val="20"/>
                <w:szCs w:val="20"/>
                <w:color w:val="auto"/>
              </w:rPr>
            </w:pPr>
            <w:r>
              <w:rPr>
                <w:rFonts w:ascii="Arial" w:cs="Arial" w:eastAsia="Arial" w:hAnsi="Arial"/>
                <w:sz w:val="13"/>
                <w:szCs w:val="13"/>
                <w:b w:val="1"/>
                <w:bCs w:val="1"/>
                <w:color w:val="auto"/>
                <w:w w:val="96"/>
              </w:rPr>
              <w:t>Accumulated Other</w:t>
            </w:r>
          </w:p>
        </w:tc>
        <w:tc>
          <w:tcPr>
            <w:tcW w:w="0" w:type="dxa"/>
            <w:vAlign w:val="bottom"/>
          </w:tcPr>
          <w:p>
            <w:pPr>
              <w:spacing w:after="0"/>
              <w:rPr>
                <w:sz w:val="1"/>
                <w:szCs w:val="1"/>
                <w:color w:val="auto"/>
              </w:rPr>
            </w:pPr>
          </w:p>
        </w:tc>
      </w:tr>
      <w:tr>
        <w:trPr>
          <w:trHeight w:val="178"/>
        </w:trPr>
        <w:tc>
          <w:tcPr>
            <w:tcW w:w="3780" w:type="dxa"/>
            <w:vAlign w:val="bottom"/>
            <w:tcBorders>
              <w:bottom w:val="single" w:sz="8" w:color="auto"/>
            </w:tcBorders>
            <w:vMerge w:val="continue"/>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center"/>
              <w:ind w:right="60"/>
              <w:spacing w:after="0"/>
              <w:rPr>
                <w:sz w:val="20"/>
                <w:szCs w:val="20"/>
                <w:color w:val="auto"/>
              </w:rPr>
            </w:pPr>
            <w:r>
              <w:rPr>
                <w:rFonts w:ascii="Arial" w:cs="Arial" w:eastAsia="Arial" w:hAnsi="Arial"/>
                <w:sz w:val="13"/>
                <w:szCs w:val="13"/>
                <w:b w:val="1"/>
                <w:bCs w:val="1"/>
                <w:color w:val="auto"/>
                <w:w w:val="98"/>
              </w:rPr>
              <w:t>Gains (Losses)</w:t>
            </w:r>
          </w:p>
        </w:tc>
        <w:tc>
          <w:tcPr>
            <w:tcW w:w="1620" w:type="dxa"/>
            <w:vAlign w:val="bottom"/>
            <w:tcBorders>
              <w:bottom w:val="single" w:sz="8" w:color="auto"/>
            </w:tcBorders>
            <w:gridSpan w:val="2"/>
          </w:tcPr>
          <w:p>
            <w:pPr>
              <w:ind w:left="180"/>
              <w:spacing w:after="0"/>
              <w:rPr>
                <w:sz w:val="20"/>
                <w:szCs w:val="20"/>
                <w:color w:val="auto"/>
              </w:rPr>
            </w:pPr>
            <w:r>
              <w:rPr>
                <w:rFonts w:ascii="Arial" w:cs="Arial" w:eastAsia="Arial" w:hAnsi="Arial"/>
                <w:sz w:val="13"/>
                <w:szCs w:val="13"/>
                <w:b w:val="1"/>
                <w:bCs w:val="1"/>
                <w:color w:val="auto"/>
              </w:rPr>
              <w:t>(Losses) on Securities</w:t>
            </w:r>
          </w:p>
        </w:tc>
        <w:tc>
          <w:tcPr>
            <w:tcW w:w="26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center"/>
              <w:ind w:right="140"/>
              <w:spacing w:after="0"/>
              <w:rPr>
                <w:sz w:val="20"/>
                <w:szCs w:val="20"/>
                <w:color w:val="auto"/>
              </w:rPr>
            </w:pPr>
            <w:r>
              <w:rPr>
                <w:rFonts w:ascii="Arial" w:cs="Arial" w:eastAsia="Arial" w:hAnsi="Arial"/>
                <w:sz w:val="13"/>
                <w:szCs w:val="13"/>
                <w:b w:val="1"/>
                <w:bCs w:val="1"/>
                <w:color w:val="auto"/>
                <w:w w:val="97"/>
              </w:rPr>
              <w:t>Plans</w:t>
            </w:r>
          </w:p>
        </w:tc>
        <w:tc>
          <w:tcPr>
            <w:tcW w:w="20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ind w:left="40"/>
              <w:spacing w:after="0"/>
              <w:rPr>
                <w:sz w:val="20"/>
                <w:szCs w:val="20"/>
                <w:color w:val="auto"/>
              </w:rPr>
            </w:pPr>
            <w:r>
              <w:rPr>
                <w:rFonts w:ascii="Arial" w:cs="Arial" w:eastAsia="Arial" w:hAnsi="Arial"/>
                <w:sz w:val="13"/>
                <w:szCs w:val="13"/>
                <w:b w:val="1"/>
                <w:bCs w:val="1"/>
                <w:color w:val="auto"/>
              </w:rPr>
              <w:t>Cash Flow Hedges</w:t>
            </w:r>
          </w:p>
        </w:tc>
        <w:tc>
          <w:tcPr>
            <w:tcW w:w="1560" w:type="dxa"/>
            <w:vAlign w:val="bottom"/>
            <w:tcBorders>
              <w:bottom w:val="single" w:sz="8" w:color="auto"/>
            </w:tcBorders>
            <w:gridSpan w:val="2"/>
          </w:tcPr>
          <w:p>
            <w:pPr>
              <w:jc w:val="center"/>
              <w:ind w:left="39"/>
              <w:spacing w:after="0"/>
              <w:rPr>
                <w:sz w:val="20"/>
                <w:szCs w:val="20"/>
                <w:color w:val="auto"/>
              </w:rPr>
            </w:pPr>
            <w:r>
              <w:rPr>
                <w:rFonts w:ascii="Arial" w:cs="Arial" w:eastAsia="Arial" w:hAnsi="Arial"/>
                <w:sz w:val="13"/>
                <w:szCs w:val="13"/>
                <w:b w:val="1"/>
                <w:bCs w:val="1"/>
                <w:color w:val="auto"/>
                <w:w w:val="97"/>
              </w:rPr>
              <w:t>Comprehensive Loss</w:t>
            </w:r>
          </w:p>
        </w:tc>
        <w:tc>
          <w:tcPr>
            <w:tcW w:w="0" w:type="dxa"/>
            <w:vAlign w:val="bottom"/>
          </w:tcPr>
          <w:p>
            <w:pPr>
              <w:spacing w:after="0"/>
              <w:rPr>
                <w:sz w:val="1"/>
                <w:szCs w:val="1"/>
                <w:color w:val="auto"/>
              </w:rPr>
            </w:pPr>
          </w:p>
        </w:tc>
      </w:tr>
      <w:tr>
        <w:trPr>
          <w:trHeight w:val="270"/>
        </w:trPr>
        <w:tc>
          <w:tcPr>
            <w:tcW w:w="3780" w:type="dxa"/>
            <w:vAlign w:val="bottom"/>
            <w:shd w:val="clear" w:color="auto" w:fill="CCEEFF"/>
          </w:tcPr>
          <w:p>
            <w:pPr>
              <w:ind w:left="40"/>
              <w:spacing w:after="0"/>
              <w:rPr>
                <w:sz w:val="20"/>
                <w:szCs w:val="20"/>
                <w:color w:val="auto"/>
              </w:rPr>
            </w:pPr>
            <w:r>
              <w:rPr>
                <w:rFonts w:ascii="Arial" w:cs="Arial" w:eastAsia="Arial" w:hAnsi="Arial"/>
                <w:sz w:val="18"/>
                <w:szCs w:val="18"/>
                <w:color w:val="auto"/>
              </w:rPr>
              <w:t xml:space="preserve">Balance at January 1, 2017 </w:t>
            </w:r>
            <w:r>
              <w:rPr>
                <w:rFonts w:ascii="Arial" w:cs="Arial" w:eastAsia="Arial" w:hAnsi="Arial"/>
                <w:sz w:val="21"/>
                <w:szCs w:val="21"/>
                <w:color w:val="auto"/>
                <w:vertAlign w:val="superscript"/>
              </w:rPr>
              <w:t>(1)</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ind w:right="60"/>
              <w:spacing w:after="0"/>
              <w:rPr>
                <w:sz w:val="20"/>
                <w:szCs w:val="20"/>
                <w:color w:val="auto"/>
              </w:rPr>
            </w:pPr>
            <w:r>
              <w:rPr>
                <w:rFonts w:ascii="Arial" w:cs="Arial" w:eastAsia="Arial" w:hAnsi="Arial"/>
                <w:sz w:val="18"/>
                <w:szCs w:val="18"/>
                <w:color w:val="auto"/>
              </w:rPr>
              <w:t>(1,867.3)</w:t>
            </w:r>
          </w:p>
        </w:tc>
        <w:tc>
          <w:tcPr>
            <w:tcW w:w="5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224.0</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ind w:right="120"/>
              <w:spacing w:after="0"/>
              <w:rPr>
                <w:sz w:val="20"/>
                <w:szCs w:val="20"/>
                <w:color w:val="auto"/>
              </w:rPr>
            </w:pPr>
            <w:r>
              <w:rPr>
                <w:rFonts w:ascii="Arial" w:cs="Arial" w:eastAsia="Arial" w:hAnsi="Arial"/>
                <w:sz w:val="18"/>
                <w:szCs w:val="18"/>
                <w:color w:val="auto"/>
              </w:rPr>
              <w:t>(3,371.6)</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ind w:right="77"/>
              <w:spacing w:after="0"/>
              <w:rPr>
                <w:sz w:val="20"/>
                <w:szCs w:val="20"/>
                <w:color w:val="auto"/>
              </w:rPr>
            </w:pPr>
            <w:r>
              <w:rPr>
                <w:rFonts w:ascii="Arial" w:cs="Arial" w:eastAsia="Arial" w:hAnsi="Arial"/>
                <w:sz w:val="18"/>
                <w:szCs w:val="18"/>
                <w:color w:val="auto"/>
              </w:rPr>
              <w:t>(210.9)</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(5,225.8)</w:t>
            </w:r>
          </w:p>
        </w:tc>
        <w:tc>
          <w:tcPr>
            <w:tcW w:w="0" w:type="dxa"/>
            <w:vAlign w:val="bottom"/>
          </w:tcPr>
          <w:p>
            <w:pPr>
              <w:spacing w:after="0"/>
              <w:rPr>
                <w:sz w:val="1"/>
                <w:szCs w:val="1"/>
                <w:color w:val="auto"/>
              </w:rPr>
            </w:pPr>
          </w:p>
        </w:tc>
      </w:tr>
      <w:tr>
        <w:trPr>
          <w:trHeight w:val="162"/>
        </w:trPr>
        <w:tc>
          <w:tcPr>
            <w:tcW w:w="3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37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comprehensive income (loss) before</w:t>
            </w: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reclassifications</w:t>
            </w:r>
          </w:p>
        </w:tc>
        <w:tc>
          <w:tcPr>
            <w:tcW w:w="160" w:type="dxa"/>
            <w:vAlign w:val="bottom"/>
            <w:shd w:val="clear" w:color="auto" w:fill="CCEEFF"/>
          </w:tcPr>
          <w:p>
            <w:pPr>
              <w:spacing w:after="0"/>
              <w:rPr>
                <w:sz w:val="20"/>
                <w:szCs w:val="20"/>
                <w:color w:val="auto"/>
              </w:rPr>
            </w:pPr>
          </w:p>
        </w:tc>
        <w:tc>
          <w:tcPr>
            <w:tcW w:w="1260" w:type="dxa"/>
            <w:vAlign w:val="bottom"/>
            <w:shd w:val="clear" w:color="auto" w:fill="CCEEFF"/>
          </w:tcPr>
          <w:p>
            <w:pPr>
              <w:jc w:val="right"/>
              <w:ind w:right="120"/>
              <w:spacing w:after="0"/>
              <w:rPr>
                <w:sz w:val="20"/>
                <w:szCs w:val="20"/>
                <w:color w:val="auto"/>
              </w:rPr>
            </w:pPr>
            <w:r>
              <w:rPr>
                <w:rFonts w:ascii="Arial" w:cs="Arial" w:eastAsia="Arial" w:hAnsi="Arial"/>
                <w:sz w:val="18"/>
                <w:szCs w:val="18"/>
                <w:color w:val="auto"/>
              </w:rPr>
              <w:t>218.6</w:t>
            </w:r>
          </w:p>
        </w:tc>
        <w:tc>
          <w:tcPr>
            <w:tcW w:w="540" w:type="dxa"/>
            <w:vAlign w:val="bottom"/>
            <w:shd w:val="clear" w:color="auto" w:fill="CCEEFF"/>
          </w:tcPr>
          <w:p>
            <w:pPr>
              <w:spacing w:after="0"/>
              <w:rPr>
                <w:sz w:val="20"/>
                <w:szCs w:val="20"/>
                <w:color w:val="auto"/>
              </w:rPr>
            </w:pPr>
          </w:p>
        </w:tc>
        <w:tc>
          <w:tcPr>
            <w:tcW w:w="10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(11.8)</w:t>
            </w:r>
          </w:p>
        </w:tc>
        <w:tc>
          <w:tcPr>
            <w:tcW w:w="260" w:type="dxa"/>
            <w:vAlign w:val="bottom"/>
            <w:shd w:val="clear" w:color="auto" w:fill="CCEEFF"/>
          </w:tcPr>
          <w:p>
            <w:pPr>
              <w:spacing w:after="0"/>
              <w:rPr>
                <w:sz w:val="20"/>
                <w:szCs w:val="20"/>
                <w:color w:val="auto"/>
              </w:rPr>
            </w:pPr>
          </w:p>
        </w:tc>
        <w:tc>
          <w:tcPr>
            <w:tcW w:w="1280" w:type="dxa"/>
            <w:vAlign w:val="bottom"/>
            <w:shd w:val="clear" w:color="auto" w:fill="CCEEFF"/>
          </w:tcPr>
          <w:p>
            <w:pPr>
              <w:jc w:val="right"/>
              <w:ind w:right="120"/>
              <w:spacing w:after="0"/>
              <w:rPr>
                <w:sz w:val="20"/>
                <w:szCs w:val="20"/>
                <w:color w:val="auto"/>
              </w:rPr>
            </w:pPr>
            <w:r>
              <w:rPr>
                <w:rFonts w:ascii="Arial" w:cs="Arial" w:eastAsia="Arial" w:hAnsi="Arial"/>
                <w:sz w:val="18"/>
                <w:szCs w:val="18"/>
                <w:color w:val="auto"/>
              </w:rPr>
              <w:t>(16.9)</w:t>
            </w:r>
          </w:p>
        </w:tc>
        <w:tc>
          <w:tcPr>
            <w:tcW w:w="200" w:type="dxa"/>
            <w:vAlign w:val="bottom"/>
            <w:shd w:val="clear" w:color="auto" w:fill="CCEEFF"/>
          </w:tcPr>
          <w:p>
            <w:pPr>
              <w:spacing w:after="0"/>
              <w:rPr>
                <w:sz w:val="20"/>
                <w:szCs w:val="20"/>
                <w:color w:val="auto"/>
              </w:rPr>
            </w:pPr>
          </w:p>
        </w:tc>
        <w:tc>
          <w:tcPr>
            <w:tcW w:w="1300" w:type="dxa"/>
            <w:vAlign w:val="bottom"/>
            <w:shd w:val="clear" w:color="auto" w:fill="CCEEFF"/>
          </w:tcPr>
          <w:p>
            <w:pPr>
              <w:jc w:val="right"/>
              <w:ind w:right="137"/>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0"/>
                <w:szCs w:val="20"/>
                <w:color w:val="auto"/>
              </w:rPr>
            </w:pPr>
          </w:p>
        </w:tc>
        <w:tc>
          <w:tcPr>
            <w:tcW w:w="132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189.9</w:t>
            </w:r>
          </w:p>
        </w:tc>
        <w:tc>
          <w:tcPr>
            <w:tcW w:w="0" w:type="dxa"/>
            <w:vAlign w:val="bottom"/>
          </w:tcPr>
          <w:p>
            <w:pPr>
              <w:spacing w:after="0"/>
              <w:rPr>
                <w:sz w:val="1"/>
                <w:szCs w:val="1"/>
                <w:color w:val="auto"/>
              </w:rPr>
            </w:pPr>
          </w:p>
        </w:tc>
      </w:tr>
      <w:tr>
        <w:trPr>
          <w:trHeight w:val="229"/>
        </w:trPr>
        <w:tc>
          <w:tcPr>
            <w:tcW w:w="3780" w:type="dxa"/>
            <w:vAlign w:val="bottom"/>
          </w:tcPr>
          <w:p>
            <w:pPr>
              <w:ind w:left="180"/>
              <w:spacing w:after="0"/>
              <w:rPr>
                <w:sz w:val="20"/>
                <w:szCs w:val="20"/>
                <w:color w:val="auto"/>
              </w:rPr>
            </w:pPr>
            <w:r>
              <w:rPr>
                <w:rFonts w:ascii="Arial" w:cs="Arial" w:eastAsia="Arial" w:hAnsi="Arial"/>
                <w:sz w:val="18"/>
                <w:szCs w:val="18"/>
                <w:color w:val="auto"/>
              </w:rPr>
              <w:t>Net amount reclassified from accumulated</w:t>
            </w:r>
          </w:p>
        </w:tc>
        <w:tc>
          <w:tcPr>
            <w:tcW w:w="1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378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other comprehensive loss</w:t>
            </w:r>
          </w:p>
        </w:tc>
        <w:tc>
          <w:tcPr>
            <w:tcW w:w="1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120"/>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(32.8)</w:t>
            </w:r>
          </w:p>
        </w:tc>
        <w:tc>
          <w:tcPr>
            <w:tcW w:w="2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180"/>
              <w:spacing w:after="0"/>
              <w:rPr>
                <w:sz w:val="20"/>
                <w:szCs w:val="20"/>
                <w:color w:val="auto"/>
              </w:rPr>
            </w:pPr>
            <w:r>
              <w:rPr>
                <w:rFonts w:ascii="Arial" w:cs="Arial" w:eastAsia="Arial" w:hAnsi="Arial"/>
                <w:sz w:val="18"/>
                <w:szCs w:val="18"/>
                <w:color w:val="auto"/>
              </w:rPr>
              <w:t>39.1</w:t>
            </w:r>
          </w:p>
        </w:tc>
        <w:tc>
          <w:tcPr>
            <w:tcW w:w="2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137"/>
              <w:spacing w:after="0"/>
              <w:rPr>
                <w:sz w:val="20"/>
                <w:szCs w:val="20"/>
                <w:color w:val="auto"/>
              </w:rPr>
            </w:pPr>
            <w:r>
              <w:rPr>
                <w:rFonts w:ascii="Arial" w:cs="Arial" w:eastAsia="Arial" w:hAnsi="Arial"/>
                <w:sz w:val="18"/>
                <w:szCs w:val="18"/>
                <w:color w:val="auto"/>
              </w:rPr>
              <w:t>2.5</w:t>
            </w:r>
          </w:p>
        </w:tc>
        <w:tc>
          <w:tcPr>
            <w:tcW w:w="2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134"/>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70"/>
        </w:trPr>
        <w:tc>
          <w:tcPr>
            <w:tcW w:w="37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other comprehensive income (loss)</w:t>
            </w:r>
          </w:p>
        </w:tc>
        <w:tc>
          <w:tcPr>
            <w:tcW w:w="160" w:type="dxa"/>
            <w:vAlign w:val="bottom"/>
            <w:shd w:val="clear" w:color="auto" w:fill="CCEEFF"/>
          </w:tcPr>
          <w:p>
            <w:pPr>
              <w:spacing w:after="0"/>
              <w:rPr>
                <w:sz w:val="23"/>
                <w:szCs w:val="23"/>
                <w:color w:val="auto"/>
              </w:rPr>
            </w:pPr>
          </w:p>
        </w:tc>
        <w:tc>
          <w:tcPr>
            <w:tcW w:w="1260" w:type="dxa"/>
            <w:vAlign w:val="bottom"/>
            <w:shd w:val="clear" w:color="auto" w:fill="CCEEFF"/>
          </w:tcPr>
          <w:p>
            <w:pPr>
              <w:jc w:val="right"/>
              <w:ind w:right="120"/>
              <w:spacing w:after="0"/>
              <w:rPr>
                <w:sz w:val="20"/>
                <w:szCs w:val="20"/>
                <w:color w:val="auto"/>
              </w:rPr>
            </w:pPr>
            <w:r>
              <w:rPr>
                <w:rFonts w:ascii="Arial" w:cs="Arial" w:eastAsia="Arial" w:hAnsi="Arial"/>
                <w:sz w:val="18"/>
                <w:szCs w:val="18"/>
                <w:color w:val="auto"/>
              </w:rPr>
              <w:t>218.6</w:t>
            </w:r>
          </w:p>
        </w:tc>
        <w:tc>
          <w:tcPr>
            <w:tcW w:w="54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(44.6)</w:t>
            </w:r>
          </w:p>
        </w:tc>
        <w:tc>
          <w:tcPr>
            <w:tcW w:w="260" w:type="dxa"/>
            <w:vAlign w:val="bottom"/>
            <w:shd w:val="clear" w:color="auto" w:fill="CCEEFF"/>
          </w:tcPr>
          <w:p>
            <w:pPr>
              <w:spacing w:after="0"/>
              <w:rPr>
                <w:sz w:val="23"/>
                <w:szCs w:val="23"/>
                <w:color w:val="auto"/>
              </w:rPr>
            </w:pPr>
          </w:p>
        </w:tc>
        <w:tc>
          <w:tcPr>
            <w:tcW w:w="1280" w:type="dxa"/>
            <w:vAlign w:val="bottom"/>
            <w:shd w:val="clear" w:color="auto" w:fill="CCEEFF"/>
          </w:tcPr>
          <w:p>
            <w:pPr>
              <w:jc w:val="right"/>
              <w:ind w:right="180"/>
              <w:spacing w:after="0"/>
              <w:rPr>
                <w:sz w:val="20"/>
                <w:szCs w:val="20"/>
                <w:color w:val="auto"/>
              </w:rPr>
            </w:pPr>
            <w:r>
              <w:rPr>
                <w:rFonts w:ascii="Arial" w:cs="Arial" w:eastAsia="Arial" w:hAnsi="Arial"/>
                <w:sz w:val="18"/>
                <w:szCs w:val="18"/>
                <w:color w:val="auto"/>
              </w:rPr>
              <w:t>22.2</w:t>
            </w:r>
          </w:p>
        </w:tc>
        <w:tc>
          <w:tcPr>
            <w:tcW w:w="200" w:type="dxa"/>
            <w:vAlign w:val="bottom"/>
            <w:shd w:val="clear" w:color="auto" w:fill="CCEEFF"/>
          </w:tcPr>
          <w:p>
            <w:pPr>
              <w:spacing w:after="0"/>
              <w:rPr>
                <w:sz w:val="23"/>
                <w:szCs w:val="23"/>
                <w:color w:val="auto"/>
              </w:rPr>
            </w:pPr>
          </w:p>
        </w:tc>
        <w:tc>
          <w:tcPr>
            <w:tcW w:w="1300" w:type="dxa"/>
            <w:vAlign w:val="bottom"/>
            <w:shd w:val="clear" w:color="auto" w:fill="CCEEFF"/>
          </w:tcPr>
          <w:p>
            <w:pPr>
              <w:jc w:val="right"/>
              <w:ind w:right="137"/>
              <w:spacing w:after="0"/>
              <w:rPr>
                <w:sz w:val="20"/>
                <w:szCs w:val="20"/>
                <w:color w:val="auto"/>
              </w:rPr>
            </w:pPr>
            <w:r>
              <w:rPr>
                <w:rFonts w:ascii="Arial" w:cs="Arial" w:eastAsia="Arial" w:hAnsi="Arial"/>
                <w:sz w:val="18"/>
                <w:szCs w:val="18"/>
                <w:color w:val="auto"/>
              </w:rPr>
              <w:t>2.5</w:t>
            </w:r>
          </w:p>
        </w:tc>
        <w:tc>
          <w:tcPr>
            <w:tcW w:w="240" w:type="dxa"/>
            <w:vAlign w:val="bottom"/>
            <w:shd w:val="clear" w:color="auto" w:fill="CCEEFF"/>
          </w:tcPr>
          <w:p>
            <w:pPr>
              <w:spacing w:after="0"/>
              <w:rPr>
                <w:sz w:val="23"/>
                <w:szCs w:val="23"/>
                <w:color w:val="auto"/>
              </w:rPr>
            </w:pPr>
          </w:p>
        </w:tc>
        <w:tc>
          <w:tcPr>
            <w:tcW w:w="132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198.7</w:t>
            </w:r>
          </w:p>
        </w:tc>
        <w:tc>
          <w:tcPr>
            <w:tcW w:w="0" w:type="dxa"/>
            <w:vAlign w:val="bottom"/>
          </w:tcPr>
          <w:p>
            <w:pPr>
              <w:spacing w:after="0"/>
              <w:rPr>
                <w:sz w:val="1"/>
                <w:szCs w:val="1"/>
                <w:color w:val="auto"/>
              </w:rPr>
            </w:pPr>
          </w:p>
        </w:tc>
      </w:tr>
      <w:tr>
        <w:trPr>
          <w:trHeight w:val="162"/>
        </w:trPr>
        <w:tc>
          <w:tcPr>
            <w:tcW w:w="378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71"/>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 xml:space="preserve">Balance at March 31, 2017 </w:t>
            </w:r>
            <w:r>
              <w:rPr>
                <w:rFonts w:ascii="Arial" w:cs="Arial" w:eastAsia="Arial" w:hAnsi="Arial"/>
                <w:sz w:val="21"/>
                <w:szCs w:val="21"/>
                <w:color w:val="auto"/>
                <w:vertAlign w:val="superscript"/>
              </w:rPr>
              <w:t>(2)</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8"/>
                <w:szCs w:val="18"/>
                <w:color w:val="auto"/>
              </w:rPr>
              <w:t>(1,648.7)</w:t>
            </w:r>
          </w:p>
        </w:tc>
        <w:tc>
          <w:tcPr>
            <w:tcW w:w="540" w:type="dxa"/>
            <w:vAlign w:val="bottom"/>
            <w:tcBorders>
              <w:bottom w:val="single" w:sz="8" w:color="auto"/>
            </w:tcBorders>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179.4</w:t>
            </w: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auto"/>
            </w:tcBorders>
            <w:shd w:val="clear" w:color="auto" w:fill="CCEEFF"/>
          </w:tcPr>
          <w:p>
            <w:pPr>
              <w:jc w:val="right"/>
              <w:ind w:right="120"/>
              <w:spacing w:after="0"/>
              <w:rPr>
                <w:sz w:val="20"/>
                <w:szCs w:val="20"/>
                <w:color w:val="auto"/>
              </w:rPr>
            </w:pPr>
            <w:r>
              <w:rPr>
                <w:rFonts w:ascii="Arial" w:cs="Arial" w:eastAsia="Arial" w:hAnsi="Arial"/>
                <w:sz w:val="18"/>
                <w:szCs w:val="18"/>
                <w:color w:val="auto"/>
              </w:rPr>
              <w:t>(3,349.4)</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shd w:val="clear" w:color="auto" w:fill="CCEEFF"/>
          </w:tcPr>
          <w:p>
            <w:pPr>
              <w:jc w:val="right"/>
              <w:ind w:right="77"/>
              <w:spacing w:after="0"/>
              <w:rPr>
                <w:sz w:val="20"/>
                <w:szCs w:val="20"/>
                <w:color w:val="auto"/>
              </w:rPr>
            </w:pPr>
            <w:r>
              <w:rPr>
                <w:rFonts w:ascii="Arial" w:cs="Arial" w:eastAsia="Arial" w:hAnsi="Arial"/>
                <w:sz w:val="18"/>
                <w:szCs w:val="18"/>
                <w:color w:val="auto"/>
              </w:rPr>
              <w:t>(208.4)</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8"/>
                <w:szCs w:val="18"/>
                <w:color w:val="auto"/>
              </w:rPr>
              <w:t>(5,027.1)</w:t>
            </w:r>
          </w:p>
        </w:tc>
        <w:tc>
          <w:tcPr>
            <w:tcW w:w="0" w:type="dxa"/>
            <w:vAlign w:val="bottom"/>
          </w:tcPr>
          <w:p>
            <w:pPr>
              <w:spacing w:after="0"/>
              <w:rPr>
                <w:sz w:val="1"/>
                <w:szCs w:val="1"/>
                <w:color w:val="auto"/>
              </w:rPr>
            </w:pPr>
          </w:p>
        </w:tc>
      </w:tr>
    </w:tbl>
    <w:p>
      <w:pPr>
        <w:spacing w:after="0" w:line="140" w:lineRule="exact"/>
        <w:rPr>
          <w:sz w:val="20"/>
          <w:szCs w:val="20"/>
          <w:color w:val="auto"/>
        </w:rPr>
      </w:pPr>
    </w:p>
    <w:p>
      <w:pPr>
        <w:ind w:left="180" w:hanging="172"/>
        <w:spacing w:after="0" w:line="231" w:lineRule="auto"/>
        <w:tabs>
          <w:tab w:leader="none" w:pos="180" w:val="left"/>
        </w:tabs>
        <w:numPr>
          <w:ilvl w:val="0"/>
          <w:numId w:val="13"/>
        </w:numPr>
        <w:rPr>
          <w:rFonts w:ascii="Arial" w:cs="Arial" w:eastAsia="Arial" w:hAnsi="Arial"/>
          <w:sz w:val="21"/>
          <w:szCs w:val="21"/>
          <w:color w:val="auto"/>
          <w:vertAlign w:val="superscript"/>
        </w:rPr>
      </w:pPr>
      <w:r>
        <w:rPr>
          <w:rFonts w:ascii="Arial" w:cs="Arial" w:eastAsia="Arial" w:hAnsi="Arial"/>
          <w:sz w:val="14"/>
          <w:szCs w:val="14"/>
          <w:color w:val="auto"/>
        </w:rPr>
        <w:t>Accumulated other comprehensive loss as of January 1, 2017 consists of $5,274.0 million of accumulated other comprehensive loss attributable to controlling interest and $48.2 million of accumulated other comprehensive income attributable to non-controlling interest.</w:t>
      </w:r>
    </w:p>
    <w:p>
      <w:pPr>
        <w:spacing w:after="0" w:line="152" w:lineRule="exact"/>
        <w:rPr>
          <w:rFonts w:ascii="Arial" w:cs="Arial" w:eastAsia="Arial" w:hAnsi="Arial"/>
          <w:sz w:val="21"/>
          <w:szCs w:val="21"/>
          <w:color w:val="auto"/>
          <w:vertAlign w:val="superscript"/>
        </w:rPr>
      </w:pPr>
    </w:p>
    <w:p>
      <w:pPr>
        <w:ind w:left="180" w:hanging="172"/>
        <w:spacing w:after="0" w:line="272" w:lineRule="auto"/>
        <w:tabs>
          <w:tab w:leader="none" w:pos="175" w:val="left"/>
        </w:tabs>
        <w:numPr>
          <w:ilvl w:val="0"/>
          <w:numId w:val="13"/>
        </w:numPr>
        <w:rPr>
          <w:rFonts w:ascii="Arial" w:cs="Arial" w:eastAsia="Arial" w:hAnsi="Arial"/>
          <w:sz w:val="19"/>
          <w:szCs w:val="19"/>
          <w:color w:val="auto"/>
          <w:vertAlign w:val="superscript"/>
        </w:rPr>
      </w:pPr>
      <w:r>
        <w:rPr>
          <w:rFonts w:ascii="Arial" w:cs="Arial" w:eastAsia="Arial" w:hAnsi="Arial"/>
          <w:sz w:val="13"/>
          <w:szCs w:val="13"/>
          <w:color w:val="auto"/>
        </w:rPr>
        <w:t>Accumulated other comprehensive loss as of March 31, 2017 consists of $5,064.3 million of accumulated other comprehensive loss attributable to controlling interest and $37.2 million of accumulated other comprehensive income attributable to non-controlling interest.</w:t>
      </w:r>
    </w:p>
    <w:p>
      <w:pPr>
        <w:spacing w:after="0" w:line="123" w:lineRule="exact"/>
        <w:rPr>
          <w:rFonts w:ascii="Arial" w:cs="Arial" w:eastAsia="Arial" w:hAnsi="Arial"/>
          <w:sz w:val="19"/>
          <w:szCs w:val="19"/>
          <w:color w:val="auto"/>
          <w:vertAlign w:val="superscript"/>
        </w:rPr>
      </w:pPr>
    </w:p>
    <w:p>
      <w:pPr>
        <w:ind w:left="180" w:hanging="172"/>
        <w:spacing w:after="0" w:line="272" w:lineRule="auto"/>
        <w:tabs>
          <w:tab w:leader="none" w:pos="175" w:val="left"/>
        </w:tabs>
        <w:numPr>
          <w:ilvl w:val="0"/>
          <w:numId w:val="13"/>
        </w:numPr>
        <w:rPr>
          <w:rFonts w:ascii="Arial" w:cs="Arial" w:eastAsia="Arial" w:hAnsi="Arial"/>
          <w:sz w:val="19"/>
          <w:szCs w:val="19"/>
          <w:color w:val="auto"/>
          <w:vertAlign w:val="superscript"/>
        </w:rPr>
      </w:pPr>
      <w:r>
        <w:rPr>
          <w:rFonts w:ascii="Arial" w:cs="Arial" w:eastAsia="Arial" w:hAnsi="Arial"/>
          <w:sz w:val="13"/>
          <w:szCs w:val="13"/>
          <w:color w:val="auto"/>
        </w:rPr>
        <w:t>Accumulated other comprehensive loss as of January 1, 2018 consists of $5,718.6 million of accumulated other comprehensive loss attributable to controlling interest and $23.7 million of accumulated other comprehensive income attributable to non-controlling interest.</w:t>
      </w:r>
    </w:p>
    <w:p>
      <w:pPr>
        <w:spacing w:after="0" w:line="123" w:lineRule="exact"/>
        <w:rPr>
          <w:rFonts w:ascii="Arial" w:cs="Arial" w:eastAsia="Arial" w:hAnsi="Arial"/>
          <w:sz w:val="19"/>
          <w:szCs w:val="19"/>
          <w:color w:val="auto"/>
          <w:vertAlign w:val="superscript"/>
        </w:rPr>
      </w:pPr>
    </w:p>
    <w:p>
      <w:pPr>
        <w:ind w:left="180" w:hanging="172"/>
        <w:spacing w:after="0" w:line="272" w:lineRule="auto"/>
        <w:tabs>
          <w:tab w:leader="none" w:pos="175" w:val="left"/>
        </w:tabs>
        <w:numPr>
          <w:ilvl w:val="0"/>
          <w:numId w:val="13"/>
        </w:numPr>
        <w:rPr>
          <w:rFonts w:ascii="Arial" w:cs="Arial" w:eastAsia="Arial" w:hAnsi="Arial"/>
          <w:sz w:val="19"/>
          <w:szCs w:val="19"/>
          <w:color w:val="auto"/>
          <w:vertAlign w:val="superscript"/>
        </w:rPr>
      </w:pPr>
      <w:r>
        <w:rPr>
          <w:rFonts w:ascii="Arial" w:cs="Arial" w:eastAsia="Arial" w:hAnsi="Arial"/>
          <w:sz w:val="13"/>
          <w:szCs w:val="13"/>
          <w:color w:val="auto"/>
        </w:rPr>
        <w:t>This reclassification consists $104.8 million of accumulated other comprehensive loss attributable to controlling interest and $24.1 million of accumulated other comprehensive loss attributable to non-controlling interest. Refer to Footnote 2 for further details regarding the reclassification due to the adoption of a new accounting standard.</w:t>
      </w: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576" w:right="239" w:bottom="1440" w:gutter="0" w:footer="0" w:header="0"/>
        </w:sectPr>
      </w:pPr>
    </w:p>
    <w:bookmarkStart w:id="30" w:name="page31"/>
    <w:bookmarkEnd w:id="30"/>
    <w:p>
      <w:pPr>
        <w:spacing w:after="0"/>
        <w:rPr>
          <w:sz w:val="20"/>
          <w:szCs w:val="20"/>
          <w:color w:val="auto"/>
        </w:rPr>
      </w:pPr>
      <w:r>
        <w:rPr>
          <w:rFonts w:ascii="Arial" w:cs="Arial" w:eastAsia="Arial" w:hAnsi="Arial"/>
          <w:sz w:val="18"/>
          <w:szCs w:val="18"/>
          <w:color w:val="auto"/>
        </w:rPr>
        <w:t>The tax effects on the net activity related to each component of other comprehensive income (loss) were as follows: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9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20" w:type="dxa"/>
            <w:vAlign w:val="bottom"/>
            <w:gridSpan w:val="3"/>
          </w:tcPr>
          <w:p>
            <w:pPr>
              <w:jc w:val="right"/>
              <w:ind w:right="453"/>
              <w:spacing w:after="0"/>
              <w:rPr>
                <w:sz w:val="20"/>
                <w:szCs w:val="20"/>
                <w:color w:val="auto"/>
              </w:rPr>
            </w:pPr>
            <w:r>
              <w:rPr>
                <w:rFonts w:ascii="Arial" w:cs="Arial" w:eastAsia="Arial" w:hAnsi="Arial"/>
                <w:sz w:val="14"/>
                <w:szCs w:val="14"/>
                <w:b w:val="1"/>
                <w:bCs w:val="1"/>
                <w:color w:val="auto"/>
              </w:rPr>
              <w:t>Three Months Ended</w:t>
            </w:r>
          </w:p>
        </w:tc>
      </w:tr>
      <w:tr>
        <w:trPr>
          <w:trHeight w:val="196"/>
        </w:trPr>
        <w:tc>
          <w:tcPr>
            <w:tcW w:w="894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March 31,</w:t>
            </w:r>
          </w:p>
        </w:tc>
        <w:tc>
          <w:tcPr>
            <w:tcW w:w="820" w:type="dxa"/>
            <w:vAlign w:val="bottom"/>
            <w:tcBorders>
              <w:bottom w:val="single" w:sz="8" w:color="auto"/>
            </w:tcBorders>
          </w:tcPr>
          <w:p>
            <w:pPr>
              <w:spacing w:after="0"/>
              <w:rPr>
                <w:sz w:val="17"/>
                <w:szCs w:val="17"/>
                <w:color w:val="auto"/>
              </w:rPr>
            </w:pPr>
          </w:p>
        </w:tc>
      </w:tr>
      <w:tr>
        <w:trPr>
          <w:trHeight w:val="264"/>
        </w:trPr>
        <w:tc>
          <w:tcPr>
            <w:tcW w:w="89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Tax benefit (expense)</w:t>
            </w:r>
          </w:p>
        </w:tc>
        <w:tc>
          <w:tcPr>
            <w:tcW w:w="2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57"/>
              <w:spacing w:after="0"/>
              <w:rPr>
                <w:sz w:val="20"/>
                <w:szCs w:val="20"/>
                <w:color w:val="auto"/>
              </w:rPr>
            </w:pPr>
            <w:r>
              <w:rPr>
                <w:rFonts w:ascii="Arial" w:cs="Arial" w:eastAsia="Arial" w:hAnsi="Arial"/>
                <w:sz w:val="14"/>
                <w:szCs w:val="14"/>
                <w:b w:val="1"/>
                <w:bCs w:val="1"/>
                <w:color w:val="auto"/>
              </w:rPr>
              <w:t>2018</w:t>
            </w:r>
          </w:p>
        </w:tc>
        <w:tc>
          <w:tcPr>
            <w:tcW w:w="50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2017</w:t>
            </w:r>
          </w:p>
        </w:tc>
      </w:tr>
      <w:tr>
        <w:trPr>
          <w:trHeight w:val="270"/>
        </w:trPr>
        <w:tc>
          <w:tcPr>
            <w:tcW w:w="8940" w:type="dxa"/>
            <w:vAlign w:val="bottom"/>
            <w:shd w:val="clear" w:color="auto" w:fill="CCEEFF"/>
          </w:tcPr>
          <w:p>
            <w:pPr>
              <w:ind w:left="40"/>
              <w:spacing w:after="0"/>
              <w:rPr>
                <w:sz w:val="20"/>
                <w:szCs w:val="20"/>
                <w:color w:val="auto"/>
              </w:rPr>
            </w:pPr>
            <w:r>
              <w:rPr>
                <w:rFonts w:ascii="Arial" w:cs="Arial" w:eastAsia="Arial" w:hAnsi="Arial"/>
                <w:sz w:val="18"/>
                <w:szCs w:val="18"/>
                <w:color w:val="auto"/>
              </w:rPr>
              <w:t>Foreign currency translation gains/losses</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900" w:type="dxa"/>
            <w:vAlign w:val="bottom"/>
            <w:shd w:val="clear" w:color="auto" w:fill="CCEEFF"/>
          </w:tcPr>
          <w:p>
            <w:pPr>
              <w:jc w:val="right"/>
              <w:ind w:right="157"/>
              <w:spacing w:after="0"/>
              <w:rPr>
                <w:sz w:val="20"/>
                <w:szCs w:val="20"/>
                <w:color w:val="auto"/>
              </w:rPr>
            </w:pPr>
            <w:r>
              <w:rPr>
                <w:rFonts w:ascii="Arial" w:cs="Arial" w:eastAsia="Arial" w:hAnsi="Arial"/>
                <w:sz w:val="18"/>
                <w:szCs w:val="18"/>
                <w:b w:val="1"/>
                <w:bCs w:val="1"/>
                <w:color w:val="auto"/>
              </w:rPr>
              <w:t>40.1</w:t>
            </w:r>
          </w:p>
        </w:tc>
        <w:tc>
          <w:tcPr>
            <w:tcW w:w="5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29.7</w:t>
            </w:r>
          </w:p>
        </w:tc>
      </w:tr>
      <w:tr>
        <w:trPr>
          <w:trHeight w:val="263"/>
        </w:trPr>
        <w:tc>
          <w:tcPr>
            <w:tcW w:w="8940" w:type="dxa"/>
            <w:vAlign w:val="bottom"/>
          </w:tcPr>
          <w:p>
            <w:pPr>
              <w:ind w:left="40"/>
              <w:spacing w:after="0"/>
              <w:rPr>
                <w:sz w:val="20"/>
                <w:szCs w:val="20"/>
                <w:color w:val="auto"/>
              </w:rPr>
            </w:pPr>
            <w:r>
              <w:rPr>
                <w:rFonts w:ascii="Arial" w:cs="Arial" w:eastAsia="Arial" w:hAnsi="Arial"/>
                <w:sz w:val="18"/>
                <w:szCs w:val="18"/>
                <w:color w:val="auto"/>
              </w:rPr>
              <w:t>Unrealized net gains/losses on securities</w:t>
            </w:r>
          </w:p>
        </w:tc>
        <w:tc>
          <w:tcPr>
            <w:tcW w:w="260" w:type="dxa"/>
            <w:vAlign w:val="bottom"/>
          </w:tcPr>
          <w:p>
            <w:pPr>
              <w:spacing w:after="0"/>
              <w:rPr>
                <w:sz w:val="22"/>
                <w:szCs w:val="22"/>
                <w:color w:val="auto"/>
              </w:rPr>
            </w:pPr>
          </w:p>
        </w:tc>
        <w:tc>
          <w:tcPr>
            <w:tcW w:w="900" w:type="dxa"/>
            <w:vAlign w:val="bottom"/>
          </w:tcPr>
          <w:p>
            <w:pPr>
              <w:jc w:val="right"/>
              <w:ind w:right="157"/>
              <w:spacing w:after="0"/>
              <w:rPr>
                <w:sz w:val="20"/>
                <w:szCs w:val="20"/>
                <w:color w:val="auto"/>
              </w:rPr>
            </w:pPr>
            <w:r>
              <w:rPr>
                <w:rFonts w:ascii="Arial" w:cs="Arial" w:eastAsia="Arial" w:hAnsi="Arial"/>
                <w:sz w:val="18"/>
                <w:szCs w:val="18"/>
                <w:b w:val="1"/>
                <w:bCs w:val="1"/>
                <w:color w:val="auto"/>
              </w:rPr>
              <w:t>10.2</w:t>
            </w:r>
          </w:p>
        </w:tc>
        <w:tc>
          <w:tcPr>
            <w:tcW w:w="500" w:type="dxa"/>
            <w:vAlign w:val="bottom"/>
          </w:tcPr>
          <w:p>
            <w:pPr>
              <w:spacing w:after="0"/>
              <w:rPr>
                <w:sz w:val="22"/>
                <w:szCs w:val="22"/>
                <w:color w:val="auto"/>
              </w:rPr>
            </w:pPr>
          </w:p>
        </w:tc>
        <w:tc>
          <w:tcPr>
            <w:tcW w:w="820" w:type="dxa"/>
            <w:vAlign w:val="bottom"/>
          </w:tcPr>
          <w:p>
            <w:pPr>
              <w:jc w:val="right"/>
              <w:ind w:right="133"/>
              <w:spacing w:after="0"/>
              <w:rPr>
                <w:sz w:val="20"/>
                <w:szCs w:val="20"/>
                <w:color w:val="auto"/>
              </w:rPr>
            </w:pPr>
            <w:r>
              <w:rPr>
                <w:rFonts w:ascii="Arial" w:cs="Arial" w:eastAsia="Arial" w:hAnsi="Arial"/>
                <w:sz w:val="18"/>
                <w:szCs w:val="18"/>
                <w:color w:val="auto"/>
              </w:rPr>
              <w:t>18.1</w:t>
            </w:r>
          </w:p>
        </w:tc>
      </w:tr>
      <w:tr>
        <w:trPr>
          <w:trHeight w:val="277"/>
        </w:trPr>
        <w:tc>
          <w:tcPr>
            <w:tcW w:w="8940" w:type="dxa"/>
            <w:vAlign w:val="bottom"/>
            <w:shd w:val="clear" w:color="auto" w:fill="CCEEFF"/>
          </w:tcPr>
          <w:p>
            <w:pPr>
              <w:ind w:left="40"/>
              <w:spacing w:after="0"/>
              <w:rPr>
                <w:sz w:val="20"/>
                <w:szCs w:val="20"/>
                <w:color w:val="auto"/>
              </w:rPr>
            </w:pPr>
            <w:r>
              <w:rPr>
                <w:rFonts w:ascii="Arial" w:cs="Arial" w:eastAsia="Arial" w:hAnsi="Arial"/>
                <w:sz w:val="18"/>
                <w:szCs w:val="18"/>
                <w:color w:val="auto"/>
              </w:rPr>
              <w:t>Defined benefit pension and retiree health benefit plans</w:t>
            </w:r>
          </w:p>
        </w:tc>
        <w:tc>
          <w:tcPr>
            <w:tcW w:w="2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97"/>
              <w:spacing w:after="0"/>
              <w:rPr>
                <w:sz w:val="20"/>
                <w:szCs w:val="20"/>
                <w:color w:val="auto"/>
              </w:rPr>
            </w:pPr>
            <w:r>
              <w:rPr>
                <w:rFonts w:ascii="Arial" w:cs="Arial" w:eastAsia="Arial" w:hAnsi="Arial"/>
                <w:sz w:val="18"/>
                <w:szCs w:val="18"/>
                <w:b w:val="1"/>
                <w:bCs w:val="1"/>
                <w:color w:val="auto"/>
              </w:rPr>
              <w:t>(14.3)</w:t>
            </w:r>
          </w:p>
        </w:tc>
        <w:tc>
          <w:tcPr>
            <w:tcW w:w="50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(8.5)</w:t>
            </w:r>
          </w:p>
        </w:tc>
      </w:tr>
      <w:tr>
        <w:trPr>
          <w:trHeight w:val="264"/>
        </w:trPr>
        <w:tc>
          <w:tcPr>
            <w:tcW w:w="89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Effective portion of cash flow hedges</w:t>
            </w:r>
          </w:p>
        </w:tc>
        <w:tc>
          <w:tcPr>
            <w:tcW w:w="2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97"/>
              <w:spacing w:after="0"/>
              <w:rPr>
                <w:sz w:val="20"/>
                <w:szCs w:val="20"/>
                <w:color w:val="auto"/>
              </w:rPr>
            </w:pPr>
            <w:r>
              <w:rPr>
                <w:rFonts w:ascii="Arial" w:cs="Arial" w:eastAsia="Arial" w:hAnsi="Arial"/>
                <w:sz w:val="18"/>
                <w:szCs w:val="18"/>
                <w:b w:val="1"/>
                <w:bCs w:val="1"/>
                <w:color w:val="auto"/>
              </w:rPr>
              <w:t>(0.8)</w:t>
            </w:r>
          </w:p>
        </w:tc>
        <w:tc>
          <w:tcPr>
            <w:tcW w:w="50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color w:val="auto"/>
              </w:rPr>
              <w:t>(1.3)</w:t>
            </w:r>
          </w:p>
        </w:tc>
      </w:tr>
      <w:tr>
        <w:trPr>
          <w:trHeight w:val="264"/>
        </w:trPr>
        <w:tc>
          <w:tcPr>
            <w:tcW w:w="8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Benefit/(provision) for income taxes allocated to other comprehensive income (loss) items</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900" w:type="dxa"/>
            <w:vAlign w:val="bottom"/>
            <w:tcBorders>
              <w:bottom w:val="single" w:sz="8" w:color="auto"/>
            </w:tcBorders>
            <w:shd w:val="clear" w:color="auto" w:fill="CCEEFF"/>
          </w:tcPr>
          <w:p>
            <w:pPr>
              <w:jc w:val="right"/>
              <w:ind w:right="157"/>
              <w:spacing w:after="0"/>
              <w:rPr>
                <w:sz w:val="20"/>
                <w:szCs w:val="20"/>
                <w:color w:val="auto"/>
              </w:rPr>
            </w:pPr>
            <w:r>
              <w:rPr>
                <w:rFonts w:ascii="Arial" w:cs="Arial" w:eastAsia="Arial" w:hAnsi="Arial"/>
                <w:sz w:val="18"/>
                <w:szCs w:val="18"/>
                <w:b w:val="1"/>
                <w:bCs w:val="1"/>
                <w:color w:val="auto"/>
              </w:rPr>
              <w:t>35.2</w:t>
            </w:r>
          </w:p>
        </w:tc>
        <w:tc>
          <w:tcPr>
            <w:tcW w:w="5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shd w:val="clear" w:color="auto" w:fill="CCEEFF"/>
          </w:tcPr>
          <w:p>
            <w:pPr>
              <w:jc w:val="right"/>
              <w:ind w:right="133"/>
              <w:spacing w:after="0"/>
              <w:rPr>
                <w:sz w:val="20"/>
                <w:szCs w:val="20"/>
                <w:color w:val="auto"/>
              </w:rPr>
            </w:pPr>
            <w:r>
              <w:rPr>
                <w:rFonts w:ascii="Arial" w:cs="Arial" w:eastAsia="Arial" w:hAnsi="Arial"/>
                <w:sz w:val="18"/>
                <w:szCs w:val="18"/>
                <w:color w:val="auto"/>
              </w:rPr>
              <w:t>38.0</w:t>
            </w:r>
          </w:p>
        </w:tc>
      </w:tr>
    </w:tbl>
    <w:p>
      <w:pPr>
        <w:spacing w:after="0" w:line="107"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color w:val="auto"/>
        </w:rPr>
        <w:t>Except for the tax effects of foreign currency translation gains and losses related to our foreign currency-denominated notes, cross-currency interest rate swaps, and other foreign currency exchange contracts designated as net investment hedges (see Note 6), income taxes were not provided for foreign currency translation. Generally, the assets and liabilities of foreign operations are translated into U.S. dollars using the current exchange rate. For those operations, changes in exchange rates generally do not affect cash flows; therefore, resulting translation adjustments are made in shareholders' equity rather than in the consolidated condensed statements of operations.</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color w:val="auto"/>
        </w:rPr>
        <w:t>Reclassifications out of accumulated other comprehensive loss were as follows:</w:t>
      </w:r>
    </w:p>
    <w:p>
      <w:pPr>
        <w:spacing w:after="0" w:line="294" w:lineRule="exact"/>
        <w:rPr>
          <w:sz w:val="20"/>
          <w:szCs w:val="20"/>
          <w:color w:val="auto"/>
        </w:rPr>
      </w:pPr>
    </w:p>
    <w:tbl>
      <w:tblPr>
        <w:tblLayout w:type="fixed"/>
        <w:tblInd w:w="180" w:type="dxa"/>
        <w:tblCellMar>
          <w:top w:w="0" w:type="dxa"/>
          <w:left w:w="0" w:type="dxa"/>
          <w:bottom w:w="0" w:type="dxa"/>
          <w:right w:w="0" w:type="dxa"/>
        </w:tblCellMar>
      </w:tblPr>
      <w:tr>
        <w:trPr>
          <w:trHeight w:val="162"/>
        </w:trPr>
        <w:tc>
          <w:tcPr>
            <w:tcW w:w="35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780" w:type="dxa"/>
            <w:vAlign w:val="bottom"/>
          </w:tcPr>
          <w:p>
            <w:pPr>
              <w:jc w:val="center"/>
              <w:ind w:right="1128"/>
              <w:spacing w:after="0"/>
              <w:rPr>
                <w:sz w:val="20"/>
                <w:szCs w:val="20"/>
                <w:color w:val="auto"/>
              </w:rPr>
            </w:pPr>
            <w:r>
              <w:rPr>
                <w:rFonts w:ascii="Arial" w:cs="Arial" w:eastAsia="Arial" w:hAnsi="Arial"/>
                <w:sz w:val="14"/>
                <w:szCs w:val="14"/>
                <w:b w:val="1"/>
                <w:bCs w:val="1"/>
                <w:color w:val="auto"/>
              </w:rPr>
              <w:t>Three Months Ended</w:t>
            </w:r>
          </w:p>
        </w:tc>
        <w:tc>
          <w:tcPr>
            <w:tcW w:w="3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3500" w:type="dxa"/>
            <w:vAlign w:val="bottom"/>
            <w:vMerge w:val="restart"/>
          </w:tcPr>
          <w:p>
            <w:pPr>
              <w:jc w:val="center"/>
              <w:ind w:right="48"/>
              <w:spacing w:after="0"/>
              <w:rPr>
                <w:sz w:val="20"/>
                <w:szCs w:val="20"/>
                <w:color w:val="auto"/>
              </w:rPr>
            </w:pPr>
            <w:r>
              <w:rPr>
                <w:rFonts w:ascii="Arial" w:cs="Arial" w:eastAsia="Arial" w:hAnsi="Arial"/>
                <w:sz w:val="14"/>
                <w:szCs w:val="14"/>
                <w:b w:val="1"/>
                <w:bCs w:val="1"/>
                <w:color w:val="auto"/>
              </w:rPr>
              <w:t>Details about Accumulated Other Comprehensive</w:t>
            </w:r>
          </w:p>
        </w:tc>
        <w:tc>
          <w:tcPr>
            <w:tcW w:w="1320" w:type="dxa"/>
            <w:vAlign w:val="bottom"/>
          </w:tcPr>
          <w:p>
            <w:pPr>
              <w:spacing w:after="0"/>
              <w:rPr>
                <w:sz w:val="16"/>
                <w:szCs w:val="16"/>
                <w:color w:val="auto"/>
              </w:rPr>
            </w:pPr>
          </w:p>
        </w:tc>
        <w:tc>
          <w:tcPr>
            <w:tcW w:w="2780" w:type="dxa"/>
            <w:vAlign w:val="bottom"/>
          </w:tcPr>
          <w:p>
            <w:pPr>
              <w:jc w:val="center"/>
              <w:ind w:right="1108"/>
              <w:spacing w:after="0"/>
              <w:rPr>
                <w:sz w:val="20"/>
                <w:szCs w:val="20"/>
                <w:color w:val="auto"/>
              </w:rPr>
            </w:pPr>
            <w:r>
              <w:rPr>
                <w:rFonts w:ascii="Arial" w:cs="Arial" w:eastAsia="Arial" w:hAnsi="Arial"/>
                <w:sz w:val="14"/>
                <w:szCs w:val="14"/>
                <w:b w:val="1"/>
                <w:bCs w:val="1"/>
                <w:color w:val="auto"/>
              </w:rPr>
              <w:t>March 31,</w:t>
            </w:r>
          </w:p>
        </w:tc>
        <w:tc>
          <w:tcPr>
            <w:tcW w:w="3540" w:type="dxa"/>
            <w:vAlign w:val="bottom"/>
            <w:vMerge w:val="restart"/>
          </w:tcPr>
          <w:p>
            <w:pPr>
              <w:jc w:val="center"/>
              <w:ind w:left="28"/>
              <w:spacing w:after="0"/>
              <w:rPr>
                <w:sz w:val="20"/>
                <w:szCs w:val="20"/>
                <w:color w:val="auto"/>
              </w:rPr>
            </w:pPr>
            <w:r>
              <w:rPr>
                <w:rFonts w:ascii="Arial" w:cs="Arial" w:eastAsia="Arial" w:hAnsi="Arial"/>
                <w:sz w:val="14"/>
                <w:szCs w:val="14"/>
                <w:b w:val="1"/>
                <w:bCs w:val="1"/>
                <w:color w:val="auto"/>
              </w:rPr>
              <w:t>Affected Line Item in the Consolidated Condensed</w:t>
            </w:r>
          </w:p>
        </w:tc>
        <w:tc>
          <w:tcPr>
            <w:tcW w:w="0" w:type="dxa"/>
            <w:vAlign w:val="bottom"/>
          </w:tcPr>
          <w:p>
            <w:pPr>
              <w:spacing w:after="0"/>
              <w:rPr>
                <w:sz w:val="1"/>
                <w:szCs w:val="1"/>
                <w:color w:val="auto"/>
              </w:rPr>
            </w:pPr>
          </w:p>
        </w:tc>
      </w:tr>
      <w:tr>
        <w:trPr>
          <w:trHeight w:val="39"/>
        </w:trPr>
        <w:tc>
          <w:tcPr>
            <w:tcW w:w="3500" w:type="dxa"/>
            <w:vAlign w:val="bottom"/>
            <w:vMerge w:val="continue"/>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c>
          <w:tcPr>
            <w:tcW w:w="2780" w:type="dxa"/>
            <w:vAlign w:val="bottom"/>
            <w:tcBorders>
              <w:bottom w:val="single" w:sz="8" w:color="auto"/>
            </w:tcBorders>
          </w:tcPr>
          <w:p>
            <w:pPr>
              <w:spacing w:after="0"/>
              <w:rPr>
                <w:sz w:val="3"/>
                <w:szCs w:val="3"/>
                <w:color w:val="auto"/>
              </w:rPr>
            </w:pPr>
          </w:p>
        </w:tc>
        <w:tc>
          <w:tcPr>
            <w:tcW w:w="354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61"/>
        </w:trPr>
        <w:tc>
          <w:tcPr>
            <w:tcW w:w="3500" w:type="dxa"/>
            <w:vAlign w:val="bottom"/>
            <w:vMerge w:val="continue"/>
          </w:tcPr>
          <w:p>
            <w:pPr>
              <w:spacing w:after="0"/>
              <w:rPr>
                <w:sz w:val="5"/>
                <w:szCs w:val="5"/>
                <w:color w:val="auto"/>
              </w:rPr>
            </w:pPr>
          </w:p>
        </w:tc>
        <w:tc>
          <w:tcPr>
            <w:tcW w:w="1320" w:type="dxa"/>
            <w:vAlign w:val="bottom"/>
            <w:vMerge w:val="restart"/>
          </w:tcPr>
          <w:p>
            <w:pPr>
              <w:jc w:val="right"/>
              <w:ind w:right="8"/>
              <w:spacing w:after="0"/>
              <w:rPr>
                <w:sz w:val="20"/>
                <w:szCs w:val="20"/>
                <w:color w:val="auto"/>
              </w:rPr>
            </w:pPr>
            <w:r>
              <w:rPr>
                <w:rFonts w:ascii="Arial" w:cs="Arial" w:eastAsia="Arial" w:hAnsi="Arial"/>
                <w:sz w:val="14"/>
                <w:szCs w:val="14"/>
                <w:b w:val="1"/>
                <w:bCs w:val="1"/>
                <w:color w:val="auto"/>
              </w:rPr>
              <w:t>2018</w:t>
            </w:r>
          </w:p>
        </w:tc>
        <w:tc>
          <w:tcPr>
            <w:tcW w:w="2780" w:type="dxa"/>
            <w:vAlign w:val="bottom"/>
          </w:tcPr>
          <w:p>
            <w:pPr>
              <w:spacing w:after="0"/>
              <w:rPr>
                <w:sz w:val="5"/>
                <w:szCs w:val="5"/>
                <w:color w:val="auto"/>
              </w:rPr>
            </w:pPr>
          </w:p>
        </w:tc>
        <w:tc>
          <w:tcPr>
            <w:tcW w:w="35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0"/>
        </w:trPr>
        <w:tc>
          <w:tcPr>
            <w:tcW w:w="3500" w:type="dxa"/>
            <w:vAlign w:val="bottom"/>
          </w:tcPr>
          <w:p>
            <w:pPr>
              <w:jc w:val="center"/>
              <w:ind w:right="48"/>
              <w:spacing w:after="0"/>
              <w:rPr>
                <w:sz w:val="20"/>
                <w:szCs w:val="20"/>
                <w:color w:val="auto"/>
              </w:rPr>
            </w:pPr>
            <w:r>
              <w:rPr>
                <w:rFonts w:ascii="Arial" w:cs="Arial" w:eastAsia="Arial" w:hAnsi="Arial"/>
                <w:sz w:val="14"/>
                <w:szCs w:val="14"/>
                <w:b w:val="1"/>
                <w:bCs w:val="1"/>
                <w:color w:val="auto"/>
              </w:rPr>
              <w:t>Loss Components</w:t>
            </w:r>
          </w:p>
        </w:tc>
        <w:tc>
          <w:tcPr>
            <w:tcW w:w="1320" w:type="dxa"/>
            <w:vAlign w:val="bottom"/>
            <w:vMerge w:val="continue"/>
          </w:tcPr>
          <w:p>
            <w:pPr>
              <w:spacing w:after="0"/>
              <w:rPr>
                <w:sz w:val="16"/>
                <w:szCs w:val="16"/>
                <w:color w:val="auto"/>
              </w:rPr>
            </w:pPr>
          </w:p>
        </w:tc>
        <w:tc>
          <w:tcPr>
            <w:tcW w:w="2780" w:type="dxa"/>
            <w:vAlign w:val="bottom"/>
          </w:tcPr>
          <w:p>
            <w:pPr>
              <w:jc w:val="right"/>
              <w:ind w:right="728"/>
              <w:spacing w:after="0"/>
              <w:rPr>
                <w:sz w:val="20"/>
                <w:szCs w:val="20"/>
                <w:color w:val="auto"/>
              </w:rPr>
            </w:pPr>
            <w:r>
              <w:rPr>
                <w:rFonts w:ascii="Arial" w:cs="Arial" w:eastAsia="Arial" w:hAnsi="Arial"/>
                <w:sz w:val="14"/>
                <w:szCs w:val="14"/>
                <w:b w:val="1"/>
                <w:bCs w:val="1"/>
                <w:color w:val="auto"/>
              </w:rPr>
              <w:t>2017</w:t>
            </w:r>
          </w:p>
        </w:tc>
        <w:tc>
          <w:tcPr>
            <w:tcW w:w="3540" w:type="dxa"/>
            <w:vAlign w:val="bottom"/>
          </w:tcPr>
          <w:p>
            <w:pPr>
              <w:jc w:val="center"/>
              <w:ind w:left="28"/>
              <w:spacing w:after="0"/>
              <w:rPr>
                <w:sz w:val="20"/>
                <w:szCs w:val="20"/>
                <w:color w:val="auto"/>
              </w:rPr>
            </w:pPr>
            <w:r>
              <w:rPr>
                <w:rFonts w:ascii="Arial" w:cs="Arial" w:eastAsia="Arial" w:hAnsi="Arial"/>
                <w:sz w:val="14"/>
                <w:szCs w:val="14"/>
                <w:b w:val="1"/>
                <w:bCs w:val="1"/>
                <w:color w:val="auto"/>
              </w:rPr>
              <w:t>Statements of Operations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7620</wp:posOffset>
            </wp:positionV>
            <wp:extent cx="721233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12330" cy="8890"/>
                    </a:xfrm>
                    <a:prstGeom prst="rect">
                      <a:avLst/>
                    </a:prstGeom>
                    <a:noFill/>
                  </pic:spPr>
                </pic:pic>
              </a:graphicData>
            </a:graphic>
          </wp:anchor>
        </w:drawing>
      </w:r>
    </w:p>
    <w:p>
      <w:pPr>
        <w:spacing w:after="0" w:line="45" w:lineRule="exact"/>
        <w:rPr>
          <w:sz w:val="20"/>
          <w:szCs w:val="20"/>
          <w:color w:val="auto"/>
        </w:rPr>
      </w:pPr>
    </w:p>
    <w:p>
      <w:pPr>
        <w:ind w:left="80"/>
        <w:spacing w:after="0"/>
        <w:rPr>
          <w:sz w:val="20"/>
          <w:szCs w:val="20"/>
          <w:color w:val="auto"/>
        </w:rPr>
      </w:pPr>
      <w:r>
        <w:rPr>
          <w:rFonts w:ascii="Arial" w:cs="Arial" w:eastAsia="Arial" w:hAnsi="Arial"/>
          <w:sz w:val="18"/>
          <w:szCs w:val="18"/>
          <w:color w:val="auto"/>
        </w:rPr>
        <w:t>Amortization of retirement benefit items:</w:t>
      </w:r>
    </w:p>
    <w:p>
      <w:pPr>
        <w:spacing w:after="0" w:line="30"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3620" w:type="dxa"/>
            <w:vAlign w:val="bottom"/>
            <w:vMerge w:val="restart"/>
            <w:shd w:val="clear" w:color="auto" w:fill="CCEEFF"/>
          </w:tcPr>
          <w:p>
            <w:pPr>
              <w:ind w:left="200"/>
              <w:spacing w:after="0"/>
              <w:rPr>
                <w:sz w:val="20"/>
                <w:szCs w:val="20"/>
                <w:color w:val="auto"/>
              </w:rPr>
            </w:pPr>
            <w:r>
              <w:rPr>
                <w:rFonts w:ascii="Arial" w:cs="Arial" w:eastAsia="Arial" w:hAnsi="Arial"/>
                <w:sz w:val="18"/>
                <w:szCs w:val="18"/>
                <w:color w:val="auto"/>
              </w:rPr>
              <w:t>Prior service benefits, net</w:t>
            </w:r>
          </w:p>
        </w:tc>
        <w:tc>
          <w:tcPr>
            <w:tcW w:w="880" w:type="dxa"/>
            <w:vAlign w:val="bottom"/>
            <w:vMerge w:val="restart"/>
            <w:shd w:val="clear" w:color="auto" w:fill="CCEEFF"/>
          </w:tcPr>
          <w:p>
            <w:pPr>
              <w:jc w:val="right"/>
              <w:ind w:right="550"/>
              <w:spacing w:after="0"/>
              <w:rPr>
                <w:sz w:val="20"/>
                <w:szCs w:val="20"/>
                <w:color w:val="auto"/>
              </w:rPr>
            </w:pPr>
            <w:r>
              <w:rPr>
                <w:rFonts w:ascii="Arial" w:cs="Arial" w:eastAsia="Arial" w:hAnsi="Arial"/>
                <w:sz w:val="18"/>
                <w:szCs w:val="18"/>
                <w:b w:val="1"/>
                <w:bCs w:val="1"/>
                <w:color w:val="auto"/>
              </w:rPr>
              <w:t>$</w:t>
            </w:r>
          </w:p>
        </w:tc>
        <w:tc>
          <w:tcPr>
            <w:tcW w:w="122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(19.3)</w:t>
            </w:r>
          </w:p>
        </w:tc>
        <w:tc>
          <w:tcPr>
            <w:tcW w:w="840" w:type="dxa"/>
            <w:vAlign w:val="bottom"/>
            <w:vMerge w:val="restart"/>
            <w:shd w:val="clear" w:color="auto" w:fill="CCEEFF"/>
          </w:tcPr>
          <w:p>
            <w:pPr>
              <w:jc w:val="right"/>
              <w:ind w:right="570"/>
              <w:spacing w:after="0"/>
              <w:rPr>
                <w:sz w:val="20"/>
                <w:szCs w:val="20"/>
                <w:color w:val="auto"/>
              </w:rPr>
            </w:pPr>
            <w:r>
              <w:rPr>
                <w:rFonts w:ascii="Arial" w:cs="Arial" w:eastAsia="Arial" w:hAnsi="Arial"/>
                <w:sz w:val="18"/>
                <w:szCs w:val="18"/>
                <w:color w:val="auto"/>
              </w:rPr>
              <w:t>$</w:t>
            </w: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(21.1)</w:t>
            </w:r>
          </w:p>
        </w:tc>
        <w:tc>
          <w:tcPr>
            <w:tcW w:w="3640" w:type="dxa"/>
            <w:vAlign w:val="bottom"/>
            <w:shd w:val="clear" w:color="auto" w:fill="CCEEFF"/>
          </w:tcPr>
          <w:p>
            <w:pPr>
              <w:ind w:left="200"/>
              <w:spacing w:after="0"/>
              <w:rPr>
                <w:sz w:val="20"/>
                <w:szCs w:val="20"/>
                <w:color w:val="auto"/>
              </w:rPr>
            </w:pPr>
            <w:r>
              <w:rPr>
                <w:rFonts w:ascii="Arial" w:cs="Arial" w:eastAsia="Arial" w:hAnsi="Arial"/>
                <w:sz w:val="11"/>
                <w:szCs w:val="11"/>
                <w:color w:val="auto"/>
              </w:rPr>
              <w:t>(1)</w:t>
            </w:r>
          </w:p>
        </w:tc>
        <w:tc>
          <w:tcPr>
            <w:tcW w:w="0" w:type="dxa"/>
            <w:vAlign w:val="bottom"/>
          </w:tcPr>
          <w:p>
            <w:pPr>
              <w:spacing w:after="0"/>
              <w:rPr>
                <w:sz w:val="1"/>
                <w:szCs w:val="1"/>
                <w:color w:val="auto"/>
              </w:rPr>
            </w:pPr>
          </w:p>
        </w:tc>
      </w:tr>
      <w:tr>
        <w:trPr>
          <w:trHeight w:val="103"/>
        </w:trPr>
        <w:tc>
          <w:tcPr>
            <w:tcW w:w="3620" w:type="dxa"/>
            <w:vAlign w:val="bottom"/>
            <w:vMerge w:val="continue"/>
            <w:shd w:val="clear" w:color="auto" w:fill="CCEEFF"/>
          </w:tcPr>
          <w:p>
            <w:pPr>
              <w:spacing w:after="0"/>
              <w:rPr>
                <w:sz w:val="8"/>
                <w:szCs w:val="8"/>
                <w:color w:val="auto"/>
              </w:rPr>
            </w:pPr>
          </w:p>
        </w:tc>
        <w:tc>
          <w:tcPr>
            <w:tcW w:w="880" w:type="dxa"/>
            <w:vAlign w:val="bottom"/>
            <w:vMerge w:val="continue"/>
            <w:shd w:val="clear" w:color="auto" w:fill="CCEEFF"/>
          </w:tcPr>
          <w:p>
            <w:pPr>
              <w:spacing w:after="0"/>
              <w:rPr>
                <w:sz w:val="8"/>
                <w:szCs w:val="8"/>
                <w:color w:val="auto"/>
              </w:rPr>
            </w:pPr>
          </w:p>
        </w:tc>
        <w:tc>
          <w:tcPr>
            <w:tcW w:w="1220" w:type="dxa"/>
            <w:vAlign w:val="bottom"/>
            <w:vMerge w:val="continue"/>
            <w:shd w:val="clear" w:color="auto" w:fill="CCEEFF"/>
          </w:tcPr>
          <w:p>
            <w:pPr>
              <w:spacing w:after="0"/>
              <w:rPr>
                <w:sz w:val="8"/>
                <w:szCs w:val="8"/>
                <w:color w:val="auto"/>
              </w:rPr>
            </w:pPr>
          </w:p>
        </w:tc>
        <w:tc>
          <w:tcPr>
            <w:tcW w:w="840" w:type="dxa"/>
            <w:vAlign w:val="bottom"/>
            <w:vMerge w:val="continue"/>
            <w:shd w:val="clear" w:color="auto" w:fill="CCEEFF"/>
          </w:tcPr>
          <w:p>
            <w:pPr>
              <w:spacing w:after="0"/>
              <w:rPr>
                <w:sz w:val="8"/>
                <w:szCs w:val="8"/>
                <w:color w:val="auto"/>
              </w:rPr>
            </w:pPr>
          </w:p>
        </w:tc>
        <w:tc>
          <w:tcPr>
            <w:tcW w:w="1160" w:type="dxa"/>
            <w:vAlign w:val="bottom"/>
            <w:vMerge w:val="continue"/>
            <w:shd w:val="clear" w:color="auto" w:fill="CCEEFF"/>
          </w:tcPr>
          <w:p>
            <w:pPr>
              <w:spacing w:after="0"/>
              <w:rPr>
                <w:sz w:val="8"/>
                <w:szCs w:val="8"/>
                <w:color w:val="auto"/>
              </w:rPr>
            </w:pPr>
          </w:p>
        </w:tc>
        <w:tc>
          <w:tcPr>
            <w:tcW w:w="364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67"/>
        </w:trPr>
        <w:tc>
          <w:tcPr>
            <w:tcW w:w="3620" w:type="dxa"/>
            <w:vAlign w:val="bottom"/>
            <w:vMerge w:val="restart"/>
          </w:tcPr>
          <w:p>
            <w:pPr>
              <w:ind w:left="200"/>
              <w:spacing w:after="0"/>
              <w:rPr>
                <w:sz w:val="20"/>
                <w:szCs w:val="20"/>
                <w:color w:val="auto"/>
              </w:rPr>
            </w:pPr>
            <w:r>
              <w:rPr>
                <w:rFonts w:ascii="Arial" w:cs="Arial" w:eastAsia="Arial" w:hAnsi="Arial"/>
                <w:sz w:val="18"/>
                <w:szCs w:val="18"/>
                <w:color w:val="auto"/>
              </w:rPr>
              <w:t>Actuarial losses, net</w:t>
            </w:r>
          </w:p>
        </w:tc>
        <w:tc>
          <w:tcPr>
            <w:tcW w:w="880" w:type="dxa"/>
            <w:vAlign w:val="bottom"/>
          </w:tcPr>
          <w:p>
            <w:pPr>
              <w:spacing w:after="0"/>
              <w:rPr>
                <w:sz w:val="14"/>
                <w:szCs w:val="14"/>
                <w:color w:val="auto"/>
              </w:rPr>
            </w:pPr>
          </w:p>
        </w:tc>
        <w:tc>
          <w:tcPr>
            <w:tcW w:w="1220" w:type="dxa"/>
            <w:vAlign w:val="bottom"/>
            <w:vMerge w:val="restart"/>
          </w:tcPr>
          <w:p>
            <w:pPr>
              <w:jc w:val="right"/>
              <w:ind w:right="70"/>
              <w:spacing w:after="0"/>
              <w:rPr>
                <w:sz w:val="20"/>
                <w:szCs w:val="20"/>
                <w:color w:val="auto"/>
              </w:rPr>
            </w:pPr>
            <w:r>
              <w:rPr>
                <w:rFonts w:ascii="Arial" w:cs="Arial" w:eastAsia="Arial" w:hAnsi="Arial"/>
                <w:sz w:val="18"/>
                <w:szCs w:val="18"/>
                <w:b w:val="1"/>
                <w:bCs w:val="1"/>
                <w:color w:val="auto"/>
              </w:rPr>
              <w:t>92.8</w:t>
            </w:r>
          </w:p>
        </w:tc>
        <w:tc>
          <w:tcPr>
            <w:tcW w:w="840" w:type="dxa"/>
            <w:vAlign w:val="bottom"/>
          </w:tcPr>
          <w:p>
            <w:pPr>
              <w:spacing w:after="0"/>
              <w:rPr>
                <w:sz w:val="14"/>
                <w:szCs w:val="14"/>
                <w:color w:val="auto"/>
              </w:rPr>
            </w:pPr>
          </w:p>
        </w:tc>
        <w:tc>
          <w:tcPr>
            <w:tcW w:w="1160" w:type="dxa"/>
            <w:vAlign w:val="bottom"/>
            <w:vMerge w:val="restart"/>
          </w:tcPr>
          <w:p>
            <w:pPr>
              <w:jc w:val="right"/>
              <w:ind w:right="10"/>
              <w:spacing w:after="0"/>
              <w:rPr>
                <w:sz w:val="20"/>
                <w:szCs w:val="20"/>
                <w:color w:val="auto"/>
              </w:rPr>
            </w:pPr>
            <w:r>
              <w:rPr>
                <w:rFonts w:ascii="Arial" w:cs="Arial" w:eastAsia="Arial" w:hAnsi="Arial"/>
                <w:sz w:val="18"/>
                <w:szCs w:val="18"/>
                <w:color w:val="auto"/>
              </w:rPr>
              <w:t>76.8</w:t>
            </w:r>
          </w:p>
        </w:tc>
        <w:tc>
          <w:tcPr>
            <w:tcW w:w="3640" w:type="dxa"/>
            <w:vAlign w:val="bottom"/>
          </w:tcPr>
          <w:p>
            <w:pPr>
              <w:ind w:left="200"/>
              <w:spacing w:after="0"/>
              <w:rPr>
                <w:sz w:val="20"/>
                <w:szCs w:val="20"/>
                <w:color w:val="auto"/>
              </w:rPr>
            </w:pPr>
            <w:r>
              <w:rPr>
                <w:rFonts w:ascii="Arial" w:cs="Arial" w:eastAsia="Arial" w:hAnsi="Arial"/>
                <w:sz w:val="11"/>
                <w:szCs w:val="11"/>
                <w:color w:val="auto"/>
              </w:rPr>
              <w:t>(1)</w:t>
            </w:r>
          </w:p>
        </w:tc>
        <w:tc>
          <w:tcPr>
            <w:tcW w:w="0" w:type="dxa"/>
            <w:vAlign w:val="bottom"/>
          </w:tcPr>
          <w:p>
            <w:pPr>
              <w:spacing w:after="0"/>
              <w:rPr>
                <w:sz w:val="1"/>
                <w:szCs w:val="1"/>
                <w:color w:val="auto"/>
              </w:rPr>
            </w:pPr>
          </w:p>
        </w:tc>
      </w:tr>
      <w:tr>
        <w:trPr>
          <w:trHeight w:val="97"/>
        </w:trPr>
        <w:tc>
          <w:tcPr>
            <w:tcW w:w="3620" w:type="dxa"/>
            <w:vAlign w:val="bottom"/>
            <w:tcBorders>
              <w:bottom w:val="single" w:sz="8" w:color="CCEEFF"/>
            </w:tcBorders>
            <w:vMerge w:val="continue"/>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1220" w:type="dxa"/>
            <w:vAlign w:val="bottom"/>
            <w:tcBorders>
              <w:bottom w:val="single" w:sz="8" w:color="auto"/>
            </w:tcBorders>
            <w:vMerge w:val="continue"/>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1160" w:type="dxa"/>
            <w:vAlign w:val="bottom"/>
            <w:tcBorders>
              <w:bottom w:val="single" w:sz="8" w:color="auto"/>
            </w:tcBorders>
            <w:vMerge w:val="continue"/>
          </w:tcPr>
          <w:p>
            <w:pPr>
              <w:spacing w:after="0"/>
              <w:rPr>
                <w:sz w:val="8"/>
                <w:szCs w:val="8"/>
                <w:color w:val="auto"/>
              </w:rPr>
            </w:pPr>
          </w:p>
        </w:tc>
        <w:tc>
          <w:tcPr>
            <w:tcW w:w="3640" w:type="dxa"/>
            <w:vAlign w:val="bottom"/>
            <w:tcBorders>
              <w:bottom w:val="single" w:sz="8" w:color="CCEEFF"/>
            </w:tcBorders>
          </w:tcPr>
          <w:p>
            <w:pPr>
              <w:spacing w:after="0"/>
              <w:rPr>
                <w:sz w:val="8"/>
                <w:szCs w:val="8"/>
                <w:color w:val="auto"/>
              </w:rPr>
            </w:pPr>
          </w:p>
        </w:tc>
        <w:tc>
          <w:tcPr>
            <w:tcW w:w="0" w:type="dxa"/>
            <w:vAlign w:val="bottom"/>
          </w:tcPr>
          <w:p>
            <w:pPr>
              <w:spacing w:after="0"/>
              <w:rPr>
                <w:sz w:val="1"/>
                <w:szCs w:val="1"/>
                <w:color w:val="auto"/>
              </w:rPr>
            </w:pPr>
          </w:p>
        </w:tc>
      </w:tr>
      <w:tr>
        <w:trPr>
          <w:trHeight w:val="270"/>
        </w:trPr>
        <w:tc>
          <w:tcPr>
            <w:tcW w:w="3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Total before tax</w:t>
            </w:r>
          </w:p>
        </w:tc>
        <w:tc>
          <w:tcPr>
            <w:tcW w:w="88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73.5</w:t>
            </w:r>
          </w:p>
        </w:tc>
        <w:tc>
          <w:tcPr>
            <w:tcW w:w="84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55.7</w:t>
            </w:r>
          </w:p>
        </w:tc>
        <w:tc>
          <w:tcPr>
            <w:tcW w:w="36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362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Tax benefit</w:t>
            </w:r>
          </w:p>
        </w:tc>
        <w:tc>
          <w:tcPr>
            <w:tcW w:w="8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(15.1)</w:t>
            </w:r>
          </w:p>
        </w:tc>
        <w:tc>
          <w:tcPr>
            <w:tcW w:w="8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(16.6)</w:t>
            </w:r>
          </w:p>
        </w:tc>
        <w:tc>
          <w:tcPr>
            <w:tcW w:w="3640" w:type="dxa"/>
            <w:vAlign w:val="bottom"/>
            <w:tcBorders>
              <w:bottom w:val="single" w:sz="8" w:color="CCEEFF"/>
            </w:tcBorders>
          </w:tcPr>
          <w:p>
            <w:pPr>
              <w:ind w:left="280"/>
              <w:spacing w:after="0"/>
              <w:rPr>
                <w:sz w:val="20"/>
                <w:szCs w:val="20"/>
                <w:color w:val="auto"/>
              </w:rPr>
            </w:pPr>
            <w:r>
              <w:rPr>
                <w:rFonts w:ascii="Arial" w:cs="Arial" w:eastAsia="Arial" w:hAnsi="Arial"/>
                <w:sz w:val="18"/>
                <w:szCs w:val="18"/>
                <w:color w:val="auto"/>
              </w:rPr>
              <w:t>Income taxes</w:t>
            </w:r>
          </w:p>
        </w:tc>
        <w:tc>
          <w:tcPr>
            <w:tcW w:w="0" w:type="dxa"/>
            <w:vAlign w:val="bottom"/>
          </w:tcPr>
          <w:p>
            <w:pPr>
              <w:spacing w:after="0"/>
              <w:rPr>
                <w:sz w:val="1"/>
                <w:szCs w:val="1"/>
                <w:color w:val="auto"/>
              </w:rPr>
            </w:pPr>
          </w:p>
        </w:tc>
      </w:tr>
      <w:tr>
        <w:trPr>
          <w:trHeight w:val="270"/>
        </w:trPr>
        <w:tc>
          <w:tcPr>
            <w:tcW w:w="3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Net of tax</w:t>
            </w:r>
          </w:p>
        </w:tc>
        <w:tc>
          <w:tcPr>
            <w:tcW w:w="88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58.4</w:t>
            </w:r>
          </w:p>
        </w:tc>
        <w:tc>
          <w:tcPr>
            <w:tcW w:w="84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39.1</w:t>
            </w:r>
          </w:p>
        </w:tc>
        <w:tc>
          <w:tcPr>
            <w:tcW w:w="36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324"/>
        </w:trPr>
        <w:tc>
          <w:tcPr>
            <w:tcW w:w="36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3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Unrealized gains/losses on available-for-</w:t>
            </w:r>
          </w:p>
        </w:tc>
        <w:tc>
          <w:tcPr>
            <w:tcW w:w="8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36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sale securities:</w:t>
            </w:r>
          </w:p>
        </w:tc>
        <w:tc>
          <w:tcPr>
            <w:tcW w:w="88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36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63"/>
        </w:trPr>
        <w:tc>
          <w:tcPr>
            <w:tcW w:w="3620" w:type="dxa"/>
            <w:vAlign w:val="bottom"/>
          </w:tcPr>
          <w:p>
            <w:pPr>
              <w:ind w:left="160"/>
              <w:spacing w:after="0"/>
              <w:rPr>
                <w:sz w:val="20"/>
                <w:szCs w:val="20"/>
                <w:color w:val="auto"/>
              </w:rPr>
            </w:pPr>
            <w:r>
              <w:rPr>
                <w:rFonts w:ascii="Arial" w:cs="Arial" w:eastAsia="Arial" w:hAnsi="Arial"/>
                <w:sz w:val="18"/>
                <w:szCs w:val="18"/>
                <w:color w:val="auto"/>
              </w:rPr>
              <w:t>Realized (gains), losses, net</w:t>
            </w:r>
          </w:p>
        </w:tc>
        <w:tc>
          <w:tcPr>
            <w:tcW w:w="880" w:type="dxa"/>
            <w:vAlign w:val="bottom"/>
          </w:tcPr>
          <w:p>
            <w:pPr>
              <w:spacing w:after="0"/>
              <w:rPr>
                <w:sz w:val="22"/>
                <w:szCs w:val="22"/>
                <w:color w:val="auto"/>
              </w:rPr>
            </w:pPr>
          </w:p>
        </w:tc>
        <w:tc>
          <w:tcPr>
            <w:tcW w:w="1220" w:type="dxa"/>
            <w:vAlign w:val="bottom"/>
          </w:tcPr>
          <w:p>
            <w:pPr>
              <w:jc w:val="right"/>
              <w:ind w:right="70"/>
              <w:spacing w:after="0"/>
              <w:rPr>
                <w:sz w:val="20"/>
                <w:szCs w:val="20"/>
                <w:color w:val="auto"/>
              </w:rPr>
            </w:pPr>
            <w:r>
              <w:rPr>
                <w:rFonts w:ascii="Arial" w:cs="Arial" w:eastAsia="Arial" w:hAnsi="Arial"/>
                <w:sz w:val="18"/>
                <w:szCs w:val="18"/>
                <w:b w:val="1"/>
                <w:bCs w:val="1"/>
                <w:color w:val="auto"/>
              </w:rPr>
              <w:t>0.5</w:t>
            </w:r>
          </w:p>
        </w:tc>
        <w:tc>
          <w:tcPr>
            <w:tcW w:w="84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(50.4)</w:t>
            </w:r>
          </w:p>
        </w:tc>
        <w:tc>
          <w:tcPr>
            <w:tcW w:w="3640" w:type="dxa"/>
            <w:vAlign w:val="bottom"/>
          </w:tcPr>
          <w:p>
            <w:pPr>
              <w:ind w:left="200"/>
              <w:spacing w:after="0"/>
              <w:rPr>
                <w:sz w:val="20"/>
                <w:szCs w:val="20"/>
                <w:color w:val="auto"/>
              </w:rPr>
            </w:pPr>
            <w:r>
              <w:rPr>
                <w:rFonts w:ascii="Arial" w:cs="Arial" w:eastAsia="Arial" w:hAnsi="Arial"/>
                <w:sz w:val="18"/>
                <w:szCs w:val="18"/>
                <w:color w:val="auto"/>
              </w:rPr>
              <w:t>Other–net, (income) expense</w:t>
            </w:r>
          </w:p>
        </w:tc>
        <w:tc>
          <w:tcPr>
            <w:tcW w:w="0" w:type="dxa"/>
            <w:vAlign w:val="bottom"/>
          </w:tcPr>
          <w:p>
            <w:pPr>
              <w:spacing w:after="0"/>
              <w:rPr>
                <w:sz w:val="1"/>
                <w:szCs w:val="1"/>
                <w:color w:val="auto"/>
              </w:rPr>
            </w:pPr>
          </w:p>
        </w:tc>
      </w:tr>
      <w:tr>
        <w:trPr>
          <w:trHeight w:val="270"/>
        </w:trPr>
        <w:tc>
          <w:tcPr>
            <w:tcW w:w="3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Tax (benefit) expense</w:t>
            </w:r>
          </w:p>
        </w:tc>
        <w:tc>
          <w:tcPr>
            <w:tcW w:w="88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(0.1)</w:t>
            </w:r>
          </w:p>
        </w:tc>
        <w:tc>
          <w:tcPr>
            <w:tcW w:w="84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17.6</w:t>
            </w:r>
          </w:p>
        </w:tc>
        <w:tc>
          <w:tcPr>
            <w:tcW w:w="36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Income taxes</w:t>
            </w:r>
          </w:p>
        </w:tc>
        <w:tc>
          <w:tcPr>
            <w:tcW w:w="0" w:type="dxa"/>
            <w:vAlign w:val="bottom"/>
          </w:tcPr>
          <w:p>
            <w:pPr>
              <w:spacing w:after="0"/>
              <w:rPr>
                <w:sz w:val="1"/>
                <w:szCs w:val="1"/>
                <w:color w:val="auto"/>
              </w:rPr>
            </w:pPr>
          </w:p>
        </w:tc>
      </w:tr>
      <w:tr>
        <w:trPr>
          <w:trHeight w:val="263"/>
        </w:trPr>
        <w:tc>
          <w:tcPr>
            <w:tcW w:w="3620" w:type="dxa"/>
            <w:vAlign w:val="bottom"/>
          </w:tcPr>
          <w:p>
            <w:pPr>
              <w:jc w:val="right"/>
              <w:spacing w:after="0"/>
              <w:rPr>
                <w:sz w:val="20"/>
                <w:szCs w:val="20"/>
                <w:color w:val="auto"/>
              </w:rPr>
            </w:pPr>
            <w:r>
              <w:rPr>
                <w:rFonts w:ascii="Arial" w:cs="Arial" w:eastAsia="Arial" w:hAnsi="Arial"/>
                <w:sz w:val="18"/>
                <w:szCs w:val="18"/>
                <w:color w:val="auto"/>
              </w:rPr>
              <w:t>Net of tax</w:t>
            </w:r>
          </w:p>
        </w:tc>
        <w:tc>
          <w:tcPr>
            <w:tcW w:w="880" w:type="dxa"/>
            <w:vAlign w:val="bottom"/>
          </w:tcPr>
          <w:p>
            <w:pPr>
              <w:spacing w:after="0"/>
              <w:rPr>
                <w:sz w:val="22"/>
                <w:szCs w:val="22"/>
                <w:color w:val="auto"/>
              </w:rPr>
            </w:pPr>
          </w:p>
        </w:tc>
        <w:tc>
          <w:tcPr>
            <w:tcW w:w="1220" w:type="dxa"/>
            <w:vAlign w:val="bottom"/>
          </w:tcPr>
          <w:p>
            <w:pPr>
              <w:jc w:val="right"/>
              <w:ind w:right="70"/>
              <w:spacing w:after="0"/>
              <w:rPr>
                <w:sz w:val="20"/>
                <w:szCs w:val="20"/>
                <w:color w:val="auto"/>
              </w:rPr>
            </w:pPr>
            <w:r>
              <w:rPr>
                <w:rFonts w:ascii="Arial" w:cs="Arial" w:eastAsia="Arial" w:hAnsi="Arial"/>
                <w:sz w:val="18"/>
                <w:szCs w:val="18"/>
                <w:b w:val="1"/>
                <w:bCs w:val="1"/>
                <w:color w:val="auto"/>
              </w:rPr>
              <w:t>0.4</w:t>
            </w:r>
          </w:p>
        </w:tc>
        <w:tc>
          <w:tcPr>
            <w:tcW w:w="84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(32.8)</w:t>
            </w:r>
          </w:p>
        </w:tc>
        <w:tc>
          <w:tcPr>
            <w:tcW w:w="36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7"/>
        </w:trPr>
        <w:tc>
          <w:tcPr>
            <w:tcW w:w="3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net of tax</w:t>
            </w:r>
          </w:p>
        </w:tc>
        <w:tc>
          <w:tcPr>
            <w:tcW w:w="880" w:type="dxa"/>
            <w:vAlign w:val="bottom"/>
            <w:tcBorders>
              <w:bottom w:val="single" w:sz="8" w:color="auto"/>
            </w:tcBorders>
            <w:shd w:val="clear" w:color="auto" w:fill="CCEEFF"/>
          </w:tcPr>
          <w:p>
            <w:pPr>
              <w:spacing w:after="0"/>
              <w:rPr>
                <w:sz w:val="24"/>
                <w:szCs w:val="24"/>
                <w:color w:val="auto"/>
              </w:rPr>
            </w:pPr>
          </w:p>
        </w:tc>
        <w:tc>
          <w:tcPr>
            <w:tcW w:w="122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2.9</w:t>
            </w:r>
          </w:p>
        </w:tc>
        <w:tc>
          <w:tcPr>
            <w:tcW w:w="840" w:type="dxa"/>
            <w:vAlign w:val="bottom"/>
            <w:tcBorders>
              <w:bottom w:val="single" w:sz="8" w:color="auto"/>
            </w:tcBorders>
            <w:shd w:val="clear" w:color="auto" w:fill="CCEEFF"/>
          </w:tcPr>
          <w:p>
            <w:pPr>
              <w:spacing w:after="0"/>
              <w:rPr>
                <w:sz w:val="24"/>
                <w:szCs w:val="24"/>
                <w:color w:val="auto"/>
              </w:rPr>
            </w:pPr>
          </w:p>
        </w:tc>
        <w:tc>
          <w:tcPr>
            <w:tcW w:w="11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2.5</w:t>
            </w:r>
          </w:p>
        </w:tc>
        <w:tc>
          <w:tcPr>
            <w:tcW w:w="36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Other–net, (income) expense</w:t>
            </w:r>
          </w:p>
        </w:tc>
        <w:tc>
          <w:tcPr>
            <w:tcW w:w="0" w:type="dxa"/>
            <w:vAlign w:val="bottom"/>
          </w:tcPr>
          <w:p>
            <w:pPr>
              <w:spacing w:after="0"/>
              <w:rPr>
                <w:sz w:val="1"/>
                <w:szCs w:val="1"/>
                <w:color w:val="auto"/>
              </w:rPr>
            </w:pPr>
          </w:p>
        </w:tc>
      </w:tr>
      <w:tr>
        <w:trPr>
          <w:trHeight w:val="209"/>
        </w:trPr>
        <w:tc>
          <w:tcPr>
            <w:tcW w:w="3620" w:type="dxa"/>
            <w:vAlign w:val="bottom"/>
          </w:tcPr>
          <w:p>
            <w:pPr>
              <w:ind w:left="20"/>
              <w:spacing w:after="0"/>
              <w:rPr>
                <w:sz w:val="20"/>
                <w:szCs w:val="20"/>
                <w:color w:val="auto"/>
              </w:rPr>
            </w:pPr>
            <w:r>
              <w:rPr>
                <w:rFonts w:ascii="Arial" w:cs="Arial" w:eastAsia="Arial" w:hAnsi="Arial"/>
                <w:sz w:val="18"/>
                <w:szCs w:val="18"/>
                <w:color w:val="auto"/>
              </w:rPr>
              <w:t>Total reclassifications for the period (net of</w:t>
            </w:r>
          </w:p>
        </w:tc>
        <w:tc>
          <w:tcPr>
            <w:tcW w:w="880" w:type="dxa"/>
            <w:vAlign w:val="bottom"/>
            <w:vMerge w:val="restart"/>
          </w:tcPr>
          <w:p>
            <w:pPr>
              <w:jc w:val="right"/>
              <w:ind w:right="550"/>
              <w:spacing w:after="0"/>
              <w:rPr>
                <w:sz w:val="20"/>
                <w:szCs w:val="20"/>
                <w:color w:val="auto"/>
              </w:rPr>
            </w:pPr>
            <w:r>
              <w:rPr>
                <w:rFonts w:ascii="Arial" w:cs="Arial" w:eastAsia="Arial" w:hAnsi="Arial"/>
                <w:sz w:val="18"/>
                <w:szCs w:val="18"/>
                <w:b w:val="1"/>
                <w:bCs w:val="1"/>
                <w:color w:val="auto"/>
              </w:rPr>
              <w:t>$</w:t>
            </w:r>
          </w:p>
        </w:tc>
        <w:tc>
          <w:tcPr>
            <w:tcW w:w="1220" w:type="dxa"/>
            <w:vAlign w:val="bottom"/>
            <w:vMerge w:val="restart"/>
          </w:tcPr>
          <w:p>
            <w:pPr>
              <w:jc w:val="right"/>
              <w:ind w:right="70"/>
              <w:spacing w:after="0"/>
              <w:rPr>
                <w:sz w:val="20"/>
                <w:szCs w:val="20"/>
                <w:color w:val="auto"/>
              </w:rPr>
            </w:pPr>
            <w:r>
              <w:rPr>
                <w:rFonts w:ascii="Arial" w:cs="Arial" w:eastAsia="Arial" w:hAnsi="Arial"/>
                <w:sz w:val="18"/>
                <w:szCs w:val="18"/>
                <w:b w:val="1"/>
                <w:bCs w:val="1"/>
                <w:color w:val="auto"/>
              </w:rPr>
              <w:t>61.7</w:t>
            </w:r>
          </w:p>
        </w:tc>
        <w:tc>
          <w:tcPr>
            <w:tcW w:w="840" w:type="dxa"/>
            <w:vAlign w:val="bottom"/>
            <w:vMerge w:val="restart"/>
          </w:tcPr>
          <w:p>
            <w:pPr>
              <w:jc w:val="right"/>
              <w:ind w:right="570"/>
              <w:spacing w:after="0"/>
              <w:rPr>
                <w:sz w:val="20"/>
                <w:szCs w:val="20"/>
                <w:color w:val="auto"/>
              </w:rPr>
            </w:pPr>
            <w:r>
              <w:rPr>
                <w:rFonts w:ascii="Arial" w:cs="Arial" w:eastAsia="Arial" w:hAnsi="Arial"/>
                <w:sz w:val="18"/>
                <w:szCs w:val="18"/>
                <w:color w:val="auto"/>
              </w:rPr>
              <w:t>$</w:t>
            </w:r>
          </w:p>
        </w:tc>
        <w:tc>
          <w:tcPr>
            <w:tcW w:w="1160" w:type="dxa"/>
            <w:vAlign w:val="bottom"/>
            <w:vMerge w:val="restart"/>
          </w:tcPr>
          <w:p>
            <w:pPr>
              <w:jc w:val="right"/>
              <w:ind w:right="10"/>
              <w:spacing w:after="0"/>
              <w:rPr>
                <w:sz w:val="20"/>
                <w:szCs w:val="20"/>
                <w:color w:val="auto"/>
              </w:rPr>
            </w:pPr>
            <w:r>
              <w:rPr>
                <w:rFonts w:ascii="Arial" w:cs="Arial" w:eastAsia="Arial" w:hAnsi="Arial"/>
                <w:sz w:val="18"/>
                <w:szCs w:val="18"/>
                <w:color w:val="auto"/>
              </w:rPr>
              <w:t>8.8</w:t>
            </w:r>
          </w:p>
        </w:tc>
        <w:tc>
          <w:tcPr>
            <w:tcW w:w="3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620" w:type="dxa"/>
            <w:vAlign w:val="bottom"/>
          </w:tcPr>
          <w:p>
            <w:pPr>
              <w:ind w:left="200"/>
              <w:spacing w:after="0"/>
              <w:rPr>
                <w:sz w:val="20"/>
                <w:szCs w:val="20"/>
                <w:color w:val="auto"/>
              </w:rPr>
            </w:pPr>
            <w:r>
              <w:rPr>
                <w:rFonts w:ascii="Arial" w:cs="Arial" w:eastAsia="Arial" w:hAnsi="Arial"/>
                <w:sz w:val="18"/>
                <w:szCs w:val="18"/>
                <w:color w:val="auto"/>
              </w:rPr>
              <w:t>tax)</w:t>
            </w:r>
          </w:p>
        </w:tc>
        <w:tc>
          <w:tcPr>
            <w:tcW w:w="880" w:type="dxa"/>
            <w:vAlign w:val="bottom"/>
            <w:tcBorders>
              <w:bottom w:val="single" w:sz="8" w:color="auto"/>
            </w:tcBorders>
            <w:vMerge w:val="continue"/>
          </w:tcPr>
          <w:p>
            <w:pPr>
              <w:spacing w:after="0"/>
              <w:rPr>
                <w:sz w:val="19"/>
                <w:szCs w:val="19"/>
                <w:color w:val="auto"/>
              </w:rPr>
            </w:pPr>
          </w:p>
        </w:tc>
        <w:tc>
          <w:tcPr>
            <w:tcW w:w="1220" w:type="dxa"/>
            <w:vAlign w:val="bottom"/>
            <w:tcBorders>
              <w:bottom w:val="single" w:sz="8" w:color="auto"/>
            </w:tcBorders>
            <w:vMerge w:val="continue"/>
          </w:tcPr>
          <w:p>
            <w:pPr>
              <w:spacing w:after="0"/>
              <w:rPr>
                <w:sz w:val="19"/>
                <w:szCs w:val="19"/>
                <w:color w:val="auto"/>
              </w:rPr>
            </w:pPr>
          </w:p>
        </w:tc>
        <w:tc>
          <w:tcPr>
            <w:tcW w:w="840" w:type="dxa"/>
            <w:vAlign w:val="bottom"/>
            <w:tcBorders>
              <w:bottom w:val="single" w:sz="8" w:color="auto"/>
            </w:tcBorders>
            <w:vMerge w:val="continue"/>
          </w:tcPr>
          <w:p>
            <w:pPr>
              <w:spacing w:after="0"/>
              <w:rPr>
                <w:sz w:val="19"/>
                <w:szCs w:val="19"/>
                <w:color w:val="auto"/>
              </w:rPr>
            </w:pPr>
          </w:p>
        </w:tc>
        <w:tc>
          <w:tcPr>
            <w:tcW w:w="1160" w:type="dxa"/>
            <w:vAlign w:val="bottom"/>
            <w:tcBorders>
              <w:bottom w:val="single" w:sz="8" w:color="auto"/>
            </w:tcBorders>
            <w:vMerge w:val="continue"/>
          </w:tcPr>
          <w:p>
            <w:pPr>
              <w:spacing w:after="0"/>
              <w:rPr>
                <w:sz w:val="19"/>
                <w:szCs w:val="19"/>
                <w:color w:val="auto"/>
              </w:rPr>
            </w:pPr>
          </w:p>
        </w:tc>
        <w:tc>
          <w:tcPr>
            <w:tcW w:w="36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01" w:lineRule="exact"/>
        <w:rPr>
          <w:sz w:val="20"/>
          <w:szCs w:val="20"/>
          <w:color w:val="auto"/>
        </w:rPr>
      </w:pPr>
    </w:p>
    <w:p>
      <w:pPr>
        <w:ind w:left="140" w:hanging="132"/>
        <w:spacing w:after="0"/>
        <w:tabs>
          <w:tab w:leader="none" w:pos="140" w:val="left"/>
        </w:tabs>
        <w:numPr>
          <w:ilvl w:val="0"/>
          <w:numId w:val="14"/>
        </w:numPr>
        <w:rPr>
          <w:rFonts w:ascii="Arial" w:cs="Arial" w:eastAsia="Arial" w:hAnsi="Arial"/>
          <w:sz w:val="16"/>
          <w:szCs w:val="16"/>
          <w:color w:val="auto"/>
          <w:vertAlign w:val="superscript"/>
        </w:rPr>
      </w:pPr>
      <w:r>
        <w:rPr>
          <w:rFonts w:ascii="Arial" w:cs="Arial" w:eastAsia="Arial" w:hAnsi="Arial"/>
          <w:sz w:val="13"/>
          <w:szCs w:val="13"/>
          <w:color w:val="auto"/>
        </w:rPr>
        <w:t>These accumulated other comprehensive loss components are included in the computation of net periodic benefit (income) cost (see Note 9).</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706" w:right="23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color w:val="auto"/>
        </w:rPr>
        <w:t>Note 12: Other–Net, (Income) Expense</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Other–net, (income) expense consisted of the following:</w:t>
      </w:r>
    </w:p>
    <w:p>
      <w:pPr>
        <w:spacing w:after="0" w:line="159" w:lineRule="exact"/>
        <w:rPr>
          <w:sz w:val="20"/>
          <w:szCs w:val="20"/>
          <w:color w:val="auto"/>
        </w:rPr>
      </w:pPr>
    </w:p>
    <w:p>
      <w:pPr>
        <w:jc w:val="right"/>
        <w:ind w:right="460"/>
        <w:spacing w:after="0"/>
        <w:rPr>
          <w:sz w:val="20"/>
          <w:szCs w:val="20"/>
          <w:color w:val="auto"/>
        </w:rPr>
      </w:pPr>
      <w:r>
        <w:rPr>
          <w:rFonts w:ascii="Arial" w:cs="Arial" w:eastAsia="Arial" w:hAnsi="Arial"/>
          <w:sz w:val="14"/>
          <w:szCs w:val="14"/>
          <w:b w:val="1"/>
          <w:bCs w:val="1"/>
          <w:color w:val="auto"/>
        </w:rPr>
        <w:t>Three Months Ended</w:t>
      </w:r>
    </w:p>
    <w:p>
      <w:pPr>
        <w:spacing w:after="0" w:line="19" w:lineRule="exact"/>
        <w:rPr>
          <w:sz w:val="20"/>
          <w:szCs w:val="20"/>
          <w:color w:val="auto"/>
        </w:rPr>
      </w:pPr>
    </w:p>
    <w:p>
      <w:pPr>
        <w:ind w:left="990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5725160</wp:posOffset>
            </wp:positionH>
            <wp:positionV relativeFrom="paragraph">
              <wp:posOffset>14605</wp:posOffset>
            </wp:positionV>
            <wp:extent cx="152654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526540" cy="8890"/>
                    </a:xfrm>
                    <a:prstGeom prst="rect">
                      <a:avLst/>
                    </a:prstGeom>
                    <a:noFill/>
                  </pic:spPr>
                </pic:pic>
              </a:graphicData>
            </a:graphic>
          </wp:anchor>
        </w:drawing>
      </w:r>
    </w:p>
    <w:p>
      <w:pPr>
        <w:sectPr>
          <w:pgSz w:w="11900" w:h="16838" w:orient="portrait"/>
          <w:cols w:equalWidth="0" w:num="1">
            <w:col w:w="11380"/>
          </w:cols>
          <w:pgMar w:left="240" w:top="576" w:right="279" w:bottom="1440" w:gutter="0" w:footer="0" w:header="0"/>
        </w:sectPr>
      </w:pPr>
    </w:p>
    <w:p>
      <w:pPr>
        <w:spacing w:after="0" w:line="360" w:lineRule="exact"/>
        <w:rPr>
          <w:sz w:val="20"/>
          <w:szCs w:val="20"/>
          <w:color w:val="auto"/>
        </w:rPr>
      </w:pPr>
    </w:p>
    <w:p>
      <w:pPr>
        <w:ind w:left="40"/>
        <w:spacing w:after="0"/>
        <w:rPr>
          <w:sz w:val="20"/>
          <w:szCs w:val="20"/>
          <w:color w:val="auto"/>
        </w:rPr>
      </w:pPr>
      <w:r>
        <w:rPr>
          <w:rFonts w:ascii="Arial" w:cs="Arial" w:eastAsia="Arial" w:hAnsi="Arial"/>
          <w:sz w:val="18"/>
          <w:szCs w:val="18"/>
          <w:color w:val="auto"/>
        </w:rPr>
        <w:t>Interest expense</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Interest income</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Retirement benefit</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Other income</w:t>
      </w:r>
    </w:p>
    <w:p>
      <w:pPr>
        <w:spacing w:after="0" w:line="77" w:lineRule="exact"/>
        <w:rPr>
          <w:sz w:val="20"/>
          <w:szCs w:val="20"/>
          <w:color w:val="auto"/>
        </w:rPr>
      </w:pPr>
    </w:p>
    <w:p>
      <w:pPr>
        <w:ind w:left="40"/>
        <w:spacing w:after="0"/>
        <w:rPr>
          <w:sz w:val="20"/>
          <w:szCs w:val="20"/>
          <w:color w:val="auto"/>
        </w:rPr>
      </w:pPr>
      <w:r>
        <w:rPr>
          <w:rFonts w:ascii="Arial" w:cs="Arial" w:eastAsia="Arial" w:hAnsi="Arial"/>
          <w:sz w:val="17"/>
          <w:szCs w:val="17"/>
          <w:color w:val="auto"/>
        </w:rPr>
        <w:t>Other–net, (income) expense</w:t>
      </w:r>
    </w:p>
    <w:p>
      <w:pPr>
        <w:spacing w:after="0" w:line="20" w:lineRule="exact"/>
        <w:rPr>
          <w:sz w:val="20"/>
          <w:szCs w:val="20"/>
          <w:color w:val="auto"/>
        </w:rPr>
      </w:pPr>
      <w:r>
        <w:rPr>
          <w:sz w:val="20"/>
          <w:szCs w:val="20"/>
          <w:color w:val="auto"/>
        </w:rPr>
        <w:br w:type="column"/>
      </w:r>
    </w:p>
    <w:p>
      <w:pPr>
        <w:spacing w:after="0" w:line="85" w:lineRule="exact"/>
        <w:rPr>
          <w:sz w:val="20"/>
          <w:szCs w:val="20"/>
          <w:color w:val="auto"/>
        </w:rPr>
      </w:pPr>
    </w:p>
    <w:p>
      <w:pPr>
        <w:ind w:left="380"/>
        <w:spacing w:after="0"/>
        <w:tabs>
          <w:tab w:leader="none" w:pos="1620" w:val="left"/>
        </w:tabs>
        <w:rPr>
          <w:sz w:val="20"/>
          <w:szCs w:val="20"/>
          <w:color w:val="auto"/>
        </w:rPr>
      </w:pPr>
      <w:r>
        <w:rPr>
          <w:rFonts w:ascii="Arial" w:cs="Arial" w:eastAsia="Arial" w:hAnsi="Arial"/>
          <w:sz w:val="14"/>
          <w:szCs w:val="14"/>
          <w:b w:val="1"/>
          <w:bCs w:val="1"/>
          <w:color w:val="auto"/>
        </w:rPr>
        <w:t>2018</w:t>
      </w:r>
      <w:r>
        <w:rPr>
          <w:sz w:val="20"/>
          <w:szCs w:val="20"/>
          <w:color w:val="auto"/>
        </w:rPr>
        <w:tab/>
      </w:r>
      <w:r>
        <w:rPr>
          <w:rFonts w:ascii="Arial" w:cs="Arial" w:eastAsia="Arial" w:hAnsi="Arial"/>
          <w:sz w:val="14"/>
          <w:szCs w:val="14"/>
          <w:b w:val="1"/>
          <w:bCs w:val="1"/>
          <w:color w:val="auto"/>
        </w:rPr>
        <w:t>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-5734685</wp:posOffset>
            </wp:positionH>
            <wp:positionV relativeFrom="paragraph">
              <wp:posOffset>26035</wp:posOffset>
            </wp:positionV>
            <wp:extent cx="7246620" cy="18034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52" w:lineRule="exact"/>
        <w:rPr>
          <w:sz w:val="20"/>
          <w:szCs w:val="20"/>
          <w:color w:val="auto"/>
        </w:rPr>
      </w:pPr>
    </w:p>
    <w:p>
      <w:pPr>
        <w:spacing w:after="0"/>
        <w:tabs>
          <w:tab w:leader="none" w:pos="640" w:val="left"/>
          <w:tab w:leader="none" w:pos="1240" w:val="left"/>
          <w:tab w:leader="none" w:pos="1900" w:val="left"/>
        </w:tabs>
        <w:rPr>
          <w:sz w:val="20"/>
          <w:szCs w:val="20"/>
          <w:color w:val="auto"/>
        </w:rPr>
      </w:pPr>
      <w:r>
        <w:rPr>
          <w:rFonts w:ascii="Arial" w:cs="Arial" w:eastAsia="Arial" w:hAnsi="Arial"/>
          <w:sz w:val="18"/>
          <w:szCs w:val="18"/>
          <w:b w:val="1"/>
          <w:bCs w:val="1"/>
          <w:color w:val="auto"/>
        </w:rPr>
        <w:t>$</w:t>
      </w:r>
      <w:r>
        <w:rPr>
          <w:sz w:val="20"/>
          <w:szCs w:val="20"/>
          <w:color w:val="auto"/>
        </w:rPr>
        <w:tab/>
      </w:r>
      <w:r>
        <w:rPr>
          <w:rFonts w:ascii="Arial" w:cs="Arial" w:eastAsia="Arial" w:hAnsi="Arial"/>
          <w:sz w:val="18"/>
          <w:szCs w:val="18"/>
          <w:b w:val="1"/>
          <w:bCs w:val="1"/>
          <w:color w:val="auto"/>
        </w:rPr>
        <w:t>61.2</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46.6</w:t>
      </w:r>
    </w:p>
    <w:p>
      <w:pPr>
        <w:spacing w:after="0" w:line="63" w:lineRule="exact"/>
        <w:rPr>
          <w:sz w:val="20"/>
          <w:szCs w:val="20"/>
          <w:color w:val="auto"/>
        </w:rPr>
      </w:pPr>
    </w:p>
    <w:p>
      <w:pPr>
        <w:jc w:val="right"/>
        <w:spacing w:after="0"/>
        <w:tabs>
          <w:tab w:leader="none" w:pos="460" w:val="left"/>
        </w:tabs>
        <w:rPr>
          <w:sz w:val="20"/>
          <w:szCs w:val="20"/>
          <w:color w:val="auto"/>
        </w:rPr>
      </w:pPr>
      <w:r>
        <w:rPr>
          <w:rFonts w:ascii="Arial" w:cs="Arial" w:eastAsia="Arial" w:hAnsi="Arial"/>
          <w:sz w:val="18"/>
          <w:szCs w:val="18"/>
          <w:b w:val="1"/>
          <w:bCs w:val="1"/>
          <w:color w:val="auto"/>
        </w:rPr>
        <w:t>(45.5)</w:t>
      </w:r>
      <w:r>
        <w:rPr>
          <w:sz w:val="20"/>
          <w:szCs w:val="20"/>
          <w:color w:val="auto"/>
        </w:rPr>
        <w:tab/>
      </w:r>
      <w:r>
        <w:rPr>
          <w:rFonts w:ascii="Arial" w:cs="Arial" w:eastAsia="Arial" w:hAnsi="Arial"/>
          <w:sz w:val="18"/>
          <w:szCs w:val="18"/>
          <w:color w:val="auto"/>
        </w:rPr>
        <w:t>(32.6)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-5734685</wp:posOffset>
            </wp:positionH>
            <wp:positionV relativeFrom="paragraph">
              <wp:posOffset>28575</wp:posOffset>
            </wp:positionV>
            <wp:extent cx="7246620" cy="17145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jc w:val="right"/>
        <w:spacing w:after="0"/>
        <w:tabs>
          <w:tab w:leader="none" w:pos="460" w:val="left"/>
        </w:tabs>
        <w:rPr>
          <w:sz w:val="20"/>
          <w:szCs w:val="20"/>
          <w:color w:val="auto"/>
        </w:rPr>
      </w:pPr>
      <w:r>
        <w:rPr>
          <w:rFonts w:ascii="Arial" w:cs="Arial" w:eastAsia="Arial" w:hAnsi="Arial"/>
          <w:sz w:val="18"/>
          <w:szCs w:val="18"/>
          <w:b w:val="1"/>
          <w:bCs w:val="1"/>
          <w:color w:val="auto"/>
        </w:rPr>
        <w:t>(56.4)</w:t>
      </w:r>
      <w:r>
        <w:rPr>
          <w:sz w:val="20"/>
          <w:szCs w:val="20"/>
          <w:color w:val="auto"/>
        </w:rPr>
        <w:tab/>
      </w:r>
      <w:r>
        <w:rPr>
          <w:rFonts w:ascii="Arial" w:cs="Arial" w:eastAsia="Arial" w:hAnsi="Arial"/>
          <w:sz w:val="18"/>
          <w:szCs w:val="18"/>
          <w:color w:val="auto"/>
        </w:rPr>
        <w:t>(63.2)</w:t>
      </w:r>
    </w:p>
    <w:p>
      <w:pPr>
        <w:spacing w:after="0" w:line="63" w:lineRule="exact"/>
        <w:rPr>
          <w:sz w:val="20"/>
          <w:szCs w:val="20"/>
          <w:color w:val="auto"/>
        </w:rPr>
      </w:pPr>
    </w:p>
    <w:p>
      <w:pPr>
        <w:jc w:val="right"/>
        <w:spacing w:after="0"/>
        <w:tabs>
          <w:tab w:leader="none" w:pos="460" w:val="left"/>
        </w:tabs>
        <w:rPr>
          <w:sz w:val="20"/>
          <w:szCs w:val="20"/>
          <w:color w:val="auto"/>
        </w:rPr>
      </w:pPr>
      <w:r>
        <w:rPr>
          <w:rFonts w:ascii="Arial" w:cs="Arial" w:eastAsia="Arial" w:hAnsi="Arial"/>
          <w:sz w:val="18"/>
          <w:szCs w:val="18"/>
          <w:b w:val="1"/>
          <w:bCs w:val="1"/>
          <w:color w:val="auto"/>
        </w:rPr>
        <w:t>(26.8)</w:t>
      </w:r>
      <w:r>
        <w:rPr>
          <w:sz w:val="20"/>
          <w:szCs w:val="20"/>
          <w:color w:val="auto"/>
        </w:rPr>
        <w:tab/>
      </w:r>
      <w:r>
        <w:rPr>
          <w:rFonts w:ascii="Arial" w:cs="Arial" w:eastAsia="Arial" w:hAnsi="Arial"/>
          <w:sz w:val="18"/>
          <w:szCs w:val="18"/>
          <w:color w:val="auto"/>
        </w:rPr>
        <w:t>(29.1)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-5734685</wp:posOffset>
            </wp:positionH>
            <wp:positionV relativeFrom="paragraph">
              <wp:posOffset>28575</wp:posOffset>
            </wp:positionV>
            <wp:extent cx="7246620" cy="18859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188595"/>
                    </a:xfrm>
                    <a:prstGeom prst="rect">
                      <a:avLst/>
                    </a:prstGeom>
                    <a:noFill/>
                  </pic:spPr>
                </pic:pic>
              </a:graphicData>
            </a:graphic>
          </wp:anchor>
        </w:drawing>
      </w:r>
    </w:p>
    <w:p>
      <w:pPr>
        <w:spacing w:after="0" w:line="43" w:lineRule="exact"/>
        <w:rPr>
          <w:sz w:val="20"/>
          <w:szCs w:val="20"/>
          <w:color w:val="auto"/>
        </w:rPr>
      </w:pPr>
    </w:p>
    <w:p>
      <w:pPr>
        <w:spacing w:after="0"/>
        <w:tabs>
          <w:tab w:leader="none" w:pos="580" w:val="left"/>
          <w:tab w:leader="none" w:pos="1240" w:val="left"/>
          <w:tab w:leader="none" w:pos="1840" w:val="left"/>
        </w:tabs>
        <w:rPr>
          <w:sz w:val="20"/>
          <w:szCs w:val="20"/>
          <w:color w:val="auto"/>
        </w:rPr>
      </w:pPr>
      <w:r>
        <w:rPr>
          <w:rFonts w:ascii="Arial" w:cs="Arial" w:eastAsia="Arial" w:hAnsi="Arial"/>
          <w:sz w:val="18"/>
          <w:szCs w:val="18"/>
          <w:b w:val="1"/>
          <w:bCs w:val="1"/>
          <w:color w:val="auto"/>
        </w:rPr>
        <w:t>$</w:t>
      </w:r>
      <w:r>
        <w:rPr>
          <w:sz w:val="20"/>
          <w:szCs w:val="20"/>
          <w:color w:val="auto"/>
        </w:rPr>
        <w:tab/>
      </w:r>
      <w:r>
        <w:rPr>
          <w:rFonts w:ascii="Arial" w:cs="Arial" w:eastAsia="Arial" w:hAnsi="Arial"/>
          <w:sz w:val="18"/>
          <w:szCs w:val="18"/>
          <w:b w:val="1"/>
          <w:bCs w:val="1"/>
          <w:color w:val="auto"/>
        </w:rPr>
        <w:t>(67.5)</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(78.3)</w:t>
      </w:r>
    </w:p>
    <w:p>
      <w:pPr>
        <w:spacing w:after="0" w:line="223" w:lineRule="exact"/>
        <w:rPr>
          <w:sz w:val="20"/>
          <w:szCs w:val="20"/>
          <w:color w:val="auto"/>
        </w:rPr>
      </w:pPr>
    </w:p>
    <w:p>
      <w:pPr>
        <w:sectPr>
          <w:pgSz w:w="11900" w:h="16838" w:orient="portrait"/>
          <w:cols w:equalWidth="0" w:num="2">
            <w:col w:w="8320" w:space="720"/>
            <w:col w:w="2340"/>
          </w:cols>
          <w:pgMar w:left="240" w:top="576" w:right="279" w:bottom="1440" w:gutter="0" w:footer="0" w:header="0"/>
          <w:type w:val="continuous"/>
        </w:sectPr>
      </w:pPr>
    </w:p>
    <w:p>
      <w:pPr>
        <w:spacing w:after="0" w:line="154" w:lineRule="exact"/>
        <w:rPr>
          <w:sz w:val="20"/>
          <w:szCs w:val="20"/>
          <w:color w:val="auto"/>
        </w:rPr>
      </w:pPr>
    </w:p>
    <w:p>
      <w:pPr>
        <w:ind w:right="100"/>
        <w:spacing w:after="0" w:line="261" w:lineRule="auto"/>
        <w:rPr>
          <w:sz w:val="20"/>
          <w:szCs w:val="20"/>
          <w:color w:val="auto"/>
        </w:rPr>
      </w:pPr>
      <w:r>
        <w:rPr>
          <w:rFonts w:ascii="Arial" w:cs="Arial" w:eastAsia="Arial" w:hAnsi="Arial"/>
          <w:sz w:val="18"/>
          <w:szCs w:val="18"/>
          <w:color w:val="auto"/>
        </w:rPr>
        <w:t xml:space="preserve">As discussed in Note 2, upon adoption of Accounting Standards Update 2017-07, </w:t>
      </w:r>
      <w:r>
        <w:rPr>
          <w:rFonts w:ascii="Arial" w:cs="Arial" w:eastAsia="Arial" w:hAnsi="Arial"/>
          <w:sz w:val="18"/>
          <w:szCs w:val="18"/>
          <w:i w:val="1"/>
          <w:iCs w:val="1"/>
          <w:color w:val="auto"/>
        </w:rPr>
        <w:t>Compensation-Retirement Benefits: Improving the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Presentation of Net Periodic Pension Cost and Net Periodic Postretirement Benefit Cost, </w:t>
      </w:r>
      <w:r>
        <w:rPr>
          <w:rFonts w:ascii="Arial" w:cs="Arial" w:eastAsia="Arial" w:hAnsi="Arial"/>
          <w:sz w:val="18"/>
          <w:szCs w:val="18"/>
          <w:color w:val="auto"/>
        </w:rPr>
        <w:t>pension and postretirement benefit cost components</w:t>
      </w:r>
      <w:r>
        <w:rPr>
          <w:rFonts w:ascii="Arial" w:cs="Arial" w:eastAsia="Arial" w:hAnsi="Arial"/>
          <w:sz w:val="18"/>
          <w:szCs w:val="18"/>
          <w:i w:val="1"/>
          <w:iCs w:val="1"/>
          <w:color w:val="auto"/>
        </w:rPr>
        <w:t xml:space="preserve"> </w:t>
      </w:r>
      <w:r>
        <w:rPr>
          <w:rFonts w:ascii="Arial" w:cs="Arial" w:eastAsia="Arial" w:hAnsi="Arial"/>
          <w:sz w:val="18"/>
          <w:szCs w:val="18"/>
          <w:color w:val="auto"/>
        </w:rPr>
        <w:t>other than service costs is presented in other–net, (income) expense. Results for the three months ended March 31, 2017 have been reclassified to reflect the adoption of this standard.</w:t>
      </w: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380"/>
          </w:cols>
          <w:pgMar w:left="240" w:top="576" w:right="279" w:bottom="1440" w:gutter="0" w:footer="0" w:header="0"/>
          <w:type w:val="continuous"/>
        </w:sectPr>
      </w:pPr>
    </w:p>
    <w:bookmarkStart w:id="32" w:name="page33"/>
    <w:bookmarkEnd w:id="32"/>
    <w:p>
      <w:pPr>
        <w:spacing w:after="0"/>
        <w:rPr>
          <w:sz w:val="20"/>
          <w:szCs w:val="20"/>
          <w:color w:val="auto"/>
        </w:rPr>
      </w:pPr>
      <w:r>
        <w:rPr>
          <w:rFonts w:ascii="Arial" w:cs="Arial" w:eastAsia="Arial" w:hAnsi="Arial"/>
          <w:sz w:val="18"/>
          <w:szCs w:val="18"/>
          <w:b w:val="1"/>
          <w:bCs w:val="1"/>
          <w:color w:val="auto"/>
        </w:rPr>
        <w:t>Note 13: Segment Information</w:t>
      </w:r>
    </w:p>
    <w:p>
      <w:pPr>
        <w:spacing w:after="0" w:line="139"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We have two operating segments—human pharmaceutical products and animal health products. Our operating segments are distinguished by the ultimate end user of the product—humans or animals. Performance is evaluated based on profit or loss from operations before income taxes.</w:t>
      </w:r>
    </w:p>
    <w:p>
      <w:pPr>
        <w:spacing w:after="0" w:line="136" w:lineRule="exact"/>
        <w:rPr>
          <w:sz w:val="20"/>
          <w:szCs w:val="20"/>
          <w:color w:val="auto"/>
        </w:rPr>
      </w:pPr>
    </w:p>
    <w:p>
      <w:pPr>
        <w:ind w:left="6840"/>
        <w:spacing w:after="0"/>
        <w:rPr>
          <w:sz w:val="20"/>
          <w:szCs w:val="20"/>
          <w:color w:val="auto"/>
        </w:rPr>
      </w:pPr>
      <w:r>
        <w:rPr>
          <w:rFonts w:ascii="Arial" w:cs="Arial" w:eastAsia="Arial" w:hAnsi="Arial"/>
          <w:sz w:val="14"/>
          <w:szCs w:val="14"/>
          <w:b w:val="1"/>
          <w:bCs w:val="1"/>
          <w:color w:val="auto"/>
        </w:rPr>
        <w:t>Three Months Ended</w:t>
      </w:r>
    </w:p>
    <w:p>
      <w:pPr>
        <w:spacing w:after="0" w:line="19" w:lineRule="exact"/>
        <w:rPr>
          <w:sz w:val="20"/>
          <w:szCs w:val="20"/>
          <w:color w:val="auto"/>
        </w:rPr>
      </w:pPr>
    </w:p>
    <w:p>
      <w:pPr>
        <w:ind w:left="724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2346325</wp:posOffset>
            </wp:positionH>
            <wp:positionV relativeFrom="paragraph">
              <wp:posOffset>14605</wp:posOffset>
            </wp:positionV>
            <wp:extent cx="4905375"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4905375" cy="8890"/>
                    </a:xfrm>
                    <a:prstGeom prst="rect">
                      <a:avLst/>
                    </a:prstGeom>
                    <a:noFill/>
                  </pic:spPr>
                </pic:pic>
              </a:graphicData>
            </a:graphic>
          </wp:anchor>
        </w:drawing>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370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2018</w:t>
            </w:r>
          </w:p>
        </w:tc>
        <w:tc>
          <w:tcPr>
            <w:tcW w:w="3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rPr>
              <w:t>2017</w:t>
            </w:r>
          </w:p>
        </w:tc>
        <w:tc>
          <w:tcPr>
            <w:tcW w:w="3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r>
      <w:tr>
        <w:trPr>
          <w:trHeight w:val="270"/>
        </w:trPr>
        <w:tc>
          <w:tcPr>
            <w:tcW w:w="3700" w:type="dxa"/>
            <w:vAlign w:val="bottom"/>
            <w:tcBorders>
              <w:bottom w:val="single" w:sz="8" w:color="auto"/>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ind w:right="291"/>
              <w:spacing w:after="0"/>
              <w:rPr>
                <w:sz w:val="20"/>
                <w:szCs w:val="20"/>
                <w:color w:val="auto"/>
              </w:rPr>
            </w:pPr>
            <w:r>
              <w:rPr>
                <w:rFonts w:ascii="Arial" w:cs="Arial" w:eastAsia="Arial" w:hAnsi="Arial"/>
                <w:sz w:val="14"/>
                <w:szCs w:val="14"/>
                <w:b w:val="1"/>
                <w:bCs w:val="1"/>
                <w:color w:val="auto"/>
              </w:rPr>
              <w:t xml:space="preserve">U.S. </w:t>
            </w:r>
            <w:r>
              <w:rPr>
                <w:rFonts w:ascii="Arial" w:cs="Arial" w:eastAsia="Arial" w:hAnsi="Arial"/>
                <w:sz w:val="17"/>
                <w:szCs w:val="17"/>
                <w:b w:val="1"/>
                <w:bCs w:val="1"/>
                <w:color w:val="auto"/>
                <w:vertAlign w:val="superscript"/>
              </w:rPr>
              <w:t>(1)</w:t>
            </w:r>
          </w:p>
        </w:tc>
        <w:tc>
          <w:tcPr>
            <w:tcW w:w="22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ind w:right="91"/>
              <w:spacing w:after="0"/>
              <w:rPr>
                <w:sz w:val="20"/>
                <w:szCs w:val="20"/>
                <w:color w:val="auto"/>
              </w:rPr>
            </w:pPr>
            <w:r>
              <w:rPr>
                <w:rFonts w:ascii="Arial" w:cs="Arial" w:eastAsia="Arial" w:hAnsi="Arial"/>
                <w:sz w:val="14"/>
                <w:szCs w:val="14"/>
                <w:b w:val="1"/>
                <w:bCs w:val="1"/>
                <w:color w:val="auto"/>
              </w:rPr>
              <w:t>Outside U.S.</w:t>
            </w:r>
          </w:p>
        </w:tc>
        <w:tc>
          <w:tcPr>
            <w:tcW w:w="34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Total</w:t>
            </w:r>
          </w:p>
        </w:tc>
        <w:tc>
          <w:tcPr>
            <w:tcW w:w="36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ind w:right="291"/>
              <w:spacing w:after="0"/>
              <w:rPr>
                <w:sz w:val="20"/>
                <w:szCs w:val="20"/>
                <w:color w:val="auto"/>
              </w:rPr>
            </w:pPr>
            <w:r>
              <w:rPr>
                <w:rFonts w:ascii="Arial" w:cs="Arial" w:eastAsia="Arial" w:hAnsi="Arial"/>
                <w:sz w:val="14"/>
                <w:szCs w:val="14"/>
                <w:b w:val="1"/>
                <w:bCs w:val="1"/>
                <w:color w:val="auto"/>
              </w:rPr>
              <w:t xml:space="preserve">U.S. </w:t>
            </w:r>
            <w:r>
              <w:rPr>
                <w:rFonts w:ascii="Arial" w:cs="Arial" w:eastAsia="Arial" w:hAnsi="Arial"/>
                <w:sz w:val="17"/>
                <w:szCs w:val="17"/>
                <w:b w:val="1"/>
                <w:bCs w:val="1"/>
                <w:color w:val="auto"/>
                <w:vertAlign w:val="superscript"/>
              </w:rPr>
              <w:t>(1)</w:t>
            </w:r>
          </w:p>
        </w:tc>
        <w:tc>
          <w:tcPr>
            <w:tcW w:w="20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ind w:right="91"/>
              <w:spacing w:after="0"/>
              <w:rPr>
                <w:sz w:val="20"/>
                <w:szCs w:val="20"/>
                <w:color w:val="auto"/>
              </w:rPr>
            </w:pPr>
            <w:r>
              <w:rPr>
                <w:rFonts w:ascii="Arial" w:cs="Arial" w:eastAsia="Arial" w:hAnsi="Arial"/>
                <w:sz w:val="14"/>
                <w:szCs w:val="14"/>
                <w:b w:val="1"/>
                <w:bCs w:val="1"/>
                <w:color w:val="auto"/>
              </w:rPr>
              <w:t>Outside U.S.</w:t>
            </w:r>
          </w:p>
        </w:tc>
        <w:tc>
          <w:tcPr>
            <w:tcW w:w="32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ind w:right="371"/>
              <w:spacing w:after="0"/>
              <w:rPr>
                <w:sz w:val="20"/>
                <w:szCs w:val="20"/>
                <w:color w:val="auto"/>
              </w:rPr>
            </w:pPr>
            <w:r>
              <w:rPr>
                <w:rFonts w:ascii="Arial" w:cs="Arial" w:eastAsia="Arial" w:hAnsi="Arial"/>
                <w:sz w:val="14"/>
                <w:szCs w:val="14"/>
                <w:b w:val="1"/>
                <w:bCs w:val="1"/>
                <w:color w:val="auto"/>
              </w:rPr>
              <w:t>Total</w:t>
            </w:r>
          </w:p>
        </w:tc>
      </w:tr>
      <w:tr>
        <w:trPr>
          <w:trHeight w:val="237"/>
        </w:trPr>
        <w:tc>
          <w:tcPr>
            <w:tcW w:w="3700" w:type="dxa"/>
            <w:vAlign w:val="bottom"/>
          </w:tcPr>
          <w:p>
            <w:pPr>
              <w:ind w:left="40"/>
              <w:spacing w:after="0"/>
              <w:rPr>
                <w:sz w:val="20"/>
                <w:szCs w:val="20"/>
                <w:color w:val="auto"/>
              </w:rPr>
            </w:pPr>
            <w:r>
              <w:rPr>
                <w:rFonts w:ascii="Arial" w:cs="Arial" w:eastAsia="Arial" w:hAnsi="Arial"/>
                <w:sz w:val="18"/>
                <w:szCs w:val="18"/>
                <w:color w:val="auto"/>
              </w:rPr>
              <w:t>Segment revenue—to unaffiliated customers:</w:t>
            </w:r>
          </w:p>
        </w:tc>
        <w:tc>
          <w:tcPr>
            <w:tcW w:w="2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284"/>
        </w:trPr>
        <w:tc>
          <w:tcPr>
            <w:tcW w:w="3700" w:type="dxa"/>
            <w:vAlign w:val="bottom"/>
          </w:tcPr>
          <w:p>
            <w:pPr>
              <w:ind w:left="180"/>
              <w:spacing w:after="0"/>
              <w:rPr>
                <w:sz w:val="20"/>
                <w:szCs w:val="20"/>
                <w:color w:val="auto"/>
              </w:rPr>
            </w:pPr>
            <w:r>
              <w:rPr>
                <w:rFonts w:ascii="Arial" w:cs="Arial" w:eastAsia="Arial" w:hAnsi="Arial"/>
                <w:sz w:val="18"/>
                <w:szCs w:val="18"/>
                <w:color w:val="auto"/>
              </w:rPr>
              <w:t>Human pharmaceutical products:</w:t>
            </w: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277"/>
        </w:trPr>
        <w:tc>
          <w:tcPr>
            <w:tcW w:w="3700" w:type="dxa"/>
            <w:vAlign w:val="bottom"/>
          </w:tcPr>
          <w:p>
            <w:pPr>
              <w:ind w:left="280"/>
              <w:spacing w:after="0"/>
              <w:rPr>
                <w:sz w:val="20"/>
                <w:szCs w:val="20"/>
                <w:color w:val="auto"/>
              </w:rPr>
            </w:pPr>
            <w:r>
              <w:rPr>
                <w:rFonts w:ascii="Arial" w:cs="Arial" w:eastAsia="Arial" w:hAnsi="Arial"/>
                <w:sz w:val="18"/>
                <w:szCs w:val="18"/>
                <w:color w:val="auto"/>
              </w:rPr>
              <w:t>Endocrinology:</w:t>
            </w: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277"/>
        </w:trPr>
        <w:tc>
          <w:tcPr>
            <w:tcW w:w="3700" w:type="dxa"/>
            <w:vAlign w:val="bottom"/>
            <w:shd w:val="clear" w:color="auto" w:fill="CCEEFF"/>
          </w:tcPr>
          <w:p>
            <w:pPr>
              <w:ind w:left="720"/>
              <w:spacing w:after="0"/>
              <w:rPr>
                <w:sz w:val="20"/>
                <w:szCs w:val="20"/>
                <w:color w:val="auto"/>
              </w:rPr>
            </w:pPr>
            <w:r>
              <w:rPr>
                <w:rFonts w:ascii="Arial" w:cs="Arial" w:eastAsia="Arial" w:hAnsi="Arial"/>
                <w:sz w:val="18"/>
                <w:szCs w:val="18"/>
                <w:i w:val="1"/>
                <w:iCs w:val="1"/>
                <w:color w:val="auto"/>
              </w:rPr>
              <w:t>Humalog</w:t>
            </w:r>
            <w:r>
              <w:rPr>
                <w:rFonts w:ascii="Arial" w:cs="Arial" w:eastAsia="Arial" w:hAnsi="Arial"/>
                <w:sz w:val="21"/>
                <w:szCs w:val="21"/>
                <w:i w:val="1"/>
                <w:iCs w:val="1"/>
                <w:color w:val="auto"/>
                <w:vertAlign w:val="superscript"/>
              </w:rPr>
              <w:t>®</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504.1</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287.6</w:t>
            </w:r>
          </w:p>
        </w:tc>
        <w:tc>
          <w:tcPr>
            <w:tcW w:w="34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w:t>
            </w:r>
          </w:p>
        </w:tc>
        <w:tc>
          <w:tcPr>
            <w:tcW w:w="980" w:type="dxa"/>
            <w:vAlign w:val="bottom"/>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791.7</w:t>
            </w:r>
          </w:p>
        </w:tc>
        <w:tc>
          <w:tcPr>
            <w:tcW w:w="3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449.1</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259.4</w:t>
            </w:r>
          </w:p>
        </w:tc>
        <w:tc>
          <w:tcPr>
            <w:tcW w:w="3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708.4</w:t>
            </w:r>
          </w:p>
        </w:tc>
      </w:tr>
      <w:tr>
        <w:trPr>
          <w:trHeight w:val="270"/>
        </w:trPr>
        <w:tc>
          <w:tcPr>
            <w:tcW w:w="3700" w:type="dxa"/>
            <w:vAlign w:val="bottom"/>
          </w:tcPr>
          <w:p>
            <w:pPr>
              <w:ind w:left="720"/>
              <w:spacing w:after="0"/>
              <w:rPr>
                <w:sz w:val="20"/>
                <w:szCs w:val="20"/>
                <w:color w:val="auto"/>
              </w:rPr>
            </w:pPr>
            <w:r>
              <w:rPr>
                <w:rFonts w:ascii="Arial" w:cs="Arial" w:eastAsia="Arial" w:hAnsi="Arial"/>
                <w:sz w:val="18"/>
                <w:szCs w:val="18"/>
                <w:i w:val="1"/>
                <w:iCs w:val="1"/>
                <w:color w:val="auto"/>
              </w:rPr>
              <w:t>Trulicity</w:t>
            </w:r>
            <w:r>
              <w:rPr>
                <w:rFonts w:ascii="Arial" w:cs="Arial" w:eastAsia="Arial" w:hAnsi="Arial"/>
                <w:sz w:val="21"/>
                <w:szCs w:val="21"/>
                <w:i w:val="1"/>
                <w:iCs w:val="1"/>
                <w:color w:val="auto"/>
                <w:vertAlign w:val="superscript"/>
              </w:rPr>
              <w:t>®</w:t>
            </w:r>
          </w:p>
        </w:tc>
        <w:tc>
          <w:tcPr>
            <w:tcW w:w="26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528.2</w:t>
            </w:r>
          </w:p>
        </w:tc>
        <w:tc>
          <w:tcPr>
            <w:tcW w:w="22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150.1</w:t>
            </w:r>
          </w:p>
        </w:tc>
        <w:tc>
          <w:tcPr>
            <w:tcW w:w="340" w:type="dxa"/>
            <w:vAlign w:val="bottom"/>
          </w:tcPr>
          <w:p>
            <w:pPr>
              <w:spacing w:after="0"/>
              <w:rPr>
                <w:sz w:val="23"/>
                <w:szCs w:val="23"/>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b w:val="1"/>
                <w:bCs w:val="1"/>
                <w:color w:val="auto"/>
              </w:rPr>
              <w:t>678.3</w:t>
            </w:r>
          </w:p>
        </w:tc>
        <w:tc>
          <w:tcPr>
            <w:tcW w:w="36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296.3</w:t>
            </w:r>
          </w:p>
        </w:tc>
        <w:tc>
          <w:tcPr>
            <w:tcW w:w="20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76.6</w:t>
            </w:r>
          </w:p>
        </w:tc>
        <w:tc>
          <w:tcPr>
            <w:tcW w:w="320" w:type="dxa"/>
            <w:vAlign w:val="bottom"/>
          </w:tcPr>
          <w:p>
            <w:pPr>
              <w:spacing w:after="0"/>
              <w:rPr>
                <w:sz w:val="23"/>
                <w:szCs w:val="23"/>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372.9</w:t>
            </w:r>
          </w:p>
        </w:tc>
      </w:tr>
      <w:tr>
        <w:trPr>
          <w:trHeight w:val="270"/>
        </w:trPr>
        <w:tc>
          <w:tcPr>
            <w:tcW w:w="3700" w:type="dxa"/>
            <w:vAlign w:val="bottom"/>
            <w:shd w:val="clear" w:color="auto" w:fill="CCEEFF"/>
          </w:tcPr>
          <w:p>
            <w:pPr>
              <w:ind w:left="720"/>
              <w:spacing w:after="0"/>
              <w:rPr>
                <w:sz w:val="20"/>
                <w:szCs w:val="20"/>
                <w:color w:val="auto"/>
              </w:rPr>
            </w:pPr>
            <w:r>
              <w:rPr>
                <w:rFonts w:ascii="Arial" w:cs="Arial" w:eastAsia="Arial" w:hAnsi="Arial"/>
                <w:sz w:val="18"/>
                <w:szCs w:val="18"/>
                <w:i w:val="1"/>
                <w:iCs w:val="1"/>
                <w:color w:val="auto"/>
              </w:rPr>
              <w:t>Humulin</w:t>
            </w:r>
            <w:r>
              <w:rPr>
                <w:rFonts w:ascii="Arial" w:cs="Arial" w:eastAsia="Arial" w:hAnsi="Arial"/>
                <w:sz w:val="21"/>
                <w:szCs w:val="21"/>
                <w:i w:val="1"/>
                <w:iCs w:val="1"/>
                <w:color w:val="auto"/>
                <w:vertAlign w:val="superscript"/>
              </w:rPr>
              <w:t>®</w:t>
            </w:r>
          </w:p>
        </w:tc>
        <w:tc>
          <w:tcPr>
            <w:tcW w:w="26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221.6</w:t>
            </w:r>
          </w:p>
        </w:tc>
        <w:tc>
          <w:tcPr>
            <w:tcW w:w="22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104.3</w:t>
            </w:r>
          </w:p>
        </w:tc>
        <w:tc>
          <w:tcPr>
            <w:tcW w:w="34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325.9</w:t>
            </w:r>
          </w:p>
        </w:tc>
        <w:tc>
          <w:tcPr>
            <w:tcW w:w="36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205.4</w:t>
            </w:r>
          </w:p>
        </w:tc>
        <w:tc>
          <w:tcPr>
            <w:tcW w:w="20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109.1</w:t>
            </w:r>
          </w:p>
        </w:tc>
        <w:tc>
          <w:tcPr>
            <w:tcW w:w="32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314.5</w:t>
            </w:r>
          </w:p>
        </w:tc>
      </w:tr>
      <w:tr>
        <w:trPr>
          <w:trHeight w:val="270"/>
        </w:trPr>
        <w:tc>
          <w:tcPr>
            <w:tcW w:w="3700" w:type="dxa"/>
            <w:vAlign w:val="bottom"/>
          </w:tcPr>
          <w:p>
            <w:pPr>
              <w:ind w:left="720"/>
              <w:spacing w:after="0"/>
              <w:rPr>
                <w:sz w:val="20"/>
                <w:szCs w:val="20"/>
                <w:color w:val="auto"/>
              </w:rPr>
            </w:pPr>
            <w:r>
              <w:rPr>
                <w:rFonts w:ascii="Arial" w:cs="Arial" w:eastAsia="Arial" w:hAnsi="Arial"/>
                <w:sz w:val="18"/>
                <w:szCs w:val="18"/>
                <w:i w:val="1"/>
                <w:iCs w:val="1"/>
                <w:color w:val="auto"/>
              </w:rPr>
              <w:t>Forteo</w:t>
            </w:r>
            <w:r>
              <w:rPr>
                <w:rFonts w:ascii="Arial" w:cs="Arial" w:eastAsia="Arial" w:hAnsi="Arial"/>
                <w:sz w:val="21"/>
                <w:szCs w:val="21"/>
                <w:i w:val="1"/>
                <w:iCs w:val="1"/>
                <w:color w:val="auto"/>
                <w:vertAlign w:val="superscript"/>
              </w:rPr>
              <w:t>®</w:t>
            </w:r>
          </w:p>
        </w:tc>
        <w:tc>
          <w:tcPr>
            <w:tcW w:w="26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122.1</w:t>
            </w:r>
          </w:p>
        </w:tc>
        <w:tc>
          <w:tcPr>
            <w:tcW w:w="22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191.1</w:t>
            </w:r>
          </w:p>
        </w:tc>
        <w:tc>
          <w:tcPr>
            <w:tcW w:w="340" w:type="dxa"/>
            <w:vAlign w:val="bottom"/>
          </w:tcPr>
          <w:p>
            <w:pPr>
              <w:spacing w:after="0"/>
              <w:rPr>
                <w:sz w:val="23"/>
                <w:szCs w:val="23"/>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b w:val="1"/>
                <w:bCs w:val="1"/>
                <w:color w:val="auto"/>
              </w:rPr>
              <w:t>313.2</w:t>
            </w:r>
          </w:p>
        </w:tc>
        <w:tc>
          <w:tcPr>
            <w:tcW w:w="36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177.7</w:t>
            </w:r>
          </w:p>
        </w:tc>
        <w:tc>
          <w:tcPr>
            <w:tcW w:w="20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169.8</w:t>
            </w:r>
          </w:p>
        </w:tc>
        <w:tc>
          <w:tcPr>
            <w:tcW w:w="320" w:type="dxa"/>
            <w:vAlign w:val="bottom"/>
          </w:tcPr>
          <w:p>
            <w:pPr>
              <w:spacing w:after="0"/>
              <w:rPr>
                <w:sz w:val="23"/>
                <w:szCs w:val="23"/>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347.5</w:t>
            </w:r>
          </w:p>
        </w:tc>
      </w:tr>
      <w:tr>
        <w:trPr>
          <w:trHeight w:val="270"/>
        </w:trPr>
        <w:tc>
          <w:tcPr>
            <w:tcW w:w="3700" w:type="dxa"/>
            <w:vAlign w:val="bottom"/>
            <w:shd w:val="clear" w:color="auto" w:fill="CCEEFF"/>
          </w:tcPr>
          <w:p>
            <w:pPr>
              <w:ind w:left="720"/>
              <w:spacing w:after="0"/>
              <w:rPr>
                <w:sz w:val="20"/>
                <w:szCs w:val="20"/>
                <w:color w:val="auto"/>
              </w:rPr>
            </w:pPr>
            <w:r>
              <w:rPr>
                <w:rFonts w:ascii="Arial" w:cs="Arial" w:eastAsia="Arial" w:hAnsi="Arial"/>
                <w:sz w:val="18"/>
                <w:szCs w:val="18"/>
                <w:i w:val="1"/>
                <w:iCs w:val="1"/>
                <w:color w:val="auto"/>
              </w:rPr>
              <w:t>Basaglar</w:t>
            </w:r>
          </w:p>
        </w:tc>
        <w:tc>
          <w:tcPr>
            <w:tcW w:w="26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126.7</w:t>
            </w:r>
          </w:p>
        </w:tc>
        <w:tc>
          <w:tcPr>
            <w:tcW w:w="22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39.3</w:t>
            </w:r>
          </w:p>
        </w:tc>
        <w:tc>
          <w:tcPr>
            <w:tcW w:w="34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166.0</w:t>
            </w:r>
          </w:p>
        </w:tc>
        <w:tc>
          <w:tcPr>
            <w:tcW w:w="36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w:t>
            </w:r>
          </w:p>
        </w:tc>
        <w:tc>
          <w:tcPr>
            <w:tcW w:w="20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w:t>
            </w:r>
          </w:p>
        </w:tc>
        <w:tc>
          <w:tcPr>
            <w:tcW w:w="32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46.0</w:t>
            </w:r>
          </w:p>
        </w:tc>
      </w:tr>
      <w:tr>
        <w:trPr>
          <w:trHeight w:val="263"/>
        </w:trPr>
        <w:tc>
          <w:tcPr>
            <w:tcW w:w="3700" w:type="dxa"/>
            <w:vAlign w:val="bottom"/>
          </w:tcPr>
          <w:p>
            <w:pPr>
              <w:ind w:left="720"/>
              <w:spacing w:after="0"/>
              <w:rPr>
                <w:sz w:val="20"/>
                <w:szCs w:val="20"/>
                <w:color w:val="auto"/>
              </w:rPr>
            </w:pPr>
            <w:r>
              <w:rPr>
                <w:rFonts w:ascii="Arial" w:cs="Arial" w:eastAsia="Arial" w:hAnsi="Arial"/>
                <w:sz w:val="18"/>
                <w:szCs w:val="18"/>
                <w:i w:val="1"/>
                <w:iCs w:val="1"/>
                <w:color w:val="auto"/>
              </w:rPr>
              <w:t>Jardiance</w:t>
            </w:r>
          </w:p>
        </w:tc>
        <w:tc>
          <w:tcPr>
            <w:tcW w:w="26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95.0</w:t>
            </w:r>
          </w:p>
        </w:tc>
        <w:tc>
          <w:tcPr>
            <w:tcW w:w="22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56.0</w:t>
            </w:r>
          </w:p>
        </w:tc>
        <w:tc>
          <w:tcPr>
            <w:tcW w:w="340" w:type="dxa"/>
            <w:vAlign w:val="bottom"/>
          </w:tcPr>
          <w:p>
            <w:pPr>
              <w:spacing w:after="0"/>
              <w:rPr>
                <w:sz w:val="22"/>
                <w:szCs w:val="22"/>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b w:val="1"/>
                <w:bCs w:val="1"/>
                <w:color w:val="auto"/>
              </w:rPr>
              <w:t>151.0</w:t>
            </w:r>
          </w:p>
        </w:tc>
        <w:tc>
          <w:tcPr>
            <w:tcW w:w="36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47.7</w:t>
            </w:r>
          </w:p>
        </w:tc>
        <w:tc>
          <w:tcPr>
            <w:tcW w:w="20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26.2</w:t>
            </w:r>
          </w:p>
        </w:tc>
        <w:tc>
          <w:tcPr>
            <w:tcW w:w="320" w:type="dxa"/>
            <w:vAlign w:val="bottom"/>
          </w:tcPr>
          <w:p>
            <w:pPr>
              <w:spacing w:after="0"/>
              <w:rPr>
                <w:sz w:val="22"/>
                <w:szCs w:val="22"/>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74.0</w:t>
            </w:r>
          </w:p>
        </w:tc>
      </w:tr>
      <w:tr>
        <w:trPr>
          <w:trHeight w:val="277"/>
        </w:trPr>
        <w:tc>
          <w:tcPr>
            <w:tcW w:w="3700" w:type="dxa"/>
            <w:vAlign w:val="bottom"/>
            <w:shd w:val="clear" w:color="auto" w:fill="CCEEFF"/>
          </w:tcPr>
          <w:p>
            <w:pPr>
              <w:ind w:left="720"/>
              <w:spacing w:after="0"/>
              <w:rPr>
                <w:sz w:val="20"/>
                <w:szCs w:val="20"/>
                <w:color w:val="auto"/>
              </w:rPr>
            </w:pPr>
            <w:r>
              <w:rPr>
                <w:rFonts w:ascii="Arial" w:cs="Arial" w:eastAsia="Arial" w:hAnsi="Arial"/>
                <w:sz w:val="18"/>
                <w:szCs w:val="18"/>
                <w:i w:val="1"/>
                <w:iCs w:val="1"/>
                <w:color w:val="auto"/>
              </w:rPr>
              <w:t>Trajenta</w:t>
            </w:r>
          </w:p>
        </w:tc>
        <w:tc>
          <w:tcPr>
            <w:tcW w:w="26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54.1</w:t>
            </w:r>
          </w:p>
        </w:tc>
        <w:tc>
          <w:tcPr>
            <w:tcW w:w="22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87.0</w:t>
            </w:r>
          </w:p>
        </w:tc>
        <w:tc>
          <w:tcPr>
            <w:tcW w:w="34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141.1</w:t>
            </w:r>
          </w:p>
        </w:tc>
        <w:tc>
          <w:tcPr>
            <w:tcW w:w="36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45.4</w:t>
            </w:r>
          </w:p>
        </w:tc>
        <w:tc>
          <w:tcPr>
            <w:tcW w:w="20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67.6</w:t>
            </w:r>
          </w:p>
        </w:tc>
        <w:tc>
          <w:tcPr>
            <w:tcW w:w="32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113.0</w:t>
            </w:r>
          </w:p>
        </w:tc>
      </w:tr>
      <w:tr>
        <w:trPr>
          <w:trHeight w:val="264"/>
        </w:trPr>
        <w:tc>
          <w:tcPr>
            <w:tcW w:w="3700" w:type="dxa"/>
            <w:vAlign w:val="bottom"/>
            <w:tcBorders>
              <w:bottom w:val="single" w:sz="8" w:color="CCEEFF"/>
            </w:tcBorders>
          </w:tcPr>
          <w:p>
            <w:pPr>
              <w:ind w:left="720"/>
              <w:spacing w:after="0"/>
              <w:rPr>
                <w:sz w:val="20"/>
                <w:szCs w:val="20"/>
                <w:color w:val="auto"/>
              </w:rPr>
            </w:pPr>
            <w:r>
              <w:rPr>
                <w:rFonts w:ascii="Arial" w:cs="Arial" w:eastAsia="Arial" w:hAnsi="Arial"/>
                <w:sz w:val="18"/>
                <w:szCs w:val="18"/>
                <w:i w:val="1"/>
                <w:iCs w:val="1"/>
                <w:color w:val="auto"/>
              </w:rPr>
              <w:t>Other Endocrinology</w:t>
            </w:r>
          </w:p>
        </w:tc>
        <w:tc>
          <w:tcPr>
            <w:tcW w:w="2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64.1</w:t>
            </w:r>
          </w:p>
        </w:tc>
        <w:tc>
          <w:tcPr>
            <w:tcW w:w="2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67.5</w:t>
            </w:r>
          </w:p>
        </w:tc>
        <w:tc>
          <w:tcPr>
            <w:tcW w:w="34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b w:val="1"/>
                <w:bCs w:val="1"/>
                <w:color w:val="auto"/>
              </w:rPr>
              <w:t>131.5</w:t>
            </w:r>
          </w:p>
        </w:tc>
        <w:tc>
          <w:tcPr>
            <w:tcW w:w="3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73.3</w:t>
            </w:r>
          </w:p>
        </w:tc>
        <w:tc>
          <w:tcPr>
            <w:tcW w:w="2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73.5</w:t>
            </w:r>
          </w:p>
        </w:tc>
        <w:tc>
          <w:tcPr>
            <w:tcW w:w="32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146.8</w:t>
            </w:r>
          </w:p>
        </w:tc>
      </w:tr>
      <w:tr>
        <w:trPr>
          <w:trHeight w:val="270"/>
        </w:trPr>
        <w:tc>
          <w:tcPr>
            <w:tcW w:w="3700" w:type="dxa"/>
            <w:vAlign w:val="bottom"/>
            <w:shd w:val="clear" w:color="auto" w:fill="CCEEFF"/>
          </w:tcPr>
          <w:p>
            <w:pPr>
              <w:ind w:left="500"/>
              <w:spacing w:after="0"/>
              <w:rPr>
                <w:sz w:val="20"/>
                <w:szCs w:val="20"/>
                <w:color w:val="auto"/>
              </w:rPr>
            </w:pPr>
            <w:r>
              <w:rPr>
                <w:rFonts w:ascii="Arial" w:cs="Arial" w:eastAsia="Arial" w:hAnsi="Arial"/>
                <w:sz w:val="18"/>
                <w:szCs w:val="18"/>
                <w:color w:val="auto"/>
              </w:rPr>
              <w:t>Total Endocrinology</w:t>
            </w:r>
          </w:p>
        </w:tc>
        <w:tc>
          <w:tcPr>
            <w:tcW w:w="26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1,715.9</w:t>
            </w:r>
          </w:p>
        </w:tc>
        <w:tc>
          <w:tcPr>
            <w:tcW w:w="22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982.9</w:t>
            </w:r>
          </w:p>
        </w:tc>
        <w:tc>
          <w:tcPr>
            <w:tcW w:w="34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2,698.7</w:t>
            </w:r>
          </w:p>
        </w:tc>
        <w:tc>
          <w:tcPr>
            <w:tcW w:w="36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1,316.9</w:t>
            </w:r>
          </w:p>
        </w:tc>
        <w:tc>
          <w:tcPr>
            <w:tcW w:w="20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806.2</w:t>
            </w:r>
          </w:p>
        </w:tc>
        <w:tc>
          <w:tcPr>
            <w:tcW w:w="32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2,123.1</w:t>
            </w:r>
          </w:p>
        </w:tc>
      </w:tr>
      <w:tr>
        <w:trPr>
          <w:trHeight w:val="122"/>
        </w:trPr>
        <w:tc>
          <w:tcPr>
            <w:tcW w:w="37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980" w:type="dxa"/>
            <w:vAlign w:val="bottom"/>
          </w:tcPr>
          <w:p>
            <w:pPr>
              <w:spacing w:after="0"/>
              <w:rPr>
                <w:sz w:val="10"/>
                <w:szCs w:val="10"/>
                <w:color w:val="auto"/>
              </w:rPr>
            </w:pPr>
          </w:p>
        </w:tc>
      </w:tr>
      <w:tr>
        <w:trPr>
          <w:trHeight w:val="270"/>
        </w:trPr>
        <w:tc>
          <w:tcPr>
            <w:tcW w:w="37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Oncology:</w:t>
            </w:r>
          </w:p>
        </w:tc>
        <w:tc>
          <w:tcPr>
            <w:tcW w:w="26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r>
      <w:tr>
        <w:trPr>
          <w:trHeight w:val="263"/>
        </w:trPr>
        <w:tc>
          <w:tcPr>
            <w:tcW w:w="3700" w:type="dxa"/>
            <w:vAlign w:val="bottom"/>
          </w:tcPr>
          <w:p>
            <w:pPr>
              <w:ind w:left="720"/>
              <w:spacing w:after="0"/>
              <w:rPr>
                <w:sz w:val="20"/>
                <w:szCs w:val="20"/>
                <w:color w:val="auto"/>
              </w:rPr>
            </w:pPr>
            <w:r>
              <w:rPr>
                <w:rFonts w:ascii="Arial" w:cs="Arial" w:eastAsia="Arial" w:hAnsi="Arial"/>
                <w:sz w:val="18"/>
                <w:szCs w:val="18"/>
                <w:i w:val="1"/>
                <w:iCs w:val="1"/>
                <w:color w:val="auto"/>
              </w:rPr>
              <w:t>Alimta</w:t>
            </w:r>
          </w:p>
        </w:tc>
        <w:tc>
          <w:tcPr>
            <w:tcW w:w="26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245.3</w:t>
            </w:r>
          </w:p>
        </w:tc>
        <w:tc>
          <w:tcPr>
            <w:tcW w:w="22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254.3</w:t>
            </w:r>
          </w:p>
        </w:tc>
        <w:tc>
          <w:tcPr>
            <w:tcW w:w="340" w:type="dxa"/>
            <w:vAlign w:val="bottom"/>
          </w:tcPr>
          <w:p>
            <w:pPr>
              <w:spacing w:after="0"/>
              <w:rPr>
                <w:sz w:val="22"/>
                <w:szCs w:val="22"/>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b w:val="1"/>
                <w:bCs w:val="1"/>
                <w:color w:val="auto"/>
              </w:rPr>
              <w:t>499.6</w:t>
            </w:r>
          </w:p>
        </w:tc>
        <w:tc>
          <w:tcPr>
            <w:tcW w:w="36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227.3</w:t>
            </w:r>
          </w:p>
        </w:tc>
        <w:tc>
          <w:tcPr>
            <w:tcW w:w="20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262.6</w:t>
            </w:r>
          </w:p>
        </w:tc>
        <w:tc>
          <w:tcPr>
            <w:tcW w:w="320" w:type="dxa"/>
            <w:vAlign w:val="bottom"/>
          </w:tcPr>
          <w:p>
            <w:pPr>
              <w:spacing w:after="0"/>
              <w:rPr>
                <w:sz w:val="22"/>
                <w:szCs w:val="22"/>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489.9</w:t>
            </w:r>
          </w:p>
        </w:tc>
      </w:tr>
      <w:tr>
        <w:trPr>
          <w:trHeight w:val="277"/>
        </w:trPr>
        <w:tc>
          <w:tcPr>
            <w:tcW w:w="3700" w:type="dxa"/>
            <w:vAlign w:val="bottom"/>
            <w:shd w:val="clear" w:color="auto" w:fill="CCEEFF"/>
          </w:tcPr>
          <w:p>
            <w:pPr>
              <w:ind w:left="720"/>
              <w:spacing w:after="0"/>
              <w:rPr>
                <w:sz w:val="20"/>
                <w:szCs w:val="20"/>
                <w:color w:val="auto"/>
              </w:rPr>
            </w:pPr>
            <w:r>
              <w:rPr>
                <w:rFonts w:ascii="Arial" w:cs="Arial" w:eastAsia="Arial" w:hAnsi="Arial"/>
                <w:sz w:val="18"/>
                <w:szCs w:val="18"/>
                <w:i w:val="1"/>
                <w:iCs w:val="1"/>
                <w:color w:val="auto"/>
              </w:rPr>
              <w:t>Cyramza</w:t>
            </w:r>
            <w:r>
              <w:rPr>
                <w:rFonts w:ascii="Arial" w:cs="Arial" w:eastAsia="Arial" w:hAnsi="Arial"/>
                <w:sz w:val="21"/>
                <w:szCs w:val="21"/>
                <w:i w:val="1"/>
                <w:iCs w:val="1"/>
                <w:color w:val="auto"/>
                <w:vertAlign w:val="superscript"/>
              </w:rPr>
              <w:t>®</w:t>
            </w:r>
          </w:p>
        </w:tc>
        <w:tc>
          <w:tcPr>
            <w:tcW w:w="26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68.3</w:t>
            </w:r>
          </w:p>
        </w:tc>
        <w:tc>
          <w:tcPr>
            <w:tcW w:w="22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115.3</w:t>
            </w:r>
          </w:p>
        </w:tc>
        <w:tc>
          <w:tcPr>
            <w:tcW w:w="34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183.6</w:t>
            </w:r>
          </w:p>
        </w:tc>
        <w:tc>
          <w:tcPr>
            <w:tcW w:w="36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66.2</w:t>
            </w:r>
          </w:p>
        </w:tc>
        <w:tc>
          <w:tcPr>
            <w:tcW w:w="20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105.1</w:t>
            </w:r>
          </w:p>
        </w:tc>
        <w:tc>
          <w:tcPr>
            <w:tcW w:w="32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171.2</w:t>
            </w:r>
          </w:p>
        </w:tc>
      </w:tr>
      <w:tr>
        <w:trPr>
          <w:trHeight w:val="263"/>
        </w:trPr>
        <w:tc>
          <w:tcPr>
            <w:tcW w:w="3700" w:type="dxa"/>
            <w:vAlign w:val="bottom"/>
          </w:tcPr>
          <w:p>
            <w:pPr>
              <w:ind w:left="720"/>
              <w:spacing w:after="0"/>
              <w:rPr>
                <w:sz w:val="20"/>
                <w:szCs w:val="20"/>
                <w:color w:val="auto"/>
              </w:rPr>
            </w:pPr>
            <w:r>
              <w:rPr>
                <w:rFonts w:ascii="Arial" w:cs="Arial" w:eastAsia="Arial" w:hAnsi="Arial"/>
                <w:sz w:val="18"/>
                <w:szCs w:val="18"/>
                <w:i w:val="1"/>
                <w:iCs w:val="1"/>
                <w:color w:val="auto"/>
              </w:rPr>
              <w:t>Erbitux</w:t>
            </w:r>
          </w:p>
        </w:tc>
        <w:tc>
          <w:tcPr>
            <w:tcW w:w="26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121.3</w:t>
            </w:r>
          </w:p>
        </w:tc>
        <w:tc>
          <w:tcPr>
            <w:tcW w:w="22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28.3</w:t>
            </w:r>
          </w:p>
        </w:tc>
        <w:tc>
          <w:tcPr>
            <w:tcW w:w="340" w:type="dxa"/>
            <w:vAlign w:val="bottom"/>
          </w:tcPr>
          <w:p>
            <w:pPr>
              <w:spacing w:after="0"/>
              <w:rPr>
                <w:sz w:val="22"/>
                <w:szCs w:val="22"/>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b w:val="1"/>
                <w:bCs w:val="1"/>
                <w:color w:val="auto"/>
              </w:rPr>
              <w:t>149.6</w:t>
            </w:r>
          </w:p>
        </w:tc>
        <w:tc>
          <w:tcPr>
            <w:tcW w:w="36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129.2</w:t>
            </w:r>
          </w:p>
        </w:tc>
        <w:tc>
          <w:tcPr>
            <w:tcW w:w="20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25.2</w:t>
            </w:r>
          </w:p>
        </w:tc>
        <w:tc>
          <w:tcPr>
            <w:tcW w:w="320" w:type="dxa"/>
            <w:vAlign w:val="bottom"/>
          </w:tcPr>
          <w:p>
            <w:pPr>
              <w:spacing w:after="0"/>
              <w:rPr>
                <w:sz w:val="22"/>
                <w:szCs w:val="22"/>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154.4</w:t>
            </w:r>
          </w:p>
        </w:tc>
      </w:tr>
      <w:tr>
        <w:trPr>
          <w:trHeight w:val="270"/>
        </w:trPr>
        <w:tc>
          <w:tcPr>
            <w:tcW w:w="3700" w:type="dxa"/>
            <w:vAlign w:val="bottom"/>
            <w:shd w:val="clear" w:color="auto" w:fill="CCEEFF"/>
          </w:tcPr>
          <w:p>
            <w:pPr>
              <w:ind w:left="720"/>
              <w:spacing w:after="0"/>
              <w:rPr>
                <w:sz w:val="20"/>
                <w:szCs w:val="20"/>
                <w:color w:val="auto"/>
              </w:rPr>
            </w:pPr>
            <w:r>
              <w:rPr>
                <w:rFonts w:ascii="Arial" w:cs="Arial" w:eastAsia="Arial" w:hAnsi="Arial"/>
                <w:sz w:val="18"/>
                <w:szCs w:val="18"/>
                <w:i w:val="1"/>
                <w:iCs w:val="1"/>
                <w:color w:val="auto"/>
              </w:rPr>
              <w:t>Other Oncology</w:t>
            </w:r>
          </w:p>
        </w:tc>
        <w:tc>
          <w:tcPr>
            <w:tcW w:w="26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75.3</w:t>
            </w:r>
          </w:p>
        </w:tc>
        <w:tc>
          <w:tcPr>
            <w:tcW w:w="22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48.4</w:t>
            </w:r>
          </w:p>
        </w:tc>
        <w:tc>
          <w:tcPr>
            <w:tcW w:w="34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123.8</w:t>
            </w:r>
          </w:p>
        </w:tc>
        <w:tc>
          <w:tcPr>
            <w:tcW w:w="36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41.1</w:t>
            </w:r>
          </w:p>
        </w:tc>
        <w:tc>
          <w:tcPr>
            <w:tcW w:w="20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30.4</w:t>
            </w:r>
          </w:p>
        </w:tc>
        <w:tc>
          <w:tcPr>
            <w:tcW w:w="32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71.5</w:t>
            </w:r>
          </w:p>
        </w:tc>
      </w:tr>
      <w:tr>
        <w:trPr>
          <w:trHeight w:val="263"/>
        </w:trPr>
        <w:tc>
          <w:tcPr>
            <w:tcW w:w="3700" w:type="dxa"/>
            <w:vAlign w:val="bottom"/>
          </w:tcPr>
          <w:p>
            <w:pPr>
              <w:ind w:left="500"/>
              <w:spacing w:after="0"/>
              <w:rPr>
                <w:sz w:val="20"/>
                <w:szCs w:val="20"/>
                <w:color w:val="auto"/>
              </w:rPr>
            </w:pPr>
            <w:r>
              <w:rPr>
                <w:rFonts w:ascii="Arial" w:cs="Arial" w:eastAsia="Arial" w:hAnsi="Arial"/>
                <w:sz w:val="18"/>
                <w:szCs w:val="18"/>
                <w:color w:val="auto"/>
              </w:rPr>
              <w:t>Total Oncology</w:t>
            </w:r>
          </w:p>
        </w:tc>
        <w:tc>
          <w:tcPr>
            <w:tcW w:w="26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510.2</w:t>
            </w:r>
          </w:p>
        </w:tc>
        <w:tc>
          <w:tcPr>
            <w:tcW w:w="22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446.3</w:t>
            </w:r>
          </w:p>
        </w:tc>
        <w:tc>
          <w:tcPr>
            <w:tcW w:w="340" w:type="dxa"/>
            <w:vAlign w:val="bottom"/>
          </w:tcPr>
          <w:p>
            <w:pPr>
              <w:spacing w:after="0"/>
              <w:rPr>
                <w:sz w:val="22"/>
                <w:szCs w:val="22"/>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b w:val="1"/>
                <w:bCs w:val="1"/>
                <w:color w:val="auto"/>
              </w:rPr>
              <w:t>956.6</w:t>
            </w:r>
          </w:p>
        </w:tc>
        <w:tc>
          <w:tcPr>
            <w:tcW w:w="36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463.8</w:t>
            </w:r>
          </w:p>
        </w:tc>
        <w:tc>
          <w:tcPr>
            <w:tcW w:w="20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423.3</w:t>
            </w:r>
          </w:p>
        </w:tc>
        <w:tc>
          <w:tcPr>
            <w:tcW w:w="320" w:type="dxa"/>
            <w:vAlign w:val="bottom"/>
          </w:tcPr>
          <w:p>
            <w:pPr>
              <w:spacing w:after="0"/>
              <w:rPr>
                <w:sz w:val="22"/>
                <w:szCs w:val="22"/>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887.0</w:t>
            </w:r>
          </w:p>
        </w:tc>
      </w:tr>
      <w:tr>
        <w:trPr>
          <w:trHeight w:val="128"/>
        </w:trPr>
        <w:tc>
          <w:tcPr>
            <w:tcW w:w="37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r>
      <w:tr>
        <w:trPr>
          <w:trHeight w:val="263"/>
        </w:trPr>
        <w:tc>
          <w:tcPr>
            <w:tcW w:w="3700" w:type="dxa"/>
            <w:vAlign w:val="bottom"/>
          </w:tcPr>
          <w:p>
            <w:pPr>
              <w:ind w:left="280"/>
              <w:spacing w:after="0"/>
              <w:rPr>
                <w:sz w:val="20"/>
                <w:szCs w:val="20"/>
                <w:color w:val="auto"/>
              </w:rPr>
            </w:pPr>
            <w:r>
              <w:rPr>
                <w:rFonts w:ascii="Arial" w:cs="Arial" w:eastAsia="Arial" w:hAnsi="Arial"/>
                <w:sz w:val="18"/>
                <w:szCs w:val="18"/>
                <w:color w:val="auto"/>
              </w:rPr>
              <w:t>Cardiovascular:</w:t>
            </w:r>
          </w:p>
        </w:tc>
        <w:tc>
          <w:tcPr>
            <w:tcW w:w="2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80" w:type="dxa"/>
            <w:vAlign w:val="bottom"/>
          </w:tcPr>
          <w:p>
            <w:pPr>
              <w:spacing w:after="0"/>
              <w:rPr>
                <w:sz w:val="22"/>
                <w:szCs w:val="22"/>
                <w:color w:val="auto"/>
              </w:rPr>
            </w:pPr>
          </w:p>
        </w:tc>
      </w:tr>
      <w:tr>
        <w:trPr>
          <w:trHeight w:val="277"/>
        </w:trPr>
        <w:tc>
          <w:tcPr>
            <w:tcW w:w="3700" w:type="dxa"/>
            <w:vAlign w:val="bottom"/>
            <w:shd w:val="clear" w:color="auto" w:fill="CCEEFF"/>
          </w:tcPr>
          <w:p>
            <w:pPr>
              <w:ind w:left="720"/>
              <w:spacing w:after="0"/>
              <w:rPr>
                <w:sz w:val="20"/>
                <w:szCs w:val="20"/>
                <w:color w:val="auto"/>
              </w:rPr>
            </w:pPr>
            <w:r>
              <w:rPr>
                <w:rFonts w:ascii="Arial" w:cs="Arial" w:eastAsia="Arial" w:hAnsi="Arial"/>
                <w:sz w:val="18"/>
                <w:szCs w:val="18"/>
                <w:i w:val="1"/>
                <w:iCs w:val="1"/>
                <w:color w:val="auto"/>
              </w:rPr>
              <w:t>Cialis</w:t>
            </w:r>
            <w:r>
              <w:rPr>
                <w:rFonts w:ascii="Arial" w:cs="Arial" w:eastAsia="Arial" w:hAnsi="Arial"/>
                <w:sz w:val="21"/>
                <w:szCs w:val="21"/>
                <w:i w:val="1"/>
                <w:iCs w:val="1"/>
                <w:color w:val="auto"/>
                <w:vertAlign w:val="superscript"/>
              </w:rPr>
              <w:t>®</w:t>
            </w:r>
          </w:p>
        </w:tc>
        <w:tc>
          <w:tcPr>
            <w:tcW w:w="26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313.4</w:t>
            </w:r>
          </w:p>
        </w:tc>
        <w:tc>
          <w:tcPr>
            <w:tcW w:w="22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182.0</w:t>
            </w:r>
          </w:p>
        </w:tc>
        <w:tc>
          <w:tcPr>
            <w:tcW w:w="34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495.4</w:t>
            </w:r>
          </w:p>
        </w:tc>
        <w:tc>
          <w:tcPr>
            <w:tcW w:w="36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296.7</w:t>
            </w:r>
          </w:p>
        </w:tc>
        <w:tc>
          <w:tcPr>
            <w:tcW w:w="20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236.9</w:t>
            </w:r>
          </w:p>
        </w:tc>
        <w:tc>
          <w:tcPr>
            <w:tcW w:w="32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533.6</w:t>
            </w:r>
          </w:p>
        </w:tc>
      </w:tr>
      <w:tr>
        <w:trPr>
          <w:trHeight w:val="263"/>
        </w:trPr>
        <w:tc>
          <w:tcPr>
            <w:tcW w:w="3700" w:type="dxa"/>
            <w:vAlign w:val="bottom"/>
          </w:tcPr>
          <w:p>
            <w:pPr>
              <w:ind w:left="720"/>
              <w:spacing w:after="0"/>
              <w:rPr>
                <w:sz w:val="20"/>
                <w:szCs w:val="20"/>
                <w:color w:val="auto"/>
              </w:rPr>
            </w:pPr>
            <w:r>
              <w:rPr>
                <w:rFonts w:ascii="Arial" w:cs="Arial" w:eastAsia="Arial" w:hAnsi="Arial"/>
                <w:sz w:val="18"/>
                <w:szCs w:val="18"/>
                <w:i w:val="1"/>
                <w:iCs w:val="1"/>
                <w:color w:val="auto"/>
              </w:rPr>
              <w:t>Effient</w:t>
            </w:r>
          </w:p>
        </w:tc>
        <w:tc>
          <w:tcPr>
            <w:tcW w:w="26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15.9</w:t>
            </w:r>
          </w:p>
        </w:tc>
        <w:tc>
          <w:tcPr>
            <w:tcW w:w="22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15.7</w:t>
            </w:r>
          </w:p>
        </w:tc>
        <w:tc>
          <w:tcPr>
            <w:tcW w:w="340" w:type="dxa"/>
            <w:vAlign w:val="bottom"/>
          </w:tcPr>
          <w:p>
            <w:pPr>
              <w:spacing w:after="0"/>
              <w:rPr>
                <w:sz w:val="22"/>
                <w:szCs w:val="22"/>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b w:val="1"/>
                <w:bCs w:val="1"/>
                <w:color w:val="auto"/>
              </w:rPr>
              <w:t>31.6</w:t>
            </w:r>
          </w:p>
        </w:tc>
        <w:tc>
          <w:tcPr>
            <w:tcW w:w="36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117.0</w:t>
            </w:r>
          </w:p>
        </w:tc>
        <w:tc>
          <w:tcPr>
            <w:tcW w:w="20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10.8</w:t>
            </w:r>
          </w:p>
        </w:tc>
        <w:tc>
          <w:tcPr>
            <w:tcW w:w="320" w:type="dxa"/>
            <w:vAlign w:val="bottom"/>
          </w:tcPr>
          <w:p>
            <w:pPr>
              <w:spacing w:after="0"/>
              <w:rPr>
                <w:sz w:val="22"/>
                <w:szCs w:val="22"/>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127.8</w:t>
            </w:r>
          </w:p>
        </w:tc>
      </w:tr>
      <w:tr>
        <w:trPr>
          <w:trHeight w:val="270"/>
        </w:trPr>
        <w:tc>
          <w:tcPr>
            <w:tcW w:w="3700" w:type="dxa"/>
            <w:vAlign w:val="bottom"/>
            <w:shd w:val="clear" w:color="auto" w:fill="CCEEFF"/>
          </w:tcPr>
          <w:p>
            <w:pPr>
              <w:ind w:left="720"/>
              <w:spacing w:after="0"/>
              <w:rPr>
                <w:sz w:val="20"/>
                <w:szCs w:val="20"/>
                <w:color w:val="auto"/>
              </w:rPr>
            </w:pPr>
            <w:r>
              <w:rPr>
                <w:rFonts w:ascii="Arial" w:cs="Arial" w:eastAsia="Arial" w:hAnsi="Arial"/>
                <w:sz w:val="18"/>
                <w:szCs w:val="18"/>
                <w:i w:val="1"/>
                <w:iCs w:val="1"/>
                <w:color w:val="auto"/>
              </w:rPr>
              <w:t>Other Cardiovascular</w:t>
            </w:r>
          </w:p>
        </w:tc>
        <w:tc>
          <w:tcPr>
            <w:tcW w:w="26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0.3</w:t>
            </w:r>
          </w:p>
        </w:tc>
        <w:tc>
          <w:tcPr>
            <w:tcW w:w="22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34.2</w:t>
            </w:r>
          </w:p>
        </w:tc>
        <w:tc>
          <w:tcPr>
            <w:tcW w:w="34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34.5</w:t>
            </w:r>
          </w:p>
        </w:tc>
        <w:tc>
          <w:tcPr>
            <w:tcW w:w="36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20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26.8</w:t>
            </w:r>
          </w:p>
        </w:tc>
        <w:tc>
          <w:tcPr>
            <w:tcW w:w="32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35.8</w:t>
            </w:r>
          </w:p>
        </w:tc>
      </w:tr>
      <w:tr>
        <w:trPr>
          <w:trHeight w:val="263"/>
        </w:trPr>
        <w:tc>
          <w:tcPr>
            <w:tcW w:w="3700" w:type="dxa"/>
            <w:vAlign w:val="bottom"/>
          </w:tcPr>
          <w:p>
            <w:pPr>
              <w:ind w:left="500"/>
              <w:spacing w:after="0"/>
              <w:rPr>
                <w:sz w:val="20"/>
                <w:szCs w:val="20"/>
                <w:color w:val="auto"/>
              </w:rPr>
            </w:pPr>
            <w:r>
              <w:rPr>
                <w:rFonts w:ascii="Arial" w:cs="Arial" w:eastAsia="Arial" w:hAnsi="Arial"/>
                <w:sz w:val="18"/>
                <w:szCs w:val="18"/>
                <w:color w:val="auto"/>
              </w:rPr>
              <w:t>Total Cardiovascular</w:t>
            </w:r>
          </w:p>
        </w:tc>
        <w:tc>
          <w:tcPr>
            <w:tcW w:w="26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329.6</w:t>
            </w:r>
          </w:p>
        </w:tc>
        <w:tc>
          <w:tcPr>
            <w:tcW w:w="22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231.9</w:t>
            </w:r>
          </w:p>
        </w:tc>
        <w:tc>
          <w:tcPr>
            <w:tcW w:w="340" w:type="dxa"/>
            <w:vAlign w:val="bottom"/>
          </w:tcPr>
          <w:p>
            <w:pPr>
              <w:spacing w:after="0"/>
              <w:rPr>
                <w:sz w:val="22"/>
                <w:szCs w:val="22"/>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b w:val="1"/>
                <w:bCs w:val="1"/>
                <w:color w:val="auto"/>
              </w:rPr>
              <w:t>561.5</w:t>
            </w:r>
          </w:p>
        </w:tc>
        <w:tc>
          <w:tcPr>
            <w:tcW w:w="36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422.7</w:t>
            </w:r>
          </w:p>
        </w:tc>
        <w:tc>
          <w:tcPr>
            <w:tcW w:w="20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274.5</w:t>
            </w:r>
          </w:p>
        </w:tc>
        <w:tc>
          <w:tcPr>
            <w:tcW w:w="320" w:type="dxa"/>
            <w:vAlign w:val="bottom"/>
          </w:tcPr>
          <w:p>
            <w:pPr>
              <w:spacing w:after="0"/>
              <w:rPr>
                <w:sz w:val="22"/>
                <w:szCs w:val="22"/>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697.2</w:t>
            </w:r>
          </w:p>
        </w:tc>
      </w:tr>
      <w:tr>
        <w:trPr>
          <w:trHeight w:val="128"/>
        </w:trPr>
        <w:tc>
          <w:tcPr>
            <w:tcW w:w="37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r>
      <w:tr>
        <w:trPr>
          <w:trHeight w:val="263"/>
        </w:trPr>
        <w:tc>
          <w:tcPr>
            <w:tcW w:w="3700" w:type="dxa"/>
            <w:vAlign w:val="bottom"/>
          </w:tcPr>
          <w:p>
            <w:pPr>
              <w:ind w:left="380"/>
              <w:spacing w:after="0"/>
              <w:rPr>
                <w:sz w:val="20"/>
                <w:szCs w:val="20"/>
                <w:color w:val="auto"/>
              </w:rPr>
            </w:pPr>
            <w:r>
              <w:rPr>
                <w:rFonts w:ascii="Arial" w:cs="Arial" w:eastAsia="Arial" w:hAnsi="Arial"/>
                <w:sz w:val="18"/>
                <w:szCs w:val="18"/>
                <w:color w:val="auto"/>
              </w:rPr>
              <w:t>Neuroscience:</w:t>
            </w:r>
          </w:p>
        </w:tc>
        <w:tc>
          <w:tcPr>
            <w:tcW w:w="2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80" w:type="dxa"/>
            <w:vAlign w:val="bottom"/>
          </w:tcPr>
          <w:p>
            <w:pPr>
              <w:spacing w:after="0"/>
              <w:rPr>
                <w:sz w:val="22"/>
                <w:szCs w:val="22"/>
                <w:color w:val="auto"/>
              </w:rPr>
            </w:pPr>
          </w:p>
        </w:tc>
      </w:tr>
      <w:tr>
        <w:trPr>
          <w:trHeight w:val="277"/>
        </w:trPr>
        <w:tc>
          <w:tcPr>
            <w:tcW w:w="3700" w:type="dxa"/>
            <w:vAlign w:val="bottom"/>
            <w:shd w:val="clear" w:color="auto" w:fill="CCEEFF"/>
          </w:tcPr>
          <w:p>
            <w:pPr>
              <w:ind w:left="720"/>
              <w:spacing w:after="0"/>
              <w:rPr>
                <w:sz w:val="20"/>
                <w:szCs w:val="20"/>
                <w:color w:val="auto"/>
              </w:rPr>
            </w:pPr>
            <w:r>
              <w:rPr>
                <w:rFonts w:ascii="Arial" w:cs="Arial" w:eastAsia="Arial" w:hAnsi="Arial"/>
                <w:sz w:val="18"/>
                <w:szCs w:val="18"/>
                <w:i w:val="1"/>
                <w:iCs w:val="1"/>
                <w:color w:val="auto"/>
              </w:rPr>
              <w:t>Cymbalta</w:t>
            </w:r>
          </w:p>
        </w:tc>
        <w:tc>
          <w:tcPr>
            <w:tcW w:w="26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12.2</w:t>
            </w:r>
          </w:p>
        </w:tc>
        <w:tc>
          <w:tcPr>
            <w:tcW w:w="22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157.3</w:t>
            </w:r>
          </w:p>
        </w:tc>
        <w:tc>
          <w:tcPr>
            <w:tcW w:w="34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169.6</w:t>
            </w:r>
          </w:p>
        </w:tc>
        <w:tc>
          <w:tcPr>
            <w:tcW w:w="36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34.1</w:t>
            </w:r>
          </w:p>
        </w:tc>
        <w:tc>
          <w:tcPr>
            <w:tcW w:w="20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140.5</w:t>
            </w:r>
          </w:p>
        </w:tc>
        <w:tc>
          <w:tcPr>
            <w:tcW w:w="32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174.6</w:t>
            </w:r>
          </w:p>
        </w:tc>
      </w:tr>
      <w:tr>
        <w:trPr>
          <w:trHeight w:val="270"/>
        </w:trPr>
        <w:tc>
          <w:tcPr>
            <w:tcW w:w="3700" w:type="dxa"/>
            <w:vAlign w:val="bottom"/>
          </w:tcPr>
          <w:p>
            <w:pPr>
              <w:ind w:left="720"/>
              <w:spacing w:after="0"/>
              <w:rPr>
                <w:sz w:val="20"/>
                <w:szCs w:val="20"/>
                <w:color w:val="auto"/>
              </w:rPr>
            </w:pPr>
            <w:r>
              <w:rPr>
                <w:rFonts w:ascii="Arial" w:cs="Arial" w:eastAsia="Arial" w:hAnsi="Arial"/>
                <w:sz w:val="18"/>
                <w:szCs w:val="18"/>
                <w:i w:val="1"/>
                <w:iCs w:val="1"/>
                <w:color w:val="auto"/>
              </w:rPr>
              <w:t>Strattera</w:t>
            </w:r>
            <w:r>
              <w:rPr>
                <w:rFonts w:ascii="Arial" w:cs="Arial" w:eastAsia="Arial" w:hAnsi="Arial"/>
                <w:sz w:val="21"/>
                <w:szCs w:val="21"/>
                <w:i w:val="1"/>
                <w:iCs w:val="1"/>
                <w:color w:val="auto"/>
                <w:vertAlign w:val="superscript"/>
              </w:rPr>
              <w:t>®</w:t>
            </w:r>
          </w:p>
        </w:tc>
        <w:tc>
          <w:tcPr>
            <w:tcW w:w="26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46.9</w:t>
            </w:r>
          </w:p>
        </w:tc>
        <w:tc>
          <w:tcPr>
            <w:tcW w:w="22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83.7</w:t>
            </w:r>
          </w:p>
        </w:tc>
        <w:tc>
          <w:tcPr>
            <w:tcW w:w="340" w:type="dxa"/>
            <w:vAlign w:val="bottom"/>
          </w:tcPr>
          <w:p>
            <w:pPr>
              <w:spacing w:after="0"/>
              <w:rPr>
                <w:sz w:val="23"/>
                <w:szCs w:val="23"/>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b w:val="1"/>
                <w:bCs w:val="1"/>
                <w:color w:val="auto"/>
              </w:rPr>
              <w:t>130.7</w:t>
            </w:r>
          </w:p>
        </w:tc>
        <w:tc>
          <w:tcPr>
            <w:tcW w:w="36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122.4</w:t>
            </w:r>
          </w:p>
        </w:tc>
        <w:tc>
          <w:tcPr>
            <w:tcW w:w="20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73.8</w:t>
            </w:r>
          </w:p>
        </w:tc>
        <w:tc>
          <w:tcPr>
            <w:tcW w:w="320" w:type="dxa"/>
            <w:vAlign w:val="bottom"/>
          </w:tcPr>
          <w:p>
            <w:pPr>
              <w:spacing w:after="0"/>
              <w:rPr>
                <w:sz w:val="23"/>
                <w:szCs w:val="23"/>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196.2</w:t>
            </w:r>
          </w:p>
        </w:tc>
      </w:tr>
      <w:tr>
        <w:trPr>
          <w:trHeight w:val="270"/>
        </w:trPr>
        <w:tc>
          <w:tcPr>
            <w:tcW w:w="3700" w:type="dxa"/>
            <w:vAlign w:val="bottom"/>
            <w:shd w:val="clear" w:color="auto" w:fill="CCEEFF"/>
          </w:tcPr>
          <w:p>
            <w:pPr>
              <w:ind w:left="720"/>
              <w:spacing w:after="0"/>
              <w:rPr>
                <w:sz w:val="20"/>
                <w:szCs w:val="20"/>
                <w:color w:val="auto"/>
              </w:rPr>
            </w:pPr>
            <w:r>
              <w:rPr>
                <w:rFonts w:ascii="Arial" w:cs="Arial" w:eastAsia="Arial" w:hAnsi="Arial"/>
                <w:sz w:val="18"/>
                <w:szCs w:val="18"/>
                <w:i w:val="1"/>
                <w:iCs w:val="1"/>
                <w:color w:val="auto"/>
              </w:rPr>
              <w:t>Zyprexa</w:t>
            </w:r>
            <w:r>
              <w:rPr>
                <w:rFonts w:ascii="Arial" w:cs="Arial" w:eastAsia="Arial" w:hAnsi="Arial"/>
                <w:sz w:val="21"/>
                <w:szCs w:val="21"/>
                <w:i w:val="1"/>
                <w:iCs w:val="1"/>
                <w:color w:val="auto"/>
                <w:vertAlign w:val="superscript"/>
              </w:rPr>
              <w:t>®</w:t>
            </w:r>
          </w:p>
        </w:tc>
        <w:tc>
          <w:tcPr>
            <w:tcW w:w="26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8.8</w:t>
            </w:r>
          </w:p>
        </w:tc>
        <w:tc>
          <w:tcPr>
            <w:tcW w:w="22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113.8</w:t>
            </w:r>
          </w:p>
        </w:tc>
        <w:tc>
          <w:tcPr>
            <w:tcW w:w="34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122.6</w:t>
            </w:r>
          </w:p>
        </w:tc>
        <w:tc>
          <w:tcPr>
            <w:tcW w:w="36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w:t>
            </w:r>
          </w:p>
        </w:tc>
        <w:tc>
          <w:tcPr>
            <w:tcW w:w="20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123.8</w:t>
            </w:r>
          </w:p>
        </w:tc>
        <w:tc>
          <w:tcPr>
            <w:tcW w:w="32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147.5</w:t>
            </w:r>
          </w:p>
        </w:tc>
      </w:tr>
      <w:tr>
        <w:trPr>
          <w:trHeight w:val="264"/>
        </w:trPr>
        <w:tc>
          <w:tcPr>
            <w:tcW w:w="3700" w:type="dxa"/>
            <w:vAlign w:val="bottom"/>
            <w:tcBorders>
              <w:bottom w:val="single" w:sz="8" w:color="CCEEFF"/>
            </w:tcBorders>
          </w:tcPr>
          <w:p>
            <w:pPr>
              <w:ind w:left="720"/>
              <w:spacing w:after="0"/>
              <w:rPr>
                <w:sz w:val="20"/>
                <w:szCs w:val="20"/>
                <w:color w:val="auto"/>
              </w:rPr>
            </w:pPr>
            <w:r>
              <w:rPr>
                <w:rFonts w:ascii="Arial" w:cs="Arial" w:eastAsia="Arial" w:hAnsi="Arial"/>
                <w:sz w:val="18"/>
                <w:szCs w:val="18"/>
                <w:i w:val="1"/>
                <w:iCs w:val="1"/>
                <w:color w:val="auto"/>
              </w:rPr>
              <w:t>Other Neuroscience</w:t>
            </w:r>
          </w:p>
        </w:tc>
        <w:tc>
          <w:tcPr>
            <w:tcW w:w="2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23.3</w:t>
            </w:r>
          </w:p>
        </w:tc>
        <w:tc>
          <w:tcPr>
            <w:tcW w:w="2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26.7</w:t>
            </w:r>
          </w:p>
        </w:tc>
        <w:tc>
          <w:tcPr>
            <w:tcW w:w="34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b w:val="1"/>
                <w:bCs w:val="1"/>
                <w:color w:val="auto"/>
              </w:rPr>
              <w:t>49.8</w:t>
            </w:r>
          </w:p>
        </w:tc>
        <w:tc>
          <w:tcPr>
            <w:tcW w:w="3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34.6</w:t>
            </w:r>
          </w:p>
        </w:tc>
        <w:tc>
          <w:tcPr>
            <w:tcW w:w="2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26.5</w:t>
            </w:r>
          </w:p>
        </w:tc>
        <w:tc>
          <w:tcPr>
            <w:tcW w:w="32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61.0</w:t>
            </w:r>
          </w:p>
        </w:tc>
      </w:tr>
      <w:tr>
        <w:trPr>
          <w:trHeight w:val="270"/>
        </w:trPr>
        <w:tc>
          <w:tcPr>
            <w:tcW w:w="3700" w:type="dxa"/>
            <w:vAlign w:val="bottom"/>
            <w:shd w:val="clear" w:color="auto" w:fill="CCEEFF"/>
          </w:tcPr>
          <w:p>
            <w:pPr>
              <w:ind w:left="500"/>
              <w:spacing w:after="0"/>
              <w:rPr>
                <w:sz w:val="20"/>
                <w:szCs w:val="20"/>
                <w:color w:val="auto"/>
              </w:rPr>
            </w:pPr>
            <w:r>
              <w:rPr>
                <w:rFonts w:ascii="Arial" w:cs="Arial" w:eastAsia="Arial" w:hAnsi="Arial"/>
                <w:sz w:val="18"/>
                <w:szCs w:val="18"/>
                <w:color w:val="auto"/>
              </w:rPr>
              <w:t>Total Neuroscience</w:t>
            </w:r>
          </w:p>
        </w:tc>
        <w:tc>
          <w:tcPr>
            <w:tcW w:w="26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91.2</w:t>
            </w:r>
          </w:p>
        </w:tc>
        <w:tc>
          <w:tcPr>
            <w:tcW w:w="22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381.5</w:t>
            </w:r>
          </w:p>
        </w:tc>
        <w:tc>
          <w:tcPr>
            <w:tcW w:w="34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472.7</w:t>
            </w:r>
          </w:p>
        </w:tc>
        <w:tc>
          <w:tcPr>
            <w:tcW w:w="36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214.8</w:t>
            </w:r>
          </w:p>
        </w:tc>
        <w:tc>
          <w:tcPr>
            <w:tcW w:w="20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364.6</w:t>
            </w:r>
          </w:p>
        </w:tc>
        <w:tc>
          <w:tcPr>
            <w:tcW w:w="32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579.3</w:t>
            </w:r>
          </w:p>
        </w:tc>
      </w:tr>
      <w:tr>
        <w:trPr>
          <w:trHeight w:val="122"/>
        </w:trPr>
        <w:tc>
          <w:tcPr>
            <w:tcW w:w="37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980" w:type="dxa"/>
            <w:vAlign w:val="bottom"/>
          </w:tcPr>
          <w:p>
            <w:pPr>
              <w:spacing w:after="0"/>
              <w:rPr>
                <w:sz w:val="10"/>
                <w:szCs w:val="10"/>
                <w:color w:val="auto"/>
              </w:rPr>
            </w:pPr>
          </w:p>
        </w:tc>
      </w:tr>
      <w:tr>
        <w:trPr>
          <w:trHeight w:val="270"/>
        </w:trPr>
        <w:tc>
          <w:tcPr>
            <w:tcW w:w="3700" w:type="dxa"/>
            <w:vAlign w:val="bottom"/>
            <w:shd w:val="clear" w:color="auto" w:fill="CCEEFF"/>
          </w:tcPr>
          <w:p>
            <w:pPr>
              <w:ind w:left="380"/>
              <w:spacing w:after="0"/>
              <w:rPr>
                <w:sz w:val="20"/>
                <w:szCs w:val="20"/>
                <w:color w:val="auto"/>
              </w:rPr>
            </w:pPr>
            <w:r>
              <w:rPr>
                <w:rFonts w:ascii="Arial" w:cs="Arial" w:eastAsia="Arial" w:hAnsi="Arial"/>
                <w:sz w:val="18"/>
                <w:szCs w:val="18"/>
                <w:color w:val="auto"/>
              </w:rPr>
              <w:t>Immunology:</w:t>
            </w:r>
          </w:p>
        </w:tc>
        <w:tc>
          <w:tcPr>
            <w:tcW w:w="26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r>
      <w:tr>
        <w:trPr>
          <w:trHeight w:val="270"/>
        </w:trPr>
        <w:tc>
          <w:tcPr>
            <w:tcW w:w="3700" w:type="dxa"/>
            <w:vAlign w:val="bottom"/>
          </w:tcPr>
          <w:p>
            <w:pPr>
              <w:ind w:left="720"/>
              <w:spacing w:after="0"/>
              <w:rPr>
                <w:sz w:val="20"/>
                <w:szCs w:val="20"/>
                <w:color w:val="auto"/>
              </w:rPr>
            </w:pPr>
            <w:r>
              <w:rPr>
                <w:rFonts w:ascii="Arial" w:cs="Arial" w:eastAsia="Arial" w:hAnsi="Arial"/>
                <w:sz w:val="18"/>
                <w:szCs w:val="18"/>
                <w:i w:val="1"/>
                <w:iCs w:val="1"/>
                <w:color w:val="auto"/>
              </w:rPr>
              <w:t>Taltz</w:t>
            </w:r>
            <w:r>
              <w:rPr>
                <w:rFonts w:ascii="Arial" w:cs="Arial" w:eastAsia="Arial" w:hAnsi="Arial"/>
                <w:sz w:val="21"/>
                <w:szCs w:val="21"/>
                <w:i w:val="1"/>
                <w:iCs w:val="1"/>
                <w:color w:val="auto"/>
                <w:vertAlign w:val="superscript"/>
              </w:rPr>
              <w:t>®</w:t>
            </w:r>
          </w:p>
        </w:tc>
        <w:tc>
          <w:tcPr>
            <w:tcW w:w="26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111.2</w:t>
            </w:r>
          </w:p>
        </w:tc>
        <w:tc>
          <w:tcPr>
            <w:tcW w:w="22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35.3</w:t>
            </w:r>
          </w:p>
        </w:tc>
        <w:tc>
          <w:tcPr>
            <w:tcW w:w="340" w:type="dxa"/>
            <w:vAlign w:val="bottom"/>
          </w:tcPr>
          <w:p>
            <w:pPr>
              <w:spacing w:after="0"/>
              <w:rPr>
                <w:sz w:val="23"/>
                <w:szCs w:val="23"/>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b w:val="1"/>
                <w:bCs w:val="1"/>
                <w:color w:val="auto"/>
              </w:rPr>
              <w:t>146.5</w:t>
            </w:r>
          </w:p>
        </w:tc>
        <w:tc>
          <w:tcPr>
            <w:tcW w:w="36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87.8</w:t>
            </w:r>
          </w:p>
        </w:tc>
        <w:tc>
          <w:tcPr>
            <w:tcW w:w="20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8.8</w:t>
            </w:r>
          </w:p>
        </w:tc>
        <w:tc>
          <w:tcPr>
            <w:tcW w:w="320" w:type="dxa"/>
            <w:vAlign w:val="bottom"/>
          </w:tcPr>
          <w:p>
            <w:pPr>
              <w:spacing w:after="0"/>
              <w:rPr>
                <w:sz w:val="23"/>
                <w:szCs w:val="23"/>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96.6</w:t>
            </w:r>
          </w:p>
        </w:tc>
      </w:tr>
      <w:tr>
        <w:trPr>
          <w:trHeight w:val="264"/>
        </w:trPr>
        <w:tc>
          <w:tcPr>
            <w:tcW w:w="3700" w:type="dxa"/>
            <w:vAlign w:val="bottom"/>
            <w:shd w:val="clear" w:color="auto" w:fill="CCEEFF"/>
          </w:tcPr>
          <w:p>
            <w:pPr>
              <w:ind w:left="720"/>
              <w:spacing w:after="0"/>
              <w:rPr>
                <w:sz w:val="20"/>
                <w:szCs w:val="20"/>
                <w:color w:val="auto"/>
              </w:rPr>
            </w:pPr>
            <w:r>
              <w:rPr>
                <w:rFonts w:ascii="Arial" w:cs="Arial" w:eastAsia="Arial" w:hAnsi="Arial"/>
                <w:sz w:val="18"/>
                <w:szCs w:val="18"/>
                <w:i w:val="1"/>
                <w:iCs w:val="1"/>
                <w:color w:val="auto"/>
              </w:rPr>
              <w:t>Other Immunology</w:t>
            </w:r>
          </w:p>
        </w:tc>
        <w:tc>
          <w:tcPr>
            <w:tcW w:w="260" w:type="dxa"/>
            <w:vAlign w:val="bottom"/>
            <w:tcBorders>
              <w:bottom w:val="single" w:sz="8" w:color="auto"/>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220" w:type="dxa"/>
            <w:vAlign w:val="bottom"/>
            <w:tcBorders>
              <w:bottom w:val="single" w:sz="8" w:color="auto"/>
            </w:tcBorders>
            <w:shd w:val="clear" w:color="auto" w:fill="CCEEFF"/>
          </w:tcPr>
          <w:p>
            <w:pPr>
              <w:spacing w:after="0"/>
              <w:rPr>
                <w:sz w:val="22"/>
                <w:szCs w:val="22"/>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32.2</w:t>
            </w:r>
          </w:p>
        </w:tc>
        <w:tc>
          <w:tcPr>
            <w:tcW w:w="340" w:type="dxa"/>
            <w:vAlign w:val="bottom"/>
            <w:tcBorders>
              <w:bottom w:val="single" w:sz="8" w:color="auto"/>
            </w:tcBorders>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32.2</w:t>
            </w:r>
          </w:p>
        </w:tc>
        <w:tc>
          <w:tcPr>
            <w:tcW w:w="360" w:type="dxa"/>
            <w:vAlign w:val="bottom"/>
            <w:tcBorders>
              <w:bottom w:val="single" w:sz="8" w:color="auto"/>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shd w:val="clear" w:color="auto" w:fill="CCEEFF"/>
          </w:tcPr>
          <w:p>
            <w:pPr>
              <w:spacing w:after="0"/>
              <w:rPr>
                <w:sz w:val="22"/>
                <w:szCs w:val="22"/>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320" w:type="dxa"/>
            <w:vAlign w:val="bottom"/>
            <w:tcBorders>
              <w:bottom w:val="single" w:sz="8" w:color="auto"/>
            </w:tcBorders>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1.9</w:t>
            </w:r>
          </w:p>
        </w:tc>
      </w:tr>
      <w:tr>
        <w:trPr>
          <w:trHeight w:val="263"/>
        </w:trPr>
        <w:tc>
          <w:tcPr>
            <w:tcW w:w="3700" w:type="dxa"/>
            <w:vAlign w:val="bottom"/>
          </w:tcPr>
          <w:p>
            <w:pPr>
              <w:ind w:left="500"/>
              <w:spacing w:after="0"/>
              <w:rPr>
                <w:sz w:val="20"/>
                <w:szCs w:val="20"/>
                <w:color w:val="auto"/>
              </w:rPr>
            </w:pPr>
            <w:r>
              <w:rPr>
                <w:rFonts w:ascii="Arial" w:cs="Arial" w:eastAsia="Arial" w:hAnsi="Arial"/>
                <w:sz w:val="18"/>
                <w:szCs w:val="18"/>
                <w:color w:val="auto"/>
              </w:rPr>
              <w:t>Total Immunology</w:t>
            </w:r>
          </w:p>
        </w:tc>
        <w:tc>
          <w:tcPr>
            <w:tcW w:w="26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111.2</w:t>
            </w:r>
          </w:p>
        </w:tc>
        <w:tc>
          <w:tcPr>
            <w:tcW w:w="22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67.5</w:t>
            </w:r>
          </w:p>
        </w:tc>
        <w:tc>
          <w:tcPr>
            <w:tcW w:w="340" w:type="dxa"/>
            <w:vAlign w:val="bottom"/>
          </w:tcPr>
          <w:p>
            <w:pPr>
              <w:spacing w:after="0"/>
              <w:rPr>
                <w:sz w:val="22"/>
                <w:szCs w:val="22"/>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b w:val="1"/>
                <w:bCs w:val="1"/>
                <w:color w:val="auto"/>
              </w:rPr>
              <w:t>178.7</w:t>
            </w:r>
          </w:p>
        </w:tc>
        <w:tc>
          <w:tcPr>
            <w:tcW w:w="36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87.8</w:t>
            </w:r>
          </w:p>
        </w:tc>
        <w:tc>
          <w:tcPr>
            <w:tcW w:w="20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10.6</w:t>
            </w:r>
          </w:p>
        </w:tc>
        <w:tc>
          <w:tcPr>
            <w:tcW w:w="320" w:type="dxa"/>
            <w:vAlign w:val="bottom"/>
          </w:tcPr>
          <w:p>
            <w:pPr>
              <w:spacing w:after="0"/>
              <w:rPr>
                <w:sz w:val="22"/>
                <w:szCs w:val="22"/>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98.5</w:t>
            </w:r>
          </w:p>
        </w:tc>
      </w:tr>
      <w:tr>
        <w:trPr>
          <w:trHeight w:val="128"/>
        </w:trPr>
        <w:tc>
          <w:tcPr>
            <w:tcW w:w="37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r>
      <w:tr>
        <w:trPr>
          <w:trHeight w:val="264"/>
        </w:trPr>
        <w:tc>
          <w:tcPr>
            <w:tcW w:w="3700" w:type="dxa"/>
            <w:vAlign w:val="bottom"/>
            <w:tcBorders>
              <w:bottom w:val="single" w:sz="8" w:color="CCEEFF"/>
            </w:tcBorders>
          </w:tcPr>
          <w:p>
            <w:pPr>
              <w:ind w:left="500"/>
              <w:spacing w:after="0"/>
              <w:rPr>
                <w:sz w:val="20"/>
                <w:szCs w:val="20"/>
                <w:color w:val="auto"/>
              </w:rPr>
            </w:pPr>
            <w:r>
              <w:rPr>
                <w:rFonts w:ascii="Arial" w:cs="Arial" w:eastAsia="Arial" w:hAnsi="Arial"/>
                <w:sz w:val="18"/>
                <w:szCs w:val="18"/>
                <w:color w:val="auto"/>
              </w:rPr>
              <w:t>Other pharmaceuticals</w:t>
            </w:r>
          </w:p>
        </w:tc>
        <w:tc>
          <w:tcPr>
            <w:tcW w:w="2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20.9</w:t>
            </w:r>
          </w:p>
        </w:tc>
        <w:tc>
          <w:tcPr>
            <w:tcW w:w="2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49.6</w:t>
            </w:r>
          </w:p>
        </w:tc>
        <w:tc>
          <w:tcPr>
            <w:tcW w:w="34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b w:val="1"/>
                <w:bCs w:val="1"/>
                <w:color w:val="auto"/>
              </w:rPr>
              <w:t>70.5</w:t>
            </w:r>
          </w:p>
        </w:tc>
        <w:tc>
          <w:tcPr>
            <w:tcW w:w="3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w:t>
            </w:r>
          </w:p>
        </w:tc>
        <w:tc>
          <w:tcPr>
            <w:tcW w:w="2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60.0</w:t>
            </w:r>
          </w:p>
        </w:tc>
        <w:tc>
          <w:tcPr>
            <w:tcW w:w="32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73.9</w:t>
            </w:r>
          </w:p>
        </w:tc>
      </w:tr>
      <w:tr>
        <w:trPr>
          <w:trHeight w:val="270"/>
        </w:trPr>
        <w:tc>
          <w:tcPr>
            <w:tcW w:w="37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human pharmaceutical products</w:t>
            </w:r>
          </w:p>
        </w:tc>
        <w:tc>
          <w:tcPr>
            <w:tcW w:w="26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2,779.0</w:t>
            </w:r>
          </w:p>
        </w:tc>
        <w:tc>
          <w:tcPr>
            <w:tcW w:w="22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2,159.7</w:t>
            </w:r>
          </w:p>
        </w:tc>
        <w:tc>
          <w:tcPr>
            <w:tcW w:w="34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4,938.7</w:t>
            </w:r>
          </w:p>
        </w:tc>
        <w:tc>
          <w:tcPr>
            <w:tcW w:w="36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2,519.7</w:t>
            </w:r>
          </w:p>
        </w:tc>
        <w:tc>
          <w:tcPr>
            <w:tcW w:w="20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1,939.2</w:t>
            </w:r>
          </w:p>
        </w:tc>
        <w:tc>
          <w:tcPr>
            <w:tcW w:w="32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4,459.0</w:t>
            </w:r>
          </w:p>
        </w:tc>
      </w:tr>
      <w:tr>
        <w:trPr>
          <w:trHeight w:val="264"/>
        </w:trPr>
        <w:tc>
          <w:tcPr>
            <w:tcW w:w="370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Animal health products</w:t>
            </w:r>
          </w:p>
        </w:tc>
        <w:tc>
          <w:tcPr>
            <w:tcW w:w="2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375.7</w:t>
            </w:r>
          </w:p>
        </w:tc>
        <w:tc>
          <w:tcPr>
            <w:tcW w:w="2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385.6</w:t>
            </w:r>
          </w:p>
        </w:tc>
        <w:tc>
          <w:tcPr>
            <w:tcW w:w="34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b w:val="1"/>
                <w:bCs w:val="1"/>
                <w:color w:val="auto"/>
              </w:rPr>
              <w:t>761.3</w:t>
            </w:r>
          </w:p>
        </w:tc>
        <w:tc>
          <w:tcPr>
            <w:tcW w:w="3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413.8</w:t>
            </w:r>
          </w:p>
        </w:tc>
        <w:tc>
          <w:tcPr>
            <w:tcW w:w="2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355.6</w:t>
            </w:r>
          </w:p>
        </w:tc>
        <w:tc>
          <w:tcPr>
            <w:tcW w:w="32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769.4</w:t>
            </w:r>
          </w:p>
        </w:tc>
      </w:tr>
      <w:tr>
        <w:trPr>
          <w:trHeight w:val="277"/>
        </w:trPr>
        <w:tc>
          <w:tcPr>
            <w:tcW w:w="3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3,154.7</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2,545.3</w:t>
            </w:r>
          </w:p>
        </w:tc>
        <w:tc>
          <w:tcPr>
            <w:tcW w:w="34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w:t>
            </w:r>
          </w:p>
        </w:tc>
        <w:tc>
          <w:tcPr>
            <w:tcW w:w="98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5,700.0</w:t>
            </w:r>
          </w:p>
        </w:tc>
        <w:tc>
          <w:tcPr>
            <w:tcW w:w="3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2,933.5</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2,294.8</w:t>
            </w:r>
          </w:p>
        </w:tc>
        <w:tc>
          <w:tcPr>
            <w:tcW w:w="32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5,228.3</w:t>
            </w:r>
          </w:p>
        </w:tc>
      </w:tr>
    </w:tbl>
    <w:p>
      <w:pPr>
        <w:spacing w:after="0" w:line="167" w:lineRule="exact"/>
        <w:rPr>
          <w:sz w:val="20"/>
          <w:szCs w:val="20"/>
          <w:color w:val="auto"/>
        </w:rPr>
      </w:pPr>
    </w:p>
    <w:p>
      <w:pPr>
        <w:spacing w:after="0"/>
        <w:rPr>
          <w:sz w:val="20"/>
          <w:szCs w:val="20"/>
          <w:color w:val="auto"/>
        </w:rPr>
      </w:pPr>
      <w:r>
        <w:rPr>
          <w:rFonts w:ascii="Arial" w:cs="Arial" w:eastAsia="Arial" w:hAnsi="Arial"/>
          <w:sz w:val="14"/>
          <w:szCs w:val="14"/>
          <w:color w:val="auto"/>
        </w:rPr>
        <w:t>Numbers may not add due to rounding.</w:t>
      </w:r>
    </w:p>
    <w:p>
      <w:pPr>
        <w:spacing w:after="0" w:line="43" w:lineRule="exact"/>
        <w:rPr>
          <w:sz w:val="20"/>
          <w:szCs w:val="20"/>
          <w:color w:val="auto"/>
        </w:rPr>
      </w:pPr>
    </w:p>
    <w:p>
      <w:pPr>
        <w:ind w:left="140" w:hanging="132"/>
        <w:spacing w:after="0"/>
        <w:tabs>
          <w:tab w:leader="none" w:pos="140" w:val="left"/>
        </w:tabs>
        <w:numPr>
          <w:ilvl w:val="0"/>
          <w:numId w:val="15"/>
        </w:numPr>
        <w:rPr>
          <w:rFonts w:ascii="Arial" w:cs="Arial" w:eastAsia="Arial" w:hAnsi="Arial"/>
          <w:sz w:val="16"/>
          <w:szCs w:val="16"/>
          <w:color w:val="auto"/>
          <w:vertAlign w:val="superscript"/>
        </w:rPr>
      </w:pPr>
      <w:r>
        <w:rPr>
          <w:rFonts w:ascii="Arial" w:cs="Arial" w:eastAsia="Arial" w:hAnsi="Arial"/>
          <w:sz w:val="13"/>
          <w:szCs w:val="13"/>
          <w:color w:val="auto"/>
        </w:rPr>
        <w:t>U.S. revenue includes revenue in Puerto Rico.</w:t>
      </w:r>
    </w:p>
    <w:p>
      <w:pPr>
        <w:sectPr>
          <w:pgSz w:w="11900" w:h="16838" w:orient="portrait"/>
          <w:cols w:equalWidth="0" w:num="1">
            <w:col w:w="11420"/>
          </w:cols>
          <w:pgMar w:left="240" w:top="576" w:right="239" w:bottom="1440" w:gutter="0" w:footer="0" w:header="0"/>
        </w:sect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33</w:t>
      </w:r>
    </w:p>
    <w:p>
      <w:pPr>
        <w:sectPr>
          <w:pgSz w:w="11900" w:h="16838" w:orient="portrait"/>
          <w:cols w:equalWidth="0" w:num="1">
            <w:col w:w="11420"/>
          </w:cols>
          <w:pgMar w:left="240" w:top="576" w:right="239" w:bottom="1440" w:gutter="0" w:footer="0" w:header="0"/>
          <w:type w:val="continuous"/>
        </w:sectPr>
      </w:pPr>
    </w:p>
    <w:bookmarkStart w:id="33" w:name="page34"/>
    <w:bookmarkEnd w:id="33"/>
    <w:p>
      <w:pPr>
        <w:ind w:left="9160"/>
        <w:spacing w:after="0"/>
        <w:rPr>
          <w:sz w:val="20"/>
          <w:szCs w:val="20"/>
          <w:color w:val="auto"/>
        </w:rPr>
      </w:pPr>
      <w:r>
        <w:rPr>
          <w:rFonts w:ascii="Arial" w:cs="Arial" w:eastAsia="Arial" w:hAnsi="Arial"/>
          <w:sz w:val="14"/>
          <w:szCs w:val="14"/>
          <w:b w:val="1"/>
          <w:bCs w:val="1"/>
          <w:color w:val="auto"/>
        </w:rPr>
        <w:t>Three Months Ended</w:t>
      </w:r>
    </w:p>
    <w:p>
      <w:pPr>
        <w:spacing w:after="0" w:line="19" w:lineRule="exact"/>
        <w:rPr>
          <w:sz w:val="20"/>
          <w:szCs w:val="20"/>
          <w:color w:val="auto"/>
        </w:rPr>
      </w:pPr>
    </w:p>
    <w:p>
      <w:pPr>
        <w:ind w:left="956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5296535</wp:posOffset>
            </wp:positionH>
            <wp:positionV relativeFrom="paragraph">
              <wp:posOffset>14605</wp:posOffset>
            </wp:positionV>
            <wp:extent cx="1955165"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955165" cy="8890"/>
                    </a:xfrm>
                    <a:prstGeom prst="rect">
                      <a:avLst/>
                    </a:prstGeom>
                    <a:noFill/>
                  </pic:spPr>
                </pic:pic>
              </a:graphicData>
            </a:graphic>
          </wp:anchor>
        </w:drawing>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834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2018</w:t>
            </w:r>
          </w:p>
        </w:tc>
        <w:tc>
          <w:tcPr>
            <w:tcW w:w="4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2017</w:t>
            </w:r>
          </w:p>
        </w:tc>
      </w:tr>
      <w:tr>
        <w:trPr>
          <w:trHeight w:val="270"/>
        </w:trPr>
        <w:tc>
          <w:tcPr>
            <w:tcW w:w="8340" w:type="dxa"/>
            <w:vAlign w:val="bottom"/>
            <w:shd w:val="clear" w:color="auto" w:fill="CCEEFF"/>
          </w:tcPr>
          <w:p>
            <w:pPr>
              <w:ind w:left="40"/>
              <w:spacing w:after="0"/>
              <w:rPr>
                <w:sz w:val="20"/>
                <w:szCs w:val="20"/>
                <w:color w:val="auto"/>
              </w:rPr>
            </w:pPr>
            <w:r>
              <w:rPr>
                <w:rFonts w:ascii="Arial" w:cs="Arial" w:eastAsia="Arial" w:hAnsi="Arial"/>
                <w:sz w:val="18"/>
                <w:szCs w:val="18"/>
                <w:color w:val="auto"/>
              </w:rPr>
              <w:t>Segment profits:</w:t>
            </w:r>
          </w:p>
        </w:tc>
        <w:tc>
          <w:tcPr>
            <w:tcW w:w="36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r>
      <w:tr>
        <w:trPr>
          <w:trHeight w:val="263"/>
        </w:trPr>
        <w:tc>
          <w:tcPr>
            <w:tcW w:w="8340" w:type="dxa"/>
            <w:vAlign w:val="bottom"/>
          </w:tcPr>
          <w:p>
            <w:pPr>
              <w:ind w:left="180"/>
              <w:spacing w:after="0"/>
              <w:rPr>
                <w:sz w:val="20"/>
                <w:szCs w:val="20"/>
                <w:color w:val="auto"/>
              </w:rPr>
            </w:pPr>
            <w:r>
              <w:rPr>
                <w:rFonts w:ascii="Arial" w:cs="Arial" w:eastAsia="Arial" w:hAnsi="Arial"/>
                <w:sz w:val="18"/>
                <w:szCs w:val="18"/>
                <w:color w:val="auto"/>
              </w:rPr>
              <w:t>Human pharmaceutical products</w:t>
            </w:r>
          </w:p>
        </w:tc>
        <w:tc>
          <w:tcPr>
            <w:tcW w:w="360" w:type="dxa"/>
            <w:vAlign w:val="bottom"/>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160" w:type="dxa"/>
            <w:vAlign w:val="bottom"/>
          </w:tcPr>
          <w:p>
            <w:pPr>
              <w:jc w:val="right"/>
              <w:ind w:right="52"/>
              <w:spacing w:after="0"/>
              <w:rPr>
                <w:sz w:val="20"/>
                <w:szCs w:val="20"/>
                <w:color w:val="auto"/>
              </w:rPr>
            </w:pPr>
            <w:r>
              <w:rPr>
                <w:rFonts w:ascii="Arial" w:cs="Arial" w:eastAsia="Arial" w:hAnsi="Arial"/>
                <w:sz w:val="18"/>
                <w:szCs w:val="18"/>
                <w:b w:val="1"/>
                <w:bCs w:val="1"/>
                <w:color w:val="auto"/>
              </w:rPr>
              <w:t>1,516.8</w:t>
            </w:r>
          </w:p>
        </w:tc>
        <w:tc>
          <w:tcPr>
            <w:tcW w:w="42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1,170.9</w:t>
            </w:r>
          </w:p>
        </w:tc>
      </w:tr>
      <w:tr>
        <w:trPr>
          <w:trHeight w:val="270"/>
        </w:trPr>
        <w:tc>
          <w:tcPr>
            <w:tcW w:w="83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Animal health products</w:t>
            </w:r>
          </w:p>
        </w:tc>
        <w:tc>
          <w:tcPr>
            <w:tcW w:w="36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b w:val="1"/>
                <w:bCs w:val="1"/>
                <w:color w:val="auto"/>
              </w:rPr>
              <w:t>154.9</w:t>
            </w:r>
          </w:p>
        </w:tc>
        <w:tc>
          <w:tcPr>
            <w:tcW w:w="42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148.3</w:t>
            </w:r>
          </w:p>
        </w:tc>
      </w:tr>
      <w:tr>
        <w:trPr>
          <w:trHeight w:val="277"/>
        </w:trPr>
        <w:tc>
          <w:tcPr>
            <w:tcW w:w="83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Total segment profits</w:t>
            </w: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16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b w:val="1"/>
                <w:bCs w:val="1"/>
                <w:color w:val="auto"/>
              </w:rPr>
              <w:t>1,671.7</w:t>
            </w:r>
          </w:p>
        </w:tc>
        <w:tc>
          <w:tcPr>
            <w:tcW w:w="4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1,319.2</w:t>
            </w:r>
          </w:p>
        </w:tc>
      </w:tr>
      <w:tr>
        <w:trPr>
          <w:trHeight w:val="324"/>
        </w:trPr>
        <w:tc>
          <w:tcPr>
            <w:tcW w:w="834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r>
      <w:tr>
        <w:trPr>
          <w:trHeight w:val="263"/>
        </w:trPr>
        <w:tc>
          <w:tcPr>
            <w:tcW w:w="8340" w:type="dxa"/>
            <w:vAlign w:val="bottom"/>
          </w:tcPr>
          <w:p>
            <w:pPr>
              <w:ind w:left="40"/>
              <w:spacing w:after="0"/>
              <w:rPr>
                <w:sz w:val="20"/>
                <w:szCs w:val="20"/>
                <w:color w:val="auto"/>
              </w:rPr>
            </w:pPr>
            <w:r>
              <w:rPr>
                <w:rFonts w:ascii="Arial" w:cs="Arial" w:eastAsia="Arial" w:hAnsi="Arial"/>
                <w:sz w:val="18"/>
                <w:szCs w:val="18"/>
                <w:color w:val="auto"/>
              </w:rPr>
              <w:t>Reconciliation of total segment profits to consolidated income before taxes:</w:t>
            </w:r>
          </w:p>
        </w:tc>
        <w:tc>
          <w:tcPr>
            <w:tcW w:w="36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140" w:type="dxa"/>
            <w:vAlign w:val="bottom"/>
          </w:tcPr>
          <w:p>
            <w:pPr>
              <w:spacing w:after="0"/>
              <w:rPr>
                <w:sz w:val="22"/>
                <w:szCs w:val="22"/>
                <w:color w:val="auto"/>
              </w:rPr>
            </w:pPr>
          </w:p>
        </w:tc>
      </w:tr>
      <w:tr>
        <w:trPr>
          <w:trHeight w:val="277"/>
        </w:trPr>
        <w:tc>
          <w:tcPr>
            <w:tcW w:w="83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Segment profits</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160" w:type="dxa"/>
            <w:vAlign w:val="bottom"/>
            <w:shd w:val="clear" w:color="auto" w:fill="CCEEFF"/>
          </w:tcPr>
          <w:p>
            <w:pPr>
              <w:jc w:val="right"/>
              <w:ind w:right="52"/>
              <w:spacing w:after="0"/>
              <w:rPr>
                <w:sz w:val="20"/>
                <w:szCs w:val="20"/>
                <w:color w:val="auto"/>
              </w:rPr>
            </w:pPr>
            <w:r>
              <w:rPr>
                <w:rFonts w:ascii="Arial" w:cs="Arial" w:eastAsia="Arial" w:hAnsi="Arial"/>
                <w:sz w:val="18"/>
                <w:szCs w:val="18"/>
                <w:b w:val="1"/>
                <w:bCs w:val="1"/>
                <w:color w:val="auto"/>
              </w:rPr>
              <w:t>1,671.7</w:t>
            </w:r>
          </w:p>
        </w:tc>
        <w:tc>
          <w:tcPr>
            <w:tcW w:w="4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1,319.2</w:t>
            </w:r>
          </w:p>
        </w:tc>
      </w:tr>
      <w:tr>
        <w:trPr>
          <w:trHeight w:val="263"/>
        </w:trPr>
        <w:tc>
          <w:tcPr>
            <w:tcW w:w="8340" w:type="dxa"/>
            <w:vAlign w:val="bottom"/>
          </w:tcPr>
          <w:p>
            <w:pPr>
              <w:ind w:left="180"/>
              <w:spacing w:after="0"/>
              <w:rPr>
                <w:sz w:val="20"/>
                <w:szCs w:val="20"/>
                <w:color w:val="auto"/>
              </w:rPr>
            </w:pPr>
            <w:r>
              <w:rPr>
                <w:rFonts w:ascii="Arial" w:cs="Arial" w:eastAsia="Arial" w:hAnsi="Arial"/>
                <w:sz w:val="18"/>
                <w:szCs w:val="18"/>
                <w:color w:val="auto"/>
              </w:rPr>
              <w:t>Other profits (losses):</w:t>
            </w:r>
          </w:p>
        </w:tc>
        <w:tc>
          <w:tcPr>
            <w:tcW w:w="36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140" w:type="dxa"/>
            <w:vAlign w:val="bottom"/>
          </w:tcPr>
          <w:p>
            <w:pPr>
              <w:spacing w:after="0"/>
              <w:rPr>
                <w:sz w:val="22"/>
                <w:szCs w:val="22"/>
                <w:color w:val="auto"/>
              </w:rPr>
            </w:pPr>
          </w:p>
        </w:tc>
      </w:tr>
      <w:tr>
        <w:trPr>
          <w:trHeight w:val="277"/>
        </w:trPr>
        <w:tc>
          <w:tcPr>
            <w:tcW w:w="83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Acquired in-process research and development (Note 3)</w:t>
            </w:r>
          </w:p>
        </w:tc>
        <w:tc>
          <w:tcPr>
            <w:tcW w:w="36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52"/>
              <w:spacing w:after="0"/>
              <w:rPr>
                <w:sz w:val="20"/>
                <w:szCs w:val="20"/>
                <w:color w:val="auto"/>
              </w:rPr>
            </w:pPr>
            <w:r>
              <w:rPr>
                <w:rFonts w:ascii="Arial" w:cs="Arial" w:eastAsia="Arial" w:hAnsi="Arial"/>
                <w:sz w:val="18"/>
                <w:szCs w:val="18"/>
                <w:b w:val="1"/>
                <w:bCs w:val="1"/>
                <w:color w:val="auto"/>
              </w:rPr>
              <w:t>—</w:t>
            </w:r>
          </w:p>
        </w:tc>
        <w:tc>
          <w:tcPr>
            <w:tcW w:w="42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(857.6)</w:t>
            </w:r>
          </w:p>
        </w:tc>
      </w:tr>
      <w:tr>
        <w:trPr>
          <w:trHeight w:val="263"/>
        </w:trPr>
        <w:tc>
          <w:tcPr>
            <w:tcW w:w="8340" w:type="dxa"/>
            <w:vAlign w:val="bottom"/>
          </w:tcPr>
          <w:p>
            <w:pPr>
              <w:ind w:left="280"/>
              <w:spacing w:after="0"/>
              <w:rPr>
                <w:sz w:val="20"/>
                <w:szCs w:val="20"/>
                <w:color w:val="auto"/>
              </w:rPr>
            </w:pPr>
            <w:r>
              <w:rPr>
                <w:rFonts w:ascii="Arial" w:cs="Arial" w:eastAsia="Arial" w:hAnsi="Arial"/>
                <w:sz w:val="18"/>
                <w:szCs w:val="18"/>
                <w:color w:val="auto"/>
              </w:rPr>
              <w:t>Amortization of intangible assets</w:t>
            </w:r>
          </w:p>
        </w:tc>
        <w:tc>
          <w:tcPr>
            <w:tcW w:w="36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(152.4)</w:t>
            </w:r>
          </w:p>
        </w:tc>
        <w:tc>
          <w:tcPr>
            <w:tcW w:w="42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(176.1)</w:t>
            </w:r>
          </w:p>
        </w:tc>
      </w:tr>
      <w:tr>
        <w:trPr>
          <w:trHeight w:val="277"/>
        </w:trPr>
        <w:tc>
          <w:tcPr>
            <w:tcW w:w="83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Asset impairment, restructuring, and other special charges (Note 5)</w:t>
            </w:r>
          </w:p>
        </w:tc>
        <w:tc>
          <w:tcPr>
            <w:tcW w:w="360" w:type="dxa"/>
            <w:vAlign w:val="bottom"/>
            <w:shd w:val="clear" w:color="auto" w:fill="CCEEFF"/>
          </w:tcPr>
          <w:p>
            <w:pPr>
              <w:spacing w:after="0"/>
              <w:rPr>
                <w:sz w:val="24"/>
                <w:szCs w:val="24"/>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(78.3)</w:t>
            </w:r>
          </w:p>
        </w:tc>
        <w:tc>
          <w:tcPr>
            <w:tcW w:w="42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(213.9)</w:t>
            </w:r>
          </w:p>
        </w:tc>
      </w:tr>
      <w:tr>
        <w:trPr>
          <w:trHeight w:val="264"/>
        </w:trPr>
        <w:tc>
          <w:tcPr>
            <w:tcW w:w="8340" w:type="dxa"/>
            <w:vAlign w:val="bottom"/>
            <w:tcBorders>
              <w:bottom w:val="single" w:sz="8" w:color="CCEEFF"/>
            </w:tcBorders>
          </w:tcPr>
          <w:p>
            <w:pPr>
              <w:ind w:left="280"/>
              <w:spacing w:after="0"/>
              <w:rPr>
                <w:sz w:val="20"/>
                <w:szCs w:val="20"/>
                <w:color w:val="auto"/>
              </w:rPr>
            </w:pPr>
            <w:r>
              <w:rPr>
                <w:rFonts w:ascii="Arial" w:cs="Arial" w:eastAsia="Arial" w:hAnsi="Arial"/>
                <w:sz w:val="18"/>
                <w:szCs w:val="18"/>
                <w:color w:val="auto"/>
              </w:rPr>
              <w:t>Inventory fair value adjustment related to BIVIVP (Note 3)</w:t>
            </w:r>
          </w:p>
        </w:tc>
        <w:tc>
          <w:tcPr>
            <w:tcW w:w="36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b w:val="1"/>
                <w:bCs w:val="1"/>
                <w:color w:val="auto"/>
              </w:rPr>
              <w:t>—</w:t>
            </w:r>
          </w:p>
        </w:tc>
        <w:tc>
          <w:tcPr>
            <w:tcW w:w="4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w:t>
            </w:r>
          </w:p>
        </w:tc>
      </w:tr>
      <w:tr>
        <w:trPr>
          <w:trHeight w:val="277"/>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Consolidated income before taxes</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16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b w:val="1"/>
                <w:bCs w:val="1"/>
                <w:color w:val="auto"/>
              </w:rPr>
              <w:t>1,441.0</w:t>
            </w:r>
          </w:p>
        </w:tc>
        <w:tc>
          <w:tcPr>
            <w:tcW w:w="4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61.2</w:t>
            </w:r>
          </w:p>
        </w:tc>
      </w:tr>
    </w:tbl>
    <w:p>
      <w:pPr>
        <w:spacing w:after="0" w:line="59" w:lineRule="exact"/>
        <w:rPr>
          <w:sz w:val="20"/>
          <w:szCs w:val="20"/>
          <w:color w:val="auto"/>
        </w:rPr>
      </w:pPr>
    </w:p>
    <w:p>
      <w:pPr>
        <w:spacing w:after="0"/>
        <w:rPr>
          <w:sz w:val="20"/>
          <w:szCs w:val="20"/>
          <w:color w:val="auto"/>
        </w:rPr>
      </w:pPr>
      <w:r>
        <w:rPr>
          <w:rFonts w:ascii="Arial" w:cs="Arial" w:eastAsia="Arial" w:hAnsi="Arial"/>
          <w:sz w:val="14"/>
          <w:szCs w:val="14"/>
          <w:color w:val="auto"/>
        </w:rPr>
        <w:t>Numbers may not add due to rounding.</w:t>
      </w:r>
    </w:p>
    <w:p>
      <w:pPr>
        <w:spacing w:after="0" w:line="103" w:lineRule="exact"/>
        <w:rPr>
          <w:sz w:val="20"/>
          <w:szCs w:val="20"/>
          <w:color w:val="auto"/>
        </w:rPr>
      </w:pPr>
    </w:p>
    <w:p>
      <w:pPr>
        <w:ind w:right="300"/>
        <w:spacing w:after="0" w:line="256" w:lineRule="auto"/>
        <w:rPr>
          <w:sz w:val="20"/>
          <w:szCs w:val="20"/>
          <w:color w:val="auto"/>
        </w:rPr>
      </w:pPr>
      <w:r>
        <w:rPr>
          <w:rFonts w:ascii="Arial" w:cs="Arial" w:eastAsia="Arial" w:hAnsi="Arial"/>
          <w:sz w:val="18"/>
          <w:szCs w:val="18"/>
          <w:color w:val="auto"/>
        </w:rPr>
        <w:t>For internal management reporting presented to the chief operating decision maker, certain costs are fully allocated to our human pharmaceutical products segment and therefore are not reflected in the animal health segment's profit. Such items include costs associated with treasury-related financing, global administrative services, certain acquisition-related transaction costs, and certain manufacturing costs.</w:t>
      </w:r>
    </w:p>
    <w:p>
      <w:pPr>
        <w:spacing w:after="0" w:line="136" w:lineRule="exact"/>
        <w:rPr>
          <w:sz w:val="20"/>
          <w:szCs w:val="20"/>
          <w:color w:val="auto"/>
        </w:rPr>
      </w:pPr>
    </w:p>
    <w:p>
      <w:pPr>
        <w:ind w:left="9160"/>
        <w:spacing w:after="0"/>
        <w:rPr>
          <w:sz w:val="20"/>
          <w:szCs w:val="20"/>
          <w:color w:val="auto"/>
        </w:rPr>
      </w:pPr>
      <w:r>
        <w:rPr>
          <w:rFonts w:ascii="Arial" w:cs="Arial" w:eastAsia="Arial" w:hAnsi="Arial"/>
          <w:sz w:val="14"/>
          <w:szCs w:val="14"/>
          <w:b w:val="1"/>
          <w:bCs w:val="1"/>
          <w:color w:val="auto"/>
        </w:rPr>
        <w:t>Three Months Ended</w:t>
      </w:r>
    </w:p>
    <w:p>
      <w:pPr>
        <w:spacing w:after="0" w:line="19" w:lineRule="exact"/>
        <w:rPr>
          <w:sz w:val="20"/>
          <w:szCs w:val="20"/>
          <w:color w:val="auto"/>
        </w:rPr>
      </w:pPr>
    </w:p>
    <w:p>
      <w:pPr>
        <w:ind w:left="956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5227955</wp:posOffset>
            </wp:positionH>
            <wp:positionV relativeFrom="paragraph">
              <wp:posOffset>14605</wp:posOffset>
            </wp:positionV>
            <wp:extent cx="2023745"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2023745" cy="8890"/>
                    </a:xfrm>
                    <a:prstGeom prst="rect">
                      <a:avLst/>
                    </a:prstGeom>
                    <a:noFill/>
                  </pic:spPr>
                </pic:pic>
              </a:graphicData>
            </a:graphic>
          </wp:anchor>
        </w:drawing>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834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2018</w:t>
            </w:r>
          </w:p>
        </w:tc>
        <w:tc>
          <w:tcPr>
            <w:tcW w:w="4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2017</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b w:val="1"/>
                <w:bCs w:val="1"/>
                <w:color w:val="auto"/>
              </w:rPr>
              <w:t>Geographic Information</w:t>
            </w:r>
          </w:p>
        </w:tc>
        <w:tc>
          <w:tcPr>
            <w:tcW w:w="3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8340" w:type="dxa"/>
            <w:vAlign w:val="bottom"/>
            <w:shd w:val="clear" w:color="auto" w:fill="CCEEFF"/>
          </w:tcPr>
          <w:p>
            <w:pPr>
              <w:ind w:left="40"/>
              <w:spacing w:after="0"/>
              <w:rPr>
                <w:sz w:val="20"/>
                <w:szCs w:val="20"/>
                <w:color w:val="auto"/>
              </w:rPr>
            </w:pPr>
            <w:r>
              <w:rPr>
                <w:rFonts w:ascii="Arial" w:cs="Arial" w:eastAsia="Arial" w:hAnsi="Arial"/>
                <w:sz w:val="18"/>
                <w:szCs w:val="18"/>
                <w:color w:val="auto"/>
              </w:rPr>
              <w:t xml:space="preserve">Revenue—to unaffiliated customers </w:t>
            </w:r>
            <w:r>
              <w:rPr>
                <w:rFonts w:ascii="Arial" w:cs="Arial" w:eastAsia="Arial" w:hAnsi="Arial"/>
                <w:sz w:val="21"/>
                <w:szCs w:val="21"/>
                <w:color w:val="auto"/>
                <w:vertAlign w:val="superscript"/>
              </w:rPr>
              <w:t>(1)</w:t>
            </w:r>
            <w:r>
              <w:rPr>
                <w:rFonts w:ascii="Arial" w:cs="Arial" w:eastAsia="Arial" w:hAnsi="Arial"/>
                <w:sz w:val="18"/>
                <w:szCs w:val="18"/>
                <w:color w:val="auto"/>
              </w:rPr>
              <w:t>:</w:t>
            </w:r>
          </w:p>
        </w:tc>
        <w:tc>
          <w:tcPr>
            <w:tcW w:w="36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r>
      <w:tr>
        <w:trPr>
          <w:trHeight w:val="263"/>
        </w:trPr>
        <w:tc>
          <w:tcPr>
            <w:tcW w:w="8340" w:type="dxa"/>
            <w:vAlign w:val="bottom"/>
          </w:tcPr>
          <w:p>
            <w:pPr>
              <w:ind w:left="180"/>
              <w:spacing w:after="0"/>
              <w:rPr>
                <w:sz w:val="20"/>
                <w:szCs w:val="20"/>
                <w:color w:val="auto"/>
              </w:rPr>
            </w:pPr>
            <w:r>
              <w:rPr>
                <w:rFonts w:ascii="Arial" w:cs="Arial" w:eastAsia="Arial" w:hAnsi="Arial"/>
                <w:sz w:val="18"/>
                <w:szCs w:val="18"/>
                <w:color w:val="auto"/>
              </w:rPr>
              <w:t>United States</w:t>
            </w:r>
          </w:p>
        </w:tc>
        <w:tc>
          <w:tcPr>
            <w:tcW w:w="360" w:type="dxa"/>
            <w:vAlign w:val="bottom"/>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Pr>
          <w:p>
            <w:pPr>
              <w:jc w:val="right"/>
              <w:ind w:right="33"/>
              <w:spacing w:after="0"/>
              <w:rPr>
                <w:sz w:val="20"/>
                <w:szCs w:val="20"/>
                <w:color w:val="auto"/>
              </w:rPr>
            </w:pPr>
            <w:r>
              <w:rPr>
                <w:rFonts w:ascii="Arial" w:cs="Arial" w:eastAsia="Arial" w:hAnsi="Arial"/>
                <w:sz w:val="18"/>
                <w:szCs w:val="18"/>
                <w:b w:val="1"/>
                <w:bCs w:val="1"/>
                <w:color w:val="auto"/>
              </w:rPr>
              <w:t>3,154.7</w:t>
            </w:r>
          </w:p>
        </w:tc>
        <w:tc>
          <w:tcPr>
            <w:tcW w:w="44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2,933.5</w:t>
            </w:r>
          </w:p>
        </w:tc>
      </w:tr>
      <w:tr>
        <w:trPr>
          <w:trHeight w:val="277"/>
        </w:trPr>
        <w:tc>
          <w:tcPr>
            <w:tcW w:w="83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Europe</w:t>
            </w:r>
          </w:p>
        </w:tc>
        <w:tc>
          <w:tcPr>
            <w:tcW w:w="36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33"/>
              <w:spacing w:after="0"/>
              <w:rPr>
                <w:sz w:val="20"/>
                <w:szCs w:val="20"/>
                <w:color w:val="auto"/>
              </w:rPr>
            </w:pPr>
            <w:r>
              <w:rPr>
                <w:rFonts w:ascii="Arial" w:cs="Arial" w:eastAsia="Arial" w:hAnsi="Arial"/>
                <w:sz w:val="18"/>
                <w:szCs w:val="18"/>
                <w:b w:val="1"/>
                <w:bCs w:val="1"/>
                <w:color w:val="auto"/>
              </w:rPr>
              <w:t>1,035.2</w:t>
            </w:r>
          </w:p>
        </w:tc>
        <w:tc>
          <w:tcPr>
            <w:tcW w:w="4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897.0</w:t>
            </w:r>
          </w:p>
        </w:tc>
      </w:tr>
      <w:tr>
        <w:trPr>
          <w:trHeight w:val="263"/>
        </w:trPr>
        <w:tc>
          <w:tcPr>
            <w:tcW w:w="8340" w:type="dxa"/>
            <w:vAlign w:val="bottom"/>
          </w:tcPr>
          <w:p>
            <w:pPr>
              <w:ind w:left="180"/>
              <w:spacing w:after="0"/>
              <w:rPr>
                <w:sz w:val="20"/>
                <w:szCs w:val="20"/>
                <w:color w:val="auto"/>
              </w:rPr>
            </w:pPr>
            <w:r>
              <w:rPr>
                <w:rFonts w:ascii="Arial" w:cs="Arial" w:eastAsia="Arial" w:hAnsi="Arial"/>
                <w:sz w:val="18"/>
                <w:szCs w:val="18"/>
                <w:color w:val="auto"/>
              </w:rPr>
              <w:t>Japan</w:t>
            </w:r>
          </w:p>
        </w:tc>
        <w:tc>
          <w:tcPr>
            <w:tcW w:w="360" w:type="dxa"/>
            <w:vAlign w:val="bottom"/>
          </w:tcPr>
          <w:p>
            <w:pPr>
              <w:spacing w:after="0"/>
              <w:rPr>
                <w:sz w:val="22"/>
                <w:szCs w:val="22"/>
                <w:color w:val="auto"/>
              </w:rPr>
            </w:pPr>
          </w:p>
        </w:tc>
        <w:tc>
          <w:tcPr>
            <w:tcW w:w="1140" w:type="dxa"/>
            <w:vAlign w:val="bottom"/>
          </w:tcPr>
          <w:p>
            <w:pPr>
              <w:jc w:val="right"/>
              <w:ind w:right="33"/>
              <w:spacing w:after="0"/>
              <w:rPr>
                <w:sz w:val="20"/>
                <w:szCs w:val="20"/>
                <w:color w:val="auto"/>
              </w:rPr>
            </w:pPr>
            <w:r>
              <w:rPr>
                <w:rFonts w:ascii="Arial" w:cs="Arial" w:eastAsia="Arial" w:hAnsi="Arial"/>
                <w:sz w:val="18"/>
                <w:szCs w:val="18"/>
                <w:b w:val="1"/>
                <w:bCs w:val="1"/>
                <w:color w:val="auto"/>
              </w:rPr>
              <w:t>555.8</w:t>
            </w:r>
          </w:p>
        </w:tc>
        <w:tc>
          <w:tcPr>
            <w:tcW w:w="440" w:type="dxa"/>
            <w:vAlign w:val="bottom"/>
          </w:tcPr>
          <w:p>
            <w:pPr>
              <w:spacing w:after="0"/>
              <w:rPr>
                <w:sz w:val="22"/>
                <w:szCs w:val="22"/>
                <w:color w:val="auto"/>
              </w:rPr>
            </w:pP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522.8</w:t>
            </w:r>
          </w:p>
        </w:tc>
      </w:tr>
      <w:tr>
        <w:trPr>
          <w:trHeight w:val="277"/>
        </w:trPr>
        <w:tc>
          <w:tcPr>
            <w:tcW w:w="83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foreign countries</w:t>
            </w:r>
          </w:p>
        </w:tc>
        <w:tc>
          <w:tcPr>
            <w:tcW w:w="360" w:type="dxa"/>
            <w:vAlign w:val="bottom"/>
            <w:tcBorders>
              <w:bottom w:val="single" w:sz="8" w:color="auto"/>
            </w:tcBorders>
            <w:shd w:val="clear" w:color="auto" w:fill="CCEEFF"/>
          </w:tcPr>
          <w:p>
            <w:pPr>
              <w:spacing w:after="0"/>
              <w:rPr>
                <w:sz w:val="24"/>
                <w:szCs w:val="24"/>
                <w:color w:val="auto"/>
              </w:rPr>
            </w:pPr>
          </w:p>
        </w:tc>
        <w:tc>
          <w:tcPr>
            <w:tcW w:w="114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b w:val="1"/>
                <w:bCs w:val="1"/>
                <w:color w:val="auto"/>
              </w:rPr>
              <w:t>954.3</w:t>
            </w:r>
          </w:p>
        </w:tc>
        <w:tc>
          <w:tcPr>
            <w:tcW w:w="440" w:type="dxa"/>
            <w:vAlign w:val="bottom"/>
            <w:tcBorders>
              <w:bottom w:val="single" w:sz="8" w:color="auto"/>
            </w:tcBorders>
            <w:shd w:val="clear" w:color="auto" w:fill="CCEEFF"/>
          </w:tcPr>
          <w:p>
            <w:pPr>
              <w:spacing w:after="0"/>
              <w:rPr>
                <w:sz w:val="24"/>
                <w:szCs w:val="24"/>
                <w:color w:val="auto"/>
              </w:rPr>
            </w:pPr>
          </w:p>
        </w:tc>
        <w:tc>
          <w:tcPr>
            <w:tcW w:w="11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875.0</w:t>
            </w:r>
          </w:p>
        </w:tc>
      </w:tr>
      <w:tr>
        <w:trPr>
          <w:trHeight w:val="271"/>
        </w:trPr>
        <w:tc>
          <w:tcPr>
            <w:tcW w:w="8340" w:type="dxa"/>
            <w:vAlign w:val="bottom"/>
          </w:tcPr>
          <w:p>
            <w:pPr>
              <w:ind w:left="40"/>
              <w:spacing w:after="0"/>
              <w:rPr>
                <w:sz w:val="20"/>
                <w:szCs w:val="20"/>
                <w:color w:val="auto"/>
              </w:rPr>
            </w:pPr>
            <w:r>
              <w:rPr>
                <w:rFonts w:ascii="Arial" w:cs="Arial" w:eastAsia="Arial" w:hAnsi="Arial"/>
                <w:sz w:val="18"/>
                <w:szCs w:val="18"/>
                <w:color w:val="auto"/>
              </w:rPr>
              <w:t>Revenue</w:t>
            </w: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b w:val="1"/>
                <w:bCs w:val="1"/>
                <w:color w:val="auto"/>
              </w:rPr>
              <w:t>5,700.0</w:t>
            </w:r>
          </w:p>
        </w:tc>
        <w:tc>
          <w:tcPr>
            <w:tcW w:w="4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5,228.3</w:t>
            </w:r>
          </w:p>
        </w:tc>
      </w:tr>
    </w:tbl>
    <w:p>
      <w:pPr>
        <w:spacing w:after="0" w:line="275" w:lineRule="exact"/>
        <w:rPr>
          <w:sz w:val="20"/>
          <w:szCs w:val="20"/>
          <w:color w:val="auto"/>
        </w:rPr>
      </w:pPr>
    </w:p>
    <w:p>
      <w:pPr>
        <w:spacing w:after="0"/>
        <w:rPr>
          <w:sz w:val="20"/>
          <w:szCs w:val="20"/>
          <w:color w:val="auto"/>
        </w:rPr>
      </w:pPr>
      <w:r>
        <w:rPr>
          <w:rFonts w:ascii="Arial" w:cs="Arial" w:eastAsia="Arial" w:hAnsi="Arial"/>
          <w:sz w:val="14"/>
          <w:szCs w:val="14"/>
          <w:color w:val="auto"/>
        </w:rPr>
        <w:t>Numbers may not add due to rounding.</w:t>
      </w:r>
    </w:p>
    <w:p>
      <w:pPr>
        <w:spacing w:after="0" w:line="97" w:lineRule="exact"/>
        <w:rPr>
          <w:sz w:val="20"/>
          <w:szCs w:val="20"/>
          <w:color w:val="auto"/>
        </w:rPr>
      </w:pPr>
    </w:p>
    <w:p>
      <w:pPr>
        <w:ind w:left="140" w:hanging="132"/>
        <w:spacing w:after="0"/>
        <w:tabs>
          <w:tab w:leader="none" w:pos="140" w:val="left"/>
        </w:tabs>
        <w:numPr>
          <w:ilvl w:val="0"/>
          <w:numId w:val="16"/>
        </w:numPr>
        <w:rPr>
          <w:rFonts w:ascii="Arial" w:cs="Arial" w:eastAsia="Arial" w:hAnsi="Arial"/>
          <w:sz w:val="16"/>
          <w:szCs w:val="16"/>
          <w:color w:val="auto"/>
          <w:vertAlign w:val="superscript"/>
        </w:rPr>
      </w:pPr>
      <w:r>
        <w:rPr>
          <w:rFonts w:ascii="Arial" w:cs="Arial" w:eastAsia="Arial" w:hAnsi="Arial"/>
          <w:sz w:val="13"/>
          <w:szCs w:val="13"/>
          <w:color w:val="auto"/>
        </w:rPr>
        <w:t>Revenue is attributed to the countries based on the location of the customer.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747" w:right="23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i w:val="1"/>
          <w:iCs w:val="1"/>
          <w:color w:val="auto"/>
        </w:rPr>
        <w:t>Item 2. Management’s Discussion and Analysis of Results of Operations and Financial Condition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Results of Operations</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6"/>
          <w:szCs w:val="16"/>
          <w:b w:val="1"/>
          <w:bCs w:val="1"/>
          <w:color w:val="auto"/>
        </w:rPr>
        <w:t>Tables present dollars in millions, except per-share data)</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139" w:lineRule="exact"/>
        <w:rPr>
          <w:sz w:val="20"/>
          <w:szCs w:val="20"/>
          <w:color w:val="auto"/>
        </w:rPr>
      </w:pPr>
    </w:p>
    <w:p>
      <w:pPr>
        <w:ind w:right="280"/>
        <w:spacing w:after="0" w:line="252" w:lineRule="auto"/>
        <w:rPr>
          <w:sz w:val="20"/>
          <w:szCs w:val="20"/>
          <w:color w:val="auto"/>
        </w:rPr>
      </w:pPr>
      <w:r>
        <w:rPr>
          <w:rFonts w:ascii="Arial" w:cs="Arial" w:eastAsia="Arial" w:hAnsi="Arial"/>
          <w:sz w:val="18"/>
          <w:szCs w:val="18"/>
          <w:color w:val="auto"/>
        </w:rPr>
        <w:t>Management’s discussion and analysis of results of operations and financial condition, is intended to assist the reader in understanding and assessing significant changes and trends related to the results of operations and financial position of our consolidated company. This discussion and analysis should be read in conjunction with the consolidated condensed financial statements and accompanying footnotes in Item 1 of Part I of this Quarterly Report on Form 10-Q. Certain statements in this Item 2 of Part I of this Quarterly Report on Form 10-Q constitute forward-looking statements. Various risks and uncertainties, including those discussed in "Forward-Looking Statements" and Item 1A, “Risk Factors,” of Part I of our Annual Report on Form 10-K for the year ended December 31, 2017, may cause our actual results, financial position, and cash generated from operations to differ materially from these forward-looking statements.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Overview</w:t>
      </w:r>
    </w:p>
    <w:p>
      <w:pPr>
        <w:spacing w:after="0" w:line="139" w:lineRule="exact"/>
        <w:rPr>
          <w:sz w:val="20"/>
          <w:szCs w:val="20"/>
          <w:color w:val="auto"/>
        </w:rPr>
      </w:pPr>
    </w:p>
    <w:p>
      <w:pPr>
        <w:ind w:right="80"/>
        <w:spacing w:after="0" w:line="262" w:lineRule="auto"/>
        <w:rPr>
          <w:sz w:val="20"/>
          <w:szCs w:val="20"/>
          <w:color w:val="auto"/>
        </w:rPr>
      </w:pPr>
      <w:r>
        <w:rPr>
          <w:rFonts w:ascii="Arial" w:cs="Arial" w:eastAsia="Arial" w:hAnsi="Arial"/>
          <w:sz w:val="18"/>
          <w:szCs w:val="18"/>
          <w:color w:val="auto"/>
        </w:rPr>
        <w:t>This section provides an overview of our financial results, recent product and late-stage pipeline developments, and other matters affecting our company and the pharmaceutical industry. Earnings (loss) per share (EPS) data are presented on a diluted basis.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Financial Results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key operating results: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6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480" w:type="dxa"/>
            <w:vAlign w:val="bottom"/>
            <w:gridSpan w:val="3"/>
          </w:tcPr>
          <w:p>
            <w:pPr>
              <w:jc w:val="right"/>
              <w:ind w:right="612"/>
              <w:spacing w:after="0"/>
              <w:rPr>
                <w:sz w:val="20"/>
                <w:szCs w:val="20"/>
                <w:color w:val="auto"/>
              </w:rPr>
            </w:pPr>
            <w:r>
              <w:rPr>
                <w:rFonts w:ascii="Arial" w:cs="Arial" w:eastAsia="Arial" w:hAnsi="Arial"/>
                <w:sz w:val="14"/>
                <w:szCs w:val="14"/>
                <w:b w:val="1"/>
                <w:bCs w:val="1"/>
                <w:color w:val="auto"/>
              </w:rPr>
              <w:t>Three Months Ended</w:t>
            </w:r>
          </w:p>
        </w:tc>
        <w:tc>
          <w:tcPr>
            <w:tcW w:w="1020" w:type="dxa"/>
            <w:vAlign w:val="bottom"/>
          </w:tcPr>
          <w:p>
            <w:pPr>
              <w:spacing w:after="0"/>
              <w:rPr>
                <w:sz w:val="14"/>
                <w:szCs w:val="14"/>
                <w:color w:val="auto"/>
              </w:rPr>
            </w:pPr>
          </w:p>
        </w:tc>
      </w:tr>
      <w:tr>
        <w:trPr>
          <w:trHeight w:val="196"/>
        </w:trPr>
        <w:tc>
          <w:tcPr>
            <w:tcW w:w="76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gridSpan w:val="2"/>
          </w:tcPr>
          <w:p>
            <w:pPr>
              <w:jc w:val="right"/>
              <w:ind w:right="30"/>
              <w:spacing w:after="0"/>
              <w:rPr>
                <w:sz w:val="20"/>
                <w:szCs w:val="20"/>
                <w:color w:val="auto"/>
              </w:rPr>
            </w:pPr>
            <w:r>
              <w:rPr>
                <w:rFonts w:ascii="Arial" w:cs="Arial" w:eastAsia="Arial" w:hAnsi="Arial"/>
                <w:sz w:val="14"/>
                <w:szCs w:val="14"/>
                <w:b w:val="1"/>
                <w:bCs w:val="1"/>
                <w:color w:val="auto"/>
              </w:rPr>
              <w:t>March 31,</w:t>
            </w:r>
          </w:p>
        </w:tc>
        <w:tc>
          <w:tcPr>
            <w:tcW w:w="940" w:type="dxa"/>
            <w:vAlign w:val="bottom"/>
            <w:tcBorders>
              <w:bottom w:val="single" w:sz="8" w:color="auto"/>
            </w:tcBorders>
          </w:tcPr>
          <w:p>
            <w:pPr>
              <w:spacing w:after="0"/>
              <w:rPr>
                <w:sz w:val="17"/>
                <w:szCs w:val="17"/>
                <w:color w:val="auto"/>
              </w:rPr>
            </w:pPr>
          </w:p>
        </w:tc>
        <w:tc>
          <w:tcPr>
            <w:tcW w:w="1020" w:type="dxa"/>
            <w:vAlign w:val="bottom"/>
          </w:tcPr>
          <w:p>
            <w:pPr>
              <w:spacing w:after="0"/>
              <w:rPr>
                <w:sz w:val="17"/>
                <w:szCs w:val="17"/>
                <w:color w:val="auto"/>
              </w:rPr>
            </w:pPr>
          </w:p>
        </w:tc>
      </w:tr>
      <w:tr>
        <w:trPr>
          <w:trHeight w:val="162"/>
        </w:trPr>
        <w:tc>
          <w:tcPr>
            <w:tcW w:w="76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20" w:type="dxa"/>
            <w:vAlign w:val="bottom"/>
          </w:tcPr>
          <w:p>
            <w:pPr>
              <w:jc w:val="center"/>
              <w:ind w:left="34"/>
              <w:spacing w:after="0"/>
              <w:rPr>
                <w:sz w:val="20"/>
                <w:szCs w:val="20"/>
                <w:color w:val="auto"/>
              </w:rPr>
            </w:pPr>
            <w:r>
              <w:rPr>
                <w:rFonts w:ascii="Arial" w:cs="Arial" w:eastAsia="Arial" w:hAnsi="Arial"/>
                <w:sz w:val="14"/>
                <w:szCs w:val="14"/>
                <w:b w:val="1"/>
                <w:bCs w:val="1"/>
                <w:color w:val="auto"/>
              </w:rPr>
              <w:t>Percent</w:t>
            </w:r>
          </w:p>
        </w:tc>
      </w:tr>
      <w:tr>
        <w:trPr>
          <w:trHeight w:val="196"/>
        </w:trPr>
        <w:tc>
          <w:tcPr>
            <w:tcW w:w="76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75"/>
              <w:spacing w:after="0"/>
              <w:rPr>
                <w:sz w:val="20"/>
                <w:szCs w:val="20"/>
                <w:color w:val="auto"/>
              </w:rPr>
            </w:pPr>
            <w:r>
              <w:rPr>
                <w:rFonts w:ascii="Arial" w:cs="Arial" w:eastAsia="Arial" w:hAnsi="Arial"/>
                <w:sz w:val="14"/>
                <w:szCs w:val="14"/>
                <w:b w:val="1"/>
                <w:bCs w:val="1"/>
                <w:color w:val="auto"/>
              </w:rPr>
              <w:t>2018</w:t>
            </w:r>
          </w:p>
        </w:tc>
        <w:tc>
          <w:tcPr>
            <w:tcW w:w="4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2017</w:t>
            </w:r>
          </w:p>
        </w:tc>
        <w:tc>
          <w:tcPr>
            <w:tcW w:w="1020" w:type="dxa"/>
            <w:vAlign w:val="bottom"/>
            <w:tcBorders>
              <w:bottom w:val="single" w:sz="8" w:color="auto"/>
            </w:tcBorders>
          </w:tcPr>
          <w:p>
            <w:pPr>
              <w:jc w:val="center"/>
              <w:ind w:left="34"/>
              <w:spacing w:after="0"/>
              <w:rPr>
                <w:sz w:val="20"/>
                <w:szCs w:val="20"/>
                <w:color w:val="auto"/>
              </w:rPr>
            </w:pPr>
            <w:r>
              <w:rPr>
                <w:rFonts w:ascii="Arial" w:cs="Arial" w:eastAsia="Arial" w:hAnsi="Arial"/>
                <w:sz w:val="14"/>
                <w:szCs w:val="14"/>
                <w:b w:val="1"/>
                <w:bCs w:val="1"/>
                <w:color w:val="auto"/>
              </w:rPr>
              <w:t>Change</w:t>
            </w:r>
          </w:p>
        </w:tc>
      </w:tr>
      <w:tr>
        <w:trPr>
          <w:trHeight w:val="270"/>
        </w:trPr>
        <w:tc>
          <w:tcPr>
            <w:tcW w:w="7600" w:type="dxa"/>
            <w:vAlign w:val="bottom"/>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080" w:type="dxa"/>
            <w:vAlign w:val="bottom"/>
            <w:shd w:val="clear" w:color="auto" w:fill="CCEEFF"/>
          </w:tcPr>
          <w:p>
            <w:pPr>
              <w:jc w:val="right"/>
              <w:ind w:right="155"/>
              <w:spacing w:after="0"/>
              <w:rPr>
                <w:sz w:val="20"/>
                <w:szCs w:val="20"/>
                <w:color w:val="auto"/>
              </w:rPr>
            </w:pPr>
            <w:r>
              <w:rPr>
                <w:rFonts w:ascii="Arial" w:cs="Arial" w:eastAsia="Arial" w:hAnsi="Arial"/>
                <w:sz w:val="18"/>
                <w:szCs w:val="18"/>
                <w:b w:val="1"/>
                <w:bCs w:val="1"/>
                <w:color w:val="auto"/>
              </w:rPr>
              <w:t>5,700.0</w:t>
            </w:r>
          </w:p>
        </w:tc>
        <w:tc>
          <w:tcPr>
            <w:tcW w:w="46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5,228.3</w:t>
            </w:r>
          </w:p>
        </w:tc>
        <w:tc>
          <w:tcPr>
            <w:tcW w:w="1020" w:type="dxa"/>
            <w:vAlign w:val="bottom"/>
            <w:shd w:val="clear" w:color="auto" w:fill="CCEEFF"/>
          </w:tcPr>
          <w:p>
            <w:pPr>
              <w:jc w:val="center"/>
              <w:ind w:left="34"/>
              <w:spacing w:after="0"/>
              <w:rPr>
                <w:sz w:val="20"/>
                <w:szCs w:val="20"/>
                <w:color w:val="auto"/>
              </w:rPr>
            </w:pPr>
            <w:r>
              <w:rPr>
                <w:rFonts w:ascii="Arial" w:cs="Arial" w:eastAsia="Arial" w:hAnsi="Arial"/>
                <w:sz w:val="18"/>
                <w:szCs w:val="18"/>
                <w:color w:val="auto"/>
                <w:w w:val="99"/>
              </w:rPr>
              <w:t>9</w:t>
            </w:r>
          </w:p>
        </w:tc>
      </w:tr>
      <w:tr>
        <w:trPr>
          <w:trHeight w:val="263"/>
        </w:trPr>
        <w:tc>
          <w:tcPr>
            <w:tcW w:w="7600" w:type="dxa"/>
            <w:vAlign w:val="bottom"/>
          </w:tcPr>
          <w:p>
            <w:pPr>
              <w:ind w:left="40"/>
              <w:spacing w:after="0"/>
              <w:rPr>
                <w:sz w:val="20"/>
                <w:szCs w:val="20"/>
                <w:color w:val="auto"/>
              </w:rPr>
            </w:pPr>
            <w:r>
              <w:rPr>
                <w:rFonts w:ascii="Arial" w:cs="Arial" w:eastAsia="Arial" w:hAnsi="Arial"/>
                <w:sz w:val="18"/>
                <w:szCs w:val="18"/>
                <w:color w:val="auto"/>
              </w:rPr>
              <w:t>Gross margin</w:t>
            </w:r>
          </w:p>
        </w:tc>
        <w:tc>
          <w:tcPr>
            <w:tcW w:w="320" w:type="dxa"/>
            <w:vAlign w:val="bottom"/>
          </w:tcPr>
          <w:p>
            <w:pPr>
              <w:spacing w:after="0"/>
              <w:rPr>
                <w:sz w:val="22"/>
                <w:szCs w:val="22"/>
                <w:color w:val="auto"/>
              </w:rPr>
            </w:pPr>
          </w:p>
        </w:tc>
        <w:tc>
          <w:tcPr>
            <w:tcW w:w="1080" w:type="dxa"/>
            <w:vAlign w:val="bottom"/>
          </w:tcPr>
          <w:p>
            <w:pPr>
              <w:jc w:val="right"/>
              <w:ind w:right="155"/>
              <w:spacing w:after="0"/>
              <w:rPr>
                <w:sz w:val="20"/>
                <w:szCs w:val="20"/>
                <w:color w:val="auto"/>
              </w:rPr>
            </w:pPr>
            <w:r>
              <w:rPr>
                <w:rFonts w:ascii="Arial" w:cs="Arial" w:eastAsia="Arial" w:hAnsi="Arial"/>
                <w:sz w:val="18"/>
                <w:szCs w:val="18"/>
                <w:b w:val="1"/>
                <w:bCs w:val="1"/>
                <w:color w:val="auto"/>
              </w:rPr>
              <w:t>4,128.7</w:t>
            </w:r>
          </w:p>
        </w:tc>
        <w:tc>
          <w:tcPr>
            <w:tcW w:w="460" w:type="dxa"/>
            <w:vAlign w:val="bottom"/>
          </w:tcPr>
          <w:p>
            <w:pPr>
              <w:spacing w:after="0"/>
              <w:rPr>
                <w:sz w:val="22"/>
                <w:szCs w:val="22"/>
                <w:color w:val="auto"/>
              </w:rPr>
            </w:pPr>
          </w:p>
        </w:tc>
        <w:tc>
          <w:tcPr>
            <w:tcW w:w="940" w:type="dxa"/>
            <w:vAlign w:val="bottom"/>
          </w:tcPr>
          <w:p>
            <w:pPr>
              <w:jc w:val="right"/>
              <w:ind w:right="92"/>
              <w:spacing w:after="0"/>
              <w:rPr>
                <w:sz w:val="20"/>
                <w:szCs w:val="20"/>
                <w:color w:val="auto"/>
              </w:rPr>
            </w:pPr>
            <w:r>
              <w:rPr>
                <w:rFonts w:ascii="Arial" w:cs="Arial" w:eastAsia="Arial" w:hAnsi="Arial"/>
                <w:sz w:val="18"/>
                <w:szCs w:val="18"/>
                <w:color w:val="auto"/>
              </w:rPr>
              <w:t>3,880.4</w:t>
            </w:r>
          </w:p>
        </w:tc>
        <w:tc>
          <w:tcPr>
            <w:tcW w:w="1020" w:type="dxa"/>
            <w:vAlign w:val="bottom"/>
          </w:tcPr>
          <w:p>
            <w:pPr>
              <w:jc w:val="center"/>
              <w:ind w:left="34"/>
              <w:spacing w:after="0"/>
              <w:rPr>
                <w:sz w:val="20"/>
                <w:szCs w:val="20"/>
                <w:color w:val="auto"/>
              </w:rPr>
            </w:pPr>
            <w:r>
              <w:rPr>
                <w:rFonts w:ascii="Arial" w:cs="Arial" w:eastAsia="Arial" w:hAnsi="Arial"/>
                <w:sz w:val="18"/>
                <w:szCs w:val="18"/>
                <w:color w:val="auto"/>
                <w:w w:val="99"/>
              </w:rPr>
              <w:t>6</w:t>
            </w:r>
          </w:p>
        </w:tc>
      </w:tr>
      <w:tr>
        <w:trPr>
          <w:trHeight w:val="277"/>
        </w:trPr>
        <w:tc>
          <w:tcPr>
            <w:tcW w:w="7600" w:type="dxa"/>
            <w:vAlign w:val="bottom"/>
            <w:shd w:val="clear" w:color="auto" w:fill="CCEEFF"/>
          </w:tcPr>
          <w:p>
            <w:pPr>
              <w:ind w:left="40"/>
              <w:spacing w:after="0"/>
              <w:rPr>
                <w:sz w:val="20"/>
                <w:szCs w:val="20"/>
                <w:color w:val="auto"/>
              </w:rPr>
            </w:pPr>
            <w:r>
              <w:rPr>
                <w:rFonts w:ascii="Arial" w:cs="Arial" w:eastAsia="Arial" w:hAnsi="Arial"/>
                <w:sz w:val="18"/>
                <w:szCs w:val="18"/>
                <w:color w:val="auto"/>
              </w:rPr>
              <w:t>Gross margin as a percent of revenue</w:t>
            </w:r>
          </w:p>
        </w:tc>
        <w:tc>
          <w:tcPr>
            <w:tcW w:w="32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72.4%</w:t>
            </w:r>
          </w:p>
        </w:tc>
        <w:tc>
          <w:tcPr>
            <w:tcW w:w="460" w:type="dxa"/>
            <w:vAlign w:val="bottom"/>
            <w:shd w:val="clear" w:color="auto" w:fill="CCEEFF"/>
          </w:tcPr>
          <w:p>
            <w:pPr>
              <w:spacing w:after="0"/>
              <w:rPr>
                <w:sz w:val="24"/>
                <w:szCs w:val="2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74.2%</w:t>
            </w:r>
          </w:p>
        </w:tc>
        <w:tc>
          <w:tcPr>
            <w:tcW w:w="1020" w:type="dxa"/>
            <w:vAlign w:val="bottom"/>
            <w:shd w:val="clear" w:color="auto" w:fill="CCEEFF"/>
          </w:tcPr>
          <w:p>
            <w:pPr>
              <w:spacing w:after="0"/>
              <w:rPr>
                <w:sz w:val="24"/>
                <w:szCs w:val="24"/>
                <w:color w:val="auto"/>
              </w:rPr>
            </w:pPr>
          </w:p>
        </w:tc>
      </w:tr>
      <w:tr>
        <w:trPr>
          <w:trHeight w:val="270"/>
        </w:trPr>
        <w:tc>
          <w:tcPr>
            <w:tcW w:w="7600" w:type="dxa"/>
            <w:vAlign w:val="bottom"/>
          </w:tcPr>
          <w:p>
            <w:pPr>
              <w:ind w:left="40"/>
              <w:spacing w:after="0"/>
              <w:rPr>
                <w:sz w:val="20"/>
                <w:szCs w:val="20"/>
                <w:color w:val="auto"/>
              </w:rPr>
            </w:pPr>
            <w:r>
              <w:rPr>
                <w:rFonts w:ascii="Arial" w:cs="Arial" w:eastAsia="Arial" w:hAnsi="Arial"/>
                <w:sz w:val="18"/>
                <w:szCs w:val="18"/>
                <w:color w:val="auto"/>
              </w:rPr>
              <w:t xml:space="preserve">Operating expense </w:t>
            </w:r>
            <w:r>
              <w:rPr>
                <w:rFonts w:ascii="Arial" w:cs="Arial" w:eastAsia="Arial" w:hAnsi="Arial"/>
                <w:sz w:val="21"/>
                <w:szCs w:val="21"/>
                <w:color w:val="auto"/>
                <w:vertAlign w:val="superscript"/>
              </w:rPr>
              <w:t>(1)</w:t>
            </w:r>
          </w:p>
        </w:tc>
        <w:tc>
          <w:tcPr>
            <w:tcW w:w="320" w:type="dxa"/>
            <w:vAlign w:val="bottom"/>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Pr>
          <w:p>
            <w:pPr>
              <w:jc w:val="right"/>
              <w:ind w:right="155"/>
              <w:spacing w:after="0"/>
              <w:rPr>
                <w:sz w:val="20"/>
                <w:szCs w:val="20"/>
                <w:color w:val="auto"/>
              </w:rPr>
            </w:pPr>
            <w:r>
              <w:rPr>
                <w:rFonts w:ascii="Arial" w:cs="Arial" w:eastAsia="Arial" w:hAnsi="Arial"/>
                <w:sz w:val="18"/>
                <w:szCs w:val="18"/>
                <w:b w:val="1"/>
                <w:bCs w:val="1"/>
                <w:color w:val="auto"/>
              </w:rPr>
              <w:t>2,676.9</w:t>
            </w:r>
          </w:p>
        </w:tc>
        <w:tc>
          <w:tcPr>
            <w:tcW w:w="46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92"/>
              <w:spacing w:after="0"/>
              <w:rPr>
                <w:sz w:val="20"/>
                <w:szCs w:val="20"/>
                <w:color w:val="auto"/>
              </w:rPr>
            </w:pPr>
            <w:r>
              <w:rPr>
                <w:rFonts w:ascii="Arial" w:cs="Arial" w:eastAsia="Arial" w:hAnsi="Arial"/>
                <w:sz w:val="18"/>
                <w:szCs w:val="18"/>
                <w:color w:val="auto"/>
              </w:rPr>
              <w:t>2,826.0</w:t>
            </w:r>
          </w:p>
        </w:tc>
        <w:tc>
          <w:tcPr>
            <w:tcW w:w="1020" w:type="dxa"/>
            <w:vAlign w:val="bottom"/>
          </w:tcPr>
          <w:p>
            <w:pPr>
              <w:jc w:val="center"/>
              <w:ind w:left="34"/>
              <w:spacing w:after="0"/>
              <w:rPr>
                <w:sz w:val="20"/>
                <w:szCs w:val="20"/>
                <w:color w:val="auto"/>
              </w:rPr>
            </w:pPr>
            <w:r>
              <w:rPr>
                <w:rFonts w:ascii="Arial" w:cs="Arial" w:eastAsia="Arial" w:hAnsi="Arial"/>
                <w:sz w:val="18"/>
                <w:szCs w:val="18"/>
                <w:color w:val="auto"/>
                <w:w w:val="99"/>
              </w:rPr>
              <w:t>(5)</w:t>
            </w:r>
          </w:p>
        </w:tc>
      </w:tr>
      <w:tr>
        <w:trPr>
          <w:trHeight w:val="270"/>
        </w:trPr>
        <w:tc>
          <w:tcPr>
            <w:tcW w:w="7600" w:type="dxa"/>
            <w:vAlign w:val="bottom"/>
            <w:shd w:val="clear" w:color="auto" w:fill="CCEEFF"/>
          </w:tcPr>
          <w:p>
            <w:pPr>
              <w:ind w:left="40"/>
              <w:spacing w:after="0"/>
              <w:rPr>
                <w:sz w:val="20"/>
                <w:szCs w:val="20"/>
                <w:color w:val="auto"/>
              </w:rPr>
            </w:pPr>
            <w:r>
              <w:rPr>
                <w:rFonts w:ascii="Arial" w:cs="Arial" w:eastAsia="Arial" w:hAnsi="Arial"/>
                <w:sz w:val="18"/>
                <w:szCs w:val="18"/>
                <w:color w:val="auto"/>
              </w:rPr>
              <w:t>Acquired in-process research and development (IPR&amp;D)</w:t>
            </w:r>
          </w:p>
        </w:tc>
        <w:tc>
          <w:tcPr>
            <w:tcW w:w="32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155"/>
              <w:spacing w:after="0"/>
              <w:rPr>
                <w:sz w:val="20"/>
                <w:szCs w:val="20"/>
                <w:color w:val="auto"/>
              </w:rPr>
            </w:pPr>
            <w:r>
              <w:rPr>
                <w:rFonts w:ascii="Arial" w:cs="Arial" w:eastAsia="Arial" w:hAnsi="Arial"/>
                <w:sz w:val="18"/>
                <w:szCs w:val="18"/>
                <w:b w:val="1"/>
                <w:bCs w:val="1"/>
                <w:color w:val="auto"/>
              </w:rPr>
              <w:t>—</w:t>
            </w:r>
          </w:p>
        </w:tc>
        <w:tc>
          <w:tcPr>
            <w:tcW w:w="46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857.6</w:t>
            </w:r>
          </w:p>
        </w:tc>
        <w:tc>
          <w:tcPr>
            <w:tcW w:w="1020" w:type="dxa"/>
            <w:vAlign w:val="bottom"/>
            <w:shd w:val="clear" w:color="auto" w:fill="CCEEFF"/>
          </w:tcPr>
          <w:p>
            <w:pPr>
              <w:jc w:val="center"/>
              <w:ind w:left="14"/>
              <w:spacing w:after="0"/>
              <w:rPr>
                <w:sz w:val="20"/>
                <w:szCs w:val="20"/>
                <w:color w:val="auto"/>
              </w:rPr>
            </w:pPr>
            <w:r>
              <w:rPr>
                <w:rFonts w:ascii="Arial" w:cs="Arial" w:eastAsia="Arial" w:hAnsi="Arial"/>
                <w:sz w:val="18"/>
                <w:szCs w:val="18"/>
                <w:color w:val="auto"/>
                <w:w w:val="99"/>
              </w:rPr>
              <w:t>NM</w:t>
            </w:r>
          </w:p>
        </w:tc>
      </w:tr>
      <w:tr>
        <w:trPr>
          <w:trHeight w:val="263"/>
        </w:trPr>
        <w:tc>
          <w:tcPr>
            <w:tcW w:w="7600" w:type="dxa"/>
            <w:vAlign w:val="bottom"/>
          </w:tcPr>
          <w:p>
            <w:pPr>
              <w:ind w:left="40"/>
              <w:spacing w:after="0"/>
              <w:rPr>
                <w:sz w:val="20"/>
                <w:szCs w:val="20"/>
                <w:color w:val="auto"/>
              </w:rPr>
            </w:pPr>
            <w:r>
              <w:rPr>
                <w:rFonts w:ascii="Arial" w:cs="Arial" w:eastAsia="Arial" w:hAnsi="Arial"/>
                <w:sz w:val="18"/>
                <w:szCs w:val="18"/>
                <w:color w:val="auto"/>
              </w:rPr>
              <w:t>Asset impairment, restructuring, and other special charges</w:t>
            </w:r>
          </w:p>
        </w:tc>
        <w:tc>
          <w:tcPr>
            <w:tcW w:w="320" w:type="dxa"/>
            <w:vAlign w:val="bottom"/>
          </w:tcPr>
          <w:p>
            <w:pPr>
              <w:spacing w:after="0"/>
              <w:rPr>
                <w:sz w:val="22"/>
                <w:szCs w:val="22"/>
                <w:color w:val="auto"/>
              </w:rPr>
            </w:pPr>
          </w:p>
        </w:tc>
        <w:tc>
          <w:tcPr>
            <w:tcW w:w="1080" w:type="dxa"/>
            <w:vAlign w:val="bottom"/>
          </w:tcPr>
          <w:p>
            <w:pPr>
              <w:jc w:val="right"/>
              <w:ind w:right="155"/>
              <w:spacing w:after="0"/>
              <w:rPr>
                <w:sz w:val="20"/>
                <w:szCs w:val="20"/>
                <w:color w:val="auto"/>
              </w:rPr>
            </w:pPr>
            <w:r>
              <w:rPr>
                <w:rFonts w:ascii="Arial" w:cs="Arial" w:eastAsia="Arial" w:hAnsi="Arial"/>
                <w:sz w:val="18"/>
                <w:szCs w:val="18"/>
                <w:b w:val="1"/>
                <w:bCs w:val="1"/>
                <w:color w:val="auto"/>
              </w:rPr>
              <w:t>78.3</w:t>
            </w:r>
          </w:p>
        </w:tc>
        <w:tc>
          <w:tcPr>
            <w:tcW w:w="460" w:type="dxa"/>
            <w:vAlign w:val="bottom"/>
          </w:tcPr>
          <w:p>
            <w:pPr>
              <w:spacing w:after="0"/>
              <w:rPr>
                <w:sz w:val="22"/>
                <w:szCs w:val="22"/>
                <w:color w:val="auto"/>
              </w:rPr>
            </w:pPr>
          </w:p>
        </w:tc>
        <w:tc>
          <w:tcPr>
            <w:tcW w:w="940" w:type="dxa"/>
            <w:vAlign w:val="bottom"/>
          </w:tcPr>
          <w:p>
            <w:pPr>
              <w:jc w:val="right"/>
              <w:ind w:right="92"/>
              <w:spacing w:after="0"/>
              <w:rPr>
                <w:sz w:val="20"/>
                <w:szCs w:val="20"/>
                <w:color w:val="auto"/>
              </w:rPr>
            </w:pPr>
            <w:r>
              <w:rPr>
                <w:rFonts w:ascii="Arial" w:cs="Arial" w:eastAsia="Arial" w:hAnsi="Arial"/>
                <w:sz w:val="18"/>
                <w:szCs w:val="18"/>
                <w:color w:val="auto"/>
              </w:rPr>
              <w:t>213.9</w:t>
            </w:r>
          </w:p>
        </w:tc>
        <w:tc>
          <w:tcPr>
            <w:tcW w:w="1020" w:type="dxa"/>
            <w:vAlign w:val="bottom"/>
          </w:tcPr>
          <w:p>
            <w:pPr>
              <w:jc w:val="center"/>
              <w:ind w:left="14"/>
              <w:spacing w:after="0"/>
              <w:rPr>
                <w:sz w:val="20"/>
                <w:szCs w:val="20"/>
                <w:color w:val="auto"/>
              </w:rPr>
            </w:pPr>
            <w:r>
              <w:rPr>
                <w:rFonts w:ascii="Arial" w:cs="Arial" w:eastAsia="Arial" w:hAnsi="Arial"/>
                <w:sz w:val="18"/>
                <w:szCs w:val="18"/>
                <w:color w:val="auto"/>
                <w:w w:val="99"/>
              </w:rPr>
              <w:t>(63)</w:t>
            </w:r>
          </w:p>
        </w:tc>
      </w:tr>
      <w:tr>
        <w:trPr>
          <w:trHeight w:val="277"/>
        </w:trPr>
        <w:tc>
          <w:tcPr>
            <w:tcW w:w="760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income (loss)</w:t>
            </w:r>
          </w:p>
        </w:tc>
        <w:tc>
          <w:tcPr>
            <w:tcW w:w="32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155"/>
              <w:spacing w:after="0"/>
              <w:rPr>
                <w:sz w:val="20"/>
                <w:szCs w:val="20"/>
                <w:color w:val="auto"/>
              </w:rPr>
            </w:pPr>
            <w:r>
              <w:rPr>
                <w:rFonts w:ascii="Arial" w:cs="Arial" w:eastAsia="Arial" w:hAnsi="Arial"/>
                <w:sz w:val="18"/>
                <w:szCs w:val="18"/>
                <w:b w:val="1"/>
                <w:bCs w:val="1"/>
                <w:color w:val="auto"/>
              </w:rPr>
              <w:t>1,217.4</w:t>
            </w:r>
          </w:p>
        </w:tc>
        <w:tc>
          <w:tcPr>
            <w:tcW w:w="46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(110.8)</w:t>
            </w:r>
          </w:p>
        </w:tc>
        <w:tc>
          <w:tcPr>
            <w:tcW w:w="1020" w:type="dxa"/>
            <w:vAlign w:val="bottom"/>
            <w:shd w:val="clear" w:color="auto" w:fill="CCEEFF"/>
          </w:tcPr>
          <w:p>
            <w:pPr>
              <w:jc w:val="center"/>
              <w:ind w:left="14"/>
              <w:spacing w:after="0"/>
              <w:rPr>
                <w:sz w:val="20"/>
                <w:szCs w:val="20"/>
                <w:color w:val="auto"/>
              </w:rPr>
            </w:pPr>
            <w:r>
              <w:rPr>
                <w:rFonts w:ascii="Arial" w:cs="Arial" w:eastAsia="Arial" w:hAnsi="Arial"/>
                <w:sz w:val="18"/>
                <w:szCs w:val="18"/>
                <w:color w:val="auto"/>
                <w:w w:val="99"/>
              </w:rPr>
              <w:t>NM</w:t>
            </w:r>
          </w:p>
        </w:tc>
      </w:tr>
      <w:tr>
        <w:trPr>
          <w:trHeight w:val="257"/>
        </w:trPr>
        <w:tc>
          <w:tcPr>
            <w:tcW w:w="7600" w:type="dxa"/>
            <w:vAlign w:val="bottom"/>
          </w:tcPr>
          <w:p>
            <w:pPr>
              <w:ind w:left="40"/>
              <w:spacing w:after="0"/>
              <w:rPr>
                <w:sz w:val="20"/>
                <w:szCs w:val="20"/>
                <w:color w:val="auto"/>
              </w:rPr>
            </w:pPr>
            <w:r>
              <w:rPr>
                <w:rFonts w:ascii="Arial" w:cs="Arial" w:eastAsia="Arial" w:hAnsi="Arial"/>
                <w:sz w:val="18"/>
                <w:szCs w:val="18"/>
                <w:color w:val="auto"/>
              </w:rPr>
              <w:t>Earnings (loss) per share</w:t>
            </w:r>
          </w:p>
        </w:tc>
        <w:tc>
          <w:tcPr>
            <w:tcW w:w="320" w:type="dxa"/>
            <w:vAlign w:val="bottom"/>
          </w:tcPr>
          <w:p>
            <w:pPr>
              <w:spacing w:after="0"/>
              <w:rPr>
                <w:sz w:val="22"/>
                <w:szCs w:val="22"/>
                <w:color w:val="auto"/>
              </w:rPr>
            </w:pPr>
          </w:p>
        </w:tc>
        <w:tc>
          <w:tcPr>
            <w:tcW w:w="1080" w:type="dxa"/>
            <w:vAlign w:val="bottom"/>
          </w:tcPr>
          <w:p>
            <w:pPr>
              <w:jc w:val="right"/>
              <w:ind w:right="155"/>
              <w:spacing w:after="0"/>
              <w:rPr>
                <w:sz w:val="20"/>
                <w:szCs w:val="20"/>
                <w:color w:val="auto"/>
              </w:rPr>
            </w:pPr>
            <w:r>
              <w:rPr>
                <w:rFonts w:ascii="Arial" w:cs="Arial" w:eastAsia="Arial" w:hAnsi="Arial"/>
                <w:sz w:val="18"/>
                <w:szCs w:val="18"/>
                <w:b w:val="1"/>
                <w:bCs w:val="1"/>
                <w:color w:val="auto"/>
              </w:rPr>
              <w:t>1.16</w:t>
            </w:r>
          </w:p>
        </w:tc>
        <w:tc>
          <w:tcPr>
            <w:tcW w:w="460" w:type="dxa"/>
            <w:vAlign w:val="bottom"/>
          </w:tcPr>
          <w:p>
            <w:pPr>
              <w:spacing w:after="0"/>
              <w:rPr>
                <w:sz w:val="22"/>
                <w:szCs w:val="22"/>
                <w:color w:val="auto"/>
              </w:rPr>
            </w:pPr>
          </w:p>
        </w:tc>
        <w:tc>
          <w:tcPr>
            <w:tcW w:w="940" w:type="dxa"/>
            <w:vAlign w:val="bottom"/>
          </w:tcPr>
          <w:p>
            <w:pPr>
              <w:jc w:val="right"/>
              <w:ind w:right="32"/>
              <w:spacing w:after="0"/>
              <w:rPr>
                <w:sz w:val="20"/>
                <w:szCs w:val="20"/>
                <w:color w:val="auto"/>
              </w:rPr>
            </w:pPr>
            <w:r>
              <w:rPr>
                <w:rFonts w:ascii="Arial" w:cs="Arial" w:eastAsia="Arial" w:hAnsi="Arial"/>
                <w:sz w:val="18"/>
                <w:szCs w:val="18"/>
                <w:color w:val="auto"/>
              </w:rPr>
              <w:t>(0.10)</w:t>
            </w:r>
          </w:p>
        </w:tc>
        <w:tc>
          <w:tcPr>
            <w:tcW w:w="1020" w:type="dxa"/>
            <w:vAlign w:val="bottom"/>
          </w:tcPr>
          <w:p>
            <w:pPr>
              <w:jc w:val="center"/>
              <w:ind w:left="14"/>
              <w:spacing w:after="0"/>
              <w:rPr>
                <w:sz w:val="20"/>
                <w:szCs w:val="20"/>
                <w:color w:val="auto"/>
              </w:rPr>
            </w:pPr>
            <w:r>
              <w:rPr>
                <w:rFonts w:ascii="Arial" w:cs="Arial" w:eastAsia="Arial" w:hAnsi="Arial"/>
                <w:sz w:val="18"/>
                <w:szCs w:val="18"/>
                <w:color w:val="auto"/>
                <w:w w:val="99"/>
              </w:rPr>
              <w:t>NM</w:t>
            </w:r>
          </w:p>
        </w:tc>
      </w:tr>
    </w:tbl>
    <w:p>
      <w:pPr>
        <w:spacing w:after="0" w:line="126" w:lineRule="exact"/>
        <w:rPr>
          <w:sz w:val="20"/>
          <w:szCs w:val="20"/>
          <w:color w:val="auto"/>
        </w:rPr>
      </w:pPr>
    </w:p>
    <w:p>
      <w:pPr>
        <w:ind w:right="4220" w:firstLine="8"/>
        <w:spacing w:after="0" w:line="307" w:lineRule="auto"/>
        <w:tabs>
          <w:tab w:leader="none" w:pos="135" w:val="left"/>
        </w:tabs>
        <w:numPr>
          <w:ilvl w:val="0"/>
          <w:numId w:val="17"/>
        </w:numPr>
        <w:rPr>
          <w:rFonts w:ascii="Arial" w:cs="Arial" w:eastAsia="Arial" w:hAnsi="Arial"/>
          <w:sz w:val="15"/>
          <w:szCs w:val="15"/>
          <w:color w:val="auto"/>
          <w:vertAlign w:val="superscript"/>
        </w:rPr>
      </w:pPr>
      <w:r>
        <w:rPr>
          <w:rFonts w:ascii="Arial" w:cs="Arial" w:eastAsia="Arial" w:hAnsi="Arial"/>
          <w:sz w:val="12"/>
          <w:szCs w:val="12"/>
          <w:color w:val="auto"/>
        </w:rPr>
        <w:t>Operating expense consists of research and development and marketing, selling, and administrative expenses. NM - not meaningful</w:t>
      </w:r>
    </w:p>
    <w:p>
      <w:pPr>
        <w:spacing w:after="0" w:line="314" w:lineRule="exact"/>
        <w:rPr>
          <w:sz w:val="20"/>
          <w:szCs w:val="20"/>
          <w:color w:val="auto"/>
        </w:rPr>
      </w:pPr>
    </w:p>
    <w:p>
      <w:pPr>
        <w:ind w:right="240"/>
        <w:spacing w:after="0" w:line="254" w:lineRule="auto"/>
        <w:rPr>
          <w:sz w:val="20"/>
          <w:szCs w:val="20"/>
          <w:color w:val="auto"/>
        </w:rPr>
      </w:pPr>
      <w:r>
        <w:rPr>
          <w:rFonts w:ascii="Arial" w:cs="Arial" w:eastAsia="Arial" w:hAnsi="Arial"/>
          <w:sz w:val="18"/>
          <w:szCs w:val="18"/>
          <w:color w:val="auto"/>
        </w:rPr>
        <w:t>Revenue increased for the three months ended March 31, 2018 driven by the favorable impact of foreign exchange rates, higher realized prices, and increased volume. Operating expense decreased for the three months ended March 31, 2018 driven by decreases in marketing, selling, and administrative expense and research and development expenses. The following highlighted items also affect comparisons of our financial results for the three months ended March 31, 2018 and 2017:</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color w:val="auto"/>
        </w:rPr>
        <w:t>2018</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Asset Impairment, Restructuring, and Other Special Charges (Note 5 to the consolidated condensed financial statements)</w:t>
      </w:r>
    </w:p>
    <w:p>
      <w:pPr>
        <w:spacing w:after="0" w:line="117" w:lineRule="exact"/>
        <w:rPr>
          <w:sz w:val="20"/>
          <w:szCs w:val="20"/>
          <w:color w:val="auto"/>
        </w:rPr>
      </w:pPr>
    </w:p>
    <w:p>
      <w:pPr>
        <w:jc w:val="both"/>
        <w:ind w:left="660" w:hanging="328"/>
        <w:spacing w:after="0" w:line="237"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We recognized charges of $78.3 million (pretax), or $0.06 per share, due primarily to asset impairment, exit costs, and severance costs related to the decision to end Posilac</w:t>
      </w:r>
      <w:r>
        <w:rPr>
          <w:rFonts w:ascii="Arial" w:cs="Arial" w:eastAsia="Arial" w:hAnsi="Arial"/>
          <w:sz w:val="21"/>
          <w:szCs w:val="21"/>
          <w:b w:val="1"/>
          <w:bCs w:val="1"/>
          <w:color w:val="auto"/>
          <w:vertAlign w:val="superscript"/>
        </w:rPr>
        <w:t>®</w:t>
      </w:r>
      <w:r>
        <w:rPr>
          <w:rFonts w:ascii="Arial" w:cs="Arial" w:eastAsia="Arial" w:hAnsi="Arial"/>
          <w:sz w:val="18"/>
          <w:szCs w:val="18"/>
          <w:color w:val="auto"/>
        </w:rPr>
        <w:t xml:space="preserve"> (rbST) production at the Augusta, Georgia manufacturing site. We also incurred expenses associated with the ongoing review of strategic alternatives for the Elanco animal health business.</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576" w:right="239" w:bottom="1440" w:gutter="0" w:footer="0" w:header="0"/>
        </w:sectPr>
      </w:pPr>
    </w:p>
    <w:bookmarkStart w:id="35" w:name="page36"/>
    <w:bookmarkEnd w:id="35"/>
    <w:p>
      <w:pPr>
        <w:spacing w:after="0"/>
        <w:rPr>
          <w:sz w:val="20"/>
          <w:szCs w:val="20"/>
          <w:color w:val="auto"/>
        </w:rPr>
      </w:pPr>
      <w:r>
        <w:rPr>
          <w:rFonts w:ascii="Arial" w:cs="Arial" w:eastAsia="Arial" w:hAnsi="Arial"/>
          <w:sz w:val="18"/>
          <w:szCs w:val="18"/>
          <w:color w:val="auto"/>
        </w:rPr>
        <w:t>2017</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Acquired IPR&amp;D (Note 3 to the consolidated condensed financial statements)</w:t>
      </w:r>
    </w:p>
    <w:p>
      <w:pPr>
        <w:spacing w:after="0" w:line="117" w:lineRule="exact"/>
        <w:rPr>
          <w:sz w:val="20"/>
          <w:szCs w:val="20"/>
          <w:color w:val="auto"/>
        </w:rPr>
      </w:pPr>
    </w:p>
    <w:p>
      <w:pPr>
        <w:ind w:left="660" w:hanging="328"/>
        <w:spacing w:after="0" w:line="262"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We recognized an acquired IPR&amp;D charge of $857.6 million, or $0.81 per share, associated with the acquisition of CoLucid Pharmaceuticals, Inc. (CoLucid). This charge is not tax-deductible.</w:t>
      </w:r>
    </w:p>
    <w:p>
      <w:pPr>
        <w:spacing w:after="0" w:line="8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Asset Impairment, Restructuring, and Other Special Charges (Note 5 to the consolidated condensed financial statements)</w:t>
      </w:r>
    </w:p>
    <w:p>
      <w:pPr>
        <w:spacing w:after="0" w:line="117" w:lineRule="exact"/>
        <w:rPr>
          <w:sz w:val="20"/>
          <w:szCs w:val="20"/>
          <w:color w:val="auto"/>
        </w:rPr>
      </w:pPr>
    </w:p>
    <w:p>
      <w:pPr>
        <w:ind w:left="660" w:hanging="328"/>
        <w:spacing w:after="0" w:line="262"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We recognized charges of $213.9 million (pretax), or $0.16 per share, due to severance costs incurred as a result of actions taken to reduce our cost structure, integration costs, and asset impairments and exit fees due to site closures.</w:t>
      </w:r>
    </w:p>
    <w:p>
      <w:pPr>
        <w:spacing w:after="0" w:line="88" w:lineRule="exact"/>
        <w:rPr>
          <w:sz w:val="20"/>
          <w:szCs w:val="20"/>
          <w:color w:val="auto"/>
        </w:rPr>
      </w:pPr>
    </w:p>
    <w:p>
      <w:pPr>
        <w:ind w:right="260"/>
        <w:spacing w:after="0" w:line="262" w:lineRule="auto"/>
        <w:rPr>
          <w:sz w:val="20"/>
          <w:szCs w:val="20"/>
          <w:color w:val="auto"/>
        </w:rPr>
      </w:pPr>
      <w:r>
        <w:rPr>
          <w:rFonts w:ascii="Arial" w:cs="Arial" w:eastAsia="Arial" w:hAnsi="Arial"/>
          <w:sz w:val="18"/>
          <w:szCs w:val="18"/>
          <w:color w:val="auto"/>
        </w:rPr>
        <w:t>The increases in net income and EPS for the three months ended March 31, 2018 were due to lower acquired IPR&amp;D and asset impairment, restructuring, and other special charges, as well as an increase in gross margin.</w:t>
      </w: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760" w:right="239" w:bottom="1440" w:gutter="0" w:footer="0" w:header="0"/>
        </w:sectPr>
      </w:pPr>
    </w:p>
    <w:bookmarkStart w:id="36" w:name="page37"/>
    <w:bookmarkEnd w:id="36"/>
    <w:p>
      <w:pPr>
        <w:spacing w:after="0"/>
        <w:rPr>
          <w:sz w:val="20"/>
          <w:szCs w:val="20"/>
          <w:color w:val="auto"/>
        </w:rPr>
      </w:pPr>
      <w:r>
        <w:rPr>
          <w:rFonts w:ascii="Arial" w:cs="Arial" w:eastAsia="Arial" w:hAnsi="Arial"/>
          <w:sz w:val="18"/>
          <w:szCs w:val="18"/>
          <w:i w:val="1"/>
          <w:iCs w:val="1"/>
          <w:color w:val="auto"/>
        </w:rPr>
        <w:t>Late-Stage Pipeline</w:t>
      </w:r>
    </w:p>
    <w:p>
      <w:pPr>
        <w:spacing w:after="0" w:line="189" w:lineRule="exact"/>
        <w:rPr>
          <w:sz w:val="20"/>
          <w:szCs w:val="20"/>
          <w:color w:val="auto"/>
        </w:rPr>
      </w:pPr>
    </w:p>
    <w:p>
      <w:pPr>
        <w:ind w:right="320"/>
        <w:spacing w:after="0" w:line="256" w:lineRule="auto"/>
        <w:rPr>
          <w:sz w:val="20"/>
          <w:szCs w:val="20"/>
          <w:color w:val="auto"/>
        </w:rPr>
      </w:pPr>
      <w:r>
        <w:rPr>
          <w:rFonts w:ascii="Arial" w:cs="Arial" w:eastAsia="Arial" w:hAnsi="Arial"/>
          <w:sz w:val="18"/>
          <w:szCs w:val="18"/>
          <w:color w:val="auto"/>
        </w:rPr>
        <w:t>Our long-term success depends to a great extent on our ability to continue to discover and develop innovative pharmaceutical products and acquire or collaborate on molecules currently in development by other biotechnology or pharmaceutical companies. We currently have approximately 40 potential new drugs in human testing or under regulatory review, and a larger number of projects in preclinical research.</w:t>
      </w:r>
    </w:p>
    <w:p>
      <w:pPr>
        <w:spacing w:after="0" w:line="148" w:lineRule="exact"/>
        <w:rPr>
          <w:sz w:val="20"/>
          <w:szCs w:val="20"/>
          <w:color w:val="auto"/>
        </w:rPr>
      </w:pPr>
    </w:p>
    <w:p>
      <w:pPr>
        <w:ind w:right="180"/>
        <w:spacing w:after="0" w:line="256" w:lineRule="auto"/>
        <w:rPr>
          <w:sz w:val="20"/>
          <w:szCs w:val="20"/>
          <w:color w:val="auto"/>
        </w:rPr>
      </w:pPr>
      <w:r>
        <w:rPr>
          <w:rFonts w:ascii="Arial" w:cs="Arial" w:eastAsia="Arial" w:hAnsi="Arial"/>
          <w:sz w:val="18"/>
          <w:szCs w:val="18"/>
          <w:color w:val="auto"/>
        </w:rPr>
        <w:t>The following new molecular entities (NMEs) have been approved by regulatory authorities in at least one of the major geographies for use in the diseases described. The first quarter in which each NME initially was approved in any major geography for any indication is shown in parentheses:</w:t>
      </w:r>
    </w:p>
    <w:p>
      <w:pPr>
        <w:spacing w:after="0" w:line="126" w:lineRule="exact"/>
        <w:rPr>
          <w:sz w:val="20"/>
          <w:szCs w:val="20"/>
          <w:color w:val="auto"/>
        </w:rPr>
      </w:pPr>
    </w:p>
    <w:p>
      <w:pPr>
        <w:ind w:left="660" w:right="500"/>
        <w:spacing w:after="0" w:line="247" w:lineRule="auto"/>
        <w:rPr>
          <w:sz w:val="20"/>
          <w:szCs w:val="20"/>
          <w:color w:val="auto"/>
        </w:rPr>
      </w:pPr>
      <w:r>
        <w:rPr>
          <w:rFonts w:ascii="Arial" w:cs="Arial" w:eastAsia="Arial" w:hAnsi="Arial"/>
          <w:sz w:val="18"/>
          <w:szCs w:val="18"/>
          <w:b w:val="1"/>
          <w:bCs w:val="1"/>
          <w:color w:val="auto"/>
        </w:rPr>
        <w:t>Abemaciclib (Verzenio</w:t>
      </w:r>
      <w:r>
        <w:rPr>
          <w:rFonts w:ascii="Arial" w:cs="Arial" w:eastAsia="Arial" w:hAnsi="Arial"/>
          <w:sz w:val="21"/>
          <w:szCs w:val="21"/>
          <w:b w:val="1"/>
          <w:bCs w:val="1"/>
          <w:color w:val="auto"/>
          <w:vertAlign w:val="superscript"/>
        </w:rPr>
        <w:t>®</w:t>
      </w:r>
      <w:r>
        <w:rPr>
          <w:rFonts w:ascii="Arial" w:cs="Arial" w:eastAsia="Arial" w:hAnsi="Arial"/>
          <w:sz w:val="18"/>
          <w:szCs w:val="18"/>
          <w:b w:val="1"/>
          <w:bCs w:val="1"/>
          <w:color w:val="auto"/>
        </w:rPr>
        <w:t>) (Q3 2017)</w:t>
      </w:r>
      <w:r>
        <w:rPr>
          <w:rFonts w:ascii="Arial" w:cs="Arial" w:eastAsia="Arial" w:hAnsi="Arial"/>
          <w:sz w:val="18"/>
          <w:szCs w:val="18"/>
          <w:color w:val="auto"/>
        </w:rPr>
        <w:t>—a small molecule cell-cycle inhibitor, selective for cyclin-dependent kinases 4 and 6 for the</w:t>
      </w:r>
      <w:r>
        <w:rPr>
          <w:rFonts w:ascii="Arial" w:cs="Arial" w:eastAsia="Arial" w:hAnsi="Arial"/>
          <w:sz w:val="18"/>
          <w:szCs w:val="18"/>
          <w:b w:val="1"/>
          <w:bCs w:val="1"/>
          <w:color w:val="auto"/>
        </w:rPr>
        <w:t xml:space="preserve"> </w:t>
      </w:r>
      <w:r>
        <w:rPr>
          <w:rFonts w:ascii="Arial" w:cs="Arial" w:eastAsia="Arial" w:hAnsi="Arial"/>
          <w:sz w:val="18"/>
          <w:szCs w:val="18"/>
          <w:color w:val="auto"/>
        </w:rPr>
        <w:t>treatment of metastatic breast cancer.</w:t>
      </w:r>
    </w:p>
    <w:p>
      <w:pPr>
        <w:spacing w:after="0" w:line="133" w:lineRule="exact"/>
        <w:rPr>
          <w:sz w:val="20"/>
          <w:szCs w:val="20"/>
          <w:color w:val="auto"/>
        </w:rPr>
      </w:pPr>
    </w:p>
    <w:p>
      <w:pPr>
        <w:ind w:left="660" w:right="580"/>
        <w:spacing w:after="0" w:line="247" w:lineRule="auto"/>
        <w:rPr>
          <w:sz w:val="20"/>
          <w:szCs w:val="20"/>
          <w:color w:val="auto"/>
        </w:rPr>
      </w:pPr>
      <w:r>
        <w:rPr>
          <w:rFonts w:ascii="Arial" w:cs="Arial" w:eastAsia="Arial" w:hAnsi="Arial"/>
          <w:sz w:val="18"/>
          <w:szCs w:val="18"/>
          <w:b w:val="1"/>
          <w:bCs w:val="1"/>
          <w:color w:val="auto"/>
        </w:rPr>
        <w:t>Baricitinib (Olumiant</w:t>
      </w:r>
      <w:r>
        <w:rPr>
          <w:rFonts w:ascii="Arial" w:cs="Arial" w:eastAsia="Arial" w:hAnsi="Arial"/>
          <w:sz w:val="21"/>
          <w:szCs w:val="21"/>
          <w:b w:val="1"/>
          <w:bCs w:val="1"/>
          <w:color w:val="auto"/>
          <w:vertAlign w:val="superscript"/>
        </w:rPr>
        <w:t>®</w:t>
      </w:r>
      <w:r>
        <w:rPr>
          <w:rFonts w:ascii="Arial" w:cs="Arial" w:eastAsia="Arial" w:hAnsi="Arial"/>
          <w:sz w:val="18"/>
          <w:szCs w:val="18"/>
          <w:b w:val="1"/>
          <w:bCs w:val="1"/>
          <w:color w:val="auto"/>
        </w:rPr>
        <w:t>) (Q1 2017)</w:t>
      </w:r>
      <w:r>
        <w:rPr>
          <w:rFonts w:ascii="Arial" w:cs="Arial" w:eastAsia="Arial" w:hAnsi="Arial"/>
          <w:sz w:val="18"/>
          <w:szCs w:val="18"/>
          <w:color w:val="auto"/>
        </w:rPr>
        <w:t>—a Janus tyrosine kinase inhibitor for the treatment of moderate-to-severe active rheumatoid</w:t>
      </w:r>
      <w:r>
        <w:rPr>
          <w:rFonts w:ascii="Arial" w:cs="Arial" w:eastAsia="Arial" w:hAnsi="Arial"/>
          <w:sz w:val="18"/>
          <w:szCs w:val="18"/>
          <w:b w:val="1"/>
          <w:bCs w:val="1"/>
          <w:color w:val="auto"/>
        </w:rPr>
        <w:t xml:space="preserve"> </w:t>
      </w:r>
      <w:r>
        <w:rPr>
          <w:rFonts w:ascii="Arial" w:cs="Arial" w:eastAsia="Arial" w:hAnsi="Arial"/>
          <w:sz w:val="18"/>
          <w:szCs w:val="18"/>
          <w:color w:val="auto"/>
        </w:rPr>
        <w:t>arthritis (in collaboration with Incyte Corporation).</w:t>
      </w:r>
    </w:p>
    <w:p>
      <w:pPr>
        <w:spacing w:after="0" w:line="133"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Olaratumab* (Lartruvo</w:t>
      </w:r>
      <w:r>
        <w:rPr>
          <w:rFonts w:ascii="Arial" w:cs="Arial" w:eastAsia="Arial" w:hAnsi="Arial"/>
          <w:sz w:val="21"/>
          <w:szCs w:val="21"/>
          <w:b w:val="1"/>
          <w:bCs w:val="1"/>
          <w:color w:val="auto"/>
          <w:vertAlign w:val="superscript"/>
        </w:rPr>
        <w:t>®</w:t>
      </w:r>
      <w:r>
        <w:rPr>
          <w:rFonts w:ascii="Arial" w:cs="Arial" w:eastAsia="Arial" w:hAnsi="Arial"/>
          <w:sz w:val="18"/>
          <w:szCs w:val="18"/>
          <w:b w:val="1"/>
          <w:bCs w:val="1"/>
          <w:color w:val="auto"/>
        </w:rPr>
        <w:t>) (Q4 2016)</w:t>
      </w:r>
      <w:r>
        <w:rPr>
          <w:rFonts w:ascii="Arial" w:cs="Arial" w:eastAsia="Arial" w:hAnsi="Arial"/>
          <w:sz w:val="18"/>
          <w:szCs w:val="18"/>
          <w:color w:val="auto"/>
        </w:rPr>
        <w:t>—a human lgG1 monoclonal antibody for the treatment of advanced soft tissue sarcoma.</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NME has been submitted for regulatory review in at least one of the major geographies for potential use in the disease described.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The first quarter in which the NME initially was submitted in any major geography for any indication is shown in parentheses:</w:t>
      </w:r>
    </w:p>
    <w:p>
      <w:pPr>
        <w:spacing w:after="0" w:line="149" w:lineRule="exact"/>
        <w:rPr>
          <w:sz w:val="20"/>
          <w:szCs w:val="20"/>
          <w:color w:val="auto"/>
        </w:rPr>
      </w:pPr>
    </w:p>
    <w:p>
      <w:pPr>
        <w:ind w:left="660" w:right="20"/>
        <w:spacing w:after="0" w:line="269" w:lineRule="auto"/>
        <w:rPr>
          <w:sz w:val="20"/>
          <w:szCs w:val="20"/>
          <w:color w:val="auto"/>
        </w:rPr>
      </w:pPr>
      <w:r>
        <w:rPr>
          <w:rFonts w:ascii="Arial" w:cs="Arial" w:eastAsia="Arial" w:hAnsi="Arial"/>
          <w:sz w:val="18"/>
          <w:szCs w:val="18"/>
          <w:b w:val="1"/>
          <w:bCs w:val="1"/>
          <w:color w:val="auto"/>
        </w:rPr>
        <w:t>Galcanezumab* (Q3 2017)</w:t>
      </w:r>
      <w:r>
        <w:rPr>
          <w:rFonts w:ascii="Arial" w:cs="Arial" w:eastAsia="Arial" w:hAnsi="Arial"/>
          <w:sz w:val="18"/>
          <w:szCs w:val="18"/>
          <w:color w:val="auto"/>
        </w:rPr>
        <w:t>—a once-monthly subcutaneously injected calcitonin gene-related peptide (CGRP) antibody for the</w:t>
      </w:r>
      <w:r>
        <w:rPr>
          <w:rFonts w:ascii="Arial" w:cs="Arial" w:eastAsia="Arial" w:hAnsi="Arial"/>
          <w:sz w:val="18"/>
          <w:szCs w:val="18"/>
          <w:b w:val="1"/>
          <w:bCs w:val="1"/>
          <w:color w:val="auto"/>
        </w:rPr>
        <w:t xml:space="preserve"> </w:t>
      </w:r>
      <w:r>
        <w:rPr>
          <w:rFonts w:ascii="Arial" w:cs="Arial" w:eastAsia="Arial" w:hAnsi="Arial"/>
          <w:sz w:val="18"/>
          <w:szCs w:val="18"/>
          <w:color w:val="auto"/>
        </w:rPr>
        <w:t>treatment of migraine prevention. Refer to Item 1, "Legal Proceedings - Other Patent Matters" for discussion of the lawsuit filed by Teva Pharmaceuticals International GMBH.</w:t>
      </w:r>
    </w:p>
    <w:p>
      <w:pPr>
        <w:spacing w:after="0" w:line="136" w:lineRule="exact"/>
        <w:rPr>
          <w:sz w:val="20"/>
          <w:szCs w:val="20"/>
          <w:color w:val="auto"/>
        </w:rPr>
      </w:pPr>
    </w:p>
    <w:p>
      <w:pPr>
        <w:ind w:right="400"/>
        <w:spacing w:after="0" w:line="262" w:lineRule="auto"/>
        <w:rPr>
          <w:sz w:val="20"/>
          <w:szCs w:val="20"/>
          <w:color w:val="auto"/>
        </w:rPr>
      </w:pPr>
      <w:r>
        <w:rPr>
          <w:rFonts w:ascii="Arial" w:cs="Arial" w:eastAsia="Arial" w:hAnsi="Arial"/>
          <w:sz w:val="18"/>
          <w:szCs w:val="18"/>
          <w:color w:val="auto"/>
        </w:rPr>
        <w:t>The following NMEs and diagnostic agent are currently in Phase III clinical trial testing for potential use in the diseases described. The first quarter in which each NME and diagnostic agent initially entered Phase III for any indication is shown in parentheses:</w:t>
      </w:r>
    </w:p>
    <w:p>
      <w:pPr>
        <w:spacing w:after="0" w:line="120" w:lineRule="exact"/>
        <w:rPr>
          <w:sz w:val="20"/>
          <w:szCs w:val="20"/>
          <w:color w:val="auto"/>
        </w:rPr>
      </w:pPr>
    </w:p>
    <w:p>
      <w:pPr>
        <w:ind w:left="660" w:right="120"/>
        <w:spacing w:after="0" w:line="287" w:lineRule="auto"/>
        <w:rPr>
          <w:sz w:val="20"/>
          <w:szCs w:val="20"/>
          <w:color w:val="auto"/>
        </w:rPr>
      </w:pPr>
      <w:r>
        <w:rPr>
          <w:rFonts w:ascii="Arial" w:cs="Arial" w:eastAsia="Arial" w:hAnsi="Arial"/>
          <w:sz w:val="18"/>
          <w:szCs w:val="18"/>
          <w:b w:val="1"/>
          <w:bCs w:val="1"/>
          <w:color w:val="auto"/>
        </w:rPr>
        <w:t>Flortaucipir** (Q3 2015)</w:t>
      </w:r>
      <w:r>
        <w:rPr>
          <w:rFonts w:ascii="Arial" w:cs="Arial" w:eastAsia="Arial" w:hAnsi="Arial"/>
          <w:sz w:val="18"/>
          <w:szCs w:val="18"/>
          <w:color w:val="auto"/>
        </w:rPr>
        <w:t>—a positron emission tomography (PET) tracer intended to image tau (or neurofibrillary) tangles in the brain,</w:t>
      </w:r>
      <w:r>
        <w:rPr>
          <w:rFonts w:ascii="Arial" w:cs="Arial" w:eastAsia="Arial" w:hAnsi="Arial"/>
          <w:sz w:val="18"/>
          <w:szCs w:val="18"/>
          <w:b w:val="1"/>
          <w:bCs w:val="1"/>
          <w:color w:val="auto"/>
        </w:rPr>
        <w:t xml:space="preserve"> </w:t>
      </w:r>
      <w:r>
        <w:rPr>
          <w:rFonts w:ascii="Arial" w:cs="Arial" w:eastAsia="Arial" w:hAnsi="Arial"/>
          <w:sz w:val="18"/>
          <w:szCs w:val="18"/>
          <w:color w:val="auto"/>
        </w:rPr>
        <w:t>which are an indicator of Alzheimer's disease.</w:t>
      </w:r>
    </w:p>
    <w:p>
      <w:pPr>
        <w:spacing w:after="0" w:line="99" w:lineRule="exact"/>
        <w:rPr>
          <w:sz w:val="20"/>
          <w:szCs w:val="20"/>
          <w:color w:val="auto"/>
        </w:rPr>
      </w:pPr>
    </w:p>
    <w:p>
      <w:pPr>
        <w:ind w:left="660" w:right="320"/>
        <w:spacing w:after="0" w:line="287" w:lineRule="auto"/>
        <w:rPr>
          <w:sz w:val="20"/>
          <w:szCs w:val="20"/>
          <w:color w:val="auto"/>
        </w:rPr>
      </w:pPr>
      <w:r>
        <w:rPr>
          <w:rFonts w:ascii="Arial" w:cs="Arial" w:eastAsia="Arial" w:hAnsi="Arial"/>
          <w:sz w:val="18"/>
          <w:szCs w:val="18"/>
          <w:b w:val="1"/>
          <w:bCs w:val="1"/>
          <w:color w:val="auto"/>
        </w:rPr>
        <w:t>Lanabecestat (Q2 2016)</w:t>
      </w:r>
      <w:r>
        <w:rPr>
          <w:rFonts w:ascii="Arial" w:cs="Arial" w:eastAsia="Arial" w:hAnsi="Arial"/>
          <w:sz w:val="18"/>
          <w:szCs w:val="18"/>
          <w:color w:val="auto"/>
        </w:rPr>
        <w:t>—an oral beta-secretase cleaving enzyme (BACE) inhibitor for the treatment of early and mild Alzheimer's</w:t>
      </w:r>
      <w:r>
        <w:rPr>
          <w:rFonts w:ascii="Arial" w:cs="Arial" w:eastAsia="Arial" w:hAnsi="Arial"/>
          <w:sz w:val="18"/>
          <w:szCs w:val="18"/>
          <w:b w:val="1"/>
          <w:bCs w:val="1"/>
          <w:color w:val="auto"/>
        </w:rPr>
        <w:t xml:space="preserve"> </w:t>
      </w:r>
      <w:r>
        <w:rPr>
          <w:rFonts w:ascii="Arial" w:cs="Arial" w:eastAsia="Arial" w:hAnsi="Arial"/>
          <w:sz w:val="18"/>
          <w:szCs w:val="18"/>
          <w:color w:val="auto"/>
        </w:rPr>
        <w:t>disease (in collaboration with AstraZeneca).</w:t>
      </w:r>
    </w:p>
    <w:p>
      <w:pPr>
        <w:spacing w:after="0" w:line="67"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Lasmiditan (Q2 2015)</w:t>
      </w:r>
      <w:r>
        <w:rPr>
          <w:rFonts w:ascii="Arial" w:cs="Arial" w:eastAsia="Arial" w:hAnsi="Arial"/>
          <w:sz w:val="18"/>
          <w:szCs w:val="18"/>
          <w:color w:val="auto"/>
        </w:rPr>
        <w:t>—an oral 5-HT</w:t>
      </w:r>
      <w:r>
        <w:rPr>
          <w:rFonts w:ascii="Arial" w:cs="Arial" w:eastAsia="Arial" w:hAnsi="Arial"/>
          <w:sz w:val="21"/>
          <w:szCs w:val="21"/>
          <w:color w:val="auto"/>
          <w:vertAlign w:val="subscript"/>
        </w:rPr>
        <w:t>1F</w:t>
      </w:r>
      <w:r>
        <w:rPr>
          <w:rFonts w:ascii="Arial" w:cs="Arial" w:eastAsia="Arial" w:hAnsi="Arial"/>
          <w:sz w:val="18"/>
          <w:szCs w:val="18"/>
          <w:b w:val="1"/>
          <w:bCs w:val="1"/>
          <w:color w:val="auto"/>
        </w:rPr>
        <w:t xml:space="preserve"> </w:t>
      </w:r>
      <w:r>
        <w:rPr>
          <w:rFonts w:ascii="Arial" w:cs="Arial" w:eastAsia="Arial" w:hAnsi="Arial"/>
          <w:sz w:val="18"/>
          <w:szCs w:val="18"/>
          <w:color w:val="auto"/>
        </w:rPr>
        <w:t>agonist for the acute treatment of migraine.</w:t>
      </w:r>
    </w:p>
    <w:p>
      <w:pPr>
        <w:spacing w:after="0" w:line="169" w:lineRule="exact"/>
        <w:rPr>
          <w:sz w:val="20"/>
          <w:szCs w:val="20"/>
          <w:color w:val="auto"/>
        </w:rPr>
      </w:pPr>
    </w:p>
    <w:p>
      <w:pPr>
        <w:ind w:left="660" w:right="80"/>
        <w:spacing w:after="0" w:line="287" w:lineRule="auto"/>
        <w:rPr>
          <w:sz w:val="20"/>
          <w:szCs w:val="20"/>
          <w:color w:val="auto"/>
        </w:rPr>
      </w:pPr>
      <w:r>
        <w:rPr>
          <w:rFonts w:ascii="Arial" w:cs="Arial" w:eastAsia="Arial" w:hAnsi="Arial"/>
          <w:sz w:val="18"/>
          <w:szCs w:val="18"/>
          <w:b w:val="1"/>
          <w:bCs w:val="1"/>
          <w:color w:val="auto"/>
        </w:rPr>
        <w:t>Nasal glucagon* (Q3 2013)</w:t>
      </w:r>
      <w:r>
        <w:rPr>
          <w:rFonts w:ascii="Arial" w:cs="Arial" w:eastAsia="Arial" w:hAnsi="Arial"/>
          <w:sz w:val="18"/>
          <w:szCs w:val="18"/>
          <w:color w:val="auto"/>
        </w:rPr>
        <w:t>—a glucagon nasal powder formulation for the treatment of severe hypoglycemia in patients with diabetes</w:t>
      </w:r>
      <w:r>
        <w:rPr>
          <w:rFonts w:ascii="Arial" w:cs="Arial" w:eastAsia="Arial" w:hAnsi="Arial"/>
          <w:sz w:val="18"/>
          <w:szCs w:val="18"/>
          <w:b w:val="1"/>
          <w:bCs w:val="1"/>
          <w:color w:val="auto"/>
        </w:rPr>
        <w:t xml:space="preserve"> </w:t>
      </w:r>
      <w:r>
        <w:rPr>
          <w:rFonts w:ascii="Arial" w:cs="Arial" w:eastAsia="Arial" w:hAnsi="Arial"/>
          <w:sz w:val="18"/>
          <w:szCs w:val="18"/>
          <w:color w:val="auto"/>
        </w:rPr>
        <w:t>treated with insulin.</w:t>
      </w:r>
    </w:p>
    <w:p>
      <w:pPr>
        <w:spacing w:after="0" w:line="99"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Solanezumab* (Q2 2009)</w:t>
      </w:r>
      <w:r>
        <w:rPr>
          <w:rFonts w:ascii="Arial" w:cs="Arial" w:eastAsia="Arial" w:hAnsi="Arial"/>
          <w:sz w:val="18"/>
          <w:szCs w:val="18"/>
          <w:color w:val="auto"/>
        </w:rPr>
        <w:t>—an anti-amyloid beta monoclonal antibody for the treatment of preclinical Alzheimer’s disease.</w:t>
      </w:r>
    </w:p>
    <w:p>
      <w:pPr>
        <w:spacing w:after="0" w:line="171" w:lineRule="exact"/>
        <w:rPr>
          <w:sz w:val="20"/>
          <w:szCs w:val="20"/>
          <w:color w:val="auto"/>
        </w:rPr>
      </w:pPr>
    </w:p>
    <w:p>
      <w:pPr>
        <w:ind w:left="660" w:right="340"/>
        <w:spacing w:after="0" w:line="287" w:lineRule="auto"/>
        <w:rPr>
          <w:sz w:val="20"/>
          <w:szCs w:val="20"/>
          <w:color w:val="auto"/>
        </w:rPr>
      </w:pPr>
      <w:r>
        <w:rPr>
          <w:rFonts w:ascii="Arial" w:cs="Arial" w:eastAsia="Arial" w:hAnsi="Arial"/>
          <w:sz w:val="18"/>
          <w:szCs w:val="18"/>
          <w:b w:val="1"/>
          <w:bCs w:val="1"/>
          <w:color w:val="auto"/>
        </w:rPr>
        <w:t>Tanezumab* (Q3 2008)</w:t>
      </w:r>
      <w:r>
        <w:rPr>
          <w:rFonts w:ascii="Arial" w:cs="Arial" w:eastAsia="Arial" w:hAnsi="Arial"/>
          <w:sz w:val="18"/>
          <w:szCs w:val="18"/>
          <w:color w:val="auto"/>
        </w:rPr>
        <w:t>—an anti-nerve growth factor monoclonal antibody for the treatment of osteoarthritis pain, chronic low back</w:t>
      </w:r>
      <w:r>
        <w:rPr>
          <w:rFonts w:ascii="Arial" w:cs="Arial" w:eastAsia="Arial" w:hAnsi="Arial"/>
          <w:sz w:val="18"/>
          <w:szCs w:val="18"/>
          <w:b w:val="1"/>
          <w:bCs w:val="1"/>
          <w:color w:val="auto"/>
        </w:rPr>
        <w:t xml:space="preserve"> </w:t>
      </w:r>
      <w:r>
        <w:rPr>
          <w:rFonts w:ascii="Arial" w:cs="Arial" w:eastAsia="Arial" w:hAnsi="Arial"/>
          <w:sz w:val="18"/>
          <w:szCs w:val="18"/>
          <w:color w:val="auto"/>
        </w:rPr>
        <w:t>pain, and cancer pain (in collaboration with Pfizer Inc.).</w:t>
      </w:r>
    </w:p>
    <w:p>
      <w:pPr>
        <w:spacing w:after="0" w:line="99"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Ultra-rapid Lispro* (Q3 2017)</w:t>
      </w:r>
      <w:r>
        <w:rPr>
          <w:rFonts w:ascii="Arial" w:cs="Arial" w:eastAsia="Arial" w:hAnsi="Arial"/>
          <w:sz w:val="18"/>
          <w:szCs w:val="18"/>
          <w:color w:val="auto"/>
        </w:rPr>
        <w:t>—an ultra-rapid insulin for the treatment of type 1 and type 2 diabetes.</w:t>
      </w:r>
    </w:p>
    <w:p>
      <w:pPr>
        <w:spacing w:after="0" w:line="139" w:lineRule="exact"/>
        <w:rPr>
          <w:sz w:val="20"/>
          <w:szCs w:val="20"/>
          <w:color w:val="auto"/>
        </w:rPr>
      </w:pPr>
    </w:p>
    <w:p>
      <w:pPr>
        <w:ind w:left="340" w:right="2780" w:hanging="8"/>
        <w:spacing w:after="0" w:line="387" w:lineRule="auto"/>
        <w:tabs>
          <w:tab w:leader="none" w:pos="664" w:val="left"/>
        </w:tabs>
        <w:numPr>
          <w:ilvl w:val="0"/>
          <w:numId w:val="21"/>
        </w:numPr>
        <w:rPr>
          <w:rFonts w:ascii="Arial" w:cs="Arial" w:eastAsia="Arial" w:hAnsi="Arial"/>
          <w:sz w:val="18"/>
          <w:szCs w:val="18"/>
          <w:color w:val="auto"/>
        </w:rPr>
      </w:pPr>
      <w:r>
        <w:rPr>
          <w:rFonts w:ascii="Arial" w:cs="Arial" w:eastAsia="Arial" w:hAnsi="Arial"/>
          <w:sz w:val="18"/>
          <w:szCs w:val="18"/>
          <w:color w:val="auto"/>
        </w:rPr>
        <w:t>Biologic molecule subject to the United States (U.S.) Biologics Price Competition and Innovation Act ** Diagnostic agent</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00"/>
          </w:cols>
          <w:pgMar w:left="240" w:top="742" w:right="259" w:bottom="1440" w:gutter="0" w:footer="0" w:header="0"/>
        </w:sectPr>
      </w:pPr>
    </w:p>
    <w:bookmarkStart w:id="37" w:name="page38"/>
    <w:bookmarkEnd w:id="37"/>
    <w:p>
      <w:pPr>
        <w:ind w:right="760"/>
        <w:spacing w:after="0" w:line="262" w:lineRule="auto"/>
        <w:rPr>
          <w:sz w:val="20"/>
          <w:szCs w:val="20"/>
          <w:color w:val="auto"/>
        </w:rPr>
      </w:pPr>
      <w:r>
        <w:rPr>
          <w:rFonts w:ascii="Arial" w:cs="Arial" w:eastAsia="Arial" w:hAnsi="Arial"/>
          <w:sz w:val="18"/>
          <w:szCs w:val="18"/>
          <w:color w:val="auto"/>
        </w:rPr>
        <w:t>The following table reflects the status of each NME and diagnostic agent within our late-stage pipeline and recently approved products including developments since January 1, 2018:</w:t>
      </w:r>
    </w:p>
    <w:p>
      <w:pPr>
        <w:spacing w:after="0" w:line="96" w:lineRule="exact"/>
        <w:rPr>
          <w:sz w:val="20"/>
          <w:szCs w:val="20"/>
          <w:color w:val="auto"/>
        </w:rPr>
      </w:pPr>
    </w:p>
    <w:tbl>
      <w:tblPr>
        <w:tblLayout w:type="fixed"/>
        <w:tblInd w:w="10" w:type="dxa"/>
        <w:tblCellMar>
          <w:top w:w="0" w:type="dxa"/>
          <w:left w:w="0" w:type="dxa"/>
          <w:bottom w:w="0" w:type="dxa"/>
          <w:right w:w="0" w:type="dxa"/>
        </w:tblCellMar>
      </w:tblPr>
      <w:tr>
        <w:trPr>
          <w:trHeight w:val="264"/>
        </w:trPr>
        <w:tc>
          <w:tcPr>
            <w:tcW w:w="1640" w:type="dxa"/>
            <w:vAlign w:val="bottom"/>
            <w:tcBorders>
              <w:top w:val="single" w:sz="8" w:color="auto"/>
              <w:left w:val="single" w:sz="8" w:color="auto"/>
              <w:bottom w:val="single" w:sz="8" w:color="auto"/>
              <w:right w:val="single" w:sz="8" w:color="auto"/>
            </w:tcBorders>
            <w:shd w:val="clear" w:color="auto" w:fill="D8D8D8"/>
          </w:tcPr>
          <w:p>
            <w:pPr>
              <w:ind w:left="40"/>
              <w:spacing w:after="0"/>
              <w:rPr>
                <w:sz w:val="20"/>
                <w:szCs w:val="20"/>
                <w:color w:val="auto"/>
              </w:rPr>
            </w:pPr>
            <w:r>
              <w:rPr>
                <w:rFonts w:ascii="Arial" w:cs="Arial" w:eastAsia="Arial" w:hAnsi="Arial"/>
                <w:sz w:val="18"/>
                <w:szCs w:val="18"/>
                <w:b w:val="1"/>
                <w:bCs w:val="1"/>
                <w:color w:val="auto"/>
              </w:rPr>
              <w:t>Compound</w:t>
            </w:r>
          </w:p>
        </w:tc>
        <w:tc>
          <w:tcPr>
            <w:tcW w:w="1600" w:type="dxa"/>
            <w:vAlign w:val="bottom"/>
            <w:tcBorders>
              <w:top w:val="single" w:sz="8" w:color="auto"/>
              <w:bottom w:val="single" w:sz="8" w:color="auto"/>
              <w:right w:val="single" w:sz="8" w:color="auto"/>
            </w:tcBorders>
            <w:shd w:val="clear" w:color="auto" w:fill="D8D8D8"/>
          </w:tcPr>
          <w:p>
            <w:pPr>
              <w:ind w:left="20"/>
              <w:spacing w:after="0"/>
              <w:rPr>
                <w:sz w:val="20"/>
                <w:szCs w:val="20"/>
                <w:color w:val="auto"/>
              </w:rPr>
            </w:pPr>
            <w:r>
              <w:rPr>
                <w:rFonts w:ascii="Arial" w:cs="Arial" w:eastAsia="Arial" w:hAnsi="Arial"/>
                <w:sz w:val="18"/>
                <w:szCs w:val="18"/>
                <w:b w:val="1"/>
                <w:bCs w:val="1"/>
                <w:color w:val="auto"/>
              </w:rPr>
              <w:t>Indication</w:t>
            </w:r>
          </w:p>
        </w:tc>
        <w:tc>
          <w:tcPr>
            <w:tcW w:w="1140" w:type="dxa"/>
            <w:vAlign w:val="bottom"/>
            <w:tcBorders>
              <w:top w:val="single" w:sz="8" w:color="auto"/>
              <w:bottom w:val="single" w:sz="8" w:color="auto"/>
              <w:right w:val="single" w:sz="8" w:color="auto"/>
            </w:tcBorders>
            <w:shd w:val="clear" w:color="auto" w:fill="D8D8D8"/>
          </w:tcPr>
          <w:p>
            <w:pPr>
              <w:ind w:left="20"/>
              <w:spacing w:after="0"/>
              <w:rPr>
                <w:sz w:val="20"/>
                <w:szCs w:val="20"/>
                <w:color w:val="auto"/>
              </w:rPr>
            </w:pPr>
            <w:r>
              <w:rPr>
                <w:rFonts w:ascii="Arial" w:cs="Arial" w:eastAsia="Arial" w:hAnsi="Arial"/>
                <w:sz w:val="18"/>
                <w:szCs w:val="18"/>
                <w:b w:val="1"/>
                <w:bCs w:val="1"/>
                <w:color w:val="auto"/>
              </w:rPr>
              <w:t>U.S.</w:t>
            </w:r>
          </w:p>
        </w:tc>
        <w:tc>
          <w:tcPr>
            <w:tcW w:w="900" w:type="dxa"/>
            <w:vAlign w:val="bottom"/>
            <w:tcBorders>
              <w:top w:val="single" w:sz="8" w:color="auto"/>
              <w:bottom w:val="single" w:sz="8" w:color="auto"/>
              <w:right w:val="single" w:sz="8" w:color="auto"/>
            </w:tcBorders>
            <w:shd w:val="clear" w:color="auto" w:fill="D8D8D8"/>
          </w:tcPr>
          <w:p>
            <w:pPr>
              <w:ind w:left="20"/>
              <w:spacing w:after="0"/>
              <w:rPr>
                <w:sz w:val="20"/>
                <w:szCs w:val="20"/>
                <w:color w:val="auto"/>
              </w:rPr>
            </w:pPr>
            <w:r>
              <w:rPr>
                <w:rFonts w:ascii="Arial" w:cs="Arial" w:eastAsia="Arial" w:hAnsi="Arial"/>
                <w:sz w:val="18"/>
                <w:szCs w:val="18"/>
                <w:b w:val="1"/>
                <w:bCs w:val="1"/>
                <w:color w:val="auto"/>
              </w:rPr>
              <w:t>Europe</w:t>
            </w:r>
          </w:p>
        </w:tc>
        <w:tc>
          <w:tcPr>
            <w:tcW w:w="1020" w:type="dxa"/>
            <w:vAlign w:val="bottom"/>
            <w:tcBorders>
              <w:top w:val="single" w:sz="8" w:color="auto"/>
              <w:bottom w:val="single" w:sz="8" w:color="auto"/>
              <w:right w:val="single" w:sz="8" w:color="auto"/>
            </w:tcBorders>
            <w:shd w:val="clear" w:color="auto" w:fill="D8D8D8"/>
          </w:tcPr>
          <w:p>
            <w:pPr>
              <w:ind w:left="20"/>
              <w:spacing w:after="0"/>
              <w:rPr>
                <w:sz w:val="20"/>
                <w:szCs w:val="20"/>
                <w:color w:val="auto"/>
              </w:rPr>
            </w:pPr>
            <w:r>
              <w:rPr>
                <w:rFonts w:ascii="Arial" w:cs="Arial" w:eastAsia="Arial" w:hAnsi="Arial"/>
                <w:sz w:val="18"/>
                <w:szCs w:val="18"/>
                <w:b w:val="1"/>
                <w:bCs w:val="1"/>
                <w:color w:val="auto"/>
              </w:rPr>
              <w:t>Japan</w:t>
            </w:r>
          </w:p>
        </w:tc>
        <w:tc>
          <w:tcPr>
            <w:tcW w:w="5140" w:type="dxa"/>
            <w:vAlign w:val="bottom"/>
            <w:tcBorders>
              <w:top w:val="single" w:sz="8" w:color="auto"/>
              <w:bottom w:val="single" w:sz="8" w:color="auto"/>
              <w:right w:val="single" w:sz="8" w:color="auto"/>
            </w:tcBorders>
            <w:shd w:val="clear" w:color="auto" w:fill="D8D8D8"/>
          </w:tcPr>
          <w:p>
            <w:pPr>
              <w:ind w:left="20"/>
              <w:spacing w:after="0"/>
              <w:rPr>
                <w:sz w:val="20"/>
                <w:szCs w:val="20"/>
                <w:color w:val="auto"/>
              </w:rPr>
            </w:pPr>
            <w:r>
              <w:rPr>
                <w:rFonts w:ascii="Arial" w:cs="Arial" w:eastAsia="Arial" w:hAnsi="Arial"/>
                <w:sz w:val="18"/>
                <w:szCs w:val="18"/>
                <w:b w:val="1"/>
                <w:bCs w:val="1"/>
                <w:color w:val="auto"/>
              </w:rPr>
              <w:t>Developments</w:t>
            </w:r>
          </w:p>
        </w:tc>
        <w:tc>
          <w:tcPr>
            <w:tcW w:w="0" w:type="dxa"/>
            <w:vAlign w:val="bottom"/>
          </w:tcPr>
          <w:p>
            <w:pPr>
              <w:spacing w:after="0"/>
              <w:rPr>
                <w:sz w:val="1"/>
                <w:szCs w:val="1"/>
                <w:color w:val="auto"/>
              </w:rPr>
            </w:pPr>
          </w:p>
        </w:tc>
      </w:tr>
      <w:tr>
        <w:trPr>
          <w:trHeight w:val="250"/>
        </w:trPr>
        <w:tc>
          <w:tcPr>
            <w:tcW w:w="164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8"/>
                <w:szCs w:val="18"/>
                <w:b w:val="1"/>
                <w:bCs w:val="1"/>
                <w:color w:val="auto"/>
              </w:rPr>
              <w:t>Endocrinology</w:t>
            </w:r>
          </w:p>
        </w:tc>
        <w:tc>
          <w:tcPr>
            <w:tcW w:w="160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spacing w:after="0"/>
              <w:rPr>
                <w:sz w:val="21"/>
                <w:szCs w:val="21"/>
                <w:color w:val="auto"/>
              </w:rPr>
            </w:pPr>
          </w:p>
        </w:tc>
        <w:tc>
          <w:tcPr>
            <w:tcW w:w="514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164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8"/>
                <w:szCs w:val="18"/>
                <w:color w:val="auto"/>
              </w:rPr>
              <w:t>Nasal glucagon</w:t>
            </w:r>
          </w:p>
        </w:tc>
        <w:tc>
          <w:tcPr>
            <w:tcW w:w="16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Severe</w:t>
            </w:r>
          </w:p>
        </w:tc>
        <w:tc>
          <w:tcPr>
            <w:tcW w:w="1140" w:type="dxa"/>
            <w:vAlign w:val="bottom"/>
          </w:tcPr>
          <w:p>
            <w:pPr>
              <w:spacing w:after="0"/>
              <w:rPr>
                <w:sz w:val="19"/>
                <w:szCs w:val="19"/>
                <w:color w:val="auto"/>
              </w:rPr>
            </w:pPr>
          </w:p>
        </w:tc>
        <w:tc>
          <w:tcPr>
            <w:tcW w:w="900" w:type="dxa"/>
            <w:vAlign w:val="bottom"/>
            <w:vMerge w:val="restart"/>
          </w:tcPr>
          <w:p>
            <w:pPr>
              <w:ind w:left="20"/>
              <w:spacing w:after="0"/>
              <w:rPr>
                <w:sz w:val="20"/>
                <w:szCs w:val="20"/>
                <w:color w:val="auto"/>
              </w:rPr>
            </w:pPr>
            <w:r>
              <w:rPr>
                <w:rFonts w:ascii="Arial" w:cs="Arial" w:eastAsia="Arial" w:hAnsi="Arial"/>
                <w:sz w:val="18"/>
                <w:szCs w:val="18"/>
                <w:color w:val="auto"/>
              </w:rPr>
              <w:t>Phase III</w:t>
            </w:r>
          </w:p>
        </w:tc>
        <w:tc>
          <w:tcPr>
            <w:tcW w:w="1020" w:type="dxa"/>
            <w:vAlign w:val="bottom"/>
            <w:tcBorders>
              <w:right w:val="single" w:sz="8" w:color="auto"/>
            </w:tcBorders>
          </w:tcPr>
          <w:p>
            <w:pPr>
              <w:spacing w:after="0"/>
              <w:rPr>
                <w:sz w:val="19"/>
                <w:szCs w:val="19"/>
                <w:color w:val="auto"/>
              </w:rPr>
            </w:pPr>
          </w:p>
        </w:tc>
        <w:tc>
          <w:tcPr>
            <w:tcW w:w="51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Phase III trials are complete. Submission to U.S. Food and</w:t>
            </w:r>
          </w:p>
        </w:tc>
        <w:tc>
          <w:tcPr>
            <w:tcW w:w="0" w:type="dxa"/>
            <w:vAlign w:val="bottom"/>
          </w:tcPr>
          <w:p>
            <w:pPr>
              <w:spacing w:after="0"/>
              <w:rPr>
                <w:sz w:val="1"/>
                <w:szCs w:val="1"/>
                <w:color w:val="auto"/>
              </w:rPr>
            </w:pPr>
          </w:p>
        </w:tc>
      </w:tr>
      <w:tr>
        <w:trPr>
          <w:trHeight w:val="109"/>
        </w:trPr>
        <w:tc>
          <w:tcPr>
            <w:tcW w:w="1640" w:type="dxa"/>
            <w:vAlign w:val="bottom"/>
            <w:tcBorders>
              <w:left w:val="single" w:sz="8" w:color="auto"/>
              <w:right w:val="single" w:sz="8" w:color="auto"/>
            </w:tcBorders>
            <w:vMerge w:val="continue"/>
          </w:tcPr>
          <w:p>
            <w:pPr>
              <w:spacing w:after="0"/>
              <w:rPr>
                <w:sz w:val="9"/>
                <w:szCs w:val="9"/>
                <w:color w:val="auto"/>
              </w:rPr>
            </w:pPr>
          </w:p>
        </w:tc>
        <w:tc>
          <w:tcPr>
            <w:tcW w:w="160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hypoglycemia</w:t>
            </w:r>
          </w:p>
        </w:tc>
        <w:tc>
          <w:tcPr>
            <w:tcW w:w="1140" w:type="dxa"/>
            <w:vAlign w:val="bottom"/>
          </w:tcPr>
          <w:p>
            <w:pPr>
              <w:spacing w:after="0"/>
              <w:rPr>
                <w:sz w:val="9"/>
                <w:szCs w:val="9"/>
                <w:color w:val="auto"/>
              </w:rPr>
            </w:pPr>
          </w:p>
        </w:tc>
        <w:tc>
          <w:tcPr>
            <w:tcW w:w="900" w:type="dxa"/>
            <w:vAlign w:val="bottom"/>
            <w:vMerge w:val="continue"/>
          </w:tcPr>
          <w:p>
            <w:pPr>
              <w:spacing w:after="0"/>
              <w:rPr>
                <w:sz w:val="9"/>
                <w:szCs w:val="9"/>
                <w:color w:val="auto"/>
              </w:rPr>
            </w:pPr>
          </w:p>
        </w:tc>
        <w:tc>
          <w:tcPr>
            <w:tcW w:w="1020" w:type="dxa"/>
            <w:vAlign w:val="bottom"/>
            <w:tcBorders>
              <w:right w:val="single" w:sz="8" w:color="auto"/>
            </w:tcBorders>
          </w:tcPr>
          <w:p>
            <w:pPr>
              <w:spacing w:after="0"/>
              <w:rPr>
                <w:sz w:val="9"/>
                <w:szCs w:val="9"/>
                <w:color w:val="auto"/>
              </w:rPr>
            </w:pPr>
          </w:p>
        </w:tc>
        <w:tc>
          <w:tcPr>
            <w:tcW w:w="514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Drug Administration (FDA) expected in mid-2018.</w:t>
            </w:r>
          </w:p>
        </w:tc>
        <w:tc>
          <w:tcPr>
            <w:tcW w:w="0" w:type="dxa"/>
            <w:vAlign w:val="bottom"/>
          </w:tcPr>
          <w:p>
            <w:pPr>
              <w:spacing w:after="0"/>
              <w:rPr>
                <w:sz w:val="1"/>
                <w:szCs w:val="1"/>
                <w:color w:val="auto"/>
              </w:rPr>
            </w:pPr>
          </w:p>
        </w:tc>
      </w:tr>
      <w:tr>
        <w:trPr>
          <w:trHeight w:val="115"/>
        </w:trPr>
        <w:tc>
          <w:tcPr>
            <w:tcW w:w="1640" w:type="dxa"/>
            <w:vAlign w:val="bottom"/>
            <w:tcBorders>
              <w:left w:val="single" w:sz="8" w:color="auto"/>
              <w:bottom w:val="single" w:sz="8" w:color="auto"/>
              <w:right w:val="single" w:sz="8" w:color="auto"/>
            </w:tcBorders>
          </w:tcPr>
          <w:p>
            <w:pPr>
              <w:spacing w:after="0"/>
              <w:rPr>
                <w:sz w:val="10"/>
                <w:szCs w:val="10"/>
                <w:color w:val="auto"/>
              </w:rPr>
            </w:pPr>
          </w:p>
        </w:tc>
        <w:tc>
          <w:tcPr>
            <w:tcW w:w="1600" w:type="dxa"/>
            <w:vAlign w:val="bottom"/>
            <w:tcBorders>
              <w:bottom w:val="single" w:sz="8" w:color="auto"/>
              <w:right w:val="single" w:sz="8" w:color="auto"/>
            </w:tcBorders>
            <w:vMerge w:val="continue"/>
          </w:tcPr>
          <w:p>
            <w:pPr>
              <w:spacing w:after="0"/>
              <w:rPr>
                <w:sz w:val="10"/>
                <w:szCs w:val="10"/>
                <w:color w:val="auto"/>
              </w:rPr>
            </w:pPr>
          </w:p>
        </w:tc>
        <w:tc>
          <w:tcPr>
            <w:tcW w:w="114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tcPr>
          <w:p>
            <w:pPr>
              <w:spacing w:after="0"/>
              <w:rPr>
                <w:sz w:val="10"/>
                <w:szCs w:val="10"/>
                <w:color w:val="auto"/>
              </w:rPr>
            </w:pPr>
          </w:p>
        </w:tc>
        <w:tc>
          <w:tcPr>
            <w:tcW w:w="1020" w:type="dxa"/>
            <w:vAlign w:val="bottom"/>
            <w:tcBorders>
              <w:bottom w:val="single" w:sz="8" w:color="auto"/>
              <w:right w:val="single" w:sz="8" w:color="auto"/>
            </w:tcBorders>
          </w:tcPr>
          <w:p>
            <w:pPr>
              <w:spacing w:after="0"/>
              <w:rPr>
                <w:sz w:val="10"/>
                <w:szCs w:val="10"/>
                <w:color w:val="auto"/>
              </w:rPr>
            </w:pPr>
          </w:p>
        </w:tc>
        <w:tc>
          <w:tcPr>
            <w:tcW w:w="5140" w:type="dxa"/>
            <w:vAlign w:val="bottom"/>
            <w:tcBorders>
              <w:bottom w:val="single" w:sz="8" w:color="auto"/>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9"/>
        </w:trPr>
        <w:tc>
          <w:tcPr>
            <w:tcW w:w="164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8"/>
                <w:szCs w:val="18"/>
                <w:color w:val="auto"/>
              </w:rPr>
              <w:t>Ultra-rapid Lispro</w:t>
            </w:r>
          </w:p>
        </w:tc>
        <w:tc>
          <w:tcPr>
            <w:tcW w:w="16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Type 1 and 2</w:t>
            </w:r>
          </w:p>
        </w:tc>
        <w:tc>
          <w:tcPr>
            <w:tcW w:w="1140" w:type="dxa"/>
            <w:vAlign w:val="bottom"/>
          </w:tcPr>
          <w:p>
            <w:pPr>
              <w:spacing w:after="0"/>
              <w:rPr>
                <w:sz w:val="19"/>
                <w:szCs w:val="19"/>
                <w:color w:val="auto"/>
              </w:rPr>
            </w:pPr>
          </w:p>
        </w:tc>
        <w:tc>
          <w:tcPr>
            <w:tcW w:w="900" w:type="dxa"/>
            <w:vAlign w:val="bottom"/>
            <w:vMerge w:val="restart"/>
          </w:tcPr>
          <w:p>
            <w:pPr>
              <w:ind w:left="20"/>
              <w:spacing w:after="0"/>
              <w:rPr>
                <w:sz w:val="20"/>
                <w:szCs w:val="20"/>
                <w:color w:val="auto"/>
              </w:rPr>
            </w:pPr>
            <w:r>
              <w:rPr>
                <w:rFonts w:ascii="Arial" w:cs="Arial" w:eastAsia="Arial" w:hAnsi="Arial"/>
                <w:sz w:val="18"/>
                <w:szCs w:val="18"/>
                <w:color w:val="auto"/>
              </w:rPr>
              <w:t>Phase III</w:t>
            </w:r>
          </w:p>
        </w:tc>
        <w:tc>
          <w:tcPr>
            <w:tcW w:w="1020" w:type="dxa"/>
            <w:vAlign w:val="bottom"/>
            <w:tcBorders>
              <w:right w:val="single" w:sz="8" w:color="auto"/>
            </w:tcBorders>
          </w:tcPr>
          <w:p>
            <w:pPr>
              <w:spacing w:after="0"/>
              <w:rPr>
                <w:sz w:val="19"/>
                <w:szCs w:val="19"/>
                <w:color w:val="auto"/>
              </w:rPr>
            </w:pPr>
          </w:p>
        </w:tc>
        <w:tc>
          <w:tcPr>
            <w:tcW w:w="514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Phase III trials are ongoing</w:t>
            </w:r>
          </w:p>
        </w:tc>
        <w:tc>
          <w:tcPr>
            <w:tcW w:w="0" w:type="dxa"/>
            <w:vAlign w:val="bottom"/>
          </w:tcPr>
          <w:p>
            <w:pPr>
              <w:spacing w:after="0"/>
              <w:rPr>
                <w:sz w:val="1"/>
                <w:szCs w:val="1"/>
                <w:color w:val="auto"/>
              </w:rPr>
            </w:pPr>
          </w:p>
        </w:tc>
      </w:tr>
      <w:tr>
        <w:trPr>
          <w:trHeight w:val="109"/>
        </w:trPr>
        <w:tc>
          <w:tcPr>
            <w:tcW w:w="1640" w:type="dxa"/>
            <w:vAlign w:val="bottom"/>
            <w:tcBorders>
              <w:left w:val="single" w:sz="8" w:color="auto"/>
              <w:right w:val="single" w:sz="8" w:color="auto"/>
            </w:tcBorders>
            <w:vMerge w:val="continue"/>
          </w:tcPr>
          <w:p>
            <w:pPr>
              <w:spacing w:after="0"/>
              <w:rPr>
                <w:sz w:val="9"/>
                <w:szCs w:val="9"/>
                <w:color w:val="auto"/>
              </w:rPr>
            </w:pPr>
          </w:p>
        </w:tc>
        <w:tc>
          <w:tcPr>
            <w:tcW w:w="160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diabetes</w:t>
            </w:r>
          </w:p>
        </w:tc>
        <w:tc>
          <w:tcPr>
            <w:tcW w:w="1140" w:type="dxa"/>
            <w:vAlign w:val="bottom"/>
          </w:tcPr>
          <w:p>
            <w:pPr>
              <w:spacing w:after="0"/>
              <w:rPr>
                <w:sz w:val="9"/>
                <w:szCs w:val="9"/>
                <w:color w:val="auto"/>
              </w:rPr>
            </w:pPr>
          </w:p>
        </w:tc>
        <w:tc>
          <w:tcPr>
            <w:tcW w:w="900" w:type="dxa"/>
            <w:vAlign w:val="bottom"/>
            <w:vMerge w:val="continue"/>
          </w:tcPr>
          <w:p>
            <w:pPr>
              <w:spacing w:after="0"/>
              <w:rPr>
                <w:sz w:val="9"/>
                <w:szCs w:val="9"/>
                <w:color w:val="auto"/>
              </w:rPr>
            </w:pPr>
          </w:p>
        </w:tc>
        <w:tc>
          <w:tcPr>
            <w:tcW w:w="1020" w:type="dxa"/>
            <w:vAlign w:val="bottom"/>
            <w:tcBorders>
              <w:right w:val="single" w:sz="8" w:color="auto"/>
            </w:tcBorders>
          </w:tcPr>
          <w:p>
            <w:pPr>
              <w:spacing w:after="0"/>
              <w:rPr>
                <w:sz w:val="9"/>
                <w:szCs w:val="9"/>
                <w:color w:val="auto"/>
              </w:rPr>
            </w:pPr>
          </w:p>
        </w:tc>
        <w:tc>
          <w:tcPr>
            <w:tcW w:w="514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5"/>
        </w:trPr>
        <w:tc>
          <w:tcPr>
            <w:tcW w:w="1640" w:type="dxa"/>
            <w:vAlign w:val="bottom"/>
            <w:tcBorders>
              <w:left w:val="single" w:sz="8" w:color="auto"/>
              <w:bottom w:val="single" w:sz="8" w:color="auto"/>
              <w:right w:val="single" w:sz="8" w:color="auto"/>
            </w:tcBorders>
          </w:tcPr>
          <w:p>
            <w:pPr>
              <w:spacing w:after="0"/>
              <w:rPr>
                <w:sz w:val="10"/>
                <w:szCs w:val="10"/>
                <w:color w:val="auto"/>
              </w:rPr>
            </w:pPr>
          </w:p>
        </w:tc>
        <w:tc>
          <w:tcPr>
            <w:tcW w:w="1600" w:type="dxa"/>
            <w:vAlign w:val="bottom"/>
            <w:tcBorders>
              <w:bottom w:val="single" w:sz="8" w:color="auto"/>
              <w:right w:val="single" w:sz="8" w:color="auto"/>
            </w:tcBorders>
            <w:vMerge w:val="continue"/>
          </w:tcPr>
          <w:p>
            <w:pPr>
              <w:spacing w:after="0"/>
              <w:rPr>
                <w:sz w:val="10"/>
                <w:szCs w:val="10"/>
                <w:color w:val="auto"/>
              </w:rPr>
            </w:pPr>
          </w:p>
        </w:tc>
        <w:tc>
          <w:tcPr>
            <w:tcW w:w="114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tcPr>
          <w:p>
            <w:pPr>
              <w:spacing w:after="0"/>
              <w:rPr>
                <w:sz w:val="10"/>
                <w:szCs w:val="10"/>
                <w:color w:val="auto"/>
              </w:rPr>
            </w:pPr>
          </w:p>
        </w:tc>
        <w:tc>
          <w:tcPr>
            <w:tcW w:w="1020" w:type="dxa"/>
            <w:vAlign w:val="bottom"/>
            <w:tcBorders>
              <w:bottom w:val="single" w:sz="8" w:color="auto"/>
              <w:right w:val="single" w:sz="8" w:color="auto"/>
            </w:tcBorders>
          </w:tcPr>
          <w:p>
            <w:pPr>
              <w:spacing w:after="0"/>
              <w:rPr>
                <w:sz w:val="10"/>
                <w:szCs w:val="10"/>
                <w:color w:val="auto"/>
              </w:rPr>
            </w:pPr>
          </w:p>
        </w:tc>
        <w:tc>
          <w:tcPr>
            <w:tcW w:w="514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50"/>
        </w:trPr>
        <w:tc>
          <w:tcPr>
            <w:tcW w:w="164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8"/>
                <w:szCs w:val="18"/>
                <w:b w:val="1"/>
                <w:bCs w:val="1"/>
                <w:color w:val="auto"/>
              </w:rPr>
              <w:t>Immunology</w:t>
            </w:r>
          </w:p>
        </w:tc>
        <w:tc>
          <w:tcPr>
            <w:tcW w:w="160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spacing w:after="0"/>
              <w:rPr>
                <w:sz w:val="21"/>
                <w:szCs w:val="21"/>
                <w:color w:val="auto"/>
              </w:rPr>
            </w:pPr>
          </w:p>
        </w:tc>
        <w:tc>
          <w:tcPr>
            <w:tcW w:w="514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1640" w:type="dxa"/>
            <w:vAlign w:val="bottom"/>
            <w:tcBorders>
              <w:left w:val="single" w:sz="8" w:color="auto"/>
              <w:right w:val="single" w:sz="8" w:color="auto"/>
            </w:tcBorders>
          </w:tcPr>
          <w:p>
            <w:pPr>
              <w:spacing w:after="0"/>
              <w:rPr>
                <w:sz w:val="19"/>
                <w:szCs w:val="19"/>
                <w:color w:val="auto"/>
              </w:rPr>
            </w:pPr>
          </w:p>
        </w:tc>
        <w:tc>
          <w:tcPr>
            <w:tcW w:w="160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Rheumatoid</w:t>
            </w:r>
          </w:p>
        </w:tc>
        <w:tc>
          <w:tcPr>
            <w:tcW w:w="1140" w:type="dxa"/>
            <w:vAlign w:val="bottom"/>
            <w:tcBorders>
              <w:right w:val="single" w:sz="8" w:color="auto"/>
            </w:tcBorders>
          </w:tcPr>
          <w:p>
            <w:pPr>
              <w:spacing w:after="0"/>
              <w:rPr>
                <w:sz w:val="19"/>
                <w:szCs w:val="19"/>
                <w:color w:val="auto"/>
              </w:rPr>
            </w:pPr>
          </w:p>
        </w:tc>
        <w:tc>
          <w:tcPr>
            <w:tcW w:w="900" w:type="dxa"/>
            <w:vAlign w:val="bottom"/>
          </w:tcPr>
          <w:p>
            <w:pPr>
              <w:spacing w:after="0"/>
              <w:rPr>
                <w:sz w:val="19"/>
                <w:szCs w:val="19"/>
                <w:color w:val="auto"/>
              </w:rPr>
            </w:pPr>
          </w:p>
        </w:tc>
        <w:tc>
          <w:tcPr>
            <w:tcW w:w="1020" w:type="dxa"/>
            <w:vAlign w:val="bottom"/>
            <w:tcBorders>
              <w:right w:val="single" w:sz="8" w:color="auto"/>
            </w:tcBorders>
          </w:tcPr>
          <w:p>
            <w:pPr>
              <w:spacing w:after="0"/>
              <w:rPr>
                <w:sz w:val="19"/>
                <w:szCs w:val="19"/>
                <w:color w:val="auto"/>
              </w:rPr>
            </w:pPr>
          </w:p>
        </w:tc>
        <w:tc>
          <w:tcPr>
            <w:tcW w:w="51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In April 2018, FDA Advisory Committee recommended the</w:t>
            </w:r>
          </w:p>
        </w:tc>
        <w:tc>
          <w:tcPr>
            <w:tcW w:w="0" w:type="dxa"/>
            <w:vAlign w:val="bottom"/>
          </w:tcPr>
          <w:p>
            <w:pPr>
              <w:spacing w:after="0"/>
              <w:rPr>
                <w:sz w:val="1"/>
                <w:szCs w:val="1"/>
                <w:color w:val="auto"/>
              </w:rPr>
            </w:pPr>
          </w:p>
        </w:tc>
      </w:tr>
      <w:tr>
        <w:trPr>
          <w:trHeight w:val="95"/>
        </w:trPr>
        <w:tc>
          <w:tcPr>
            <w:tcW w:w="1640" w:type="dxa"/>
            <w:vAlign w:val="bottom"/>
            <w:tcBorders>
              <w:left w:val="single" w:sz="8" w:color="auto"/>
              <w:right w:val="single" w:sz="8" w:color="auto"/>
            </w:tcBorders>
          </w:tcPr>
          <w:p>
            <w:pPr>
              <w:spacing w:after="0"/>
              <w:rPr>
                <w:sz w:val="8"/>
                <w:szCs w:val="8"/>
                <w:color w:val="auto"/>
              </w:rPr>
            </w:pPr>
          </w:p>
        </w:tc>
        <w:tc>
          <w:tcPr>
            <w:tcW w:w="1600" w:type="dxa"/>
            <w:vAlign w:val="bottom"/>
            <w:tcBorders>
              <w:right w:val="single" w:sz="8" w:color="auto"/>
            </w:tcBorders>
            <w:vMerge w:val="continue"/>
          </w:tcPr>
          <w:p>
            <w:pPr>
              <w:spacing w:after="0"/>
              <w:rPr>
                <w:sz w:val="8"/>
                <w:szCs w:val="8"/>
                <w:color w:val="auto"/>
              </w:rPr>
            </w:pPr>
          </w:p>
        </w:tc>
        <w:tc>
          <w:tcPr>
            <w:tcW w:w="1140" w:type="dxa"/>
            <w:vAlign w:val="bottom"/>
            <w:tcBorders>
              <w:right w:val="single" w:sz="8" w:color="auto"/>
            </w:tcBorders>
            <w:vMerge w:val="restart"/>
          </w:tcPr>
          <w:p>
            <w:pPr>
              <w:ind w:left="160"/>
              <w:spacing w:after="0" w:line="202" w:lineRule="exact"/>
              <w:rPr>
                <w:sz w:val="20"/>
                <w:szCs w:val="20"/>
                <w:color w:val="auto"/>
              </w:rPr>
            </w:pPr>
            <w:r>
              <w:rPr>
                <w:rFonts w:ascii="Arial" w:cs="Arial" w:eastAsia="Arial" w:hAnsi="Arial"/>
                <w:sz w:val="18"/>
                <w:szCs w:val="18"/>
                <w:color w:val="auto"/>
              </w:rPr>
              <w:t>Submitted</w:t>
            </w:r>
          </w:p>
        </w:tc>
        <w:tc>
          <w:tcPr>
            <w:tcW w:w="1920" w:type="dxa"/>
            <w:vAlign w:val="bottom"/>
            <w:tcBorders>
              <w:right w:val="single" w:sz="8" w:color="auto"/>
            </w:tcBorders>
            <w:gridSpan w:val="2"/>
            <w:vMerge w:val="restart"/>
          </w:tcPr>
          <w:p>
            <w:pPr>
              <w:ind w:left="560"/>
              <w:spacing w:after="0" w:line="202" w:lineRule="exact"/>
              <w:rPr>
                <w:sz w:val="20"/>
                <w:szCs w:val="20"/>
                <w:color w:val="auto"/>
              </w:rPr>
            </w:pPr>
            <w:r>
              <w:rPr>
                <w:rFonts w:ascii="Arial" w:cs="Arial" w:eastAsia="Arial" w:hAnsi="Arial"/>
                <w:sz w:val="18"/>
                <w:szCs w:val="18"/>
                <w:color w:val="auto"/>
              </w:rPr>
              <w:t>Launched</w:t>
            </w:r>
          </w:p>
        </w:tc>
        <w:tc>
          <w:tcPr>
            <w:tcW w:w="5140" w:type="dxa"/>
            <w:vAlign w:val="bottom"/>
            <w:tcBorders>
              <w:right w:val="single" w:sz="8" w:color="auto"/>
            </w:tcBorders>
            <w:vMerge w:val="restart"/>
          </w:tcPr>
          <w:p>
            <w:pPr>
              <w:ind w:left="20"/>
              <w:spacing w:after="0" w:line="202" w:lineRule="exact"/>
              <w:rPr>
                <w:sz w:val="20"/>
                <w:szCs w:val="20"/>
                <w:color w:val="auto"/>
              </w:rPr>
            </w:pPr>
            <w:r>
              <w:rPr>
                <w:rFonts w:ascii="Arial" w:cs="Arial" w:eastAsia="Arial" w:hAnsi="Arial"/>
                <w:sz w:val="18"/>
                <w:szCs w:val="18"/>
                <w:color w:val="auto"/>
              </w:rPr>
              <w:t>approval of baricitinib 2-mg, but not 4-mg. Anticipate FDA</w:t>
            </w:r>
          </w:p>
        </w:tc>
        <w:tc>
          <w:tcPr>
            <w:tcW w:w="0" w:type="dxa"/>
            <w:vAlign w:val="bottom"/>
          </w:tcPr>
          <w:p>
            <w:pPr>
              <w:spacing w:after="0"/>
              <w:rPr>
                <w:sz w:val="1"/>
                <w:szCs w:val="1"/>
                <w:color w:val="auto"/>
              </w:rPr>
            </w:pPr>
          </w:p>
        </w:tc>
      </w:tr>
      <w:tr>
        <w:trPr>
          <w:trHeight w:val="108"/>
        </w:trPr>
        <w:tc>
          <w:tcPr>
            <w:tcW w:w="164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8"/>
                <w:szCs w:val="18"/>
                <w:color w:val="auto"/>
              </w:rPr>
              <w:t>Olumiant</w:t>
            </w:r>
          </w:p>
        </w:tc>
        <w:tc>
          <w:tcPr>
            <w:tcW w:w="160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arthritis</w:t>
            </w:r>
          </w:p>
        </w:tc>
        <w:tc>
          <w:tcPr>
            <w:tcW w:w="1140" w:type="dxa"/>
            <w:vAlign w:val="bottom"/>
            <w:tcBorders>
              <w:right w:val="single" w:sz="8" w:color="auto"/>
            </w:tcBorders>
            <w:vMerge w:val="continue"/>
          </w:tcPr>
          <w:p>
            <w:pPr>
              <w:spacing w:after="0"/>
              <w:rPr>
                <w:sz w:val="9"/>
                <w:szCs w:val="9"/>
                <w:color w:val="auto"/>
              </w:rPr>
            </w:pPr>
          </w:p>
        </w:tc>
        <w:tc>
          <w:tcPr>
            <w:tcW w:w="1920" w:type="dxa"/>
            <w:vAlign w:val="bottom"/>
            <w:tcBorders>
              <w:right w:val="single" w:sz="8" w:color="auto"/>
            </w:tcBorders>
            <w:gridSpan w:val="2"/>
            <w:vMerge w:val="continue"/>
          </w:tcPr>
          <w:p>
            <w:pPr>
              <w:spacing w:after="0"/>
              <w:rPr>
                <w:sz w:val="9"/>
                <w:szCs w:val="9"/>
                <w:color w:val="auto"/>
              </w:rPr>
            </w:pPr>
          </w:p>
        </w:tc>
        <w:tc>
          <w:tcPr>
            <w:tcW w:w="514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1640" w:type="dxa"/>
            <w:vAlign w:val="bottom"/>
            <w:tcBorders>
              <w:left w:val="single" w:sz="8" w:color="auto"/>
              <w:right w:val="single" w:sz="8" w:color="auto"/>
            </w:tcBorders>
            <w:vMerge w:val="continue"/>
          </w:tcPr>
          <w:p>
            <w:pPr>
              <w:spacing w:after="0"/>
              <w:rPr>
                <w:sz w:val="12"/>
                <w:szCs w:val="12"/>
                <w:color w:val="auto"/>
              </w:rPr>
            </w:pPr>
          </w:p>
        </w:tc>
        <w:tc>
          <w:tcPr>
            <w:tcW w:w="1600" w:type="dxa"/>
            <w:vAlign w:val="bottom"/>
            <w:tcBorders>
              <w:right w:val="single" w:sz="8" w:color="auto"/>
            </w:tcBorders>
            <w:vMerge w:val="continue"/>
          </w:tcPr>
          <w:p>
            <w:pPr>
              <w:spacing w:after="0"/>
              <w:rPr>
                <w:sz w:val="12"/>
                <w:szCs w:val="12"/>
                <w:color w:val="auto"/>
              </w:rPr>
            </w:pPr>
          </w:p>
        </w:tc>
        <w:tc>
          <w:tcPr>
            <w:tcW w:w="1140" w:type="dxa"/>
            <w:vAlign w:val="bottom"/>
            <w:tcBorders>
              <w:right w:val="single" w:sz="8" w:color="auto"/>
            </w:tcBorders>
          </w:tcPr>
          <w:p>
            <w:pPr>
              <w:spacing w:after="0"/>
              <w:rPr>
                <w:sz w:val="12"/>
                <w:szCs w:val="12"/>
                <w:color w:val="auto"/>
              </w:rPr>
            </w:pPr>
          </w:p>
        </w:tc>
        <w:tc>
          <w:tcPr>
            <w:tcW w:w="900" w:type="dxa"/>
            <w:vAlign w:val="bottom"/>
          </w:tcPr>
          <w:p>
            <w:pPr>
              <w:spacing w:after="0"/>
              <w:rPr>
                <w:sz w:val="12"/>
                <w:szCs w:val="12"/>
                <w:color w:val="auto"/>
              </w:rPr>
            </w:pPr>
          </w:p>
        </w:tc>
        <w:tc>
          <w:tcPr>
            <w:tcW w:w="1020" w:type="dxa"/>
            <w:vAlign w:val="bottom"/>
            <w:tcBorders>
              <w:right w:val="single" w:sz="8" w:color="auto"/>
            </w:tcBorders>
          </w:tcPr>
          <w:p>
            <w:pPr>
              <w:spacing w:after="0"/>
              <w:rPr>
                <w:sz w:val="12"/>
                <w:szCs w:val="12"/>
                <w:color w:val="auto"/>
              </w:rPr>
            </w:pPr>
          </w:p>
        </w:tc>
        <w:tc>
          <w:tcPr>
            <w:tcW w:w="514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action before the end of 2018.</w:t>
            </w:r>
          </w:p>
        </w:tc>
        <w:tc>
          <w:tcPr>
            <w:tcW w:w="0" w:type="dxa"/>
            <w:vAlign w:val="bottom"/>
          </w:tcPr>
          <w:p>
            <w:pPr>
              <w:spacing w:after="0"/>
              <w:rPr>
                <w:sz w:val="1"/>
                <w:szCs w:val="1"/>
                <w:color w:val="auto"/>
              </w:rPr>
            </w:pPr>
          </w:p>
        </w:tc>
      </w:tr>
      <w:tr>
        <w:trPr>
          <w:trHeight w:val="75"/>
        </w:trPr>
        <w:tc>
          <w:tcPr>
            <w:tcW w:w="1640" w:type="dxa"/>
            <w:vAlign w:val="bottom"/>
            <w:tcBorders>
              <w:left w:val="single" w:sz="8" w:color="auto"/>
              <w:right w:val="single" w:sz="8" w:color="auto"/>
            </w:tcBorders>
          </w:tcPr>
          <w:p>
            <w:pPr>
              <w:spacing w:after="0"/>
              <w:rPr>
                <w:sz w:val="6"/>
                <w:szCs w:val="6"/>
                <w:color w:val="auto"/>
              </w:rPr>
            </w:pPr>
          </w:p>
        </w:tc>
        <w:tc>
          <w:tcPr>
            <w:tcW w:w="1600" w:type="dxa"/>
            <w:vAlign w:val="bottom"/>
            <w:tcBorders>
              <w:bottom w:val="single" w:sz="8" w:color="auto"/>
              <w:right w:val="single" w:sz="8" w:color="auto"/>
            </w:tcBorders>
          </w:tcPr>
          <w:p>
            <w:pPr>
              <w:spacing w:after="0"/>
              <w:rPr>
                <w:sz w:val="6"/>
                <w:szCs w:val="6"/>
                <w:color w:val="auto"/>
              </w:rPr>
            </w:pPr>
          </w:p>
        </w:tc>
        <w:tc>
          <w:tcPr>
            <w:tcW w:w="1140" w:type="dxa"/>
            <w:vAlign w:val="bottom"/>
            <w:tcBorders>
              <w:bottom w:val="single" w:sz="8" w:color="auto"/>
              <w:right w:val="single" w:sz="8" w:color="auto"/>
            </w:tcBorders>
          </w:tcPr>
          <w:p>
            <w:pPr>
              <w:spacing w:after="0"/>
              <w:rPr>
                <w:sz w:val="6"/>
                <w:szCs w:val="6"/>
                <w:color w:val="auto"/>
              </w:rPr>
            </w:pPr>
          </w:p>
        </w:tc>
        <w:tc>
          <w:tcPr>
            <w:tcW w:w="900" w:type="dxa"/>
            <w:vAlign w:val="bottom"/>
            <w:tcBorders>
              <w:bottom w:val="single" w:sz="8" w:color="auto"/>
            </w:tcBorders>
          </w:tcPr>
          <w:p>
            <w:pPr>
              <w:spacing w:after="0"/>
              <w:rPr>
                <w:sz w:val="6"/>
                <w:szCs w:val="6"/>
                <w:color w:val="auto"/>
              </w:rPr>
            </w:pPr>
          </w:p>
        </w:tc>
        <w:tc>
          <w:tcPr>
            <w:tcW w:w="1020" w:type="dxa"/>
            <w:vAlign w:val="bottom"/>
            <w:tcBorders>
              <w:bottom w:val="single" w:sz="8" w:color="auto"/>
              <w:right w:val="single" w:sz="8" w:color="auto"/>
            </w:tcBorders>
          </w:tcPr>
          <w:p>
            <w:pPr>
              <w:spacing w:after="0"/>
              <w:rPr>
                <w:sz w:val="6"/>
                <w:szCs w:val="6"/>
                <w:color w:val="auto"/>
              </w:rPr>
            </w:pPr>
          </w:p>
        </w:tc>
        <w:tc>
          <w:tcPr>
            <w:tcW w:w="5140" w:type="dxa"/>
            <w:vAlign w:val="bottom"/>
            <w:tcBorders>
              <w:bottom w:val="single" w:sz="8" w:color="auto"/>
              <w:right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50"/>
        </w:trPr>
        <w:tc>
          <w:tcPr>
            <w:tcW w:w="1640" w:type="dxa"/>
            <w:vAlign w:val="bottom"/>
            <w:tcBorders>
              <w:left w:val="single" w:sz="8" w:color="auto"/>
              <w:bottom w:val="single" w:sz="8" w:color="auto"/>
              <w:right w:val="single" w:sz="8" w:color="auto"/>
            </w:tcBorders>
          </w:tcPr>
          <w:p>
            <w:pPr>
              <w:spacing w:after="0"/>
              <w:rPr>
                <w:sz w:val="21"/>
                <w:szCs w:val="21"/>
                <w:color w:val="auto"/>
              </w:rPr>
            </w:pPr>
          </w:p>
        </w:tc>
        <w:tc>
          <w:tcPr>
            <w:tcW w:w="16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Atopic dermatitis</w:t>
            </w:r>
          </w:p>
        </w:tc>
        <w:tc>
          <w:tcPr>
            <w:tcW w:w="11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Phase III</w:t>
            </w:r>
          </w:p>
        </w:tc>
        <w:tc>
          <w:tcPr>
            <w:tcW w:w="1020" w:type="dxa"/>
            <w:vAlign w:val="bottom"/>
            <w:tcBorders>
              <w:bottom w:val="single" w:sz="8" w:color="auto"/>
              <w:right w:val="single" w:sz="8" w:color="auto"/>
            </w:tcBorders>
          </w:tcPr>
          <w:p>
            <w:pPr>
              <w:spacing w:after="0"/>
              <w:rPr>
                <w:sz w:val="21"/>
                <w:szCs w:val="21"/>
                <w:color w:val="auto"/>
              </w:rPr>
            </w:pPr>
          </w:p>
        </w:tc>
        <w:tc>
          <w:tcPr>
            <w:tcW w:w="51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Phase III trials are ongoing.</w:t>
            </w:r>
          </w:p>
        </w:tc>
        <w:tc>
          <w:tcPr>
            <w:tcW w:w="0" w:type="dxa"/>
            <w:vAlign w:val="bottom"/>
          </w:tcPr>
          <w:p>
            <w:pPr>
              <w:spacing w:after="0"/>
              <w:rPr>
                <w:sz w:val="1"/>
                <w:szCs w:val="1"/>
                <w:color w:val="auto"/>
              </w:rPr>
            </w:pPr>
          </w:p>
        </w:tc>
      </w:tr>
      <w:tr>
        <w:trPr>
          <w:trHeight w:val="250"/>
        </w:trPr>
        <w:tc>
          <w:tcPr>
            <w:tcW w:w="164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8"/>
                <w:szCs w:val="18"/>
                <w:b w:val="1"/>
                <w:bCs w:val="1"/>
                <w:color w:val="auto"/>
              </w:rPr>
              <w:t>Neuroscience</w:t>
            </w:r>
          </w:p>
        </w:tc>
        <w:tc>
          <w:tcPr>
            <w:tcW w:w="160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spacing w:after="0"/>
              <w:rPr>
                <w:sz w:val="21"/>
                <w:szCs w:val="21"/>
                <w:color w:val="auto"/>
              </w:rPr>
            </w:pPr>
          </w:p>
        </w:tc>
        <w:tc>
          <w:tcPr>
            <w:tcW w:w="514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164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8"/>
                <w:szCs w:val="18"/>
                <w:color w:val="auto"/>
              </w:rPr>
              <w:t>Flortaucipir</w:t>
            </w:r>
          </w:p>
        </w:tc>
        <w:tc>
          <w:tcPr>
            <w:tcW w:w="16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Alzheimer's</w:t>
            </w:r>
          </w:p>
        </w:tc>
        <w:tc>
          <w:tcPr>
            <w:tcW w:w="1140" w:type="dxa"/>
            <w:vAlign w:val="bottom"/>
          </w:tcPr>
          <w:p>
            <w:pPr>
              <w:spacing w:after="0"/>
              <w:rPr>
                <w:sz w:val="19"/>
                <w:szCs w:val="19"/>
                <w:color w:val="auto"/>
              </w:rPr>
            </w:pPr>
          </w:p>
        </w:tc>
        <w:tc>
          <w:tcPr>
            <w:tcW w:w="900" w:type="dxa"/>
            <w:vAlign w:val="bottom"/>
            <w:vMerge w:val="restart"/>
          </w:tcPr>
          <w:p>
            <w:pPr>
              <w:ind w:left="20"/>
              <w:spacing w:after="0"/>
              <w:rPr>
                <w:sz w:val="20"/>
                <w:szCs w:val="20"/>
                <w:color w:val="auto"/>
              </w:rPr>
            </w:pPr>
            <w:r>
              <w:rPr>
                <w:rFonts w:ascii="Arial" w:cs="Arial" w:eastAsia="Arial" w:hAnsi="Arial"/>
                <w:sz w:val="18"/>
                <w:szCs w:val="18"/>
                <w:color w:val="auto"/>
              </w:rPr>
              <w:t>Phase III</w:t>
            </w:r>
          </w:p>
        </w:tc>
        <w:tc>
          <w:tcPr>
            <w:tcW w:w="1020" w:type="dxa"/>
            <w:vAlign w:val="bottom"/>
            <w:tcBorders>
              <w:right w:val="single" w:sz="8" w:color="auto"/>
            </w:tcBorders>
          </w:tcPr>
          <w:p>
            <w:pPr>
              <w:spacing w:after="0"/>
              <w:rPr>
                <w:sz w:val="19"/>
                <w:szCs w:val="19"/>
                <w:color w:val="auto"/>
              </w:rPr>
            </w:pPr>
          </w:p>
        </w:tc>
        <w:tc>
          <w:tcPr>
            <w:tcW w:w="514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Phase III trial is ongoing.</w:t>
            </w:r>
          </w:p>
        </w:tc>
        <w:tc>
          <w:tcPr>
            <w:tcW w:w="0" w:type="dxa"/>
            <w:vAlign w:val="bottom"/>
          </w:tcPr>
          <w:p>
            <w:pPr>
              <w:spacing w:after="0"/>
              <w:rPr>
                <w:sz w:val="1"/>
                <w:szCs w:val="1"/>
                <w:color w:val="auto"/>
              </w:rPr>
            </w:pPr>
          </w:p>
        </w:tc>
      </w:tr>
      <w:tr>
        <w:trPr>
          <w:trHeight w:val="109"/>
        </w:trPr>
        <w:tc>
          <w:tcPr>
            <w:tcW w:w="1640" w:type="dxa"/>
            <w:vAlign w:val="bottom"/>
            <w:tcBorders>
              <w:left w:val="single" w:sz="8" w:color="auto"/>
              <w:right w:val="single" w:sz="8" w:color="auto"/>
            </w:tcBorders>
            <w:vMerge w:val="continue"/>
          </w:tcPr>
          <w:p>
            <w:pPr>
              <w:spacing w:after="0"/>
              <w:rPr>
                <w:sz w:val="9"/>
                <w:szCs w:val="9"/>
                <w:color w:val="auto"/>
              </w:rPr>
            </w:pPr>
          </w:p>
        </w:tc>
        <w:tc>
          <w:tcPr>
            <w:tcW w:w="160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disease</w:t>
            </w:r>
          </w:p>
        </w:tc>
        <w:tc>
          <w:tcPr>
            <w:tcW w:w="1140" w:type="dxa"/>
            <w:vAlign w:val="bottom"/>
          </w:tcPr>
          <w:p>
            <w:pPr>
              <w:spacing w:after="0"/>
              <w:rPr>
                <w:sz w:val="9"/>
                <w:szCs w:val="9"/>
                <w:color w:val="auto"/>
              </w:rPr>
            </w:pPr>
          </w:p>
        </w:tc>
        <w:tc>
          <w:tcPr>
            <w:tcW w:w="900" w:type="dxa"/>
            <w:vAlign w:val="bottom"/>
            <w:vMerge w:val="continue"/>
          </w:tcPr>
          <w:p>
            <w:pPr>
              <w:spacing w:after="0"/>
              <w:rPr>
                <w:sz w:val="9"/>
                <w:szCs w:val="9"/>
                <w:color w:val="auto"/>
              </w:rPr>
            </w:pPr>
          </w:p>
        </w:tc>
        <w:tc>
          <w:tcPr>
            <w:tcW w:w="1020" w:type="dxa"/>
            <w:vAlign w:val="bottom"/>
            <w:tcBorders>
              <w:right w:val="single" w:sz="8" w:color="auto"/>
            </w:tcBorders>
          </w:tcPr>
          <w:p>
            <w:pPr>
              <w:spacing w:after="0"/>
              <w:rPr>
                <w:sz w:val="9"/>
                <w:szCs w:val="9"/>
                <w:color w:val="auto"/>
              </w:rPr>
            </w:pPr>
          </w:p>
        </w:tc>
        <w:tc>
          <w:tcPr>
            <w:tcW w:w="514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5"/>
        </w:trPr>
        <w:tc>
          <w:tcPr>
            <w:tcW w:w="1640" w:type="dxa"/>
            <w:vAlign w:val="bottom"/>
            <w:tcBorders>
              <w:left w:val="single" w:sz="8" w:color="auto"/>
              <w:bottom w:val="single" w:sz="8" w:color="auto"/>
              <w:right w:val="single" w:sz="8" w:color="auto"/>
            </w:tcBorders>
          </w:tcPr>
          <w:p>
            <w:pPr>
              <w:spacing w:after="0"/>
              <w:rPr>
                <w:sz w:val="10"/>
                <w:szCs w:val="10"/>
                <w:color w:val="auto"/>
              </w:rPr>
            </w:pPr>
          </w:p>
        </w:tc>
        <w:tc>
          <w:tcPr>
            <w:tcW w:w="1600" w:type="dxa"/>
            <w:vAlign w:val="bottom"/>
            <w:tcBorders>
              <w:bottom w:val="single" w:sz="8" w:color="auto"/>
              <w:right w:val="single" w:sz="8" w:color="auto"/>
            </w:tcBorders>
            <w:vMerge w:val="continue"/>
          </w:tcPr>
          <w:p>
            <w:pPr>
              <w:spacing w:after="0"/>
              <w:rPr>
                <w:sz w:val="10"/>
                <w:szCs w:val="10"/>
                <w:color w:val="auto"/>
              </w:rPr>
            </w:pPr>
          </w:p>
        </w:tc>
        <w:tc>
          <w:tcPr>
            <w:tcW w:w="114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tcPr>
          <w:p>
            <w:pPr>
              <w:spacing w:after="0"/>
              <w:rPr>
                <w:sz w:val="10"/>
                <w:szCs w:val="10"/>
                <w:color w:val="auto"/>
              </w:rPr>
            </w:pPr>
          </w:p>
        </w:tc>
        <w:tc>
          <w:tcPr>
            <w:tcW w:w="1020" w:type="dxa"/>
            <w:vAlign w:val="bottom"/>
            <w:tcBorders>
              <w:bottom w:val="single" w:sz="8" w:color="auto"/>
              <w:right w:val="single" w:sz="8" w:color="auto"/>
            </w:tcBorders>
          </w:tcPr>
          <w:p>
            <w:pPr>
              <w:spacing w:after="0"/>
              <w:rPr>
                <w:sz w:val="10"/>
                <w:szCs w:val="10"/>
                <w:color w:val="auto"/>
              </w:rPr>
            </w:pPr>
          </w:p>
        </w:tc>
        <w:tc>
          <w:tcPr>
            <w:tcW w:w="514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50"/>
        </w:trPr>
        <w:tc>
          <w:tcPr>
            <w:tcW w:w="1640" w:type="dxa"/>
            <w:vAlign w:val="bottom"/>
            <w:tcBorders>
              <w:left w:val="single" w:sz="8" w:color="auto"/>
              <w:right w:val="single" w:sz="8" w:color="auto"/>
            </w:tcBorders>
          </w:tcPr>
          <w:p>
            <w:pPr>
              <w:spacing w:after="0"/>
              <w:rPr>
                <w:sz w:val="21"/>
                <w:szCs w:val="21"/>
                <w:color w:val="auto"/>
              </w:rPr>
            </w:pPr>
          </w:p>
        </w:tc>
        <w:tc>
          <w:tcPr>
            <w:tcW w:w="16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Cluster headache</w:t>
            </w:r>
          </w:p>
        </w:tc>
        <w:tc>
          <w:tcPr>
            <w:tcW w:w="11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Phase III</w:t>
            </w:r>
          </w:p>
        </w:tc>
        <w:tc>
          <w:tcPr>
            <w:tcW w:w="1020" w:type="dxa"/>
            <w:vAlign w:val="bottom"/>
            <w:tcBorders>
              <w:bottom w:val="single" w:sz="8" w:color="auto"/>
              <w:right w:val="single" w:sz="8" w:color="auto"/>
            </w:tcBorders>
          </w:tcPr>
          <w:p>
            <w:pPr>
              <w:spacing w:after="0"/>
              <w:rPr>
                <w:sz w:val="21"/>
                <w:szCs w:val="21"/>
                <w:color w:val="auto"/>
              </w:rPr>
            </w:pPr>
          </w:p>
        </w:tc>
        <w:tc>
          <w:tcPr>
            <w:tcW w:w="51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Phase III trials are ongoing.</w:t>
            </w:r>
          </w:p>
        </w:tc>
        <w:tc>
          <w:tcPr>
            <w:tcW w:w="0" w:type="dxa"/>
            <w:vAlign w:val="bottom"/>
          </w:tcPr>
          <w:p>
            <w:pPr>
              <w:spacing w:after="0"/>
              <w:rPr>
                <w:sz w:val="1"/>
                <w:szCs w:val="1"/>
                <w:color w:val="auto"/>
              </w:rPr>
            </w:pPr>
          </w:p>
        </w:tc>
      </w:tr>
      <w:tr>
        <w:trPr>
          <w:trHeight w:val="229"/>
        </w:trPr>
        <w:tc>
          <w:tcPr>
            <w:tcW w:w="1640" w:type="dxa"/>
            <w:vAlign w:val="bottom"/>
            <w:tcBorders>
              <w:left w:val="single" w:sz="8" w:color="auto"/>
              <w:right w:val="single" w:sz="8" w:color="auto"/>
            </w:tcBorders>
          </w:tcPr>
          <w:p>
            <w:pPr>
              <w:ind w:left="40"/>
              <w:spacing w:after="0" w:line="202" w:lineRule="exact"/>
              <w:rPr>
                <w:sz w:val="20"/>
                <w:szCs w:val="20"/>
                <w:color w:val="auto"/>
              </w:rPr>
            </w:pPr>
            <w:r>
              <w:rPr>
                <w:rFonts w:ascii="Arial" w:cs="Arial" w:eastAsia="Arial" w:hAnsi="Arial"/>
                <w:sz w:val="18"/>
                <w:szCs w:val="18"/>
                <w:color w:val="auto"/>
              </w:rPr>
              <w:t>Galcanezumab</w:t>
            </w:r>
          </w:p>
        </w:tc>
        <w:tc>
          <w:tcPr>
            <w:tcW w:w="16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Migraine</w:t>
            </w:r>
          </w:p>
        </w:tc>
        <w:tc>
          <w:tcPr>
            <w:tcW w:w="2040" w:type="dxa"/>
            <w:vAlign w:val="bottom"/>
            <w:tcBorders>
              <w:right w:val="single" w:sz="8" w:color="auto"/>
            </w:tcBorders>
            <w:gridSpan w:val="2"/>
            <w:vMerge w:val="restart"/>
          </w:tcPr>
          <w:p>
            <w:pPr>
              <w:ind w:left="600"/>
              <w:spacing w:after="0"/>
              <w:rPr>
                <w:sz w:val="20"/>
                <w:szCs w:val="20"/>
                <w:color w:val="auto"/>
              </w:rPr>
            </w:pPr>
            <w:r>
              <w:rPr>
                <w:rFonts w:ascii="Arial" w:cs="Arial" w:eastAsia="Arial" w:hAnsi="Arial"/>
                <w:sz w:val="18"/>
                <w:szCs w:val="18"/>
                <w:color w:val="auto"/>
              </w:rPr>
              <w:t>Submitted</w:t>
            </w:r>
          </w:p>
        </w:tc>
        <w:tc>
          <w:tcPr>
            <w:tcW w:w="1020" w:type="dxa"/>
            <w:vAlign w:val="bottom"/>
            <w:tcBorders>
              <w:right w:val="single" w:sz="8" w:color="auto"/>
            </w:tcBorders>
            <w:vMerge w:val="restart"/>
          </w:tcPr>
          <w:p>
            <w:pPr>
              <w:ind w:left="140"/>
              <w:spacing w:after="0"/>
              <w:rPr>
                <w:sz w:val="20"/>
                <w:szCs w:val="20"/>
                <w:color w:val="auto"/>
              </w:rPr>
            </w:pPr>
            <w:r>
              <w:rPr>
                <w:rFonts w:ascii="Arial" w:cs="Arial" w:eastAsia="Arial" w:hAnsi="Arial"/>
                <w:sz w:val="18"/>
                <w:szCs w:val="18"/>
                <w:color w:val="auto"/>
              </w:rPr>
              <w:t>Phase III</w:t>
            </w:r>
          </w:p>
        </w:tc>
        <w:tc>
          <w:tcPr>
            <w:tcW w:w="514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Phase III trials are ongoing.</w:t>
            </w:r>
          </w:p>
        </w:tc>
        <w:tc>
          <w:tcPr>
            <w:tcW w:w="0" w:type="dxa"/>
            <w:vAlign w:val="bottom"/>
          </w:tcPr>
          <w:p>
            <w:pPr>
              <w:spacing w:after="0"/>
              <w:rPr>
                <w:sz w:val="1"/>
                <w:szCs w:val="1"/>
                <w:color w:val="auto"/>
              </w:rPr>
            </w:pPr>
          </w:p>
        </w:tc>
      </w:tr>
      <w:tr>
        <w:trPr>
          <w:trHeight w:val="109"/>
        </w:trPr>
        <w:tc>
          <w:tcPr>
            <w:tcW w:w="1640" w:type="dxa"/>
            <w:vAlign w:val="bottom"/>
            <w:tcBorders>
              <w:left w:val="single" w:sz="8" w:color="auto"/>
              <w:right w:val="single" w:sz="8" w:color="auto"/>
            </w:tcBorders>
          </w:tcPr>
          <w:p>
            <w:pPr>
              <w:spacing w:after="0"/>
              <w:rPr>
                <w:sz w:val="9"/>
                <w:szCs w:val="9"/>
                <w:color w:val="auto"/>
              </w:rPr>
            </w:pPr>
          </w:p>
        </w:tc>
        <w:tc>
          <w:tcPr>
            <w:tcW w:w="160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prevention</w:t>
            </w:r>
          </w:p>
        </w:tc>
        <w:tc>
          <w:tcPr>
            <w:tcW w:w="2040" w:type="dxa"/>
            <w:vAlign w:val="bottom"/>
            <w:tcBorders>
              <w:right w:val="single" w:sz="8" w:color="auto"/>
            </w:tcBorders>
            <w:gridSpan w:val="2"/>
            <w:vMerge w:val="continue"/>
          </w:tcPr>
          <w:p>
            <w:pPr>
              <w:spacing w:after="0"/>
              <w:rPr>
                <w:sz w:val="9"/>
                <w:szCs w:val="9"/>
                <w:color w:val="auto"/>
              </w:rPr>
            </w:pPr>
          </w:p>
        </w:tc>
        <w:tc>
          <w:tcPr>
            <w:tcW w:w="1020" w:type="dxa"/>
            <w:vAlign w:val="bottom"/>
            <w:tcBorders>
              <w:right w:val="single" w:sz="8" w:color="auto"/>
            </w:tcBorders>
            <w:vMerge w:val="continue"/>
          </w:tcPr>
          <w:p>
            <w:pPr>
              <w:spacing w:after="0"/>
              <w:rPr>
                <w:sz w:val="9"/>
                <w:szCs w:val="9"/>
                <w:color w:val="auto"/>
              </w:rPr>
            </w:pPr>
          </w:p>
        </w:tc>
        <w:tc>
          <w:tcPr>
            <w:tcW w:w="514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5"/>
        </w:trPr>
        <w:tc>
          <w:tcPr>
            <w:tcW w:w="1640" w:type="dxa"/>
            <w:vAlign w:val="bottom"/>
            <w:tcBorders>
              <w:left w:val="single" w:sz="8" w:color="auto"/>
              <w:bottom w:val="single" w:sz="8" w:color="auto"/>
              <w:right w:val="single" w:sz="8" w:color="auto"/>
            </w:tcBorders>
          </w:tcPr>
          <w:p>
            <w:pPr>
              <w:spacing w:after="0"/>
              <w:rPr>
                <w:sz w:val="10"/>
                <w:szCs w:val="10"/>
                <w:color w:val="auto"/>
              </w:rPr>
            </w:pPr>
          </w:p>
        </w:tc>
        <w:tc>
          <w:tcPr>
            <w:tcW w:w="1600" w:type="dxa"/>
            <w:vAlign w:val="bottom"/>
            <w:tcBorders>
              <w:bottom w:val="single" w:sz="8" w:color="auto"/>
              <w:right w:val="single" w:sz="8" w:color="auto"/>
            </w:tcBorders>
            <w:vMerge w:val="continue"/>
          </w:tcPr>
          <w:p>
            <w:pPr>
              <w:spacing w:after="0"/>
              <w:rPr>
                <w:sz w:val="10"/>
                <w:szCs w:val="10"/>
                <w:color w:val="auto"/>
              </w:rPr>
            </w:pPr>
          </w:p>
        </w:tc>
        <w:tc>
          <w:tcPr>
            <w:tcW w:w="1140" w:type="dxa"/>
            <w:vAlign w:val="bottom"/>
            <w:tcBorders>
              <w:bottom w:val="single" w:sz="8" w:color="auto"/>
            </w:tcBorders>
          </w:tcPr>
          <w:p>
            <w:pPr>
              <w:spacing w:after="0"/>
              <w:rPr>
                <w:sz w:val="10"/>
                <w:szCs w:val="10"/>
                <w:color w:val="auto"/>
              </w:rPr>
            </w:pPr>
          </w:p>
        </w:tc>
        <w:tc>
          <w:tcPr>
            <w:tcW w:w="900" w:type="dxa"/>
            <w:vAlign w:val="bottom"/>
            <w:tcBorders>
              <w:bottom w:val="single" w:sz="8" w:color="auto"/>
              <w:right w:val="single" w:sz="8" w:color="auto"/>
            </w:tcBorders>
          </w:tcPr>
          <w:p>
            <w:pPr>
              <w:spacing w:after="0"/>
              <w:rPr>
                <w:sz w:val="10"/>
                <w:szCs w:val="10"/>
                <w:color w:val="auto"/>
              </w:rPr>
            </w:pPr>
          </w:p>
        </w:tc>
        <w:tc>
          <w:tcPr>
            <w:tcW w:w="1020" w:type="dxa"/>
            <w:vAlign w:val="bottom"/>
            <w:tcBorders>
              <w:bottom w:val="single" w:sz="8" w:color="auto"/>
              <w:right w:val="single" w:sz="8" w:color="auto"/>
            </w:tcBorders>
          </w:tcPr>
          <w:p>
            <w:pPr>
              <w:spacing w:after="0"/>
              <w:rPr>
                <w:sz w:val="10"/>
                <w:szCs w:val="10"/>
                <w:color w:val="auto"/>
              </w:rPr>
            </w:pPr>
          </w:p>
        </w:tc>
        <w:tc>
          <w:tcPr>
            <w:tcW w:w="514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29"/>
        </w:trPr>
        <w:tc>
          <w:tcPr>
            <w:tcW w:w="1640" w:type="dxa"/>
            <w:vAlign w:val="bottom"/>
            <w:tcBorders>
              <w:left w:val="single" w:sz="8" w:color="auto"/>
              <w:right w:val="single" w:sz="8" w:color="auto"/>
            </w:tcBorders>
          </w:tcPr>
          <w:p>
            <w:pPr>
              <w:spacing w:after="0"/>
              <w:rPr>
                <w:sz w:val="19"/>
                <w:szCs w:val="19"/>
                <w:color w:val="auto"/>
              </w:rPr>
            </w:pPr>
          </w:p>
        </w:tc>
        <w:tc>
          <w:tcPr>
            <w:tcW w:w="16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Early and mild</w:t>
            </w:r>
          </w:p>
        </w:tc>
        <w:tc>
          <w:tcPr>
            <w:tcW w:w="1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20" w:type="dxa"/>
            <w:vAlign w:val="bottom"/>
            <w:tcBorders>
              <w:right w:val="single" w:sz="8" w:color="auto"/>
            </w:tcBorders>
          </w:tcPr>
          <w:p>
            <w:pPr>
              <w:spacing w:after="0"/>
              <w:rPr>
                <w:sz w:val="19"/>
                <w:szCs w:val="19"/>
                <w:color w:val="auto"/>
              </w:rPr>
            </w:pPr>
          </w:p>
        </w:tc>
        <w:tc>
          <w:tcPr>
            <w:tcW w:w="51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1640" w:type="dxa"/>
            <w:vAlign w:val="bottom"/>
            <w:tcBorders>
              <w:left w:val="single" w:sz="8" w:color="auto"/>
              <w:right w:val="single" w:sz="8" w:color="auto"/>
            </w:tcBorders>
          </w:tcPr>
          <w:p>
            <w:pPr>
              <w:ind w:left="40"/>
              <w:spacing w:after="0" w:line="202" w:lineRule="exact"/>
              <w:rPr>
                <w:sz w:val="20"/>
                <w:szCs w:val="20"/>
                <w:color w:val="auto"/>
              </w:rPr>
            </w:pPr>
            <w:r>
              <w:rPr>
                <w:rFonts w:ascii="Arial" w:cs="Arial" w:eastAsia="Arial" w:hAnsi="Arial"/>
                <w:sz w:val="18"/>
                <w:szCs w:val="18"/>
                <w:color w:val="auto"/>
              </w:rPr>
              <w:t>Lanabecestat</w:t>
            </w:r>
          </w:p>
        </w:tc>
        <w:tc>
          <w:tcPr>
            <w:tcW w:w="1600" w:type="dxa"/>
            <w:vAlign w:val="bottom"/>
            <w:tcBorders>
              <w:right w:val="single" w:sz="8" w:color="auto"/>
            </w:tcBorders>
          </w:tcPr>
          <w:p>
            <w:pPr>
              <w:ind w:left="20"/>
              <w:spacing w:after="0" w:line="202" w:lineRule="exact"/>
              <w:rPr>
                <w:sz w:val="20"/>
                <w:szCs w:val="20"/>
                <w:color w:val="auto"/>
              </w:rPr>
            </w:pPr>
            <w:r>
              <w:rPr>
                <w:rFonts w:ascii="Arial" w:cs="Arial" w:eastAsia="Arial" w:hAnsi="Arial"/>
                <w:sz w:val="18"/>
                <w:szCs w:val="18"/>
                <w:color w:val="auto"/>
              </w:rPr>
              <w:t>Alzheimer's</w:t>
            </w:r>
          </w:p>
        </w:tc>
        <w:tc>
          <w:tcPr>
            <w:tcW w:w="1140" w:type="dxa"/>
            <w:vAlign w:val="bottom"/>
          </w:tcPr>
          <w:p>
            <w:pPr>
              <w:spacing w:after="0"/>
              <w:rPr>
                <w:sz w:val="17"/>
                <w:szCs w:val="17"/>
                <w:color w:val="auto"/>
              </w:rPr>
            </w:pPr>
          </w:p>
        </w:tc>
        <w:tc>
          <w:tcPr>
            <w:tcW w:w="900" w:type="dxa"/>
            <w:vAlign w:val="bottom"/>
          </w:tcPr>
          <w:p>
            <w:pPr>
              <w:ind w:left="20"/>
              <w:spacing w:after="0" w:line="202" w:lineRule="exact"/>
              <w:rPr>
                <w:sz w:val="20"/>
                <w:szCs w:val="20"/>
                <w:color w:val="auto"/>
              </w:rPr>
            </w:pPr>
            <w:r>
              <w:rPr>
                <w:rFonts w:ascii="Arial" w:cs="Arial" w:eastAsia="Arial" w:hAnsi="Arial"/>
                <w:sz w:val="18"/>
                <w:szCs w:val="18"/>
                <w:color w:val="auto"/>
              </w:rPr>
              <w:t>Phase III</w:t>
            </w:r>
          </w:p>
        </w:tc>
        <w:tc>
          <w:tcPr>
            <w:tcW w:w="1020" w:type="dxa"/>
            <w:vAlign w:val="bottom"/>
            <w:tcBorders>
              <w:right w:val="single" w:sz="8" w:color="auto"/>
            </w:tcBorders>
          </w:tcPr>
          <w:p>
            <w:pPr>
              <w:spacing w:after="0"/>
              <w:rPr>
                <w:sz w:val="17"/>
                <w:szCs w:val="17"/>
                <w:color w:val="auto"/>
              </w:rPr>
            </w:pPr>
          </w:p>
        </w:tc>
        <w:tc>
          <w:tcPr>
            <w:tcW w:w="5140" w:type="dxa"/>
            <w:vAlign w:val="bottom"/>
            <w:tcBorders>
              <w:right w:val="single" w:sz="8" w:color="auto"/>
            </w:tcBorders>
          </w:tcPr>
          <w:p>
            <w:pPr>
              <w:ind w:left="20"/>
              <w:spacing w:after="0" w:line="202" w:lineRule="exact"/>
              <w:rPr>
                <w:sz w:val="20"/>
                <w:szCs w:val="20"/>
                <w:color w:val="auto"/>
              </w:rPr>
            </w:pPr>
            <w:r>
              <w:rPr>
                <w:rFonts w:ascii="Arial" w:cs="Arial" w:eastAsia="Arial" w:hAnsi="Arial"/>
                <w:sz w:val="18"/>
                <w:szCs w:val="18"/>
                <w:color w:val="auto"/>
              </w:rPr>
              <w:t>Phase III trials are ongoing.</w:t>
            </w:r>
          </w:p>
        </w:tc>
        <w:tc>
          <w:tcPr>
            <w:tcW w:w="0" w:type="dxa"/>
            <w:vAlign w:val="bottom"/>
          </w:tcPr>
          <w:p>
            <w:pPr>
              <w:spacing w:after="0"/>
              <w:rPr>
                <w:sz w:val="1"/>
                <w:szCs w:val="1"/>
                <w:color w:val="auto"/>
              </w:rPr>
            </w:pPr>
          </w:p>
        </w:tc>
      </w:tr>
      <w:tr>
        <w:trPr>
          <w:trHeight w:val="224"/>
        </w:trPr>
        <w:tc>
          <w:tcPr>
            <w:tcW w:w="1640" w:type="dxa"/>
            <w:vAlign w:val="bottom"/>
            <w:tcBorders>
              <w:left w:val="single" w:sz="8" w:color="auto"/>
              <w:bottom w:val="single" w:sz="8" w:color="auto"/>
              <w:right w:val="single" w:sz="8" w:color="auto"/>
            </w:tcBorders>
          </w:tcPr>
          <w:p>
            <w:pPr>
              <w:spacing w:after="0"/>
              <w:rPr>
                <w:sz w:val="19"/>
                <w:szCs w:val="19"/>
                <w:color w:val="auto"/>
              </w:rPr>
            </w:pPr>
          </w:p>
        </w:tc>
        <w:tc>
          <w:tcPr>
            <w:tcW w:w="16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disease</w:t>
            </w:r>
          </w:p>
        </w:tc>
        <w:tc>
          <w:tcPr>
            <w:tcW w:w="11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1020" w:type="dxa"/>
            <w:vAlign w:val="bottom"/>
            <w:tcBorders>
              <w:bottom w:val="single" w:sz="8" w:color="auto"/>
              <w:right w:val="single" w:sz="8" w:color="auto"/>
            </w:tcBorders>
          </w:tcPr>
          <w:p>
            <w:pPr>
              <w:spacing w:after="0"/>
              <w:rPr>
                <w:sz w:val="19"/>
                <w:szCs w:val="19"/>
                <w:color w:val="auto"/>
              </w:rPr>
            </w:pPr>
          </w:p>
        </w:tc>
        <w:tc>
          <w:tcPr>
            <w:tcW w:w="514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640" w:type="dxa"/>
            <w:vAlign w:val="bottom"/>
            <w:tcBorders>
              <w:left w:val="single" w:sz="8" w:color="auto"/>
              <w:right w:val="single" w:sz="8" w:color="auto"/>
            </w:tcBorders>
          </w:tcPr>
          <w:p>
            <w:pPr>
              <w:spacing w:after="0"/>
              <w:rPr>
                <w:sz w:val="19"/>
                <w:szCs w:val="19"/>
                <w:color w:val="auto"/>
              </w:rPr>
            </w:pPr>
          </w:p>
        </w:tc>
        <w:tc>
          <w:tcPr>
            <w:tcW w:w="1600" w:type="dxa"/>
            <w:vAlign w:val="bottom"/>
            <w:tcBorders>
              <w:right w:val="single" w:sz="8" w:color="auto"/>
            </w:tcBorders>
          </w:tcPr>
          <w:p>
            <w:pPr>
              <w:spacing w:after="0"/>
              <w:rPr>
                <w:sz w:val="19"/>
                <w:szCs w:val="19"/>
                <w:color w:val="auto"/>
              </w:rPr>
            </w:pPr>
          </w:p>
        </w:tc>
        <w:tc>
          <w:tcPr>
            <w:tcW w:w="1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20" w:type="dxa"/>
            <w:vAlign w:val="bottom"/>
            <w:tcBorders>
              <w:right w:val="single" w:sz="8" w:color="auto"/>
            </w:tcBorders>
          </w:tcPr>
          <w:p>
            <w:pPr>
              <w:spacing w:after="0"/>
              <w:rPr>
                <w:sz w:val="19"/>
                <w:szCs w:val="19"/>
                <w:color w:val="auto"/>
              </w:rPr>
            </w:pPr>
          </w:p>
        </w:tc>
        <w:tc>
          <w:tcPr>
            <w:tcW w:w="51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In third quarter of 2017, announced Phase III trial met primary</w:t>
            </w:r>
          </w:p>
        </w:tc>
        <w:tc>
          <w:tcPr>
            <w:tcW w:w="0" w:type="dxa"/>
            <w:vAlign w:val="bottom"/>
          </w:tcPr>
          <w:p>
            <w:pPr>
              <w:spacing w:after="0"/>
              <w:rPr>
                <w:sz w:val="1"/>
                <w:szCs w:val="1"/>
                <w:color w:val="auto"/>
              </w:rPr>
            </w:pPr>
          </w:p>
        </w:tc>
      </w:tr>
      <w:tr>
        <w:trPr>
          <w:trHeight w:val="203"/>
        </w:trPr>
        <w:tc>
          <w:tcPr>
            <w:tcW w:w="164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8"/>
                <w:szCs w:val="18"/>
                <w:color w:val="auto"/>
              </w:rPr>
              <w:t>Lasmiditan</w:t>
            </w:r>
          </w:p>
        </w:tc>
        <w:tc>
          <w:tcPr>
            <w:tcW w:w="160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Migraine</w:t>
            </w:r>
          </w:p>
        </w:tc>
        <w:tc>
          <w:tcPr>
            <w:tcW w:w="1140" w:type="dxa"/>
            <w:vAlign w:val="bottom"/>
          </w:tcPr>
          <w:p>
            <w:pPr>
              <w:spacing w:after="0"/>
              <w:rPr>
                <w:sz w:val="17"/>
                <w:szCs w:val="17"/>
                <w:color w:val="auto"/>
              </w:rPr>
            </w:pPr>
          </w:p>
        </w:tc>
        <w:tc>
          <w:tcPr>
            <w:tcW w:w="900" w:type="dxa"/>
            <w:vAlign w:val="bottom"/>
            <w:vMerge w:val="restart"/>
          </w:tcPr>
          <w:p>
            <w:pPr>
              <w:ind w:left="20"/>
              <w:spacing w:after="0"/>
              <w:rPr>
                <w:sz w:val="20"/>
                <w:szCs w:val="20"/>
                <w:color w:val="auto"/>
              </w:rPr>
            </w:pPr>
            <w:r>
              <w:rPr>
                <w:rFonts w:ascii="Arial" w:cs="Arial" w:eastAsia="Arial" w:hAnsi="Arial"/>
                <w:sz w:val="18"/>
                <w:szCs w:val="18"/>
                <w:color w:val="auto"/>
              </w:rPr>
              <w:t>Phase III</w:t>
            </w:r>
          </w:p>
        </w:tc>
        <w:tc>
          <w:tcPr>
            <w:tcW w:w="1020" w:type="dxa"/>
            <w:vAlign w:val="bottom"/>
            <w:tcBorders>
              <w:right w:val="single" w:sz="8" w:color="auto"/>
            </w:tcBorders>
          </w:tcPr>
          <w:p>
            <w:pPr>
              <w:spacing w:after="0"/>
              <w:rPr>
                <w:sz w:val="17"/>
                <w:szCs w:val="17"/>
                <w:color w:val="auto"/>
              </w:rPr>
            </w:pPr>
          </w:p>
        </w:tc>
        <w:tc>
          <w:tcPr>
            <w:tcW w:w="5140" w:type="dxa"/>
            <w:vAlign w:val="bottom"/>
            <w:tcBorders>
              <w:right w:val="single" w:sz="8" w:color="auto"/>
            </w:tcBorders>
          </w:tcPr>
          <w:p>
            <w:pPr>
              <w:ind w:left="20"/>
              <w:spacing w:after="0" w:line="202" w:lineRule="exact"/>
              <w:rPr>
                <w:sz w:val="20"/>
                <w:szCs w:val="20"/>
                <w:color w:val="auto"/>
              </w:rPr>
            </w:pPr>
            <w:r>
              <w:rPr>
                <w:rFonts w:ascii="Arial" w:cs="Arial" w:eastAsia="Arial" w:hAnsi="Arial"/>
                <w:sz w:val="18"/>
                <w:szCs w:val="18"/>
                <w:color w:val="auto"/>
              </w:rPr>
              <w:t>endpoint. Submission to FDA expected in second half of 2018.</w:t>
            </w:r>
          </w:p>
        </w:tc>
        <w:tc>
          <w:tcPr>
            <w:tcW w:w="0" w:type="dxa"/>
            <w:vAlign w:val="bottom"/>
          </w:tcPr>
          <w:p>
            <w:pPr>
              <w:spacing w:after="0"/>
              <w:rPr>
                <w:sz w:val="1"/>
                <w:szCs w:val="1"/>
                <w:color w:val="auto"/>
              </w:rPr>
            </w:pPr>
          </w:p>
        </w:tc>
      </w:tr>
      <w:tr>
        <w:trPr>
          <w:trHeight w:val="109"/>
        </w:trPr>
        <w:tc>
          <w:tcPr>
            <w:tcW w:w="1640" w:type="dxa"/>
            <w:vAlign w:val="bottom"/>
            <w:tcBorders>
              <w:left w:val="single" w:sz="8" w:color="auto"/>
              <w:right w:val="single" w:sz="8" w:color="auto"/>
            </w:tcBorders>
            <w:vMerge w:val="continue"/>
          </w:tcPr>
          <w:p>
            <w:pPr>
              <w:spacing w:after="0"/>
              <w:rPr>
                <w:sz w:val="9"/>
                <w:szCs w:val="9"/>
                <w:color w:val="auto"/>
              </w:rPr>
            </w:pPr>
          </w:p>
        </w:tc>
        <w:tc>
          <w:tcPr>
            <w:tcW w:w="1600" w:type="dxa"/>
            <w:vAlign w:val="bottom"/>
            <w:tcBorders>
              <w:right w:val="single" w:sz="8" w:color="auto"/>
            </w:tcBorders>
            <w:vMerge w:val="continue"/>
          </w:tcPr>
          <w:p>
            <w:pPr>
              <w:spacing w:after="0"/>
              <w:rPr>
                <w:sz w:val="9"/>
                <w:szCs w:val="9"/>
                <w:color w:val="auto"/>
              </w:rPr>
            </w:pPr>
          </w:p>
        </w:tc>
        <w:tc>
          <w:tcPr>
            <w:tcW w:w="1140" w:type="dxa"/>
            <w:vAlign w:val="bottom"/>
          </w:tcPr>
          <w:p>
            <w:pPr>
              <w:spacing w:after="0"/>
              <w:rPr>
                <w:sz w:val="9"/>
                <w:szCs w:val="9"/>
                <w:color w:val="auto"/>
              </w:rPr>
            </w:pPr>
          </w:p>
        </w:tc>
        <w:tc>
          <w:tcPr>
            <w:tcW w:w="900" w:type="dxa"/>
            <w:vAlign w:val="bottom"/>
            <w:vMerge w:val="continue"/>
          </w:tcPr>
          <w:p>
            <w:pPr>
              <w:spacing w:after="0"/>
              <w:rPr>
                <w:sz w:val="9"/>
                <w:szCs w:val="9"/>
                <w:color w:val="auto"/>
              </w:rPr>
            </w:pPr>
          </w:p>
        </w:tc>
        <w:tc>
          <w:tcPr>
            <w:tcW w:w="1020" w:type="dxa"/>
            <w:vAlign w:val="bottom"/>
            <w:tcBorders>
              <w:right w:val="single" w:sz="8" w:color="auto"/>
            </w:tcBorders>
          </w:tcPr>
          <w:p>
            <w:pPr>
              <w:spacing w:after="0"/>
              <w:rPr>
                <w:sz w:val="9"/>
                <w:szCs w:val="9"/>
                <w:color w:val="auto"/>
              </w:rPr>
            </w:pPr>
          </w:p>
        </w:tc>
        <w:tc>
          <w:tcPr>
            <w:tcW w:w="5140" w:type="dxa"/>
            <w:vAlign w:val="bottom"/>
            <w:tcBorders>
              <w:right w:val="single" w:sz="8" w:color="auto"/>
            </w:tcBorders>
            <w:vMerge w:val="restart"/>
          </w:tcPr>
          <w:p>
            <w:pPr>
              <w:ind w:left="20"/>
              <w:spacing w:after="0" w:line="202" w:lineRule="exact"/>
              <w:rPr>
                <w:sz w:val="20"/>
                <w:szCs w:val="20"/>
                <w:color w:val="auto"/>
              </w:rPr>
            </w:pPr>
            <w:r>
              <w:rPr>
                <w:rFonts w:ascii="Arial" w:cs="Arial" w:eastAsia="Arial" w:hAnsi="Arial"/>
                <w:sz w:val="18"/>
                <w:szCs w:val="18"/>
                <w:color w:val="auto"/>
              </w:rPr>
              <w:t>See Note 3 to the consolidated condensed financial statements</w:t>
            </w:r>
          </w:p>
        </w:tc>
        <w:tc>
          <w:tcPr>
            <w:tcW w:w="0" w:type="dxa"/>
            <w:vAlign w:val="bottom"/>
          </w:tcPr>
          <w:p>
            <w:pPr>
              <w:spacing w:after="0"/>
              <w:rPr>
                <w:sz w:val="1"/>
                <w:szCs w:val="1"/>
                <w:color w:val="auto"/>
              </w:rPr>
            </w:pPr>
          </w:p>
        </w:tc>
      </w:tr>
      <w:tr>
        <w:trPr>
          <w:trHeight w:val="94"/>
        </w:trPr>
        <w:tc>
          <w:tcPr>
            <w:tcW w:w="1640" w:type="dxa"/>
            <w:vAlign w:val="bottom"/>
            <w:tcBorders>
              <w:left w:val="single" w:sz="8" w:color="auto"/>
              <w:right w:val="single" w:sz="8" w:color="auto"/>
            </w:tcBorders>
          </w:tcPr>
          <w:p>
            <w:pPr>
              <w:spacing w:after="0"/>
              <w:rPr>
                <w:sz w:val="8"/>
                <w:szCs w:val="8"/>
                <w:color w:val="auto"/>
              </w:rPr>
            </w:pPr>
          </w:p>
        </w:tc>
        <w:tc>
          <w:tcPr>
            <w:tcW w:w="1600" w:type="dxa"/>
            <w:vAlign w:val="bottom"/>
            <w:tcBorders>
              <w:right w:val="single" w:sz="8" w:color="auto"/>
            </w:tcBorders>
          </w:tcPr>
          <w:p>
            <w:pPr>
              <w:spacing w:after="0"/>
              <w:rPr>
                <w:sz w:val="8"/>
                <w:szCs w:val="8"/>
                <w:color w:val="auto"/>
              </w:rPr>
            </w:pPr>
          </w:p>
        </w:tc>
        <w:tc>
          <w:tcPr>
            <w:tcW w:w="1140" w:type="dxa"/>
            <w:vAlign w:val="bottom"/>
          </w:tcPr>
          <w:p>
            <w:pPr>
              <w:spacing w:after="0"/>
              <w:rPr>
                <w:sz w:val="8"/>
                <w:szCs w:val="8"/>
                <w:color w:val="auto"/>
              </w:rPr>
            </w:pPr>
          </w:p>
        </w:tc>
        <w:tc>
          <w:tcPr>
            <w:tcW w:w="900" w:type="dxa"/>
            <w:vAlign w:val="bottom"/>
          </w:tcPr>
          <w:p>
            <w:pPr>
              <w:spacing w:after="0"/>
              <w:rPr>
                <w:sz w:val="8"/>
                <w:szCs w:val="8"/>
                <w:color w:val="auto"/>
              </w:rPr>
            </w:pPr>
          </w:p>
        </w:tc>
        <w:tc>
          <w:tcPr>
            <w:tcW w:w="1020" w:type="dxa"/>
            <w:vAlign w:val="bottom"/>
            <w:tcBorders>
              <w:right w:val="single" w:sz="8" w:color="auto"/>
            </w:tcBorders>
          </w:tcPr>
          <w:p>
            <w:pPr>
              <w:spacing w:after="0"/>
              <w:rPr>
                <w:sz w:val="8"/>
                <w:szCs w:val="8"/>
                <w:color w:val="auto"/>
              </w:rPr>
            </w:pPr>
          </w:p>
        </w:tc>
        <w:tc>
          <w:tcPr>
            <w:tcW w:w="514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24"/>
        </w:trPr>
        <w:tc>
          <w:tcPr>
            <w:tcW w:w="1640" w:type="dxa"/>
            <w:vAlign w:val="bottom"/>
            <w:tcBorders>
              <w:left w:val="single" w:sz="8" w:color="auto"/>
              <w:bottom w:val="single" w:sz="8" w:color="auto"/>
              <w:right w:val="single" w:sz="8" w:color="auto"/>
            </w:tcBorders>
          </w:tcPr>
          <w:p>
            <w:pPr>
              <w:spacing w:after="0"/>
              <w:rPr>
                <w:sz w:val="19"/>
                <w:szCs w:val="19"/>
                <w:color w:val="auto"/>
              </w:rPr>
            </w:pPr>
          </w:p>
        </w:tc>
        <w:tc>
          <w:tcPr>
            <w:tcW w:w="1600" w:type="dxa"/>
            <w:vAlign w:val="bottom"/>
            <w:tcBorders>
              <w:bottom w:val="single" w:sz="8" w:color="auto"/>
              <w:right w:val="single" w:sz="8" w:color="auto"/>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1020" w:type="dxa"/>
            <w:vAlign w:val="bottom"/>
            <w:tcBorders>
              <w:bottom w:val="single" w:sz="8" w:color="auto"/>
              <w:right w:val="single" w:sz="8" w:color="auto"/>
            </w:tcBorders>
          </w:tcPr>
          <w:p>
            <w:pPr>
              <w:spacing w:after="0"/>
              <w:rPr>
                <w:sz w:val="19"/>
                <w:szCs w:val="19"/>
                <w:color w:val="auto"/>
              </w:rPr>
            </w:pPr>
          </w:p>
        </w:tc>
        <w:tc>
          <w:tcPr>
            <w:tcW w:w="51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for information on the acquisition.</w:t>
            </w:r>
          </w:p>
        </w:tc>
        <w:tc>
          <w:tcPr>
            <w:tcW w:w="0" w:type="dxa"/>
            <w:vAlign w:val="bottom"/>
          </w:tcPr>
          <w:p>
            <w:pPr>
              <w:spacing w:after="0"/>
              <w:rPr>
                <w:sz w:val="1"/>
                <w:szCs w:val="1"/>
                <w:color w:val="auto"/>
              </w:rPr>
            </w:pPr>
          </w:p>
        </w:tc>
      </w:tr>
      <w:tr>
        <w:trPr>
          <w:trHeight w:val="229"/>
        </w:trPr>
        <w:tc>
          <w:tcPr>
            <w:tcW w:w="1640" w:type="dxa"/>
            <w:vAlign w:val="bottom"/>
            <w:tcBorders>
              <w:left w:val="single" w:sz="8" w:color="auto"/>
              <w:right w:val="single" w:sz="8" w:color="auto"/>
            </w:tcBorders>
          </w:tcPr>
          <w:p>
            <w:pPr>
              <w:spacing w:after="0"/>
              <w:rPr>
                <w:sz w:val="19"/>
                <w:szCs w:val="19"/>
                <w:color w:val="auto"/>
              </w:rPr>
            </w:pPr>
          </w:p>
        </w:tc>
        <w:tc>
          <w:tcPr>
            <w:tcW w:w="16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Preclinical</w:t>
            </w:r>
          </w:p>
        </w:tc>
        <w:tc>
          <w:tcPr>
            <w:tcW w:w="1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20" w:type="dxa"/>
            <w:vAlign w:val="bottom"/>
            <w:tcBorders>
              <w:right w:val="single" w:sz="8" w:color="auto"/>
            </w:tcBorders>
          </w:tcPr>
          <w:p>
            <w:pPr>
              <w:spacing w:after="0"/>
              <w:rPr>
                <w:sz w:val="19"/>
                <w:szCs w:val="19"/>
                <w:color w:val="auto"/>
              </w:rPr>
            </w:pPr>
          </w:p>
        </w:tc>
        <w:tc>
          <w:tcPr>
            <w:tcW w:w="51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1640" w:type="dxa"/>
            <w:vAlign w:val="bottom"/>
            <w:tcBorders>
              <w:left w:val="single" w:sz="8" w:color="auto"/>
              <w:right w:val="single" w:sz="8" w:color="auto"/>
            </w:tcBorders>
          </w:tcPr>
          <w:p>
            <w:pPr>
              <w:ind w:left="40"/>
              <w:spacing w:after="0" w:line="202" w:lineRule="exact"/>
              <w:rPr>
                <w:sz w:val="20"/>
                <w:szCs w:val="20"/>
                <w:color w:val="auto"/>
              </w:rPr>
            </w:pPr>
            <w:r>
              <w:rPr>
                <w:rFonts w:ascii="Arial" w:cs="Arial" w:eastAsia="Arial" w:hAnsi="Arial"/>
                <w:sz w:val="18"/>
                <w:szCs w:val="18"/>
                <w:color w:val="auto"/>
              </w:rPr>
              <w:t>Solanezumab</w:t>
            </w:r>
          </w:p>
        </w:tc>
        <w:tc>
          <w:tcPr>
            <w:tcW w:w="1600" w:type="dxa"/>
            <w:vAlign w:val="bottom"/>
            <w:tcBorders>
              <w:right w:val="single" w:sz="8" w:color="auto"/>
            </w:tcBorders>
          </w:tcPr>
          <w:p>
            <w:pPr>
              <w:ind w:left="20"/>
              <w:spacing w:after="0" w:line="202" w:lineRule="exact"/>
              <w:rPr>
                <w:sz w:val="20"/>
                <w:szCs w:val="20"/>
                <w:color w:val="auto"/>
              </w:rPr>
            </w:pPr>
            <w:r>
              <w:rPr>
                <w:rFonts w:ascii="Arial" w:cs="Arial" w:eastAsia="Arial" w:hAnsi="Arial"/>
                <w:sz w:val="18"/>
                <w:szCs w:val="18"/>
                <w:color w:val="auto"/>
              </w:rPr>
              <w:t>Alzheimer's</w:t>
            </w:r>
          </w:p>
        </w:tc>
        <w:tc>
          <w:tcPr>
            <w:tcW w:w="1140" w:type="dxa"/>
            <w:vAlign w:val="bottom"/>
          </w:tcPr>
          <w:p>
            <w:pPr>
              <w:spacing w:after="0"/>
              <w:rPr>
                <w:sz w:val="17"/>
                <w:szCs w:val="17"/>
                <w:color w:val="auto"/>
              </w:rPr>
            </w:pPr>
          </w:p>
        </w:tc>
        <w:tc>
          <w:tcPr>
            <w:tcW w:w="900" w:type="dxa"/>
            <w:vAlign w:val="bottom"/>
          </w:tcPr>
          <w:p>
            <w:pPr>
              <w:ind w:left="20"/>
              <w:spacing w:after="0" w:line="202" w:lineRule="exact"/>
              <w:rPr>
                <w:sz w:val="20"/>
                <w:szCs w:val="20"/>
                <w:color w:val="auto"/>
              </w:rPr>
            </w:pPr>
            <w:r>
              <w:rPr>
                <w:rFonts w:ascii="Arial" w:cs="Arial" w:eastAsia="Arial" w:hAnsi="Arial"/>
                <w:sz w:val="18"/>
                <w:szCs w:val="18"/>
                <w:color w:val="auto"/>
              </w:rPr>
              <w:t>Phase III</w:t>
            </w:r>
          </w:p>
        </w:tc>
        <w:tc>
          <w:tcPr>
            <w:tcW w:w="1020" w:type="dxa"/>
            <w:vAlign w:val="bottom"/>
            <w:tcBorders>
              <w:right w:val="single" w:sz="8" w:color="auto"/>
            </w:tcBorders>
          </w:tcPr>
          <w:p>
            <w:pPr>
              <w:spacing w:after="0"/>
              <w:rPr>
                <w:sz w:val="17"/>
                <w:szCs w:val="17"/>
                <w:color w:val="auto"/>
              </w:rPr>
            </w:pPr>
          </w:p>
        </w:tc>
        <w:tc>
          <w:tcPr>
            <w:tcW w:w="5140" w:type="dxa"/>
            <w:vAlign w:val="bottom"/>
            <w:tcBorders>
              <w:right w:val="single" w:sz="8" w:color="auto"/>
            </w:tcBorders>
          </w:tcPr>
          <w:p>
            <w:pPr>
              <w:ind w:left="20"/>
              <w:spacing w:after="0" w:line="202" w:lineRule="exact"/>
              <w:rPr>
                <w:sz w:val="20"/>
                <w:szCs w:val="20"/>
                <w:color w:val="auto"/>
              </w:rPr>
            </w:pPr>
            <w:r>
              <w:rPr>
                <w:rFonts w:ascii="Arial" w:cs="Arial" w:eastAsia="Arial" w:hAnsi="Arial"/>
                <w:sz w:val="18"/>
                <w:szCs w:val="18"/>
                <w:color w:val="auto"/>
              </w:rPr>
              <w:t>Phase III trial is ongoing.</w:t>
            </w:r>
          </w:p>
        </w:tc>
        <w:tc>
          <w:tcPr>
            <w:tcW w:w="0" w:type="dxa"/>
            <w:vAlign w:val="bottom"/>
          </w:tcPr>
          <w:p>
            <w:pPr>
              <w:spacing w:after="0"/>
              <w:rPr>
                <w:sz w:val="1"/>
                <w:szCs w:val="1"/>
                <w:color w:val="auto"/>
              </w:rPr>
            </w:pPr>
          </w:p>
        </w:tc>
      </w:tr>
      <w:tr>
        <w:trPr>
          <w:trHeight w:val="224"/>
        </w:trPr>
        <w:tc>
          <w:tcPr>
            <w:tcW w:w="1640" w:type="dxa"/>
            <w:vAlign w:val="bottom"/>
            <w:tcBorders>
              <w:left w:val="single" w:sz="8" w:color="auto"/>
              <w:bottom w:val="single" w:sz="8" w:color="auto"/>
              <w:right w:val="single" w:sz="8" w:color="auto"/>
            </w:tcBorders>
          </w:tcPr>
          <w:p>
            <w:pPr>
              <w:spacing w:after="0"/>
              <w:rPr>
                <w:sz w:val="19"/>
                <w:szCs w:val="19"/>
                <w:color w:val="auto"/>
              </w:rPr>
            </w:pPr>
          </w:p>
        </w:tc>
        <w:tc>
          <w:tcPr>
            <w:tcW w:w="16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disease</w:t>
            </w:r>
          </w:p>
        </w:tc>
        <w:tc>
          <w:tcPr>
            <w:tcW w:w="11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1020" w:type="dxa"/>
            <w:vAlign w:val="bottom"/>
            <w:tcBorders>
              <w:bottom w:val="single" w:sz="8" w:color="auto"/>
              <w:right w:val="single" w:sz="8" w:color="auto"/>
            </w:tcBorders>
          </w:tcPr>
          <w:p>
            <w:pPr>
              <w:spacing w:after="0"/>
              <w:rPr>
                <w:sz w:val="19"/>
                <w:szCs w:val="19"/>
                <w:color w:val="auto"/>
              </w:rPr>
            </w:pPr>
          </w:p>
        </w:tc>
        <w:tc>
          <w:tcPr>
            <w:tcW w:w="514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1640" w:type="dxa"/>
            <w:vAlign w:val="bottom"/>
            <w:tcBorders>
              <w:left w:val="single" w:sz="8" w:color="auto"/>
              <w:right w:val="single" w:sz="8" w:color="auto"/>
            </w:tcBorders>
          </w:tcPr>
          <w:p>
            <w:pPr>
              <w:spacing w:after="0"/>
              <w:rPr>
                <w:sz w:val="21"/>
                <w:szCs w:val="21"/>
                <w:color w:val="auto"/>
              </w:rPr>
            </w:pPr>
          </w:p>
        </w:tc>
        <w:tc>
          <w:tcPr>
            <w:tcW w:w="16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Osteoarthritis pain</w:t>
            </w:r>
          </w:p>
        </w:tc>
        <w:tc>
          <w:tcPr>
            <w:tcW w:w="11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Phase III</w:t>
            </w:r>
          </w:p>
        </w:tc>
        <w:tc>
          <w:tcPr>
            <w:tcW w:w="1020" w:type="dxa"/>
            <w:vAlign w:val="bottom"/>
            <w:tcBorders>
              <w:bottom w:val="single" w:sz="8" w:color="auto"/>
              <w:right w:val="single" w:sz="8" w:color="auto"/>
            </w:tcBorders>
          </w:tcPr>
          <w:p>
            <w:pPr>
              <w:spacing w:after="0"/>
              <w:rPr>
                <w:sz w:val="21"/>
                <w:szCs w:val="21"/>
                <w:color w:val="auto"/>
              </w:rPr>
            </w:pPr>
          </w:p>
        </w:tc>
        <w:tc>
          <w:tcPr>
            <w:tcW w:w="51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Phase III trial is ongoing.</w:t>
            </w:r>
          </w:p>
        </w:tc>
        <w:tc>
          <w:tcPr>
            <w:tcW w:w="0" w:type="dxa"/>
            <w:vAlign w:val="bottom"/>
          </w:tcPr>
          <w:p>
            <w:pPr>
              <w:spacing w:after="0"/>
              <w:rPr>
                <w:sz w:val="1"/>
                <w:szCs w:val="1"/>
                <w:color w:val="auto"/>
              </w:rPr>
            </w:pPr>
          </w:p>
        </w:tc>
      </w:tr>
      <w:tr>
        <w:trPr>
          <w:trHeight w:val="229"/>
        </w:trPr>
        <w:tc>
          <w:tcPr>
            <w:tcW w:w="164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8"/>
                <w:szCs w:val="18"/>
                <w:color w:val="auto"/>
              </w:rPr>
              <w:t>Tanezumab</w:t>
            </w:r>
          </w:p>
        </w:tc>
        <w:tc>
          <w:tcPr>
            <w:tcW w:w="16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Chronic low back</w:t>
            </w:r>
          </w:p>
        </w:tc>
        <w:tc>
          <w:tcPr>
            <w:tcW w:w="1140" w:type="dxa"/>
            <w:vAlign w:val="bottom"/>
          </w:tcPr>
          <w:p>
            <w:pPr>
              <w:spacing w:after="0"/>
              <w:rPr>
                <w:sz w:val="19"/>
                <w:szCs w:val="19"/>
                <w:color w:val="auto"/>
              </w:rPr>
            </w:pPr>
          </w:p>
        </w:tc>
        <w:tc>
          <w:tcPr>
            <w:tcW w:w="900" w:type="dxa"/>
            <w:vAlign w:val="bottom"/>
            <w:vMerge w:val="restart"/>
          </w:tcPr>
          <w:p>
            <w:pPr>
              <w:ind w:left="20"/>
              <w:spacing w:after="0"/>
              <w:rPr>
                <w:sz w:val="20"/>
                <w:szCs w:val="20"/>
                <w:color w:val="auto"/>
              </w:rPr>
            </w:pPr>
            <w:r>
              <w:rPr>
                <w:rFonts w:ascii="Arial" w:cs="Arial" w:eastAsia="Arial" w:hAnsi="Arial"/>
                <w:sz w:val="18"/>
                <w:szCs w:val="18"/>
                <w:color w:val="auto"/>
              </w:rPr>
              <w:t>Phase III</w:t>
            </w:r>
          </w:p>
        </w:tc>
        <w:tc>
          <w:tcPr>
            <w:tcW w:w="1020" w:type="dxa"/>
            <w:vAlign w:val="bottom"/>
            <w:tcBorders>
              <w:right w:val="single" w:sz="8" w:color="auto"/>
            </w:tcBorders>
          </w:tcPr>
          <w:p>
            <w:pPr>
              <w:spacing w:after="0"/>
              <w:rPr>
                <w:sz w:val="19"/>
                <w:szCs w:val="19"/>
                <w:color w:val="auto"/>
              </w:rPr>
            </w:pPr>
          </w:p>
        </w:tc>
        <w:tc>
          <w:tcPr>
            <w:tcW w:w="514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Phase III trial is ongoing.</w:t>
            </w:r>
          </w:p>
        </w:tc>
        <w:tc>
          <w:tcPr>
            <w:tcW w:w="0" w:type="dxa"/>
            <w:vAlign w:val="bottom"/>
          </w:tcPr>
          <w:p>
            <w:pPr>
              <w:spacing w:after="0"/>
              <w:rPr>
                <w:sz w:val="1"/>
                <w:szCs w:val="1"/>
                <w:color w:val="auto"/>
              </w:rPr>
            </w:pPr>
          </w:p>
        </w:tc>
      </w:tr>
      <w:tr>
        <w:trPr>
          <w:trHeight w:val="109"/>
        </w:trPr>
        <w:tc>
          <w:tcPr>
            <w:tcW w:w="1640" w:type="dxa"/>
            <w:vAlign w:val="bottom"/>
            <w:tcBorders>
              <w:left w:val="single" w:sz="8" w:color="auto"/>
              <w:right w:val="single" w:sz="8" w:color="auto"/>
            </w:tcBorders>
            <w:vMerge w:val="continue"/>
          </w:tcPr>
          <w:p>
            <w:pPr>
              <w:spacing w:after="0"/>
              <w:rPr>
                <w:sz w:val="9"/>
                <w:szCs w:val="9"/>
                <w:color w:val="auto"/>
              </w:rPr>
            </w:pPr>
          </w:p>
        </w:tc>
        <w:tc>
          <w:tcPr>
            <w:tcW w:w="160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pain</w:t>
            </w:r>
          </w:p>
        </w:tc>
        <w:tc>
          <w:tcPr>
            <w:tcW w:w="1140" w:type="dxa"/>
            <w:vAlign w:val="bottom"/>
          </w:tcPr>
          <w:p>
            <w:pPr>
              <w:spacing w:after="0"/>
              <w:rPr>
                <w:sz w:val="9"/>
                <w:szCs w:val="9"/>
                <w:color w:val="auto"/>
              </w:rPr>
            </w:pPr>
          </w:p>
        </w:tc>
        <w:tc>
          <w:tcPr>
            <w:tcW w:w="900" w:type="dxa"/>
            <w:vAlign w:val="bottom"/>
            <w:vMerge w:val="continue"/>
          </w:tcPr>
          <w:p>
            <w:pPr>
              <w:spacing w:after="0"/>
              <w:rPr>
                <w:sz w:val="9"/>
                <w:szCs w:val="9"/>
                <w:color w:val="auto"/>
              </w:rPr>
            </w:pPr>
          </w:p>
        </w:tc>
        <w:tc>
          <w:tcPr>
            <w:tcW w:w="1020" w:type="dxa"/>
            <w:vAlign w:val="bottom"/>
            <w:tcBorders>
              <w:right w:val="single" w:sz="8" w:color="auto"/>
            </w:tcBorders>
          </w:tcPr>
          <w:p>
            <w:pPr>
              <w:spacing w:after="0"/>
              <w:rPr>
                <w:sz w:val="9"/>
                <w:szCs w:val="9"/>
                <w:color w:val="auto"/>
              </w:rPr>
            </w:pPr>
          </w:p>
        </w:tc>
        <w:tc>
          <w:tcPr>
            <w:tcW w:w="514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5"/>
        </w:trPr>
        <w:tc>
          <w:tcPr>
            <w:tcW w:w="1640" w:type="dxa"/>
            <w:vAlign w:val="bottom"/>
            <w:tcBorders>
              <w:left w:val="single" w:sz="8" w:color="auto"/>
              <w:right w:val="single" w:sz="8" w:color="auto"/>
            </w:tcBorders>
          </w:tcPr>
          <w:p>
            <w:pPr>
              <w:spacing w:after="0"/>
              <w:rPr>
                <w:sz w:val="10"/>
                <w:szCs w:val="10"/>
                <w:color w:val="auto"/>
              </w:rPr>
            </w:pPr>
          </w:p>
        </w:tc>
        <w:tc>
          <w:tcPr>
            <w:tcW w:w="1600" w:type="dxa"/>
            <w:vAlign w:val="bottom"/>
            <w:tcBorders>
              <w:bottom w:val="single" w:sz="8" w:color="auto"/>
              <w:right w:val="single" w:sz="8" w:color="auto"/>
            </w:tcBorders>
            <w:vMerge w:val="continue"/>
          </w:tcPr>
          <w:p>
            <w:pPr>
              <w:spacing w:after="0"/>
              <w:rPr>
                <w:sz w:val="10"/>
                <w:szCs w:val="10"/>
                <w:color w:val="auto"/>
              </w:rPr>
            </w:pPr>
          </w:p>
        </w:tc>
        <w:tc>
          <w:tcPr>
            <w:tcW w:w="114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tcPr>
          <w:p>
            <w:pPr>
              <w:spacing w:after="0"/>
              <w:rPr>
                <w:sz w:val="10"/>
                <w:szCs w:val="10"/>
                <w:color w:val="auto"/>
              </w:rPr>
            </w:pPr>
          </w:p>
        </w:tc>
        <w:tc>
          <w:tcPr>
            <w:tcW w:w="1020" w:type="dxa"/>
            <w:vAlign w:val="bottom"/>
            <w:tcBorders>
              <w:bottom w:val="single" w:sz="8" w:color="auto"/>
              <w:right w:val="single" w:sz="8" w:color="auto"/>
            </w:tcBorders>
          </w:tcPr>
          <w:p>
            <w:pPr>
              <w:spacing w:after="0"/>
              <w:rPr>
                <w:sz w:val="10"/>
                <w:szCs w:val="10"/>
                <w:color w:val="auto"/>
              </w:rPr>
            </w:pPr>
          </w:p>
        </w:tc>
        <w:tc>
          <w:tcPr>
            <w:tcW w:w="514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50"/>
        </w:trPr>
        <w:tc>
          <w:tcPr>
            <w:tcW w:w="1640" w:type="dxa"/>
            <w:vAlign w:val="bottom"/>
            <w:tcBorders>
              <w:left w:val="single" w:sz="8" w:color="auto"/>
              <w:bottom w:val="single" w:sz="8" w:color="auto"/>
              <w:right w:val="single" w:sz="8" w:color="auto"/>
            </w:tcBorders>
          </w:tcPr>
          <w:p>
            <w:pPr>
              <w:spacing w:after="0"/>
              <w:rPr>
                <w:sz w:val="21"/>
                <w:szCs w:val="21"/>
                <w:color w:val="auto"/>
              </w:rPr>
            </w:pPr>
          </w:p>
        </w:tc>
        <w:tc>
          <w:tcPr>
            <w:tcW w:w="16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Cancer pain</w:t>
            </w:r>
          </w:p>
        </w:tc>
        <w:tc>
          <w:tcPr>
            <w:tcW w:w="11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Phase III</w:t>
            </w:r>
          </w:p>
        </w:tc>
        <w:tc>
          <w:tcPr>
            <w:tcW w:w="1020" w:type="dxa"/>
            <w:vAlign w:val="bottom"/>
            <w:tcBorders>
              <w:bottom w:val="single" w:sz="8" w:color="auto"/>
              <w:right w:val="single" w:sz="8" w:color="auto"/>
            </w:tcBorders>
          </w:tcPr>
          <w:p>
            <w:pPr>
              <w:spacing w:after="0"/>
              <w:rPr>
                <w:sz w:val="21"/>
                <w:szCs w:val="21"/>
                <w:color w:val="auto"/>
              </w:rPr>
            </w:pPr>
          </w:p>
        </w:tc>
        <w:tc>
          <w:tcPr>
            <w:tcW w:w="51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Phase III trial is ongoing.</w:t>
            </w:r>
          </w:p>
        </w:tc>
        <w:tc>
          <w:tcPr>
            <w:tcW w:w="0" w:type="dxa"/>
            <w:vAlign w:val="bottom"/>
          </w:tcPr>
          <w:p>
            <w:pPr>
              <w:spacing w:after="0"/>
              <w:rPr>
                <w:sz w:val="1"/>
                <w:szCs w:val="1"/>
                <w:color w:val="auto"/>
              </w:rPr>
            </w:pPr>
          </w:p>
        </w:tc>
      </w:tr>
      <w:tr>
        <w:trPr>
          <w:trHeight w:val="250"/>
        </w:trPr>
        <w:tc>
          <w:tcPr>
            <w:tcW w:w="164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8"/>
                <w:szCs w:val="18"/>
                <w:b w:val="1"/>
                <w:bCs w:val="1"/>
                <w:color w:val="auto"/>
              </w:rPr>
              <w:t>Oncology</w:t>
            </w:r>
          </w:p>
        </w:tc>
        <w:tc>
          <w:tcPr>
            <w:tcW w:w="160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spacing w:after="0"/>
              <w:rPr>
                <w:sz w:val="21"/>
                <w:szCs w:val="21"/>
                <w:color w:val="auto"/>
              </w:rPr>
            </w:pPr>
          </w:p>
        </w:tc>
        <w:tc>
          <w:tcPr>
            <w:tcW w:w="514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1640" w:type="dxa"/>
            <w:vAlign w:val="bottom"/>
            <w:tcBorders>
              <w:left w:val="single" w:sz="8" w:color="auto"/>
              <w:right w:val="single" w:sz="8" w:color="auto"/>
            </w:tcBorders>
          </w:tcPr>
          <w:p>
            <w:pPr>
              <w:spacing w:after="0"/>
              <w:rPr>
                <w:sz w:val="19"/>
                <w:szCs w:val="19"/>
                <w:color w:val="auto"/>
              </w:rPr>
            </w:pPr>
          </w:p>
        </w:tc>
        <w:tc>
          <w:tcPr>
            <w:tcW w:w="16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Adjuvant breast</w:t>
            </w:r>
          </w:p>
        </w:tc>
        <w:tc>
          <w:tcPr>
            <w:tcW w:w="1140" w:type="dxa"/>
            <w:vAlign w:val="bottom"/>
          </w:tcPr>
          <w:p>
            <w:pPr>
              <w:spacing w:after="0"/>
              <w:rPr>
                <w:sz w:val="19"/>
                <w:szCs w:val="19"/>
                <w:color w:val="auto"/>
              </w:rPr>
            </w:pPr>
          </w:p>
        </w:tc>
        <w:tc>
          <w:tcPr>
            <w:tcW w:w="900" w:type="dxa"/>
            <w:vAlign w:val="bottom"/>
            <w:vMerge w:val="restart"/>
          </w:tcPr>
          <w:p>
            <w:pPr>
              <w:ind w:left="20"/>
              <w:spacing w:after="0"/>
              <w:rPr>
                <w:sz w:val="20"/>
                <w:szCs w:val="20"/>
                <w:color w:val="auto"/>
              </w:rPr>
            </w:pPr>
            <w:r>
              <w:rPr>
                <w:rFonts w:ascii="Arial" w:cs="Arial" w:eastAsia="Arial" w:hAnsi="Arial"/>
                <w:sz w:val="18"/>
                <w:szCs w:val="18"/>
                <w:color w:val="auto"/>
              </w:rPr>
              <w:t>Phase III</w:t>
            </w:r>
          </w:p>
        </w:tc>
        <w:tc>
          <w:tcPr>
            <w:tcW w:w="1020" w:type="dxa"/>
            <w:vAlign w:val="bottom"/>
            <w:tcBorders>
              <w:right w:val="single" w:sz="8" w:color="auto"/>
            </w:tcBorders>
          </w:tcPr>
          <w:p>
            <w:pPr>
              <w:spacing w:after="0"/>
              <w:rPr>
                <w:sz w:val="19"/>
                <w:szCs w:val="19"/>
                <w:color w:val="auto"/>
              </w:rPr>
            </w:pPr>
          </w:p>
        </w:tc>
        <w:tc>
          <w:tcPr>
            <w:tcW w:w="514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Phase III trial is ongoing.</w:t>
            </w:r>
          </w:p>
        </w:tc>
        <w:tc>
          <w:tcPr>
            <w:tcW w:w="0" w:type="dxa"/>
            <w:vAlign w:val="bottom"/>
          </w:tcPr>
          <w:p>
            <w:pPr>
              <w:spacing w:after="0"/>
              <w:rPr>
                <w:sz w:val="1"/>
                <w:szCs w:val="1"/>
                <w:color w:val="auto"/>
              </w:rPr>
            </w:pPr>
          </w:p>
        </w:tc>
      </w:tr>
      <w:tr>
        <w:trPr>
          <w:trHeight w:val="109"/>
        </w:trPr>
        <w:tc>
          <w:tcPr>
            <w:tcW w:w="1640" w:type="dxa"/>
            <w:vAlign w:val="bottom"/>
            <w:tcBorders>
              <w:left w:val="single" w:sz="8" w:color="auto"/>
              <w:right w:val="single" w:sz="8" w:color="auto"/>
            </w:tcBorders>
          </w:tcPr>
          <w:p>
            <w:pPr>
              <w:spacing w:after="0"/>
              <w:rPr>
                <w:sz w:val="9"/>
                <w:szCs w:val="9"/>
                <w:color w:val="auto"/>
              </w:rPr>
            </w:pPr>
          </w:p>
        </w:tc>
        <w:tc>
          <w:tcPr>
            <w:tcW w:w="160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cancer</w:t>
            </w:r>
          </w:p>
        </w:tc>
        <w:tc>
          <w:tcPr>
            <w:tcW w:w="1140" w:type="dxa"/>
            <w:vAlign w:val="bottom"/>
          </w:tcPr>
          <w:p>
            <w:pPr>
              <w:spacing w:after="0"/>
              <w:rPr>
                <w:sz w:val="9"/>
                <w:szCs w:val="9"/>
                <w:color w:val="auto"/>
              </w:rPr>
            </w:pPr>
          </w:p>
        </w:tc>
        <w:tc>
          <w:tcPr>
            <w:tcW w:w="900" w:type="dxa"/>
            <w:vAlign w:val="bottom"/>
            <w:vMerge w:val="continue"/>
          </w:tcPr>
          <w:p>
            <w:pPr>
              <w:spacing w:after="0"/>
              <w:rPr>
                <w:sz w:val="9"/>
                <w:szCs w:val="9"/>
                <w:color w:val="auto"/>
              </w:rPr>
            </w:pPr>
          </w:p>
        </w:tc>
        <w:tc>
          <w:tcPr>
            <w:tcW w:w="1020" w:type="dxa"/>
            <w:vAlign w:val="bottom"/>
            <w:tcBorders>
              <w:right w:val="single" w:sz="8" w:color="auto"/>
            </w:tcBorders>
          </w:tcPr>
          <w:p>
            <w:pPr>
              <w:spacing w:after="0"/>
              <w:rPr>
                <w:sz w:val="9"/>
                <w:szCs w:val="9"/>
                <w:color w:val="auto"/>
              </w:rPr>
            </w:pPr>
          </w:p>
        </w:tc>
        <w:tc>
          <w:tcPr>
            <w:tcW w:w="514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5"/>
        </w:trPr>
        <w:tc>
          <w:tcPr>
            <w:tcW w:w="164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8"/>
                <w:szCs w:val="18"/>
                <w:color w:val="auto"/>
              </w:rPr>
              <w:t>Verzenio</w:t>
            </w:r>
          </w:p>
        </w:tc>
        <w:tc>
          <w:tcPr>
            <w:tcW w:w="1600" w:type="dxa"/>
            <w:vAlign w:val="bottom"/>
            <w:tcBorders>
              <w:bottom w:val="single" w:sz="8" w:color="auto"/>
              <w:right w:val="single" w:sz="8" w:color="auto"/>
            </w:tcBorders>
            <w:vMerge w:val="continue"/>
          </w:tcPr>
          <w:p>
            <w:pPr>
              <w:spacing w:after="0"/>
              <w:rPr>
                <w:sz w:val="10"/>
                <w:szCs w:val="10"/>
                <w:color w:val="auto"/>
              </w:rPr>
            </w:pPr>
          </w:p>
        </w:tc>
        <w:tc>
          <w:tcPr>
            <w:tcW w:w="114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tcPr>
          <w:p>
            <w:pPr>
              <w:spacing w:after="0"/>
              <w:rPr>
                <w:sz w:val="10"/>
                <w:szCs w:val="10"/>
                <w:color w:val="auto"/>
              </w:rPr>
            </w:pPr>
          </w:p>
        </w:tc>
        <w:tc>
          <w:tcPr>
            <w:tcW w:w="1020" w:type="dxa"/>
            <w:vAlign w:val="bottom"/>
            <w:tcBorders>
              <w:bottom w:val="single" w:sz="8" w:color="auto"/>
              <w:right w:val="single" w:sz="8" w:color="auto"/>
            </w:tcBorders>
          </w:tcPr>
          <w:p>
            <w:pPr>
              <w:spacing w:after="0"/>
              <w:rPr>
                <w:sz w:val="10"/>
                <w:szCs w:val="10"/>
                <w:color w:val="auto"/>
              </w:rPr>
            </w:pPr>
          </w:p>
        </w:tc>
        <w:tc>
          <w:tcPr>
            <w:tcW w:w="514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640" w:type="dxa"/>
            <w:vAlign w:val="bottom"/>
            <w:tcBorders>
              <w:left w:val="single" w:sz="8" w:color="auto"/>
              <w:right w:val="single" w:sz="8" w:color="auto"/>
            </w:tcBorders>
            <w:vMerge w:val="continue"/>
          </w:tcPr>
          <w:p>
            <w:pPr>
              <w:spacing w:after="0"/>
              <w:rPr>
                <w:sz w:val="9"/>
                <w:szCs w:val="9"/>
                <w:color w:val="auto"/>
              </w:rPr>
            </w:pPr>
          </w:p>
        </w:tc>
        <w:tc>
          <w:tcPr>
            <w:tcW w:w="160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Metastatic breast</w:t>
            </w:r>
          </w:p>
        </w:tc>
        <w:tc>
          <w:tcPr>
            <w:tcW w:w="1140" w:type="dxa"/>
            <w:vAlign w:val="bottom"/>
            <w:tcBorders>
              <w:right w:val="single" w:sz="8" w:color="auto"/>
            </w:tcBorders>
            <w:vMerge w:val="restart"/>
          </w:tcPr>
          <w:p>
            <w:pPr>
              <w:ind w:left="160"/>
              <w:spacing w:after="0"/>
              <w:rPr>
                <w:sz w:val="20"/>
                <w:szCs w:val="20"/>
                <w:color w:val="auto"/>
              </w:rPr>
            </w:pPr>
            <w:r>
              <w:rPr>
                <w:rFonts w:ascii="Arial" w:cs="Arial" w:eastAsia="Arial" w:hAnsi="Arial"/>
                <w:sz w:val="18"/>
                <w:szCs w:val="18"/>
                <w:color w:val="auto"/>
              </w:rPr>
              <w:t>Launched</w:t>
            </w:r>
          </w:p>
        </w:tc>
        <w:tc>
          <w:tcPr>
            <w:tcW w:w="1920" w:type="dxa"/>
            <w:vAlign w:val="bottom"/>
            <w:tcBorders>
              <w:right w:val="single" w:sz="8" w:color="auto"/>
            </w:tcBorders>
            <w:gridSpan w:val="2"/>
            <w:vMerge w:val="restart"/>
          </w:tcPr>
          <w:p>
            <w:pPr>
              <w:ind w:left="540"/>
              <w:spacing w:after="0"/>
              <w:rPr>
                <w:sz w:val="20"/>
                <w:szCs w:val="20"/>
                <w:color w:val="auto"/>
              </w:rPr>
            </w:pPr>
            <w:r>
              <w:rPr>
                <w:rFonts w:ascii="Arial" w:cs="Arial" w:eastAsia="Arial" w:hAnsi="Arial"/>
                <w:sz w:val="18"/>
                <w:szCs w:val="18"/>
                <w:color w:val="auto"/>
              </w:rPr>
              <w:t>Submitted</w:t>
            </w:r>
          </w:p>
        </w:tc>
        <w:tc>
          <w:tcPr>
            <w:tcW w:w="514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Submitted to regulatory authorities in Europe and Japan in third</w:t>
            </w:r>
          </w:p>
        </w:tc>
        <w:tc>
          <w:tcPr>
            <w:tcW w:w="0" w:type="dxa"/>
            <w:vAlign w:val="bottom"/>
          </w:tcPr>
          <w:p>
            <w:pPr>
              <w:spacing w:after="0"/>
              <w:rPr>
                <w:sz w:val="1"/>
                <w:szCs w:val="1"/>
                <w:color w:val="auto"/>
              </w:rPr>
            </w:pPr>
          </w:p>
        </w:tc>
      </w:tr>
      <w:tr>
        <w:trPr>
          <w:trHeight w:val="121"/>
        </w:trPr>
        <w:tc>
          <w:tcPr>
            <w:tcW w:w="1640" w:type="dxa"/>
            <w:vAlign w:val="bottom"/>
            <w:tcBorders>
              <w:left w:val="single" w:sz="8" w:color="auto"/>
              <w:right w:val="single" w:sz="8" w:color="auto"/>
            </w:tcBorders>
          </w:tcPr>
          <w:p>
            <w:pPr>
              <w:spacing w:after="0"/>
              <w:rPr>
                <w:sz w:val="10"/>
                <w:szCs w:val="10"/>
                <w:color w:val="auto"/>
              </w:rPr>
            </w:pPr>
          </w:p>
        </w:tc>
        <w:tc>
          <w:tcPr>
            <w:tcW w:w="1600" w:type="dxa"/>
            <w:vAlign w:val="bottom"/>
            <w:tcBorders>
              <w:right w:val="single" w:sz="8" w:color="auto"/>
            </w:tcBorders>
            <w:vMerge w:val="continue"/>
          </w:tcPr>
          <w:p>
            <w:pPr>
              <w:spacing w:after="0"/>
              <w:rPr>
                <w:sz w:val="10"/>
                <w:szCs w:val="10"/>
                <w:color w:val="auto"/>
              </w:rPr>
            </w:pPr>
          </w:p>
        </w:tc>
        <w:tc>
          <w:tcPr>
            <w:tcW w:w="1140" w:type="dxa"/>
            <w:vAlign w:val="bottom"/>
            <w:tcBorders>
              <w:right w:val="single" w:sz="8" w:color="auto"/>
            </w:tcBorders>
            <w:vMerge w:val="continue"/>
          </w:tcPr>
          <w:p>
            <w:pPr>
              <w:spacing w:after="0"/>
              <w:rPr>
                <w:sz w:val="10"/>
                <w:szCs w:val="10"/>
                <w:color w:val="auto"/>
              </w:rPr>
            </w:pPr>
          </w:p>
        </w:tc>
        <w:tc>
          <w:tcPr>
            <w:tcW w:w="1920" w:type="dxa"/>
            <w:vAlign w:val="bottom"/>
            <w:tcBorders>
              <w:right w:val="single" w:sz="8" w:color="auto"/>
            </w:tcBorders>
            <w:gridSpan w:val="2"/>
            <w:vMerge w:val="continue"/>
          </w:tcPr>
          <w:p>
            <w:pPr>
              <w:spacing w:after="0"/>
              <w:rPr>
                <w:sz w:val="10"/>
                <w:szCs w:val="10"/>
                <w:color w:val="auto"/>
              </w:rPr>
            </w:pPr>
          </w:p>
        </w:tc>
        <w:tc>
          <w:tcPr>
            <w:tcW w:w="514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9"/>
        </w:trPr>
        <w:tc>
          <w:tcPr>
            <w:tcW w:w="1640" w:type="dxa"/>
            <w:vAlign w:val="bottom"/>
            <w:tcBorders>
              <w:left w:val="single" w:sz="8" w:color="auto"/>
              <w:right w:val="single" w:sz="8" w:color="auto"/>
            </w:tcBorders>
          </w:tcPr>
          <w:p>
            <w:pPr>
              <w:spacing w:after="0"/>
              <w:rPr>
                <w:sz w:val="9"/>
                <w:szCs w:val="9"/>
                <w:color w:val="auto"/>
              </w:rPr>
            </w:pPr>
          </w:p>
        </w:tc>
        <w:tc>
          <w:tcPr>
            <w:tcW w:w="160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cancer</w:t>
            </w:r>
          </w:p>
        </w:tc>
        <w:tc>
          <w:tcPr>
            <w:tcW w:w="1140" w:type="dxa"/>
            <w:vAlign w:val="bottom"/>
            <w:tcBorders>
              <w:right w:val="single" w:sz="8" w:color="auto"/>
            </w:tcBorders>
            <w:vMerge w:val="continue"/>
          </w:tcPr>
          <w:p>
            <w:pPr>
              <w:spacing w:after="0"/>
              <w:rPr>
                <w:sz w:val="9"/>
                <w:szCs w:val="9"/>
                <w:color w:val="auto"/>
              </w:rPr>
            </w:pPr>
          </w:p>
        </w:tc>
        <w:tc>
          <w:tcPr>
            <w:tcW w:w="1920" w:type="dxa"/>
            <w:vAlign w:val="bottom"/>
            <w:tcBorders>
              <w:right w:val="single" w:sz="8" w:color="auto"/>
            </w:tcBorders>
            <w:gridSpan w:val="2"/>
            <w:vMerge w:val="continue"/>
          </w:tcPr>
          <w:p>
            <w:pPr>
              <w:spacing w:after="0"/>
              <w:rPr>
                <w:sz w:val="9"/>
                <w:szCs w:val="9"/>
                <w:color w:val="auto"/>
              </w:rPr>
            </w:pPr>
          </w:p>
        </w:tc>
        <w:tc>
          <w:tcPr>
            <w:tcW w:w="514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quarter of 2017.</w:t>
            </w:r>
          </w:p>
        </w:tc>
        <w:tc>
          <w:tcPr>
            <w:tcW w:w="0" w:type="dxa"/>
            <w:vAlign w:val="bottom"/>
          </w:tcPr>
          <w:p>
            <w:pPr>
              <w:spacing w:after="0"/>
              <w:rPr>
                <w:sz w:val="1"/>
                <w:szCs w:val="1"/>
                <w:color w:val="auto"/>
              </w:rPr>
            </w:pPr>
          </w:p>
        </w:tc>
      </w:tr>
      <w:tr>
        <w:trPr>
          <w:trHeight w:val="115"/>
        </w:trPr>
        <w:tc>
          <w:tcPr>
            <w:tcW w:w="1640" w:type="dxa"/>
            <w:vAlign w:val="bottom"/>
            <w:tcBorders>
              <w:left w:val="single" w:sz="8" w:color="auto"/>
              <w:bottom w:val="single" w:sz="8" w:color="auto"/>
              <w:right w:val="single" w:sz="8" w:color="auto"/>
            </w:tcBorders>
          </w:tcPr>
          <w:p>
            <w:pPr>
              <w:spacing w:after="0"/>
              <w:rPr>
                <w:sz w:val="10"/>
                <w:szCs w:val="10"/>
                <w:color w:val="auto"/>
              </w:rPr>
            </w:pPr>
          </w:p>
        </w:tc>
        <w:tc>
          <w:tcPr>
            <w:tcW w:w="1600" w:type="dxa"/>
            <w:vAlign w:val="bottom"/>
            <w:tcBorders>
              <w:bottom w:val="single" w:sz="8" w:color="auto"/>
              <w:right w:val="single" w:sz="8" w:color="auto"/>
            </w:tcBorders>
            <w:vMerge w:val="continue"/>
          </w:tcPr>
          <w:p>
            <w:pPr>
              <w:spacing w:after="0"/>
              <w:rPr>
                <w:sz w:val="10"/>
                <w:szCs w:val="10"/>
                <w:color w:val="auto"/>
              </w:rPr>
            </w:pPr>
          </w:p>
        </w:tc>
        <w:tc>
          <w:tcPr>
            <w:tcW w:w="1140" w:type="dxa"/>
            <w:vAlign w:val="bottom"/>
            <w:tcBorders>
              <w:bottom w:val="single" w:sz="8" w:color="auto"/>
              <w:right w:val="single" w:sz="8" w:color="auto"/>
            </w:tcBorders>
          </w:tcPr>
          <w:p>
            <w:pPr>
              <w:spacing w:after="0"/>
              <w:rPr>
                <w:sz w:val="10"/>
                <w:szCs w:val="10"/>
                <w:color w:val="auto"/>
              </w:rPr>
            </w:pPr>
          </w:p>
        </w:tc>
        <w:tc>
          <w:tcPr>
            <w:tcW w:w="900" w:type="dxa"/>
            <w:vAlign w:val="bottom"/>
            <w:tcBorders>
              <w:bottom w:val="single" w:sz="8" w:color="auto"/>
            </w:tcBorders>
          </w:tcPr>
          <w:p>
            <w:pPr>
              <w:spacing w:after="0"/>
              <w:rPr>
                <w:sz w:val="10"/>
                <w:szCs w:val="10"/>
                <w:color w:val="auto"/>
              </w:rPr>
            </w:pPr>
          </w:p>
        </w:tc>
        <w:tc>
          <w:tcPr>
            <w:tcW w:w="1020" w:type="dxa"/>
            <w:vAlign w:val="bottom"/>
            <w:tcBorders>
              <w:bottom w:val="single" w:sz="8" w:color="auto"/>
              <w:right w:val="single" w:sz="8" w:color="auto"/>
            </w:tcBorders>
          </w:tcPr>
          <w:p>
            <w:pPr>
              <w:spacing w:after="0"/>
              <w:rPr>
                <w:sz w:val="10"/>
                <w:szCs w:val="10"/>
                <w:color w:val="auto"/>
              </w:rPr>
            </w:pPr>
          </w:p>
        </w:tc>
        <w:tc>
          <w:tcPr>
            <w:tcW w:w="5140" w:type="dxa"/>
            <w:vAlign w:val="bottom"/>
            <w:tcBorders>
              <w:bottom w:val="single" w:sz="8" w:color="auto"/>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9"/>
        </w:trPr>
        <w:tc>
          <w:tcPr>
            <w:tcW w:w="1640" w:type="dxa"/>
            <w:vAlign w:val="bottom"/>
            <w:tcBorders>
              <w:left w:val="single" w:sz="8" w:color="auto"/>
              <w:right w:val="single" w:sz="8" w:color="auto"/>
            </w:tcBorders>
          </w:tcPr>
          <w:p>
            <w:pPr>
              <w:spacing w:after="0"/>
              <w:rPr>
                <w:sz w:val="19"/>
                <w:szCs w:val="19"/>
                <w:color w:val="auto"/>
              </w:rPr>
            </w:pPr>
          </w:p>
        </w:tc>
        <w:tc>
          <w:tcPr>
            <w:tcW w:w="1600" w:type="dxa"/>
            <w:vAlign w:val="bottom"/>
            <w:tcBorders>
              <w:right w:val="single" w:sz="8" w:color="auto"/>
            </w:tcBorders>
          </w:tcPr>
          <w:p>
            <w:pPr>
              <w:spacing w:after="0"/>
              <w:rPr>
                <w:sz w:val="19"/>
                <w:szCs w:val="19"/>
                <w:color w:val="auto"/>
              </w:rPr>
            </w:pPr>
          </w:p>
        </w:tc>
        <w:tc>
          <w:tcPr>
            <w:tcW w:w="1140" w:type="dxa"/>
            <w:vAlign w:val="bottom"/>
          </w:tcPr>
          <w:p>
            <w:pPr>
              <w:spacing w:after="0"/>
              <w:rPr>
                <w:sz w:val="19"/>
                <w:szCs w:val="19"/>
                <w:color w:val="auto"/>
              </w:rPr>
            </w:pPr>
          </w:p>
        </w:tc>
        <w:tc>
          <w:tcPr>
            <w:tcW w:w="900" w:type="dxa"/>
            <w:vAlign w:val="bottom"/>
            <w:tcBorders>
              <w:right w:val="single" w:sz="8" w:color="auto"/>
            </w:tcBorders>
          </w:tcPr>
          <w:p>
            <w:pPr>
              <w:spacing w:after="0"/>
              <w:rPr>
                <w:sz w:val="19"/>
                <w:szCs w:val="19"/>
                <w:color w:val="auto"/>
              </w:rPr>
            </w:pPr>
          </w:p>
        </w:tc>
        <w:tc>
          <w:tcPr>
            <w:tcW w:w="1020" w:type="dxa"/>
            <w:vAlign w:val="bottom"/>
            <w:tcBorders>
              <w:right w:val="single" w:sz="8" w:color="auto"/>
            </w:tcBorders>
          </w:tcPr>
          <w:p>
            <w:pPr>
              <w:spacing w:after="0"/>
              <w:rPr>
                <w:sz w:val="19"/>
                <w:szCs w:val="19"/>
                <w:color w:val="auto"/>
              </w:rPr>
            </w:pPr>
          </w:p>
        </w:tc>
        <w:tc>
          <w:tcPr>
            <w:tcW w:w="5140" w:type="dxa"/>
            <w:vAlign w:val="bottom"/>
            <w:tcBorders>
              <w:right w:val="single" w:sz="8" w:color="auto"/>
            </w:tcBorders>
          </w:tcPr>
          <w:p>
            <w:pPr>
              <w:ind w:left="20"/>
              <w:spacing w:after="0" w:line="229" w:lineRule="exact"/>
              <w:rPr>
                <w:sz w:val="20"/>
                <w:szCs w:val="20"/>
                <w:color w:val="auto"/>
              </w:rPr>
            </w:pPr>
            <w:r>
              <w:rPr>
                <w:rFonts w:ascii="Arial" w:cs="Arial" w:eastAsia="Arial" w:hAnsi="Arial"/>
                <w:sz w:val="18"/>
                <w:szCs w:val="18"/>
                <w:color w:val="auto"/>
              </w:rPr>
              <w:t>Granted accelerated approval</w:t>
            </w:r>
            <w:r>
              <w:rPr>
                <w:rFonts w:ascii="Arial" w:cs="Arial" w:eastAsia="Arial" w:hAnsi="Arial"/>
                <w:sz w:val="21"/>
                <w:szCs w:val="21"/>
                <w:color w:val="auto"/>
                <w:vertAlign w:val="superscript"/>
              </w:rPr>
              <w:t>(1)</w:t>
            </w:r>
            <w:r>
              <w:rPr>
                <w:rFonts w:ascii="Arial" w:cs="Arial" w:eastAsia="Arial" w:hAnsi="Arial"/>
                <w:sz w:val="18"/>
                <w:szCs w:val="18"/>
                <w:color w:val="auto"/>
              </w:rPr>
              <w:t xml:space="preserve"> by the FDA in fourth quarter of</w:t>
            </w:r>
          </w:p>
        </w:tc>
        <w:tc>
          <w:tcPr>
            <w:tcW w:w="0" w:type="dxa"/>
            <w:vAlign w:val="bottom"/>
          </w:tcPr>
          <w:p>
            <w:pPr>
              <w:spacing w:after="0"/>
              <w:rPr>
                <w:sz w:val="1"/>
                <w:szCs w:val="1"/>
                <w:color w:val="auto"/>
              </w:rPr>
            </w:pPr>
          </w:p>
        </w:tc>
      </w:tr>
      <w:tr>
        <w:trPr>
          <w:trHeight w:val="200"/>
        </w:trPr>
        <w:tc>
          <w:tcPr>
            <w:tcW w:w="1640" w:type="dxa"/>
            <w:vAlign w:val="bottom"/>
            <w:tcBorders>
              <w:left w:val="single" w:sz="8" w:color="auto"/>
              <w:right w:val="single" w:sz="8" w:color="auto"/>
            </w:tcBorders>
          </w:tcPr>
          <w:p>
            <w:pPr>
              <w:spacing w:after="0"/>
              <w:rPr>
                <w:sz w:val="17"/>
                <w:szCs w:val="17"/>
                <w:color w:val="auto"/>
              </w:rPr>
            </w:pPr>
          </w:p>
        </w:tc>
        <w:tc>
          <w:tcPr>
            <w:tcW w:w="160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Soft tissue</w:t>
            </w:r>
          </w:p>
        </w:tc>
        <w:tc>
          <w:tcPr>
            <w:tcW w:w="1140" w:type="dxa"/>
            <w:vAlign w:val="bottom"/>
          </w:tcPr>
          <w:p>
            <w:pPr>
              <w:spacing w:after="0"/>
              <w:rPr>
                <w:sz w:val="17"/>
                <w:szCs w:val="17"/>
                <w:color w:val="auto"/>
              </w:rPr>
            </w:pPr>
          </w:p>
        </w:tc>
        <w:tc>
          <w:tcPr>
            <w:tcW w:w="900" w:type="dxa"/>
            <w:vAlign w:val="bottom"/>
            <w:tcBorders>
              <w:right w:val="single" w:sz="8" w:color="auto"/>
            </w:tcBorders>
          </w:tcPr>
          <w:p>
            <w:pPr>
              <w:spacing w:after="0"/>
              <w:rPr>
                <w:sz w:val="17"/>
                <w:szCs w:val="17"/>
                <w:color w:val="auto"/>
              </w:rPr>
            </w:pPr>
          </w:p>
        </w:tc>
        <w:tc>
          <w:tcPr>
            <w:tcW w:w="1020" w:type="dxa"/>
            <w:vAlign w:val="bottom"/>
            <w:tcBorders>
              <w:right w:val="single" w:sz="8" w:color="auto"/>
            </w:tcBorders>
          </w:tcPr>
          <w:p>
            <w:pPr>
              <w:spacing w:after="0"/>
              <w:rPr>
                <w:sz w:val="17"/>
                <w:szCs w:val="17"/>
                <w:color w:val="auto"/>
              </w:rPr>
            </w:pPr>
          </w:p>
        </w:tc>
        <w:tc>
          <w:tcPr>
            <w:tcW w:w="5140" w:type="dxa"/>
            <w:vAlign w:val="bottom"/>
            <w:tcBorders>
              <w:right w:val="single" w:sz="8" w:color="auto"/>
            </w:tcBorders>
          </w:tcPr>
          <w:p>
            <w:pPr>
              <w:ind w:left="20"/>
              <w:spacing w:after="0" w:line="201" w:lineRule="exact"/>
              <w:rPr>
                <w:sz w:val="20"/>
                <w:szCs w:val="20"/>
                <w:color w:val="auto"/>
              </w:rPr>
            </w:pPr>
            <w:r>
              <w:rPr>
                <w:rFonts w:ascii="Arial" w:cs="Arial" w:eastAsia="Arial" w:hAnsi="Arial"/>
                <w:sz w:val="18"/>
                <w:szCs w:val="18"/>
                <w:color w:val="auto"/>
              </w:rPr>
              <w:t>2016 based on Phase II data. Launched in the U.S. in the</w:t>
            </w:r>
          </w:p>
        </w:tc>
        <w:tc>
          <w:tcPr>
            <w:tcW w:w="0" w:type="dxa"/>
            <w:vAlign w:val="bottom"/>
          </w:tcPr>
          <w:p>
            <w:pPr>
              <w:spacing w:after="0"/>
              <w:rPr>
                <w:sz w:val="1"/>
                <w:szCs w:val="1"/>
                <w:color w:val="auto"/>
              </w:rPr>
            </w:pPr>
          </w:p>
        </w:tc>
      </w:tr>
      <w:tr>
        <w:trPr>
          <w:trHeight w:val="165"/>
        </w:trPr>
        <w:tc>
          <w:tcPr>
            <w:tcW w:w="1640" w:type="dxa"/>
            <w:vAlign w:val="bottom"/>
            <w:tcBorders>
              <w:left w:val="single" w:sz="8" w:color="auto"/>
              <w:right w:val="single" w:sz="8" w:color="auto"/>
            </w:tcBorders>
          </w:tcPr>
          <w:p>
            <w:pPr>
              <w:ind w:left="40"/>
              <w:spacing w:after="0" w:line="165" w:lineRule="exact"/>
              <w:rPr>
                <w:sz w:val="20"/>
                <w:szCs w:val="20"/>
                <w:color w:val="auto"/>
              </w:rPr>
            </w:pPr>
            <w:r>
              <w:rPr>
                <w:rFonts w:ascii="Arial" w:cs="Arial" w:eastAsia="Arial" w:hAnsi="Arial"/>
                <w:sz w:val="18"/>
                <w:szCs w:val="18"/>
                <w:color w:val="auto"/>
              </w:rPr>
              <w:t>Lartruvo</w:t>
            </w:r>
          </w:p>
        </w:tc>
        <w:tc>
          <w:tcPr>
            <w:tcW w:w="1600" w:type="dxa"/>
            <w:vAlign w:val="bottom"/>
            <w:tcBorders>
              <w:right w:val="single" w:sz="8" w:color="auto"/>
            </w:tcBorders>
            <w:vMerge w:val="continue"/>
          </w:tcPr>
          <w:p>
            <w:pPr>
              <w:spacing w:after="0"/>
              <w:rPr>
                <w:sz w:val="14"/>
                <w:szCs w:val="14"/>
                <w:color w:val="auto"/>
              </w:rPr>
            </w:pPr>
          </w:p>
        </w:tc>
        <w:tc>
          <w:tcPr>
            <w:tcW w:w="2040" w:type="dxa"/>
            <w:vAlign w:val="bottom"/>
            <w:tcBorders>
              <w:right w:val="single" w:sz="8" w:color="auto"/>
            </w:tcBorders>
            <w:gridSpan w:val="2"/>
          </w:tcPr>
          <w:p>
            <w:pPr>
              <w:ind w:left="620"/>
              <w:spacing w:after="0" w:line="165" w:lineRule="exact"/>
              <w:rPr>
                <w:sz w:val="20"/>
                <w:szCs w:val="20"/>
                <w:color w:val="auto"/>
              </w:rPr>
            </w:pPr>
            <w:r>
              <w:rPr>
                <w:rFonts w:ascii="Arial" w:cs="Arial" w:eastAsia="Arial" w:hAnsi="Arial"/>
                <w:sz w:val="18"/>
                <w:szCs w:val="18"/>
                <w:color w:val="auto"/>
              </w:rPr>
              <w:t>Launched</w:t>
            </w:r>
          </w:p>
        </w:tc>
        <w:tc>
          <w:tcPr>
            <w:tcW w:w="1020" w:type="dxa"/>
            <w:vAlign w:val="bottom"/>
            <w:tcBorders>
              <w:right w:val="single" w:sz="8" w:color="auto"/>
            </w:tcBorders>
          </w:tcPr>
          <w:p>
            <w:pPr>
              <w:ind w:left="140"/>
              <w:spacing w:after="0" w:line="165" w:lineRule="exact"/>
              <w:rPr>
                <w:sz w:val="20"/>
                <w:szCs w:val="20"/>
                <w:color w:val="auto"/>
              </w:rPr>
            </w:pPr>
            <w:r>
              <w:rPr>
                <w:rFonts w:ascii="Arial" w:cs="Arial" w:eastAsia="Arial" w:hAnsi="Arial"/>
                <w:sz w:val="18"/>
                <w:szCs w:val="18"/>
                <w:color w:val="auto"/>
              </w:rPr>
              <w:t>Phase III</w:t>
            </w:r>
          </w:p>
        </w:tc>
        <w:tc>
          <w:tcPr>
            <w:tcW w:w="5140" w:type="dxa"/>
            <w:vAlign w:val="bottom"/>
            <w:tcBorders>
              <w:right w:val="single" w:sz="8" w:color="auto"/>
            </w:tcBorders>
          </w:tcPr>
          <w:p>
            <w:pPr>
              <w:ind w:left="20"/>
              <w:spacing w:after="0" w:line="165" w:lineRule="exact"/>
              <w:rPr>
                <w:sz w:val="20"/>
                <w:szCs w:val="20"/>
                <w:color w:val="auto"/>
              </w:rPr>
            </w:pPr>
            <w:r>
              <w:rPr>
                <w:rFonts w:ascii="Arial" w:cs="Arial" w:eastAsia="Arial" w:hAnsi="Arial"/>
                <w:sz w:val="16"/>
                <w:szCs w:val="16"/>
                <w:color w:val="auto"/>
              </w:rPr>
              <w:t>fourth quarter of 2016. Granted conditional approval</w:t>
            </w:r>
            <w:r>
              <w:rPr>
                <w:rFonts w:ascii="Arial" w:cs="Arial" w:eastAsia="Arial" w:hAnsi="Arial"/>
                <w:sz w:val="19"/>
                <w:szCs w:val="19"/>
                <w:color w:val="auto"/>
                <w:vertAlign w:val="superscript"/>
              </w:rPr>
              <w:t>(2)</w:t>
            </w:r>
            <w:r>
              <w:rPr>
                <w:rFonts w:ascii="Arial" w:cs="Arial" w:eastAsia="Arial" w:hAnsi="Arial"/>
                <w:sz w:val="16"/>
                <w:szCs w:val="16"/>
                <w:color w:val="auto"/>
              </w:rPr>
              <w:t xml:space="preserve"> and</w:t>
            </w:r>
          </w:p>
        </w:tc>
        <w:tc>
          <w:tcPr>
            <w:tcW w:w="0" w:type="dxa"/>
            <w:vAlign w:val="bottom"/>
          </w:tcPr>
          <w:p>
            <w:pPr>
              <w:spacing w:after="0"/>
              <w:rPr>
                <w:sz w:val="1"/>
                <w:szCs w:val="1"/>
                <w:color w:val="auto"/>
              </w:rPr>
            </w:pPr>
          </w:p>
        </w:tc>
      </w:tr>
      <w:tr>
        <w:trPr>
          <w:trHeight w:val="203"/>
        </w:trPr>
        <w:tc>
          <w:tcPr>
            <w:tcW w:w="1640" w:type="dxa"/>
            <w:vAlign w:val="bottom"/>
            <w:tcBorders>
              <w:left w:val="single" w:sz="8" w:color="auto"/>
              <w:right w:val="single" w:sz="8" w:color="auto"/>
            </w:tcBorders>
          </w:tcPr>
          <w:p>
            <w:pPr>
              <w:spacing w:after="0"/>
              <w:rPr>
                <w:sz w:val="17"/>
                <w:szCs w:val="17"/>
                <w:color w:val="auto"/>
              </w:rPr>
            </w:pPr>
          </w:p>
        </w:tc>
        <w:tc>
          <w:tcPr>
            <w:tcW w:w="1600" w:type="dxa"/>
            <w:vAlign w:val="bottom"/>
            <w:tcBorders>
              <w:right w:val="single" w:sz="8" w:color="auto"/>
            </w:tcBorders>
          </w:tcPr>
          <w:p>
            <w:pPr>
              <w:ind w:left="20"/>
              <w:spacing w:after="0" w:line="202" w:lineRule="exact"/>
              <w:rPr>
                <w:sz w:val="20"/>
                <w:szCs w:val="20"/>
                <w:color w:val="auto"/>
              </w:rPr>
            </w:pPr>
            <w:r>
              <w:rPr>
                <w:rFonts w:ascii="Arial" w:cs="Arial" w:eastAsia="Arial" w:hAnsi="Arial"/>
                <w:sz w:val="18"/>
                <w:szCs w:val="18"/>
                <w:color w:val="auto"/>
              </w:rPr>
              <w:t>sarcoma</w:t>
            </w:r>
          </w:p>
        </w:tc>
        <w:tc>
          <w:tcPr>
            <w:tcW w:w="1140" w:type="dxa"/>
            <w:vAlign w:val="bottom"/>
          </w:tcPr>
          <w:p>
            <w:pPr>
              <w:spacing w:after="0"/>
              <w:rPr>
                <w:sz w:val="17"/>
                <w:szCs w:val="17"/>
                <w:color w:val="auto"/>
              </w:rPr>
            </w:pPr>
          </w:p>
        </w:tc>
        <w:tc>
          <w:tcPr>
            <w:tcW w:w="900" w:type="dxa"/>
            <w:vAlign w:val="bottom"/>
            <w:tcBorders>
              <w:right w:val="single" w:sz="8" w:color="auto"/>
            </w:tcBorders>
          </w:tcPr>
          <w:p>
            <w:pPr>
              <w:spacing w:after="0"/>
              <w:rPr>
                <w:sz w:val="17"/>
                <w:szCs w:val="17"/>
                <w:color w:val="auto"/>
              </w:rPr>
            </w:pPr>
          </w:p>
        </w:tc>
        <w:tc>
          <w:tcPr>
            <w:tcW w:w="1020" w:type="dxa"/>
            <w:vAlign w:val="bottom"/>
            <w:tcBorders>
              <w:right w:val="single" w:sz="8" w:color="auto"/>
            </w:tcBorders>
          </w:tcPr>
          <w:p>
            <w:pPr>
              <w:spacing w:after="0"/>
              <w:rPr>
                <w:sz w:val="17"/>
                <w:szCs w:val="17"/>
                <w:color w:val="auto"/>
              </w:rPr>
            </w:pPr>
          </w:p>
        </w:tc>
        <w:tc>
          <w:tcPr>
            <w:tcW w:w="514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launched in Europe in fourth quarter of 2016. Phase III trial is</w:t>
            </w:r>
          </w:p>
        </w:tc>
        <w:tc>
          <w:tcPr>
            <w:tcW w:w="0" w:type="dxa"/>
            <w:vAlign w:val="bottom"/>
          </w:tcPr>
          <w:p>
            <w:pPr>
              <w:spacing w:after="0"/>
              <w:rPr>
                <w:sz w:val="1"/>
                <w:szCs w:val="1"/>
                <w:color w:val="auto"/>
              </w:rPr>
            </w:pPr>
          </w:p>
        </w:tc>
      </w:tr>
      <w:tr>
        <w:trPr>
          <w:trHeight w:val="40"/>
        </w:trPr>
        <w:tc>
          <w:tcPr>
            <w:tcW w:w="1640" w:type="dxa"/>
            <w:vAlign w:val="bottom"/>
            <w:tcBorders>
              <w:left w:val="single" w:sz="8" w:color="auto"/>
              <w:right w:val="single" w:sz="8" w:color="auto"/>
            </w:tcBorders>
          </w:tcPr>
          <w:p>
            <w:pPr>
              <w:spacing w:after="0"/>
              <w:rPr>
                <w:sz w:val="3"/>
                <w:szCs w:val="3"/>
                <w:color w:val="auto"/>
              </w:rPr>
            </w:pPr>
          </w:p>
        </w:tc>
        <w:tc>
          <w:tcPr>
            <w:tcW w:w="1600" w:type="dxa"/>
            <w:vAlign w:val="bottom"/>
            <w:tcBorders>
              <w:right w:val="single" w:sz="8" w:color="auto"/>
            </w:tcBorders>
          </w:tcPr>
          <w:p>
            <w:pPr>
              <w:spacing w:after="0"/>
              <w:rPr>
                <w:sz w:val="3"/>
                <w:szCs w:val="3"/>
                <w:color w:val="auto"/>
              </w:rPr>
            </w:pPr>
          </w:p>
        </w:tc>
        <w:tc>
          <w:tcPr>
            <w:tcW w:w="1140" w:type="dxa"/>
            <w:vAlign w:val="bottom"/>
          </w:tcPr>
          <w:p>
            <w:pPr>
              <w:spacing w:after="0"/>
              <w:rPr>
                <w:sz w:val="3"/>
                <w:szCs w:val="3"/>
                <w:color w:val="auto"/>
              </w:rPr>
            </w:pPr>
          </w:p>
        </w:tc>
        <w:tc>
          <w:tcPr>
            <w:tcW w:w="900" w:type="dxa"/>
            <w:vAlign w:val="bottom"/>
            <w:tcBorders>
              <w:right w:val="single" w:sz="8" w:color="auto"/>
            </w:tcBorders>
          </w:tcPr>
          <w:p>
            <w:pPr>
              <w:spacing w:after="0"/>
              <w:rPr>
                <w:sz w:val="3"/>
                <w:szCs w:val="3"/>
                <w:color w:val="auto"/>
              </w:rPr>
            </w:pPr>
          </w:p>
        </w:tc>
        <w:tc>
          <w:tcPr>
            <w:tcW w:w="1020" w:type="dxa"/>
            <w:vAlign w:val="bottom"/>
            <w:tcBorders>
              <w:right w:val="single" w:sz="8" w:color="auto"/>
            </w:tcBorders>
          </w:tcPr>
          <w:p>
            <w:pPr>
              <w:spacing w:after="0"/>
              <w:rPr>
                <w:sz w:val="3"/>
                <w:szCs w:val="3"/>
                <w:color w:val="auto"/>
              </w:rPr>
            </w:pPr>
          </w:p>
        </w:tc>
        <w:tc>
          <w:tcPr>
            <w:tcW w:w="5140" w:type="dxa"/>
            <w:vAlign w:val="bottom"/>
            <w:tcBorders>
              <w:right w:val="single" w:sz="8" w:color="auto"/>
            </w:tcBorders>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4"/>
        </w:trPr>
        <w:tc>
          <w:tcPr>
            <w:tcW w:w="1640" w:type="dxa"/>
            <w:vAlign w:val="bottom"/>
            <w:tcBorders>
              <w:left w:val="single" w:sz="8" w:color="auto"/>
              <w:bottom w:val="single" w:sz="8" w:color="auto"/>
              <w:right w:val="single" w:sz="8" w:color="auto"/>
            </w:tcBorders>
          </w:tcPr>
          <w:p>
            <w:pPr>
              <w:spacing w:after="0"/>
              <w:rPr>
                <w:sz w:val="19"/>
                <w:szCs w:val="19"/>
                <w:color w:val="auto"/>
              </w:rPr>
            </w:pPr>
          </w:p>
        </w:tc>
        <w:tc>
          <w:tcPr>
            <w:tcW w:w="1600" w:type="dxa"/>
            <w:vAlign w:val="bottom"/>
            <w:tcBorders>
              <w:bottom w:val="single" w:sz="8" w:color="auto"/>
              <w:right w:val="single" w:sz="8" w:color="auto"/>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900" w:type="dxa"/>
            <w:vAlign w:val="bottom"/>
            <w:tcBorders>
              <w:bottom w:val="single" w:sz="8" w:color="auto"/>
              <w:right w:val="single" w:sz="8" w:color="auto"/>
            </w:tcBorders>
          </w:tcPr>
          <w:p>
            <w:pPr>
              <w:spacing w:after="0"/>
              <w:rPr>
                <w:sz w:val="19"/>
                <w:szCs w:val="19"/>
                <w:color w:val="auto"/>
              </w:rPr>
            </w:pPr>
          </w:p>
        </w:tc>
        <w:tc>
          <w:tcPr>
            <w:tcW w:w="1020" w:type="dxa"/>
            <w:vAlign w:val="bottom"/>
            <w:tcBorders>
              <w:bottom w:val="single" w:sz="8" w:color="auto"/>
              <w:right w:val="single" w:sz="8" w:color="auto"/>
            </w:tcBorders>
          </w:tcPr>
          <w:p>
            <w:pPr>
              <w:spacing w:after="0"/>
              <w:rPr>
                <w:sz w:val="19"/>
                <w:szCs w:val="19"/>
                <w:color w:val="auto"/>
              </w:rPr>
            </w:pPr>
          </w:p>
        </w:tc>
        <w:tc>
          <w:tcPr>
            <w:tcW w:w="51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ongoing.</w:t>
            </w:r>
          </w:p>
        </w:tc>
        <w:tc>
          <w:tcPr>
            <w:tcW w:w="0" w:type="dxa"/>
            <w:vAlign w:val="bottom"/>
          </w:tcPr>
          <w:p>
            <w:pPr>
              <w:spacing w:after="0"/>
              <w:rPr>
                <w:sz w:val="1"/>
                <w:szCs w:val="1"/>
                <w:color w:val="auto"/>
              </w:rPr>
            </w:pPr>
          </w:p>
        </w:tc>
      </w:tr>
    </w:tbl>
    <w:p>
      <w:pPr>
        <w:spacing w:after="0" w:line="78" w:lineRule="exact"/>
        <w:rPr>
          <w:sz w:val="20"/>
          <w:szCs w:val="20"/>
          <w:color w:val="auto"/>
        </w:rPr>
      </w:pPr>
    </w:p>
    <w:p>
      <w:pPr>
        <w:ind w:left="160" w:hanging="152"/>
        <w:spacing w:after="0"/>
        <w:tabs>
          <w:tab w:leader="none" w:pos="160" w:val="left"/>
        </w:tabs>
        <w:numPr>
          <w:ilvl w:val="0"/>
          <w:numId w:val="22"/>
        </w:numPr>
        <w:rPr>
          <w:rFonts w:ascii="Arial" w:cs="Arial" w:eastAsia="Arial" w:hAnsi="Arial"/>
          <w:sz w:val="18"/>
          <w:szCs w:val="18"/>
          <w:color w:val="auto"/>
          <w:vertAlign w:val="superscript"/>
        </w:rPr>
      </w:pPr>
      <w:r>
        <w:rPr>
          <w:rFonts w:ascii="Arial" w:cs="Arial" w:eastAsia="Arial" w:hAnsi="Arial"/>
          <w:sz w:val="14"/>
          <w:szCs w:val="14"/>
          <w:color w:val="auto"/>
        </w:rPr>
        <w:t>Continued approval for this indication may be contingent on verification and description of clinical benefit in a confirmatory Phase III trial.</w:t>
      </w:r>
    </w:p>
    <w:p>
      <w:pPr>
        <w:spacing w:after="0" w:line="97" w:lineRule="exact"/>
        <w:rPr>
          <w:rFonts w:ascii="Arial" w:cs="Arial" w:eastAsia="Arial" w:hAnsi="Arial"/>
          <w:sz w:val="18"/>
          <w:szCs w:val="18"/>
          <w:color w:val="auto"/>
          <w:vertAlign w:val="superscript"/>
        </w:rPr>
      </w:pPr>
    </w:p>
    <w:p>
      <w:pPr>
        <w:ind w:left="180" w:right="140" w:hanging="172"/>
        <w:spacing w:after="0" w:line="225" w:lineRule="auto"/>
        <w:tabs>
          <w:tab w:leader="none" w:pos="168" w:val="left"/>
        </w:tabs>
        <w:numPr>
          <w:ilvl w:val="0"/>
          <w:numId w:val="22"/>
        </w:numPr>
        <w:rPr>
          <w:rFonts w:ascii="Arial" w:cs="Arial" w:eastAsia="Arial" w:hAnsi="Arial"/>
          <w:sz w:val="18"/>
          <w:szCs w:val="18"/>
          <w:color w:val="auto"/>
          <w:vertAlign w:val="superscript"/>
        </w:rPr>
      </w:pPr>
      <w:r>
        <w:rPr>
          <w:rFonts w:ascii="Arial" w:cs="Arial" w:eastAsia="Arial" w:hAnsi="Arial"/>
          <w:sz w:val="14"/>
          <w:szCs w:val="14"/>
          <w:color w:val="auto"/>
        </w:rPr>
        <w:t>As part of a conditional marketing authorization, results from an ongoing Phase III study will need to be provided. This study is fully enrolled. Until availability of the full data, the Committee for Medicinal Products for Human Use will review the benefits and risks of Lartruvo annually to determine whether the conditional marketing authorization can be maintained.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40"/>
          </w:cols>
          <w:pgMar w:left="240" w:top="706" w:right="219" w:bottom="1440" w:gutter="0" w:footer="0" w:header="0"/>
        </w:sectPr>
      </w:pPr>
    </w:p>
    <w:bookmarkStart w:id="38" w:name="page39"/>
    <w:bookmarkEnd w:id="38"/>
    <w:p>
      <w:pPr>
        <w:spacing w:after="0"/>
        <w:rPr>
          <w:sz w:val="20"/>
          <w:szCs w:val="20"/>
          <w:color w:val="auto"/>
        </w:rPr>
      </w:pPr>
      <w:r>
        <w:rPr>
          <w:rFonts w:ascii="Arial" w:cs="Arial" w:eastAsia="Arial" w:hAnsi="Arial"/>
          <w:sz w:val="18"/>
          <w:szCs w:val="18"/>
          <w:b w:val="1"/>
          <w:bCs w:val="1"/>
          <w:color w:val="auto"/>
        </w:rPr>
        <w:t>Other Matters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Elanco Animal Health</w:t>
      </w:r>
    </w:p>
    <w:p>
      <w:pPr>
        <w:spacing w:after="0" w:line="135" w:lineRule="exact"/>
        <w:rPr>
          <w:sz w:val="20"/>
          <w:szCs w:val="20"/>
          <w:color w:val="auto"/>
        </w:rPr>
      </w:pPr>
    </w:p>
    <w:p>
      <w:pPr>
        <w:ind w:right="180"/>
        <w:spacing w:after="0" w:line="262" w:lineRule="auto"/>
        <w:rPr>
          <w:sz w:val="20"/>
          <w:szCs w:val="20"/>
          <w:color w:val="auto"/>
        </w:rPr>
      </w:pPr>
      <w:r>
        <w:rPr>
          <w:rFonts w:ascii="Arial" w:cs="Arial" w:eastAsia="Arial" w:hAnsi="Arial"/>
          <w:sz w:val="18"/>
          <w:szCs w:val="18"/>
          <w:color w:val="auto"/>
        </w:rPr>
        <w:t>We are reviewing strategic alternatives for Elanco Animal Health (our animal health segment), including an initial public offering, merger, sale, or retention of the business, and will provide an update no later than the middle of 2018.</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Patent Matters</w:t>
      </w:r>
    </w:p>
    <w:p>
      <w:pPr>
        <w:spacing w:after="0" w:line="135" w:lineRule="exact"/>
        <w:rPr>
          <w:sz w:val="20"/>
          <w:szCs w:val="20"/>
          <w:color w:val="auto"/>
        </w:rPr>
      </w:pPr>
    </w:p>
    <w:p>
      <w:pPr>
        <w:ind w:right="100"/>
        <w:spacing w:after="0" w:line="235" w:lineRule="auto"/>
        <w:rPr>
          <w:sz w:val="20"/>
          <w:szCs w:val="20"/>
          <w:color w:val="auto"/>
        </w:rPr>
      </w:pPr>
      <w:r>
        <w:rPr>
          <w:rFonts w:ascii="Arial" w:cs="Arial" w:eastAsia="Arial" w:hAnsi="Arial"/>
          <w:sz w:val="18"/>
          <w:szCs w:val="18"/>
          <w:color w:val="auto"/>
        </w:rPr>
        <w:t>We depend on patents or other forms of intellectual-property protection for most of our revenue, cash flows, and earnings. We lost our patent exclusivity for Strattera</w:t>
      </w:r>
      <w:r>
        <w:rPr>
          <w:rFonts w:ascii="Arial" w:cs="Arial" w:eastAsia="Arial" w:hAnsi="Arial"/>
          <w:sz w:val="21"/>
          <w:szCs w:val="21"/>
          <w:color w:val="auto"/>
          <w:vertAlign w:val="superscript"/>
        </w:rPr>
        <w:t>®</w:t>
      </w:r>
      <w:r>
        <w:rPr>
          <w:rFonts w:ascii="Arial" w:cs="Arial" w:eastAsia="Arial" w:hAnsi="Arial"/>
          <w:sz w:val="18"/>
          <w:szCs w:val="18"/>
          <w:color w:val="auto"/>
        </w:rPr>
        <w:t xml:space="preserve"> in the U.S. in May 2017, and generic versions of Strattera were approved in the same month. As described in Note 10 to the consolidated condensed financial statements, following the settlement related to the compound patent challenge for Effient</w:t>
      </w:r>
      <w:r>
        <w:rPr>
          <w:rFonts w:ascii="Arial" w:cs="Arial" w:eastAsia="Arial" w:hAnsi="Arial"/>
          <w:sz w:val="21"/>
          <w:szCs w:val="21"/>
          <w:color w:val="auto"/>
          <w:vertAlign w:val="superscript"/>
        </w:rPr>
        <w:t>®</w:t>
      </w:r>
      <w:r>
        <w:rPr>
          <w:rFonts w:ascii="Arial" w:cs="Arial" w:eastAsia="Arial" w:hAnsi="Arial"/>
          <w:sz w:val="18"/>
          <w:szCs w:val="18"/>
          <w:color w:val="auto"/>
        </w:rPr>
        <w:t>, generic products launched in the U.S. in the third quarter of 2017. The entry of generic competition for these products has caused a rapid and severe decline in revenue, which will, in the aggregate, have a material adverse effect on our consolidated results of operations and cash flows.</w:t>
      </w:r>
    </w:p>
    <w:p>
      <w:pPr>
        <w:spacing w:after="0" w:line="105" w:lineRule="exact"/>
        <w:rPr>
          <w:sz w:val="20"/>
          <w:szCs w:val="20"/>
          <w:color w:val="auto"/>
        </w:rPr>
      </w:pPr>
    </w:p>
    <w:p>
      <w:pPr>
        <w:ind w:right="200"/>
        <w:spacing w:after="0" w:line="243" w:lineRule="auto"/>
        <w:rPr>
          <w:sz w:val="20"/>
          <w:szCs w:val="20"/>
          <w:color w:val="auto"/>
        </w:rPr>
      </w:pPr>
      <w:r>
        <w:rPr>
          <w:rFonts w:ascii="Arial" w:cs="Arial" w:eastAsia="Arial" w:hAnsi="Arial"/>
          <w:sz w:val="18"/>
          <w:szCs w:val="18"/>
          <w:color w:val="auto"/>
        </w:rPr>
        <w:t>Our compound patent protection for Cialis</w:t>
      </w:r>
      <w:r>
        <w:rPr>
          <w:rFonts w:ascii="Arial" w:cs="Arial" w:eastAsia="Arial" w:hAnsi="Arial"/>
          <w:sz w:val="21"/>
          <w:szCs w:val="21"/>
          <w:color w:val="auto"/>
          <w:vertAlign w:val="superscript"/>
        </w:rPr>
        <w:t>®</w:t>
      </w:r>
      <w:r>
        <w:rPr>
          <w:rFonts w:ascii="Arial" w:cs="Arial" w:eastAsia="Arial" w:hAnsi="Arial"/>
          <w:sz w:val="18"/>
          <w:szCs w:val="18"/>
          <w:color w:val="auto"/>
        </w:rPr>
        <w:t xml:space="preserve"> (tadalafil) and Adcirca</w:t>
      </w:r>
      <w:r>
        <w:rPr>
          <w:rFonts w:ascii="Arial" w:cs="Arial" w:eastAsia="Arial" w:hAnsi="Arial"/>
          <w:sz w:val="21"/>
          <w:szCs w:val="21"/>
          <w:color w:val="auto"/>
          <w:vertAlign w:val="superscript"/>
        </w:rPr>
        <w:t>®</w:t>
      </w:r>
      <w:r>
        <w:rPr>
          <w:rFonts w:ascii="Arial" w:cs="Arial" w:eastAsia="Arial" w:hAnsi="Arial"/>
          <w:sz w:val="18"/>
          <w:szCs w:val="18"/>
          <w:color w:val="auto"/>
        </w:rPr>
        <w:t xml:space="preserve"> (tadalafil) expired in major European markets and the U.S. in November 2017, however, in the U.S., we were granted pediatric exclusivity through May 2018. Cialis is also protected by a unit dose patent in the U.S., where we expect exclusivity to end in late September 2018 at the earliest. We expect that the entry of generic competition into these markets following the loss of exclusivity will cause a rapid and severe decline in revenue for the affected products, which will, in the aggregate, have a material adverse effect on our consolidated results of operations and cash flows.</w:t>
      </w:r>
    </w:p>
    <w:p>
      <w:pPr>
        <w:spacing w:after="0" w:line="106" w:lineRule="exact"/>
        <w:rPr>
          <w:sz w:val="20"/>
          <w:szCs w:val="20"/>
          <w:color w:val="auto"/>
        </w:rPr>
      </w:pPr>
    </w:p>
    <w:p>
      <w:pPr>
        <w:ind w:right="100"/>
        <w:spacing w:after="0" w:line="248" w:lineRule="auto"/>
        <w:rPr>
          <w:sz w:val="20"/>
          <w:szCs w:val="20"/>
          <w:color w:val="auto"/>
        </w:rPr>
      </w:pPr>
      <w:r>
        <w:rPr>
          <w:rFonts w:ascii="Arial" w:cs="Arial" w:eastAsia="Arial" w:hAnsi="Arial"/>
          <w:sz w:val="18"/>
          <w:szCs w:val="18"/>
          <w:color w:val="auto"/>
        </w:rPr>
        <w:t>Additionally, as described in Note 10 to the consolidated condensed financial statements, the Alimta</w:t>
      </w:r>
      <w:r>
        <w:rPr>
          <w:rFonts w:ascii="Arial" w:cs="Arial" w:eastAsia="Arial" w:hAnsi="Arial"/>
          <w:sz w:val="21"/>
          <w:szCs w:val="21"/>
          <w:color w:val="auto"/>
          <w:vertAlign w:val="superscript"/>
        </w:rPr>
        <w:t>®</w:t>
      </w:r>
      <w:r>
        <w:rPr>
          <w:rFonts w:ascii="Arial" w:cs="Arial" w:eastAsia="Arial" w:hAnsi="Arial"/>
          <w:sz w:val="18"/>
          <w:szCs w:val="18"/>
          <w:color w:val="auto"/>
        </w:rPr>
        <w:t xml:space="preserve"> vitamin regimen patents, which provide us with patent protection for Alimta through June 2021 in Japan and major European countries, and through May 2022 in the U.S., have been challenged in each of these jurisdictions. Our vitamin regimen patents have also been challenged in other smaller European jurisdictions. Our compound patent for Alimta expired in the U.S. in January 2017, and expired in major European countries and Japan in December 2015. We expect that the entry of generic competition for Alimta following the loss of effective patent protection will cause a rapid and severe decline in revenue for the product, which will, in the aggregate, have a material adverse effect on our consolidated results of operations and cash flows. While the U.S. Patent and Trademark Office ruled in our favor in October 2017 regarding the validity of the vitamin regimen patent, the generic companies which filed petitions seeking inter partes review of our vitamin regimen patent have appealed these rulings as further described in Note 10 to the consolidated condensed financial statements. We are aware that generic competitors have received approval to market generic versions of pemetrexed in major European markets, and that a generic product is currently on the market in at least one major European market. In light of the United Kingdom (U.K.) Supreme Court's judgment finding infringement in the U.K., Italy, France, and Spain, Actavis has withdrawn its previously launched-at-risk generic products from these markets. We will continue to seek to remove any generic pemetrexed products launched at risk in other European markets. Notwithstanding our patents, generic versions of Alimta were also approved in Japan starting in February 2016. As described in Note 10 to the consolidated condensed financial statements, we do not currently anticipate that generic versions of Alimta will proceed to pricing approval.</w:t>
      </w:r>
    </w:p>
    <w:p>
      <w:pPr>
        <w:spacing w:after="0" w:line="105"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The compound patent for Humalog</w:t>
      </w:r>
      <w:r>
        <w:rPr>
          <w:rFonts w:ascii="Arial" w:cs="Arial" w:eastAsia="Arial" w:hAnsi="Arial"/>
          <w:sz w:val="21"/>
          <w:szCs w:val="21"/>
          <w:color w:val="auto"/>
          <w:vertAlign w:val="superscript"/>
        </w:rPr>
        <w:t>®</w:t>
      </w:r>
      <w:r>
        <w:rPr>
          <w:rFonts w:ascii="Arial" w:cs="Arial" w:eastAsia="Arial" w:hAnsi="Arial"/>
          <w:sz w:val="18"/>
          <w:szCs w:val="18"/>
          <w:color w:val="auto"/>
        </w:rPr>
        <w:t xml:space="preserve"> (insulin lispro) has expired in major markets. Thus far, the loss of compound patent protection for Humalog has not resulted in a rapid and severe decline in revenue. Global regulators have different legal pathways to approve similar versions of insulin lispro. A similar version of insulin lispro has received approval in the U.S. and could launch soon. We are also aware that a competitor's insulin lispro product has launched in certain European markets. Other manufacturers have efforts underway to bring to market a similar version of insulin lispro in the U.S. and Europe. While it is difficult to estimate the severity of the impact of similar insulin lispro products entering the market, we do not expect a rapid and severe decline in revenue; however, we expect additional pricing pressure and some loss of market share initially that would continue over time.</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Foreign Currency Exchange Rates</w:t>
      </w:r>
    </w:p>
    <w:p>
      <w:pPr>
        <w:spacing w:after="0" w:line="135"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As a global company with substantial operations outside the U.S., we face foreign currency risk exposure from fluctuating currency exchange rates, primarily the U.S. dollar against the euro, Japanese yen, British pound, and Chinese Renminbi. While we manage a portion of these exposures through hedging and other risk management techniques, significant fluctuations in currency rates can have a substantial impact, either positive or negative, on our revenue, cost of sales, and operating expenses. Over the past two years, we have seen significant foreign currency rate fluctuations between the U.S. dollar and several other foreign currencies, including the euro, British pound, and Japanese yen. While there is uncertainty in the future movements in foreign exchange rates, these fluctuations could negatively impact our future consolidated results of operations and cash flows.</w:t>
      </w: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738" w:right="239" w:bottom="1440" w:gutter="0" w:footer="0" w:header="0"/>
        </w:sectPr>
      </w:pPr>
    </w:p>
    <w:bookmarkStart w:id="39" w:name="page40"/>
    <w:bookmarkEnd w:id="39"/>
    <w:p>
      <w:pPr>
        <w:spacing w:after="0"/>
        <w:rPr>
          <w:sz w:val="20"/>
          <w:szCs w:val="20"/>
          <w:color w:val="auto"/>
        </w:rPr>
      </w:pPr>
      <w:r>
        <w:rPr>
          <w:rFonts w:ascii="Arial" w:cs="Arial" w:eastAsia="Arial" w:hAnsi="Arial"/>
          <w:sz w:val="18"/>
          <w:szCs w:val="18"/>
          <w:i w:val="1"/>
          <w:iCs w:val="1"/>
          <w:u w:val="single" w:color="auto"/>
          <w:color w:val="auto"/>
        </w:rPr>
        <w:t>Trends Affecting Pharmaceutical Pricing, Reimbursement, and Access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United States</w:t>
      </w:r>
    </w:p>
    <w:p>
      <w:pPr>
        <w:spacing w:after="0" w:line="135"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In the U.S., public concern over access to and affordability of pharmaceuticals continues to drive the regulatory and legislative debate. These policy and political issues increase the risk that taxes, fees, rebates, or other federal and state measures may be enacted. Key health policy proposals affecting biopharmaceuticals include a reduction in biologic data exclusivity, modifications to Medicare Parts B and D, language that would allow the Department of Health and Human Services to negotiate prices for biologics and drugs in Medicare, proposals that would require biopharmaceutical manufacturers to disclose proprietary drug pricing information, and state-level proposals related to prescription drug prices and reducing the cost of pharmaceuticals purchased by government health care programs. Several states enacted legislation in 2017 related to prescription drug pricing transparency. Savings projected under these proposals are targeted as a means to fund both health care expenditures and non-health care initiatives, or to manage federal and state budgets. The Bipartisan Budget Act, enacted on February 9, 2018, will require manufacturers of brand-name drugs, biologics, and biosimilars to pay a 70 percent discount in the Medicare Part D Coverage Gap, up from the current 50 percent discount. This increase in Coverage Gap discounts will be effective beginning in 2019.</w:t>
      </w:r>
    </w:p>
    <w:p>
      <w:pPr>
        <w:spacing w:after="0" w:line="104"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In the private sector, consolidation and integration among healthcare providers is also a major factor in the competitive marketplace for human pharmaceuticals. Health plans, pharmaceutical benefit managers, wholesalers, and other supply chain stakeholders have been consolidating into fewer, larger entities, increasingly through vertical integration, thus enhancing their purchasing strength and importance. Payers typically maintain formularies which specify coverage (the conditions under which drugs are included on a plan's formulary) and reimbursement (the associated out-of-pocket cost to the consumer). Formulary placement can lead to reduced usage of a drug for the relevant patient population due to coverage restrictions, such as prior authorizations and formulary exclusions, or due to reimbursement limitations which result in higher consumer out-of-pocket cost, such as non-preferred co-pay tiers, increased co-insurance levels and higher deductibles. Consequently, pharmaceutical companies compete for formulary placement not only on the basis of product attributes such as greater efficacy, fewer side effects, or greater patient ease of use, but also by providing rebates. Price is an increasingly important factor in formulary decisions, particularly in treatment areas in which the payer has taken the position that multiple branded products are therapeutically comparable. These downward pricing pressures could negatively affect future consolidated results of operations and cash flows.</w:t>
      </w:r>
    </w:p>
    <w:p>
      <w:pPr>
        <w:spacing w:after="0" w:line="104" w:lineRule="exact"/>
        <w:rPr>
          <w:sz w:val="20"/>
          <w:szCs w:val="20"/>
          <w:color w:val="auto"/>
        </w:rPr>
      </w:pPr>
    </w:p>
    <w:p>
      <w:pPr>
        <w:ind w:right="100"/>
        <w:spacing w:after="0" w:line="251" w:lineRule="auto"/>
        <w:rPr>
          <w:sz w:val="20"/>
          <w:szCs w:val="20"/>
          <w:color w:val="auto"/>
        </w:rPr>
      </w:pPr>
      <w:r>
        <w:rPr>
          <w:rFonts w:ascii="Arial" w:cs="Arial" w:eastAsia="Arial" w:hAnsi="Arial"/>
          <w:sz w:val="18"/>
          <w:szCs w:val="18"/>
          <w:color w:val="auto"/>
        </w:rPr>
        <w:t>The main coverage expansion provisions of the Affordable Care Act (ACA) are currently in effect through both state-based exchanges and the expansion of Medicaid. A trend has been the prevalence of benefit designs containing high out-of-pocket costs for patients, particularly for pharmaceuticals. In addition to the coverage expansions, many employers in the commercial market, driven in part by ACA changes such as the 2022 implementation of the excise tax on employer-sponsored health care coverage for which there is an excess benefit (the so-called "Cadillac tax"), continue to evaluate strategies such as private exchanges and wider use of consumer-driven health plans to reduce their healthcare liabilities over time. Repealing and replacing the ACA remains a priority for President Trump and Congress. Provisions included in final legislation could have a material adverse effect on our consolidated results of operations and cash flows. At the same time, the broader paradigm shift towards performance-based reimbursement and the launch of several value-based purchasing initiatives have placed demands on the pharmaceutical industry to offer products with proven real-world outcomes data and a favorable economic profile.</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International</w:t>
      </w:r>
    </w:p>
    <w:p>
      <w:pPr>
        <w:spacing w:after="0" w:line="135"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International operations also are generally subject to extensive price and market regulations. Cost-containment measures exist in a number of countries, including additional price controls and mechanisms to limit reimbursement for our products. Such policies are expected to increase in impact and reach given the pressures on national and regional health care budgets that come from a growing aging population and ongoing economic challenges. As additional reforms are finalized, we will assess their impact on future revenues. In addition, governments in many emerging markets are becoming increasingly active in expanding health care system offerings. Given the budget challenges of increasing health care coverage for citizens, policies may be proposed that promote generics and biosimilars only and reduce current and future access to branded human pharmaceutical products.</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Tax Matters</w:t>
      </w:r>
    </w:p>
    <w:p>
      <w:pPr>
        <w:spacing w:after="0" w:line="135" w:lineRule="exact"/>
        <w:rPr>
          <w:sz w:val="20"/>
          <w:szCs w:val="20"/>
          <w:color w:val="auto"/>
        </w:rPr>
      </w:pPr>
    </w:p>
    <w:p>
      <w:pPr>
        <w:ind w:right="100"/>
        <w:spacing w:after="0" w:line="274" w:lineRule="auto"/>
        <w:rPr>
          <w:sz w:val="20"/>
          <w:szCs w:val="20"/>
          <w:color w:val="auto"/>
        </w:rPr>
      </w:pPr>
      <w:r>
        <w:rPr>
          <w:rFonts w:ascii="Arial" w:cs="Arial" w:eastAsia="Arial" w:hAnsi="Arial"/>
          <w:sz w:val="17"/>
          <w:szCs w:val="17"/>
          <w:color w:val="auto"/>
        </w:rPr>
        <w:t>We are subject to income taxes in the U.S. and numerous foreign jurisdictions. Changes in the relevant tax laws, regulations, administrative practices, principles, and interpretations could adversely affect our future effective tax rates. The U.S. recently enacted tax reform legislation significantly revising U.S. tax law, and a number of other countries are actively considering or enacting tax changes. Other organizations, such as the Organisation for Economic Co-operation and Development and the European Commission, are active regarding tax-related matters,</w:t>
      </w: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00"/>
          </w:cols>
          <w:pgMar w:left="240" w:top="688" w:right="259" w:bottom="1440" w:gutter="0" w:footer="0" w:header="0"/>
        </w:sectPr>
      </w:pPr>
    </w:p>
    <w:bookmarkStart w:id="40" w:name="page41"/>
    <w:bookmarkEnd w:id="40"/>
    <w:p>
      <w:pPr>
        <w:ind w:right="440"/>
        <w:spacing w:after="0" w:line="256" w:lineRule="auto"/>
        <w:rPr>
          <w:sz w:val="20"/>
          <w:szCs w:val="20"/>
          <w:color w:val="auto"/>
        </w:rPr>
      </w:pPr>
      <w:r>
        <w:rPr>
          <w:rFonts w:ascii="Arial" w:cs="Arial" w:eastAsia="Arial" w:hAnsi="Arial"/>
          <w:sz w:val="18"/>
          <w:szCs w:val="18"/>
          <w:color w:val="auto"/>
        </w:rPr>
        <w:t>which could influence international tax policy in countries in which we operate. While outcomes of these initiatives continue to develop and remain uncertain, modifications to key elements of the U.S. or international tax framework could have a material adverse effect on our consolidated results of operations and cash flows.</w:t>
      </w:r>
    </w:p>
    <w:p>
      <w:pPr>
        <w:spacing w:after="0" w:line="94"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Our accounting for the Tax Cuts and Jobs Act (2017 Tax Act), signed into law in December 2017, is incomplete; however, we expect to complete our accounting by December 2018. In the fourth quarter of 2017 we recorded provisional adjustments for effects that we were able to reasonably estimate. Refer to Note 8 to the consolidated condensed financial statements for further information related to the 2017 Tax Act.</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Acquisitions</w:t>
      </w:r>
    </w:p>
    <w:p>
      <w:pPr>
        <w:spacing w:after="0" w:line="135" w:lineRule="exact"/>
        <w:rPr>
          <w:sz w:val="20"/>
          <w:szCs w:val="20"/>
          <w:color w:val="auto"/>
        </w:rPr>
      </w:pPr>
    </w:p>
    <w:p>
      <w:pPr>
        <w:ind w:right="440"/>
        <w:spacing w:after="0" w:line="262" w:lineRule="auto"/>
        <w:rPr>
          <w:sz w:val="20"/>
          <w:szCs w:val="20"/>
          <w:color w:val="auto"/>
        </w:rPr>
      </w:pPr>
      <w:r>
        <w:rPr>
          <w:rFonts w:ascii="Arial" w:cs="Arial" w:eastAsia="Arial" w:hAnsi="Arial"/>
          <w:sz w:val="18"/>
          <w:szCs w:val="18"/>
          <w:color w:val="auto"/>
        </w:rPr>
        <w:t>See Note 3 to the consolidated condensed financial statements for discussion regarding our recent acquisitions of businesses and assets, including:</w:t>
      </w:r>
    </w:p>
    <w:p>
      <w:pPr>
        <w:spacing w:after="0" w:line="88" w:lineRule="exact"/>
        <w:rPr>
          <w:sz w:val="20"/>
          <w:szCs w:val="20"/>
          <w:color w:val="auto"/>
        </w:rPr>
      </w:pPr>
    </w:p>
    <w:p>
      <w:pPr>
        <w:ind w:left="660" w:right="360" w:hanging="328"/>
        <w:spacing w:after="0" w:line="262"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acquisition of Boehringer Ingelheim Vetmedica, Inc.'s U.S. feline, canine, and rabies vaccine portfolio and other related assets, completed on January 3, 2017, in an all-cash transaction for $882.1 million.</w:t>
      </w:r>
    </w:p>
    <w:p>
      <w:pPr>
        <w:spacing w:after="0" w:line="88"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acquisition of CoLucid, completed on March 1, 2017, for a cash purchase price of $831.8 million, net of cash acquired.</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Legal Matters</w:t>
      </w:r>
    </w:p>
    <w:p>
      <w:pPr>
        <w:spacing w:after="0" w:line="135" w:lineRule="exact"/>
        <w:rPr>
          <w:sz w:val="20"/>
          <w:szCs w:val="20"/>
          <w:color w:val="auto"/>
        </w:rPr>
      </w:pPr>
    </w:p>
    <w:p>
      <w:pPr>
        <w:ind w:right="500"/>
        <w:spacing w:after="0" w:line="262" w:lineRule="auto"/>
        <w:rPr>
          <w:sz w:val="20"/>
          <w:szCs w:val="20"/>
          <w:color w:val="auto"/>
        </w:rPr>
      </w:pPr>
      <w:r>
        <w:rPr>
          <w:rFonts w:ascii="Arial" w:cs="Arial" w:eastAsia="Arial" w:hAnsi="Arial"/>
          <w:sz w:val="18"/>
          <w:szCs w:val="18"/>
          <w:color w:val="auto"/>
        </w:rPr>
        <w:t>Information regarding contingencies relating to certain legal proceedings can be found in Note 10 to the consolidated condensed financial statements and is incorporated here by reference.</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summarize our revenue activity by region:</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9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140" w:type="dxa"/>
            <w:vAlign w:val="bottom"/>
            <w:gridSpan w:val="4"/>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9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60" w:type="dxa"/>
            <w:vAlign w:val="bottom"/>
          </w:tcPr>
          <w:p>
            <w:pPr>
              <w:spacing w:after="0"/>
              <w:rPr>
                <w:sz w:val="14"/>
                <w:szCs w:val="14"/>
                <w:color w:val="auto"/>
              </w:rPr>
            </w:pPr>
          </w:p>
        </w:tc>
      </w:tr>
      <w:tr>
        <w:trPr>
          <w:trHeight w:val="196"/>
        </w:trPr>
        <w:tc>
          <w:tcPr>
            <w:tcW w:w="596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March 31,</w:t>
            </w:r>
          </w:p>
        </w:tc>
        <w:tc>
          <w:tcPr>
            <w:tcW w:w="4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480" w:type="dxa"/>
            <w:vAlign w:val="bottom"/>
          </w:tcPr>
          <w:p>
            <w:pPr>
              <w:spacing w:after="0"/>
              <w:rPr>
                <w:sz w:val="17"/>
                <w:szCs w:val="17"/>
                <w:color w:val="auto"/>
              </w:rPr>
            </w:pPr>
          </w:p>
        </w:tc>
        <w:tc>
          <w:tcPr>
            <w:tcW w:w="1460" w:type="dxa"/>
            <w:vAlign w:val="bottom"/>
          </w:tcPr>
          <w:p>
            <w:pPr>
              <w:spacing w:after="0"/>
              <w:rPr>
                <w:sz w:val="17"/>
                <w:szCs w:val="17"/>
                <w:color w:val="auto"/>
              </w:rPr>
            </w:pPr>
          </w:p>
        </w:tc>
      </w:tr>
      <w:tr>
        <w:trPr>
          <w:trHeight w:val="264"/>
        </w:trPr>
        <w:tc>
          <w:tcPr>
            <w:tcW w:w="596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560" w:type="dxa"/>
            <w:vAlign w:val="bottom"/>
            <w:tcBorders>
              <w:bottom w:val="single" w:sz="8" w:color="auto"/>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gridSpan w:val="2"/>
          </w:tcPr>
          <w:p>
            <w:pPr>
              <w:jc w:val="right"/>
              <w:ind w:right="597"/>
              <w:spacing w:after="0"/>
              <w:rPr>
                <w:sz w:val="20"/>
                <w:szCs w:val="20"/>
                <w:color w:val="auto"/>
              </w:rPr>
            </w:pPr>
            <w:r>
              <w:rPr>
                <w:rFonts w:ascii="Arial" w:cs="Arial" w:eastAsia="Arial" w:hAnsi="Arial"/>
                <w:sz w:val="14"/>
                <w:szCs w:val="14"/>
                <w:b w:val="1"/>
                <w:bCs w:val="1"/>
                <w:color w:val="auto"/>
              </w:rPr>
              <w:t>2017</w:t>
            </w:r>
          </w:p>
        </w:tc>
        <w:tc>
          <w:tcPr>
            <w:tcW w:w="48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Percent Change</w:t>
            </w:r>
          </w:p>
        </w:tc>
      </w:tr>
      <w:tr>
        <w:trPr>
          <w:trHeight w:val="270"/>
        </w:trPr>
        <w:tc>
          <w:tcPr>
            <w:tcW w:w="5960" w:type="dxa"/>
            <w:vAlign w:val="bottom"/>
            <w:shd w:val="clear" w:color="auto" w:fill="CCEEFF"/>
          </w:tcPr>
          <w:p>
            <w:pPr>
              <w:ind w:left="40"/>
              <w:spacing w:after="0"/>
              <w:rPr>
                <w:sz w:val="20"/>
                <w:szCs w:val="20"/>
                <w:color w:val="auto"/>
              </w:rPr>
            </w:pPr>
            <w:r>
              <w:rPr>
                <w:rFonts w:ascii="Arial" w:cs="Arial" w:eastAsia="Arial" w:hAnsi="Arial"/>
                <w:sz w:val="18"/>
                <w:szCs w:val="18"/>
                <w:color w:val="auto"/>
              </w:rPr>
              <w:t xml:space="preserve">U.S. </w:t>
            </w:r>
            <w:r>
              <w:rPr>
                <w:rFonts w:ascii="Arial" w:cs="Arial" w:eastAsia="Arial" w:hAnsi="Arial"/>
                <w:sz w:val="21"/>
                <w:szCs w:val="21"/>
                <w:color w:val="auto"/>
                <w:vertAlign w:val="superscript"/>
              </w:rPr>
              <w:t>(1)</w:t>
            </w: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b w:val="1"/>
                <w:bCs w:val="1"/>
                <w:color w:val="auto"/>
                <w:w w:val="99"/>
              </w:rPr>
              <w:t>$</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3,154.7</w:t>
            </w:r>
          </w:p>
        </w:tc>
        <w:tc>
          <w:tcPr>
            <w:tcW w:w="480" w:type="dxa"/>
            <w:vAlign w:val="bottom"/>
            <w:shd w:val="clear" w:color="auto" w:fill="CCEEFF"/>
          </w:tcPr>
          <w:p>
            <w:pPr>
              <w:jc w:val="right"/>
              <w:ind w:right="96"/>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23"/>
                <w:szCs w:val="23"/>
                <w:color w:val="auto"/>
              </w:rPr>
            </w:pPr>
          </w:p>
        </w:tc>
        <w:tc>
          <w:tcPr>
            <w:tcW w:w="9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2,933.5</w:t>
            </w:r>
          </w:p>
        </w:tc>
        <w:tc>
          <w:tcPr>
            <w:tcW w:w="480" w:type="dxa"/>
            <w:vAlign w:val="bottom"/>
            <w:shd w:val="clear" w:color="auto" w:fill="CCEEFF"/>
          </w:tcPr>
          <w:p>
            <w:pPr>
              <w:spacing w:after="0"/>
              <w:rPr>
                <w:sz w:val="23"/>
                <w:szCs w:val="23"/>
                <w:color w:val="auto"/>
              </w:rPr>
            </w:pPr>
          </w:p>
        </w:tc>
        <w:tc>
          <w:tcPr>
            <w:tcW w:w="1460" w:type="dxa"/>
            <w:vAlign w:val="bottom"/>
            <w:shd w:val="clear" w:color="auto" w:fill="CCEEFF"/>
          </w:tcPr>
          <w:p>
            <w:pPr>
              <w:jc w:val="center"/>
              <w:ind w:right="274"/>
              <w:spacing w:after="0"/>
              <w:rPr>
                <w:sz w:val="20"/>
                <w:szCs w:val="20"/>
                <w:color w:val="auto"/>
              </w:rPr>
            </w:pPr>
            <w:r>
              <w:rPr>
                <w:rFonts w:ascii="Arial" w:cs="Arial" w:eastAsia="Arial" w:hAnsi="Arial"/>
                <w:sz w:val="18"/>
                <w:szCs w:val="18"/>
                <w:color w:val="auto"/>
                <w:w w:val="99"/>
              </w:rPr>
              <w:t>8</w:t>
            </w:r>
          </w:p>
        </w:tc>
      </w:tr>
      <w:tr>
        <w:trPr>
          <w:trHeight w:val="264"/>
        </w:trPr>
        <w:tc>
          <w:tcPr>
            <w:tcW w:w="59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Outside U.S.</w:t>
            </w:r>
          </w:p>
        </w:tc>
        <w:tc>
          <w:tcPr>
            <w:tcW w:w="40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2,545.3</w:t>
            </w:r>
          </w:p>
        </w:tc>
        <w:tc>
          <w:tcPr>
            <w:tcW w:w="48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ind w:left="280"/>
              <w:spacing w:after="0"/>
              <w:rPr>
                <w:sz w:val="20"/>
                <w:szCs w:val="20"/>
                <w:color w:val="auto"/>
              </w:rPr>
            </w:pPr>
            <w:r>
              <w:rPr>
                <w:rFonts w:ascii="Arial" w:cs="Arial" w:eastAsia="Arial" w:hAnsi="Arial"/>
                <w:sz w:val="18"/>
                <w:szCs w:val="18"/>
                <w:color w:val="auto"/>
              </w:rPr>
              <w:t>2,294.8</w:t>
            </w:r>
          </w:p>
        </w:tc>
        <w:tc>
          <w:tcPr>
            <w:tcW w:w="480" w:type="dxa"/>
            <w:vAlign w:val="bottom"/>
            <w:tcBorders>
              <w:bottom w:val="single" w:sz="8" w:color="CCEEFF"/>
            </w:tcBorders>
          </w:tcPr>
          <w:p>
            <w:pPr>
              <w:spacing w:after="0"/>
              <w:rPr>
                <w:sz w:val="22"/>
                <w:szCs w:val="22"/>
                <w:color w:val="auto"/>
              </w:rPr>
            </w:pPr>
          </w:p>
        </w:tc>
        <w:tc>
          <w:tcPr>
            <w:tcW w:w="1460" w:type="dxa"/>
            <w:vAlign w:val="bottom"/>
            <w:tcBorders>
              <w:bottom w:val="single" w:sz="8" w:color="CCEEFF"/>
            </w:tcBorders>
          </w:tcPr>
          <w:p>
            <w:pPr>
              <w:jc w:val="center"/>
              <w:ind w:right="294"/>
              <w:spacing w:after="0"/>
              <w:rPr>
                <w:sz w:val="20"/>
                <w:szCs w:val="20"/>
                <w:color w:val="auto"/>
              </w:rPr>
            </w:pPr>
            <w:r>
              <w:rPr>
                <w:rFonts w:ascii="Arial" w:cs="Arial" w:eastAsia="Arial" w:hAnsi="Arial"/>
                <w:sz w:val="18"/>
                <w:szCs w:val="18"/>
                <w:color w:val="auto"/>
                <w:w w:val="99"/>
              </w:rPr>
              <w:t>11</w:t>
            </w:r>
          </w:p>
        </w:tc>
      </w:tr>
      <w:tr>
        <w:trPr>
          <w:trHeight w:val="290"/>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b w:val="1"/>
                <w:bCs w:val="1"/>
                <w:color w:val="auto"/>
                <w:w w:val="99"/>
              </w:rPr>
              <w:t>$</w:t>
            </w:r>
          </w:p>
        </w:tc>
        <w:tc>
          <w:tcPr>
            <w:tcW w:w="12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5,700.0</w:t>
            </w:r>
          </w:p>
        </w:tc>
        <w:tc>
          <w:tcPr>
            <w:tcW w:w="480" w:type="dxa"/>
            <w:vAlign w:val="bottom"/>
            <w:tcBorders>
              <w:bottom w:val="single" w:sz="8" w:color="auto"/>
            </w:tcBorders>
            <w:shd w:val="clear" w:color="auto" w:fill="CCEEFF"/>
          </w:tcPr>
          <w:p>
            <w:pPr>
              <w:jc w:val="right"/>
              <w:ind w:right="96"/>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auto"/>
            </w:tcBorders>
            <w:shd w:val="clear" w:color="auto" w:fill="CCEEFF"/>
          </w:tcPr>
          <w:p>
            <w:pPr>
              <w:spacing w:after="0"/>
              <w:rPr>
                <w:sz w:val="24"/>
                <w:szCs w:val="24"/>
                <w:color w:val="auto"/>
              </w:rPr>
            </w:pPr>
          </w:p>
        </w:tc>
        <w:tc>
          <w:tcPr>
            <w:tcW w:w="980" w:type="dxa"/>
            <w:vAlign w:val="bottom"/>
            <w:tcBorders>
              <w:bottom w:val="single" w:sz="8" w:color="auto"/>
            </w:tcBorders>
            <w:shd w:val="clear" w:color="auto" w:fill="CCEEFF"/>
          </w:tcPr>
          <w:p>
            <w:pPr>
              <w:ind w:left="280"/>
              <w:spacing w:after="0"/>
              <w:rPr>
                <w:sz w:val="20"/>
                <w:szCs w:val="20"/>
                <w:color w:val="auto"/>
              </w:rPr>
            </w:pPr>
            <w:r>
              <w:rPr>
                <w:rFonts w:ascii="Arial" w:cs="Arial" w:eastAsia="Arial" w:hAnsi="Arial"/>
                <w:sz w:val="18"/>
                <w:szCs w:val="18"/>
                <w:color w:val="auto"/>
              </w:rPr>
              <w:t>5,228.3</w:t>
            </w:r>
          </w:p>
        </w:tc>
        <w:tc>
          <w:tcPr>
            <w:tcW w:w="480" w:type="dxa"/>
            <w:vAlign w:val="bottom"/>
            <w:tcBorders>
              <w:bottom w:val="single" w:sz="8" w:color="auto"/>
            </w:tcBorders>
            <w:shd w:val="clear" w:color="auto" w:fill="CCEEFF"/>
          </w:tcPr>
          <w:p>
            <w:pPr>
              <w:spacing w:after="0"/>
              <w:rPr>
                <w:sz w:val="24"/>
                <w:szCs w:val="24"/>
                <w:color w:val="auto"/>
              </w:rPr>
            </w:pPr>
          </w:p>
        </w:tc>
        <w:tc>
          <w:tcPr>
            <w:tcW w:w="1460" w:type="dxa"/>
            <w:vAlign w:val="bottom"/>
            <w:tcBorders>
              <w:bottom w:val="single" w:sz="8" w:color="auto"/>
            </w:tcBorders>
            <w:shd w:val="clear" w:color="auto" w:fill="CCEEFF"/>
          </w:tcPr>
          <w:p>
            <w:pPr>
              <w:jc w:val="center"/>
              <w:ind w:right="274"/>
              <w:spacing w:after="0"/>
              <w:rPr>
                <w:sz w:val="20"/>
                <w:szCs w:val="20"/>
                <w:color w:val="auto"/>
              </w:rPr>
            </w:pPr>
            <w:r>
              <w:rPr>
                <w:rFonts w:ascii="Arial" w:cs="Arial" w:eastAsia="Arial" w:hAnsi="Arial"/>
                <w:sz w:val="18"/>
                <w:szCs w:val="18"/>
                <w:color w:val="auto"/>
                <w:w w:val="99"/>
              </w:rPr>
              <w:t>9</w:t>
            </w:r>
          </w:p>
        </w:tc>
      </w:tr>
      <w:tr>
        <w:trPr>
          <w:trHeight w:val="272"/>
        </w:trPr>
        <w:tc>
          <w:tcPr>
            <w:tcW w:w="5960" w:type="dxa"/>
            <w:vAlign w:val="bottom"/>
          </w:tcPr>
          <w:p>
            <w:pPr>
              <w:spacing w:after="0"/>
              <w:rPr>
                <w:sz w:val="20"/>
                <w:szCs w:val="20"/>
                <w:color w:val="auto"/>
              </w:rPr>
            </w:pPr>
            <w:r>
              <w:rPr>
                <w:rFonts w:ascii="Arial" w:cs="Arial" w:eastAsia="Arial" w:hAnsi="Arial"/>
                <w:sz w:val="14"/>
                <w:szCs w:val="14"/>
                <w:color w:val="auto"/>
              </w:rPr>
              <w:t>Numbers may not add due to rounding.</w:t>
            </w:r>
          </w:p>
        </w:tc>
        <w:tc>
          <w:tcPr>
            <w:tcW w:w="4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460" w:type="dxa"/>
            <w:vAlign w:val="bottom"/>
          </w:tcPr>
          <w:p>
            <w:pPr>
              <w:spacing w:after="0"/>
              <w:rPr>
                <w:sz w:val="23"/>
                <w:szCs w:val="23"/>
                <w:color w:val="auto"/>
              </w:rPr>
            </w:pPr>
          </w:p>
        </w:tc>
      </w:tr>
      <w:tr>
        <w:trPr>
          <w:trHeight w:val="322"/>
        </w:trPr>
        <w:tc>
          <w:tcPr>
            <w:tcW w:w="5960" w:type="dxa"/>
            <w:vAlign w:val="bottom"/>
          </w:tcPr>
          <w:p>
            <w:pPr>
              <w:spacing w:after="0"/>
              <w:rPr>
                <w:sz w:val="20"/>
                <w:szCs w:val="20"/>
                <w:color w:val="auto"/>
              </w:rPr>
            </w:pPr>
            <w:r>
              <w:rPr>
                <w:rFonts w:ascii="Arial" w:cs="Arial" w:eastAsia="Arial" w:hAnsi="Arial"/>
                <w:sz w:val="17"/>
                <w:szCs w:val="17"/>
                <w:color w:val="auto"/>
                <w:vertAlign w:val="superscript"/>
              </w:rPr>
              <w:t>(1)</w:t>
            </w:r>
            <w:r>
              <w:rPr>
                <w:rFonts w:ascii="Arial" w:cs="Arial" w:eastAsia="Arial" w:hAnsi="Arial"/>
                <w:sz w:val="14"/>
                <w:szCs w:val="14"/>
                <w:color w:val="auto"/>
              </w:rPr>
              <w:t xml:space="preserve"> U.S. revenue includes revenue in Puerto Rico.</w:t>
            </w:r>
          </w:p>
        </w:tc>
        <w:tc>
          <w:tcPr>
            <w:tcW w:w="4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311"/>
        </w:trPr>
        <w:tc>
          <w:tcPr>
            <w:tcW w:w="7600" w:type="dxa"/>
            <w:vAlign w:val="bottom"/>
            <w:gridSpan w:val="4"/>
          </w:tcPr>
          <w:p>
            <w:pPr>
              <w:spacing w:after="0"/>
              <w:rPr>
                <w:sz w:val="20"/>
                <w:szCs w:val="20"/>
                <w:color w:val="auto"/>
              </w:rPr>
            </w:pPr>
            <w:r>
              <w:rPr>
                <w:rFonts w:ascii="Arial" w:cs="Arial" w:eastAsia="Arial" w:hAnsi="Arial"/>
                <w:sz w:val="18"/>
                <w:szCs w:val="18"/>
                <w:color w:val="auto"/>
              </w:rPr>
              <w:t>The following are components of the change in revenue compared with the prior year:</w:t>
            </w:r>
          </w:p>
        </w:tc>
        <w:tc>
          <w:tcPr>
            <w:tcW w:w="4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311"/>
        </w:trPr>
        <w:tc>
          <w:tcPr>
            <w:tcW w:w="59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60" w:type="dxa"/>
            <w:vAlign w:val="bottom"/>
            <w:gridSpan w:val="2"/>
          </w:tcPr>
          <w:p>
            <w:pPr>
              <w:jc w:val="center"/>
              <w:spacing w:after="0"/>
              <w:rPr>
                <w:sz w:val="20"/>
                <w:szCs w:val="20"/>
                <w:color w:val="auto"/>
              </w:rPr>
            </w:pPr>
            <w:r>
              <w:rPr>
                <w:rFonts w:ascii="Arial" w:cs="Arial" w:eastAsia="Arial" w:hAnsi="Arial"/>
                <w:sz w:val="14"/>
                <w:szCs w:val="14"/>
                <w:b w:val="1"/>
                <w:bCs w:val="1"/>
                <w:color w:val="auto"/>
              </w:rPr>
              <w:t>Three Months Ended</w:t>
            </w:r>
          </w:p>
        </w:tc>
        <w:tc>
          <w:tcPr>
            <w:tcW w:w="1460" w:type="dxa"/>
            <w:vAlign w:val="bottom"/>
          </w:tcPr>
          <w:p>
            <w:pPr>
              <w:spacing w:after="0"/>
              <w:rPr>
                <w:sz w:val="24"/>
                <w:szCs w:val="24"/>
                <w:color w:val="auto"/>
              </w:rPr>
            </w:pPr>
          </w:p>
        </w:tc>
      </w:tr>
      <w:tr>
        <w:trPr>
          <w:trHeight w:val="190"/>
        </w:trPr>
        <w:tc>
          <w:tcPr>
            <w:tcW w:w="59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460" w:type="dxa"/>
            <w:vAlign w:val="bottom"/>
            <w:gridSpan w:val="2"/>
          </w:tcPr>
          <w:p>
            <w:pPr>
              <w:jc w:val="center"/>
              <w:spacing w:after="0"/>
              <w:rPr>
                <w:sz w:val="20"/>
                <w:szCs w:val="20"/>
                <w:color w:val="auto"/>
              </w:rPr>
            </w:pPr>
            <w:r>
              <w:rPr>
                <w:rFonts w:ascii="Arial" w:cs="Arial" w:eastAsia="Arial" w:hAnsi="Arial"/>
                <w:sz w:val="14"/>
                <w:szCs w:val="14"/>
                <w:b w:val="1"/>
                <w:bCs w:val="1"/>
                <w:color w:val="auto"/>
              </w:rPr>
              <w:t>March 31,</w:t>
            </w:r>
          </w:p>
        </w:tc>
        <w:tc>
          <w:tcPr>
            <w:tcW w:w="1460" w:type="dxa"/>
            <w:vAlign w:val="bottom"/>
          </w:tcPr>
          <w:p>
            <w:pPr>
              <w:spacing w:after="0"/>
              <w:rPr>
                <w:sz w:val="16"/>
                <w:szCs w:val="16"/>
                <w:color w:val="auto"/>
              </w:rPr>
            </w:pPr>
          </w:p>
        </w:tc>
      </w:tr>
      <w:tr>
        <w:trPr>
          <w:trHeight w:val="276"/>
        </w:trPr>
        <w:tc>
          <w:tcPr>
            <w:tcW w:w="59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gridSpan w:val="2"/>
          </w:tcPr>
          <w:p>
            <w:pPr>
              <w:ind w:left="280"/>
              <w:spacing w:after="0"/>
              <w:rPr>
                <w:sz w:val="20"/>
                <w:szCs w:val="20"/>
                <w:color w:val="auto"/>
              </w:rPr>
            </w:pPr>
            <w:r>
              <w:rPr>
                <w:rFonts w:ascii="Arial" w:cs="Arial" w:eastAsia="Arial" w:hAnsi="Arial"/>
                <w:sz w:val="14"/>
                <w:szCs w:val="14"/>
                <w:b w:val="1"/>
                <w:bCs w:val="1"/>
                <w:color w:val="auto"/>
              </w:rPr>
              <w:t>2018 vs. 2017</w:t>
            </w:r>
          </w:p>
        </w:tc>
        <w:tc>
          <w:tcPr>
            <w:tcW w:w="1460" w:type="dxa"/>
            <w:vAlign w:val="bottom"/>
            <w:tcBorders>
              <w:bottom w:val="single" w:sz="8" w:color="auto"/>
            </w:tcBorders>
          </w:tcPr>
          <w:p>
            <w:pPr>
              <w:spacing w:after="0"/>
              <w:rPr>
                <w:sz w:val="24"/>
                <w:szCs w:val="24"/>
                <w:color w:val="auto"/>
              </w:rPr>
            </w:pPr>
          </w:p>
        </w:tc>
      </w:tr>
      <w:tr>
        <w:trPr>
          <w:trHeight w:val="250"/>
        </w:trPr>
        <w:tc>
          <w:tcPr>
            <w:tcW w:w="59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560" w:type="dxa"/>
            <w:vAlign w:val="bottom"/>
            <w:tcBorders>
              <w:bottom w:val="single" w:sz="8" w:color="auto"/>
            </w:tcBorders>
          </w:tcPr>
          <w:p>
            <w:pPr>
              <w:spacing w:after="0"/>
              <w:rPr>
                <w:sz w:val="21"/>
                <w:szCs w:val="21"/>
                <w:color w:val="auto"/>
              </w:rPr>
            </w:pPr>
          </w:p>
        </w:tc>
        <w:tc>
          <w:tcPr>
            <w:tcW w:w="480" w:type="dxa"/>
            <w:vAlign w:val="bottom"/>
            <w:tcBorders>
              <w:bottom w:val="single" w:sz="8" w:color="auto"/>
            </w:tcBorders>
          </w:tcPr>
          <w:p>
            <w:pPr>
              <w:jc w:val="right"/>
              <w:ind w:right="76"/>
              <w:spacing w:after="0"/>
              <w:rPr>
                <w:sz w:val="20"/>
                <w:szCs w:val="20"/>
                <w:color w:val="auto"/>
              </w:rPr>
            </w:pPr>
            <w:r>
              <w:rPr>
                <w:rFonts w:ascii="Arial" w:cs="Arial" w:eastAsia="Arial" w:hAnsi="Arial"/>
                <w:sz w:val="14"/>
                <w:szCs w:val="14"/>
                <w:b w:val="1"/>
                <w:bCs w:val="1"/>
                <w:color w:val="auto"/>
              </w:rPr>
              <w:t>U.S.</w:t>
            </w:r>
          </w:p>
        </w:tc>
        <w:tc>
          <w:tcPr>
            <w:tcW w:w="42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gridSpan w:val="2"/>
          </w:tcPr>
          <w:p>
            <w:pPr>
              <w:ind w:left="320"/>
              <w:spacing w:after="0"/>
              <w:rPr>
                <w:sz w:val="20"/>
                <w:szCs w:val="20"/>
                <w:color w:val="auto"/>
              </w:rPr>
            </w:pPr>
            <w:r>
              <w:rPr>
                <w:rFonts w:ascii="Arial" w:cs="Arial" w:eastAsia="Arial" w:hAnsi="Arial"/>
                <w:sz w:val="14"/>
                <w:szCs w:val="14"/>
                <w:b w:val="1"/>
                <w:bCs w:val="1"/>
                <w:color w:val="auto"/>
              </w:rPr>
              <w:t>Outside U.S.</w:t>
            </w:r>
          </w:p>
        </w:tc>
        <w:tc>
          <w:tcPr>
            <w:tcW w:w="1460" w:type="dxa"/>
            <w:vAlign w:val="bottom"/>
            <w:tcBorders>
              <w:bottom w:val="single" w:sz="8" w:color="auto"/>
            </w:tcBorders>
          </w:tcPr>
          <w:p>
            <w:pPr>
              <w:ind w:left="280"/>
              <w:spacing w:after="0"/>
              <w:rPr>
                <w:sz w:val="20"/>
                <w:szCs w:val="20"/>
                <w:color w:val="auto"/>
              </w:rPr>
            </w:pPr>
            <w:r>
              <w:rPr>
                <w:rFonts w:ascii="Arial" w:cs="Arial" w:eastAsia="Arial" w:hAnsi="Arial"/>
                <w:sz w:val="14"/>
                <w:szCs w:val="14"/>
                <w:b w:val="1"/>
                <w:bCs w:val="1"/>
                <w:color w:val="auto"/>
              </w:rPr>
              <w:t>Consolidated</w:t>
            </w:r>
          </w:p>
        </w:tc>
      </w:tr>
      <w:tr>
        <w:trPr>
          <w:trHeight w:val="249"/>
        </w:trPr>
        <w:tc>
          <w:tcPr>
            <w:tcW w:w="5960" w:type="dxa"/>
            <w:vAlign w:val="bottom"/>
          </w:tcPr>
          <w:p>
            <w:pPr>
              <w:ind w:left="40"/>
              <w:spacing w:after="0"/>
              <w:rPr>
                <w:sz w:val="20"/>
                <w:szCs w:val="20"/>
                <w:color w:val="auto"/>
              </w:rPr>
            </w:pPr>
            <w:r>
              <w:rPr>
                <w:rFonts w:ascii="Arial" w:cs="Arial" w:eastAsia="Arial" w:hAnsi="Arial"/>
                <w:sz w:val="18"/>
                <w:szCs w:val="18"/>
                <w:color w:val="auto"/>
              </w:rPr>
              <w:t>Volume</w:t>
            </w:r>
          </w:p>
        </w:tc>
        <w:tc>
          <w:tcPr>
            <w:tcW w:w="4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99"/>
              </w:rPr>
              <w:t>(1)%</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5 %</w:t>
            </w:r>
          </w:p>
        </w:tc>
        <w:tc>
          <w:tcPr>
            <w:tcW w:w="1460" w:type="dxa"/>
            <w:vAlign w:val="bottom"/>
          </w:tcPr>
          <w:p>
            <w:pPr>
              <w:ind w:left="1180"/>
              <w:spacing w:after="0"/>
              <w:rPr>
                <w:sz w:val="20"/>
                <w:szCs w:val="20"/>
                <w:color w:val="auto"/>
              </w:rPr>
            </w:pPr>
            <w:r>
              <w:rPr>
                <w:rFonts w:ascii="Arial" w:cs="Arial" w:eastAsia="Arial" w:hAnsi="Arial"/>
                <w:sz w:val="18"/>
                <w:szCs w:val="18"/>
                <w:color w:val="auto"/>
                <w:w w:val="99"/>
              </w:rPr>
              <w:t>2%</w:t>
            </w:r>
          </w:p>
        </w:tc>
      </w:tr>
      <w:tr>
        <w:trPr>
          <w:trHeight w:val="263"/>
        </w:trPr>
        <w:tc>
          <w:tcPr>
            <w:tcW w:w="5960" w:type="dxa"/>
            <w:vAlign w:val="bottom"/>
            <w:shd w:val="clear" w:color="auto" w:fill="CCEEFF"/>
          </w:tcPr>
          <w:p>
            <w:pPr>
              <w:ind w:left="40"/>
              <w:spacing w:after="0"/>
              <w:rPr>
                <w:sz w:val="20"/>
                <w:szCs w:val="20"/>
                <w:color w:val="auto"/>
              </w:rPr>
            </w:pPr>
            <w:r>
              <w:rPr>
                <w:rFonts w:ascii="Arial" w:cs="Arial" w:eastAsia="Arial" w:hAnsi="Arial"/>
                <w:sz w:val="18"/>
                <w:szCs w:val="18"/>
                <w:color w:val="auto"/>
              </w:rPr>
              <w:t>Price</w:t>
            </w:r>
          </w:p>
        </w:tc>
        <w:tc>
          <w:tcPr>
            <w:tcW w:w="400" w:type="dxa"/>
            <w:vAlign w:val="bottom"/>
            <w:shd w:val="clear" w:color="auto" w:fill="CCEEFF"/>
          </w:tcPr>
          <w:p>
            <w:pPr>
              <w:spacing w:after="0"/>
              <w:rPr>
                <w:sz w:val="22"/>
                <w:szCs w:val="22"/>
                <w:color w:val="auto"/>
              </w:rPr>
            </w:pPr>
          </w:p>
        </w:tc>
        <w:tc>
          <w:tcPr>
            <w:tcW w:w="680" w:type="dxa"/>
            <w:vAlign w:val="bottom"/>
            <w:shd w:val="clear" w:color="auto" w:fill="CCEEFF"/>
          </w:tcPr>
          <w:p>
            <w:pPr>
              <w:spacing w:after="0"/>
              <w:rPr>
                <w:sz w:val="22"/>
                <w:szCs w:val="22"/>
                <w:color w:val="auto"/>
              </w:rPr>
            </w:pPr>
          </w:p>
        </w:tc>
        <w:tc>
          <w:tcPr>
            <w:tcW w:w="56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420" w:type="dxa"/>
            <w:vAlign w:val="bottom"/>
            <w:shd w:val="clear" w:color="auto" w:fill="CCEEFF"/>
          </w:tcPr>
          <w:p>
            <w:pPr>
              <w:jc w:val="right"/>
              <w:ind w:right="154"/>
              <w:spacing w:after="0"/>
              <w:rPr>
                <w:sz w:val="20"/>
                <w:szCs w:val="20"/>
                <w:color w:val="auto"/>
              </w:rPr>
            </w:pPr>
            <w:r>
              <w:rPr>
                <w:rFonts w:ascii="Arial" w:cs="Arial" w:eastAsia="Arial" w:hAnsi="Arial"/>
                <w:sz w:val="18"/>
                <w:szCs w:val="18"/>
                <w:color w:val="auto"/>
              </w:rPr>
              <w:t>8</w:t>
            </w:r>
          </w:p>
        </w:tc>
        <w:tc>
          <w:tcPr>
            <w:tcW w:w="14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w:t>
            </w:r>
          </w:p>
        </w:tc>
        <w:tc>
          <w:tcPr>
            <w:tcW w:w="1460" w:type="dxa"/>
            <w:vAlign w:val="bottom"/>
            <w:shd w:val="clear" w:color="auto" w:fill="CCEEFF"/>
          </w:tcPr>
          <w:p>
            <w:pPr>
              <w:ind w:left="1180"/>
              <w:spacing w:after="0"/>
              <w:rPr>
                <w:sz w:val="20"/>
                <w:szCs w:val="20"/>
                <w:color w:val="auto"/>
              </w:rPr>
            </w:pPr>
            <w:r>
              <w:rPr>
                <w:rFonts w:ascii="Arial" w:cs="Arial" w:eastAsia="Arial" w:hAnsi="Arial"/>
                <w:sz w:val="18"/>
                <w:szCs w:val="18"/>
                <w:color w:val="auto"/>
              </w:rPr>
              <w:t>3</w:t>
            </w:r>
          </w:p>
        </w:tc>
      </w:tr>
      <w:tr>
        <w:trPr>
          <w:trHeight w:val="250"/>
        </w:trPr>
        <w:tc>
          <w:tcPr>
            <w:tcW w:w="59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Foreign exchange rates</w:t>
            </w:r>
          </w:p>
        </w:tc>
        <w:tc>
          <w:tcPr>
            <w:tcW w:w="400" w:type="dxa"/>
            <w:vAlign w:val="bottom"/>
            <w:tcBorders>
              <w:bottom w:val="single" w:sz="8" w:color="CCEEFF"/>
            </w:tcBorders>
          </w:tcPr>
          <w:p>
            <w:pPr>
              <w:spacing w:after="0"/>
              <w:rPr>
                <w:sz w:val="21"/>
                <w:szCs w:val="21"/>
                <w:color w:val="auto"/>
              </w:rPr>
            </w:pPr>
          </w:p>
        </w:tc>
        <w:tc>
          <w:tcPr>
            <w:tcW w:w="680" w:type="dxa"/>
            <w:vAlign w:val="bottom"/>
            <w:tcBorders>
              <w:bottom w:val="single" w:sz="8" w:color="CCEEFF"/>
            </w:tcBorders>
          </w:tcPr>
          <w:p>
            <w:pPr>
              <w:spacing w:after="0"/>
              <w:rPr>
                <w:sz w:val="21"/>
                <w:szCs w:val="21"/>
                <w:color w:val="auto"/>
              </w:rPr>
            </w:pPr>
          </w:p>
        </w:tc>
        <w:tc>
          <w:tcPr>
            <w:tcW w:w="560" w:type="dxa"/>
            <w:vAlign w:val="bottom"/>
            <w:tcBorders>
              <w:bottom w:val="single" w:sz="8" w:color="auto"/>
            </w:tcBorders>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420" w:type="dxa"/>
            <w:vAlign w:val="bottom"/>
            <w:tcBorders>
              <w:bottom w:val="single" w:sz="8" w:color="auto"/>
            </w:tcBorders>
          </w:tcPr>
          <w:p>
            <w:pPr>
              <w:jc w:val="right"/>
              <w:ind w:right="154"/>
              <w:spacing w:after="0"/>
              <w:rPr>
                <w:sz w:val="20"/>
                <w:szCs w:val="20"/>
                <w:color w:val="auto"/>
              </w:rPr>
            </w:pPr>
            <w:r>
              <w:rPr>
                <w:rFonts w:ascii="Arial" w:cs="Arial" w:eastAsia="Arial" w:hAnsi="Arial"/>
                <w:sz w:val="18"/>
                <w:szCs w:val="18"/>
                <w:color w:val="auto"/>
                <w:w w:val="88"/>
              </w:rPr>
              <w:t>—</w:t>
            </w:r>
          </w:p>
        </w:tc>
        <w:tc>
          <w:tcPr>
            <w:tcW w:w="146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8"/>
                <w:szCs w:val="18"/>
                <w:color w:val="auto"/>
              </w:rPr>
              <w:t>8</w:t>
            </w:r>
          </w:p>
        </w:tc>
        <w:tc>
          <w:tcPr>
            <w:tcW w:w="1460" w:type="dxa"/>
            <w:vAlign w:val="bottom"/>
            <w:tcBorders>
              <w:bottom w:val="single" w:sz="8" w:color="auto"/>
            </w:tcBorders>
          </w:tcPr>
          <w:p>
            <w:pPr>
              <w:ind w:left="1180"/>
              <w:spacing w:after="0"/>
              <w:rPr>
                <w:sz w:val="20"/>
                <w:szCs w:val="20"/>
                <w:color w:val="auto"/>
              </w:rPr>
            </w:pPr>
            <w:r>
              <w:rPr>
                <w:rFonts w:ascii="Arial" w:cs="Arial" w:eastAsia="Arial" w:hAnsi="Arial"/>
                <w:sz w:val="18"/>
                <w:szCs w:val="18"/>
                <w:color w:val="auto"/>
              </w:rPr>
              <w:t>4</w:t>
            </w:r>
          </w:p>
        </w:tc>
      </w:tr>
      <w:tr>
        <w:trPr>
          <w:trHeight w:val="264"/>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Percent change</w:t>
            </w:r>
          </w:p>
        </w:tc>
        <w:tc>
          <w:tcPr>
            <w:tcW w:w="40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auto"/>
            </w:tcBorders>
            <w:shd w:val="clear" w:color="auto" w:fill="CCEEFF"/>
          </w:tcPr>
          <w:p>
            <w:pPr>
              <w:spacing w:after="0"/>
              <w:rPr>
                <w:sz w:val="22"/>
                <w:szCs w:val="22"/>
                <w:color w:val="auto"/>
              </w:rPr>
            </w:pPr>
          </w:p>
        </w:tc>
        <w:tc>
          <w:tcPr>
            <w:tcW w:w="480" w:type="dxa"/>
            <w:vAlign w:val="bottom"/>
            <w:tcBorders>
              <w:bottom w:val="single" w:sz="8" w:color="auto"/>
            </w:tcBorders>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8 %</w:t>
            </w:r>
          </w:p>
        </w:tc>
        <w:tc>
          <w:tcPr>
            <w:tcW w:w="14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11 %</w:t>
            </w:r>
          </w:p>
        </w:tc>
        <w:tc>
          <w:tcPr>
            <w:tcW w:w="1460" w:type="dxa"/>
            <w:vAlign w:val="bottom"/>
            <w:tcBorders>
              <w:bottom w:val="single" w:sz="8" w:color="auto"/>
            </w:tcBorders>
            <w:shd w:val="clear" w:color="auto" w:fill="CCEEFF"/>
          </w:tcPr>
          <w:p>
            <w:pPr>
              <w:ind w:left="1180"/>
              <w:spacing w:after="0"/>
              <w:rPr>
                <w:sz w:val="20"/>
                <w:szCs w:val="20"/>
                <w:color w:val="auto"/>
              </w:rPr>
            </w:pPr>
            <w:r>
              <w:rPr>
                <w:rFonts w:ascii="Arial" w:cs="Arial" w:eastAsia="Arial" w:hAnsi="Arial"/>
                <w:sz w:val="18"/>
                <w:szCs w:val="18"/>
                <w:color w:val="auto"/>
                <w:w w:val="99"/>
              </w:rPr>
              <w:t>9%</w:t>
            </w:r>
          </w:p>
        </w:tc>
      </w:tr>
    </w:tbl>
    <w:p>
      <w:pPr>
        <w:spacing w:after="0" w:line="113" w:lineRule="exact"/>
        <w:rPr>
          <w:sz w:val="20"/>
          <w:szCs w:val="20"/>
          <w:color w:val="auto"/>
        </w:rPr>
      </w:pPr>
    </w:p>
    <w:p>
      <w:pPr>
        <w:spacing w:after="0"/>
        <w:rPr>
          <w:sz w:val="20"/>
          <w:szCs w:val="20"/>
          <w:color w:val="auto"/>
        </w:rPr>
      </w:pPr>
      <w:r>
        <w:rPr>
          <w:rFonts w:ascii="Arial" w:cs="Arial" w:eastAsia="Arial" w:hAnsi="Arial"/>
          <w:sz w:val="14"/>
          <w:szCs w:val="14"/>
          <w:color w:val="auto"/>
        </w:rPr>
        <w:t>Numbers may not add due to rounding</w:t>
      </w:r>
    </w:p>
    <w:p>
      <w:pPr>
        <w:spacing w:after="0" w:line="103" w:lineRule="exact"/>
        <w:rPr>
          <w:sz w:val="20"/>
          <w:szCs w:val="20"/>
          <w:color w:val="auto"/>
        </w:rPr>
      </w:pPr>
    </w:p>
    <w:p>
      <w:pPr>
        <w:ind w:right="260"/>
        <w:spacing w:after="0" w:line="241" w:lineRule="auto"/>
        <w:rPr>
          <w:sz w:val="20"/>
          <w:szCs w:val="20"/>
          <w:color w:val="auto"/>
        </w:rPr>
      </w:pPr>
      <w:r>
        <w:rPr>
          <w:rFonts w:ascii="Arial" w:cs="Arial" w:eastAsia="Arial" w:hAnsi="Arial"/>
          <w:sz w:val="18"/>
          <w:szCs w:val="18"/>
          <w:color w:val="auto"/>
        </w:rPr>
        <w:t>In the U.S., for the three months ended March 31, 2018, the volume decrease was primarily driven by the loss of exclusivity for Strattera and Effient, as well as decreased demand for Cialis and food animal products. This decrease was partially offset by increased volume for new pharmaceutical products, including Trulicity</w:t>
      </w:r>
      <w:r>
        <w:rPr>
          <w:rFonts w:ascii="Arial" w:cs="Arial" w:eastAsia="Arial" w:hAnsi="Arial"/>
          <w:sz w:val="21"/>
          <w:szCs w:val="21"/>
          <w:color w:val="auto"/>
          <w:vertAlign w:val="superscript"/>
        </w:rPr>
        <w:t>®</w:t>
      </w:r>
      <w:r>
        <w:rPr>
          <w:rFonts w:ascii="Arial" w:cs="Arial" w:eastAsia="Arial" w:hAnsi="Arial"/>
          <w:sz w:val="18"/>
          <w:szCs w:val="18"/>
          <w:color w:val="auto"/>
        </w:rPr>
        <w:t>, Basaglar</w:t>
      </w:r>
      <w:r>
        <w:rPr>
          <w:rFonts w:ascii="Arial" w:cs="Arial" w:eastAsia="Arial" w:hAnsi="Arial"/>
          <w:sz w:val="21"/>
          <w:szCs w:val="21"/>
          <w:color w:val="auto"/>
          <w:vertAlign w:val="superscript"/>
        </w:rPr>
        <w:t>®</w:t>
      </w:r>
      <w:r>
        <w:rPr>
          <w:rFonts w:ascii="Arial" w:cs="Arial" w:eastAsia="Arial" w:hAnsi="Arial"/>
          <w:sz w:val="18"/>
          <w:szCs w:val="18"/>
          <w:color w:val="auto"/>
        </w:rPr>
        <w:t>, Jardiance</w:t>
      </w:r>
      <w:r>
        <w:rPr>
          <w:rFonts w:ascii="Arial" w:cs="Arial" w:eastAsia="Arial" w:hAnsi="Arial"/>
          <w:sz w:val="21"/>
          <w:szCs w:val="21"/>
          <w:color w:val="auto"/>
          <w:vertAlign w:val="superscript"/>
        </w:rPr>
        <w:t>®</w:t>
      </w:r>
      <w:r>
        <w:rPr>
          <w:rFonts w:ascii="Arial" w:cs="Arial" w:eastAsia="Arial" w:hAnsi="Arial"/>
          <w:sz w:val="18"/>
          <w:szCs w:val="18"/>
          <w:color w:val="auto"/>
        </w:rPr>
        <w:t>, Verzenio, and Taltz</w:t>
      </w:r>
      <w:r>
        <w:rPr>
          <w:rFonts w:ascii="Arial" w:cs="Arial" w:eastAsia="Arial" w:hAnsi="Arial"/>
          <w:sz w:val="21"/>
          <w:szCs w:val="21"/>
          <w:color w:val="auto"/>
          <w:vertAlign w:val="superscript"/>
        </w:rPr>
        <w:t>®</w:t>
      </w:r>
      <w:r>
        <w:rPr>
          <w:rFonts w:ascii="Arial" w:cs="Arial" w:eastAsia="Arial" w:hAnsi="Arial"/>
          <w:sz w:val="18"/>
          <w:szCs w:val="18"/>
          <w:color w:val="auto"/>
        </w:rPr>
        <w:t>. The U.S. increase in realized prices for the three months ended March 31, 2018 was driven primarily by Cialis, Humalog, Strattera, Basaglar, and companion animal products.</w:t>
      </w:r>
    </w:p>
    <w:p>
      <w:pPr>
        <w:spacing w:after="0" w:line="106" w:lineRule="exact"/>
        <w:rPr>
          <w:sz w:val="20"/>
          <w:szCs w:val="20"/>
          <w:color w:val="auto"/>
        </w:rPr>
      </w:pPr>
    </w:p>
    <w:p>
      <w:pPr>
        <w:ind w:right="180"/>
        <w:spacing w:after="0" w:line="256" w:lineRule="auto"/>
        <w:rPr>
          <w:sz w:val="20"/>
          <w:szCs w:val="20"/>
          <w:color w:val="auto"/>
        </w:rPr>
      </w:pPr>
      <w:r>
        <w:rPr>
          <w:rFonts w:ascii="Arial" w:cs="Arial" w:eastAsia="Arial" w:hAnsi="Arial"/>
          <w:sz w:val="18"/>
          <w:szCs w:val="18"/>
          <w:color w:val="auto"/>
        </w:rPr>
        <w:t>Outside the U.S., for the three months ended March 31, 2018, the volume increase was driven by sales of several new pharmaceutical products, including Trulicity, Olumiant, Taltz, Jardiance, and Lartruvo, partially offset by decreased volume for Cialis. The decrease in realized prices was due to several pharmaceutical products.</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706" w:right="239" w:bottom="1440" w:gutter="0" w:footer="0" w:header="0"/>
        </w:sectPr>
      </w:pPr>
    </w:p>
    <w:bookmarkStart w:id="41" w:name="page42"/>
    <w:bookmarkEnd w:id="41"/>
    <w:p>
      <w:pPr>
        <w:spacing w:after="0"/>
        <w:rPr>
          <w:sz w:val="20"/>
          <w:szCs w:val="20"/>
          <w:color w:val="auto"/>
        </w:rPr>
      </w:pPr>
      <w:r>
        <w:rPr>
          <w:rFonts w:ascii="Arial" w:cs="Arial" w:eastAsia="Arial" w:hAnsi="Arial"/>
          <w:sz w:val="18"/>
          <w:szCs w:val="18"/>
          <w:color w:val="auto"/>
        </w:rPr>
        <w:t>The following tables summarize our revenue activity by product:</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780" w:type="dxa"/>
            <w:vAlign w:val="bottom"/>
            <w:gridSpan w:val="4"/>
          </w:tcPr>
          <w:p>
            <w:pPr>
              <w:ind w:left="540"/>
              <w:spacing w:after="0"/>
              <w:rPr>
                <w:sz w:val="20"/>
                <w:szCs w:val="20"/>
                <w:color w:val="auto"/>
              </w:rPr>
            </w:pPr>
            <w:r>
              <w:rPr>
                <w:rFonts w:ascii="Arial" w:cs="Arial" w:eastAsia="Arial" w:hAnsi="Arial"/>
                <w:sz w:val="14"/>
                <w:szCs w:val="14"/>
                <w:b w:val="1"/>
                <w:bCs w:val="1"/>
                <w:color w:val="auto"/>
              </w:rPr>
              <w:t>Three Months Ended</w:t>
            </w: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80" w:type="dxa"/>
            <w:vAlign w:val="bottom"/>
          </w:tcPr>
          <w:p>
            <w:pPr>
              <w:spacing w:after="0"/>
              <w:rPr>
                <w:sz w:val="14"/>
                <w:szCs w:val="14"/>
                <w:color w:val="auto"/>
              </w:rPr>
            </w:pPr>
          </w:p>
        </w:tc>
      </w:tr>
      <w:tr>
        <w:trPr>
          <w:trHeight w:val="196"/>
        </w:trPr>
        <w:tc>
          <w:tcPr>
            <w:tcW w:w="412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700" w:type="dxa"/>
            <w:vAlign w:val="bottom"/>
            <w:tcBorders>
              <w:bottom w:val="single" w:sz="8" w:color="auto"/>
            </w:tcBorders>
            <w:gridSpan w:val="2"/>
          </w:tcPr>
          <w:p>
            <w:pPr>
              <w:jc w:val="right"/>
              <w:ind w:right="30"/>
              <w:spacing w:after="0"/>
              <w:rPr>
                <w:sz w:val="20"/>
                <w:szCs w:val="20"/>
                <w:color w:val="auto"/>
              </w:rPr>
            </w:pPr>
            <w:r>
              <w:rPr>
                <w:rFonts w:ascii="Arial" w:cs="Arial" w:eastAsia="Arial" w:hAnsi="Arial"/>
                <w:sz w:val="14"/>
                <w:szCs w:val="14"/>
                <w:b w:val="1"/>
                <w:bCs w:val="1"/>
                <w:color w:val="auto"/>
              </w:rPr>
              <w:t>March 31,</w:t>
            </w:r>
          </w:p>
        </w:tc>
        <w:tc>
          <w:tcPr>
            <w:tcW w:w="9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1480" w:type="dxa"/>
            <w:vAlign w:val="bottom"/>
          </w:tcPr>
          <w:p>
            <w:pPr>
              <w:spacing w:after="0"/>
              <w:rPr>
                <w:sz w:val="17"/>
                <w:szCs w:val="17"/>
                <w:color w:val="auto"/>
              </w:rPr>
            </w:pPr>
          </w:p>
        </w:tc>
      </w:tr>
      <w:tr>
        <w:trPr>
          <w:trHeight w:val="264"/>
        </w:trPr>
        <w:tc>
          <w:tcPr>
            <w:tcW w:w="412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2018</w:t>
            </w:r>
          </w:p>
        </w:tc>
        <w:tc>
          <w:tcPr>
            <w:tcW w:w="5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2017</w:t>
            </w:r>
          </w:p>
        </w:tc>
        <w:tc>
          <w:tcPr>
            <w:tcW w:w="1480" w:type="dxa"/>
            <w:vAlign w:val="bottom"/>
          </w:tcPr>
          <w:p>
            <w:pPr>
              <w:spacing w:after="0"/>
              <w:rPr>
                <w:sz w:val="22"/>
                <w:szCs w:val="22"/>
                <w:color w:val="auto"/>
              </w:rPr>
            </w:pPr>
          </w:p>
        </w:tc>
      </w:tr>
      <w:tr>
        <w:trPr>
          <w:trHeight w:val="270"/>
        </w:trPr>
        <w:tc>
          <w:tcPr>
            <w:tcW w:w="41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Product</w:t>
            </w:r>
          </w:p>
        </w:tc>
        <w:tc>
          <w:tcPr>
            <w:tcW w:w="30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 xml:space="preserve">U.S. </w:t>
            </w:r>
            <w:r>
              <w:rPr>
                <w:rFonts w:ascii="Arial" w:cs="Arial" w:eastAsia="Arial" w:hAnsi="Arial"/>
                <w:sz w:val="17"/>
                <w:szCs w:val="17"/>
                <w:b w:val="1"/>
                <w:bCs w:val="1"/>
                <w:color w:val="auto"/>
                <w:vertAlign w:val="superscript"/>
              </w:rPr>
              <w:t>(1)</w:t>
            </w:r>
          </w:p>
        </w:tc>
        <w:tc>
          <w:tcPr>
            <w:tcW w:w="30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Outside U.S.</w:t>
            </w:r>
          </w:p>
        </w:tc>
        <w:tc>
          <w:tcPr>
            <w:tcW w:w="50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Total</w:t>
            </w:r>
          </w:p>
        </w:tc>
        <w:tc>
          <w:tcPr>
            <w:tcW w:w="32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Total</w:t>
            </w:r>
          </w:p>
        </w:tc>
        <w:tc>
          <w:tcPr>
            <w:tcW w:w="1480" w:type="dxa"/>
            <w:vAlign w:val="bottom"/>
            <w:tcBorders>
              <w:bottom w:val="single" w:sz="8" w:color="auto"/>
            </w:tcBorders>
          </w:tcPr>
          <w:p>
            <w:pPr>
              <w:jc w:val="center"/>
              <w:ind w:left="31"/>
              <w:spacing w:after="0"/>
              <w:rPr>
                <w:sz w:val="20"/>
                <w:szCs w:val="20"/>
                <w:color w:val="auto"/>
              </w:rPr>
            </w:pPr>
            <w:r>
              <w:rPr>
                <w:rFonts w:ascii="Arial" w:cs="Arial" w:eastAsia="Arial" w:hAnsi="Arial"/>
                <w:sz w:val="14"/>
                <w:szCs w:val="14"/>
                <w:b w:val="1"/>
                <w:bCs w:val="1"/>
                <w:color w:val="auto"/>
              </w:rPr>
              <w:t>Percent Change</w:t>
            </w:r>
          </w:p>
        </w:tc>
      </w:tr>
      <w:tr>
        <w:trPr>
          <w:trHeight w:val="264"/>
        </w:trPr>
        <w:tc>
          <w:tcPr>
            <w:tcW w:w="4120" w:type="dxa"/>
            <w:vAlign w:val="bottom"/>
            <w:shd w:val="clear" w:color="auto" w:fill="CCEEFF"/>
          </w:tcPr>
          <w:p>
            <w:pPr>
              <w:ind w:left="40"/>
              <w:spacing w:after="0"/>
              <w:rPr>
                <w:sz w:val="20"/>
                <w:szCs w:val="20"/>
                <w:color w:val="auto"/>
              </w:rPr>
            </w:pPr>
            <w:r>
              <w:rPr>
                <w:rFonts w:ascii="Arial" w:cs="Arial" w:eastAsia="Arial" w:hAnsi="Arial"/>
                <w:sz w:val="18"/>
                <w:szCs w:val="18"/>
                <w:color w:val="auto"/>
              </w:rPr>
              <w:t>Humalog</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080" w:type="dxa"/>
            <w:vAlign w:val="bottom"/>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504.1</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200" w:type="dxa"/>
            <w:vAlign w:val="bottom"/>
            <w:shd w:val="clear" w:color="auto" w:fill="CCEEFF"/>
          </w:tcPr>
          <w:p>
            <w:pPr>
              <w:jc w:val="right"/>
              <w:ind w:right="53"/>
              <w:spacing w:after="0"/>
              <w:rPr>
                <w:sz w:val="20"/>
                <w:szCs w:val="20"/>
                <w:color w:val="auto"/>
              </w:rPr>
            </w:pPr>
            <w:r>
              <w:rPr>
                <w:rFonts w:ascii="Arial" w:cs="Arial" w:eastAsia="Arial" w:hAnsi="Arial"/>
                <w:sz w:val="18"/>
                <w:szCs w:val="18"/>
                <w:b w:val="1"/>
                <w:bCs w:val="1"/>
                <w:color w:val="auto"/>
              </w:rPr>
              <w:t>287.6</w:t>
            </w:r>
          </w:p>
        </w:tc>
        <w:tc>
          <w:tcPr>
            <w:tcW w:w="500" w:type="dxa"/>
            <w:vAlign w:val="bottom"/>
            <w:shd w:val="clear" w:color="auto" w:fill="CCEEFF"/>
          </w:tcPr>
          <w:p>
            <w:pPr>
              <w:jc w:val="right"/>
              <w:ind w:right="190"/>
              <w:spacing w:after="0"/>
              <w:rPr>
                <w:sz w:val="20"/>
                <w:szCs w:val="20"/>
                <w:color w:val="auto"/>
              </w:rPr>
            </w:pPr>
            <w:r>
              <w:rPr>
                <w:rFonts w:ascii="Arial" w:cs="Arial" w:eastAsia="Arial" w:hAnsi="Arial"/>
                <w:sz w:val="18"/>
                <w:szCs w:val="18"/>
                <w:b w:val="1"/>
                <w:bCs w:val="1"/>
                <w:color w:val="auto"/>
              </w:rPr>
              <w:t>$</w:t>
            </w:r>
          </w:p>
        </w:tc>
        <w:tc>
          <w:tcPr>
            <w:tcW w:w="960" w:type="dxa"/>
            <w:vAlign w:val="bottom"/>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791.7</w:t>
            </w: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708.4</w:t>
            </w:r>
          </w:p>
        </w:tc>
        <w:tc>
          <w:tcPr>
            <w:tcW w:w="1480" w:type="dxa"/>
            <w:vAlign w:val="bottom"/>
            <w:shd w:val="clear" w:color="auto" w:fill="CCEEFF"/>
          </w:tcPr>
          <w:p>
            <w:pPr>
              <w:jc w:val="center"/>
              <w:ind w:left="31"/>
              <w:spacing w:after="0"/>
              <w:rPr>
                <w:sz w:val="20"/>
                <w:szCs w:val="20"/>
                <w:color w:val="auto"/>
              </w:rPr>
            </w:pPr>
            <w:r>
              <w:rPr>
                <w:rFonts w:ascii="Arial" w:cs="Arial" w:eastAsia="Arial" w:hAnsi="Arial"/>
                <w:sz w:val="18"/>
                <w:szCs w:val="18"/>
                <w:color w:val="auto"/>
                <w:w w:val="99"/>
              </w:rPr>
              <w:t>12</w:t>
            </w:r>
          </w:p>
        </w:tc>
      </w:tr>
      <w:tr>
        <w:trPr>
          <w:trHeight w:val="263"/>
        </w:trPr>
        <w:tc>
          <w:tcPr>
            <w:tcW w:w="4120" w:type="dxa"/>
            <w:vAlign w:val="bottom"/>
          </w:tcPr>
          <w:p>
            <w:pPr>
              <w:ind w:left="40"/>
              <w:spacing w:after="0"/>
              <w:rPr>
                <w:sz w:val="20"/>
                <w:szCs w:val="20"/>
                <w:color w:val="auto"/>
              </w:rPr>
            </w:pPr>
            <w:r>
              <w:rPr>
                <w:rFonts w:ascii="Arial" w:cs="Arial" w:eastAsia="Arial" w:hAnsi="Arial"/>
                <w:sz w:val="18"/>
                <w:szCs w:val="18"/>
                <w:color w:val="auto"/>
              </w:rPr>
              <w:t>Trulicity</w:t>
            </w:r>
          </w:p>
        </w:tc>
        <w:tc>
          <w:tcPr>
            <w:tcW w:w="300" w:type="dxa"/>
            <w:vAlign w:val="bottom"/>
          </w:tcPr>
          <w:p>
            <w:pPr>
              <w:spacing w:after="0"/>
              <w:rPr>
                <w:sz w:val="22"/>
                <w:szCs w:val="22"/>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b w:val="1"/>
                <w:bCs w:val="1"/>
                <w:color w:val="auto"/>
              </w:rPr>
              <w:t>528.2</w:t>
            </w:r>
          </w:p>
        </w:tc>
        <w:tc>
          <w:tcPr>
            <w:tcW w:w="300" w:type="dxa"/>
            <w:vAlign w:val="bottom"/>
          </w:tcPr>
          <w:p>
            <w:pPr>
              <w:spacing w:after="0"/>
              <w:rPr>
                <w:sz w:val="22"/>
                <w:szCs w:val="22"/>
                <w:color w:val="auto"/>
              </w:rPr>
            </w:pPr>
          </w:p>
        </w:tc>
        <w:tc>
          <w:tcPr>
            <w:tcW w:w="1200" w:type="dxa"/>
            <w:vAlign w:val="bottom"/>
          </w:tcPr>
          <w:p>
            <w:pPr>
              <w:jc w:val="right"/>
              <w:ind w:right="53"/>
              <w:spacing w:after="0"/>
              <w:rPr>
                <w:sz w:val="20"/>
                <w:szCs w:val="20"/>
                <w:color w:val="auto"/>
              </w:rPr>
            </w:pPr>
            <w:r>
              <w:rPr>
                <w:rFonts w:ascii="Arial" w:cs="Arial" w:eastAsia="Arial" w:hAnsi="Arial"/>
                <w:sz w:val="18"/>
                <w:szCs w:val="18"/>
                <w:b w:val="1"/>
                <w:bCs w:val="1"/>
                <w:color w:val="auto"/>
              </w:rPr>
              <w:t>150.1</w:t>
            </w:r>
          </w:p>
        </w:tc>
        <w:tc>
          <w:tcPr>
            <w:tcW w:w="500" w:type="dxa"/>
            <w:vAlign w:val="bottom"/>
          </w:tcPr>
          <w:p>
            <w:pPr>
              <w:spacing w:after="0"/>
              <w:rPr>
                <w:sz w:val="22"/>
                <w:szCs w:val="22"/>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b w:val="1"/>
                <w:bCs w:val="1"/>
                <w:color w:val="auto"/>
              </w:rPr>
              <w:t>678.3</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372.9</w:t>
            </w:r>
          </w:p>
        </w:tc>
        <w:tc>
          <w:tcPr>
            <w:tcW w:w="1480" w:type="dxa"/>
            <w:vAlign w:val="bottom"/>
          </w:tcPr>
          <w:p>
            <w:pPr>
              <w:jc w:val="center"/>
              <w:ind w:left="31"/>
              <w:spacing w:after="0"/>
              <w:rPr>
                <w:sz w:val="20"/>
                <w:szCs w:val="20"/>
                <w:color w:val="auto"/>
              </w:rPr>
            </w:pPr>
            <w:r>
              <w:rPr>
                <w:rFonts w:ascii="Arial" w:cs="Arial" w:eastAsia="Arial" w:hAnsi="Arial"/>
                <w:sz w:val="18"/>
                <w:szCs w:val="18"/>
                <w:color w:val="auto"/>
                <w:w w:val="99"/>
              </w:rPr>
              <w:t>82</w:t>
            </w:r>
          </w:p>
        </w:tc>
      </w:tr>
      <w:tr>
        <w:trPr>
          <w:trHeight w:val="277"/>
        </w:trPr>
        <w:tc>
          <w:tcPr>
            <w:tcW w:w="4120" w:type="dxa"/>
            <w:vAlign w:val="bottom"/>
            <w:shd w:val="clear" w:color="auto" w:fill="CCEEFF"/>
          </w:tcPr>
          <w:p>
            <w:pPr>
              <w:ind w:left="40"/>
              <w:spacing w:after="0"/>
              <w:rPr>
                <w:sz w:val="20"/>
                <w:szCs w:val="20"/>
                <w:color w:val="auto"/>
              </w:rPr>
            </w:pPr>
            <w:r>
              <w:rPr>
                <w:rFonts w:ascii="Arial" w:cs="Arial" w:eastAsia="Arial" w:hAnsi="Arial"/>
                <w:sz w:val="18"/>
                <w:szCs w:val="18"/>
                <w:color w:val="auto"/>
              </w:rPr>
              <w:t>Alimta</w:t>
            </w:r>
          </w:p>
        </w:tc>
        <w:tc>
          <w:tcPr>
            <w:tcW w:w="30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245.3</w:t>
            </w:r>
          </w:p>
        </w:tc>
        <w:tc>
          <w:tcPr>
            <w:tcW w:w="30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53"/>
              <w:spacing w:after="0"/>
              <w:rPr>
                <w:sz w:val="20"/>
                <w:szCs w:val="20"/>
                <w:color w:val="auto"/>
              </w:rPr>
            </w:pPr>
            <w:r>
              <w:rPr>
                <w:rFonts w:ascii="Arial" w:cs="Arial" w:eastAsia="Arial" w:hAnsi="Arial"/>
                <w:sz w:val="18"/>
                <w:szCs w:val="18"/>
                <w:b w:val="1"/>
                <w:bCs w:val="1"/>
                <w:color w:val="auto"/>
              </w:rPr>
              <w:t>254.3</w:t>
            </w:r>
          </w:p>
        </w:tc>
        <w:tc>
          <w:tcPr>
            <w:tcW w:w="50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499.6</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489.9</w:t>
            </w:r>
          </w:p>
        </w:tc>
        <w:tc>
          <w:tcPr>
            <w:tcW w:w="1480" w:type="dxa"/>
            <w:vAlign w:val="bottom"/>
            <w:shd w:val="clear" w:color="auto" w:fill="CCEEFF"/>
          </w:tcPr>
          <w:p>
            <w:pPr>
              <w:jc w:val="center"/>
              <w:ind w:left="11"/>
              <w:spacing w:after="0"/>
              <w:rPr>
                <w:sz w:val="20"/>
                <w:szCs w:val="20"/>
                <w:color w:val="auto"/>
              </w:rPr>
            </w:pPr>
            <w:r>
              <w:rPr>
                <w:rFonts w:ascii="Arial" w:cs="Arial" w:eastAsia="Arial" w:hAnsi="Arial"/>
                <w:sz w:val="18"/>
                <w:szCs w:val="18"/>
                <w:color w:val="auto"/>
                <w:w w:val="99"/>
              </w:rPr>
              <w:t>2</w:t>
            </w:r>
          </w:p>
        </w:tc>
      </w:tr>
      <w:tr>
        <w:trPr>
          <w:trHeight w:val="263"/>
        </w:trPr>
        <w:tc>
          <w:tcPr>
            <w:tcW w:w="4120" w:type="dxa"/>
            <w:vAlign w:val="bottom"/>
          </w:tcPr>
          <w:p>
            <w:pPr>
              <w:ind w:left="40"/>
              <w:spacing w:after="0"/>
              <w:rPr>
                <w:sz w:val="20"/>
                <w:szCs w:val="20"/>
                <w:color w:val="auto"/>
              </w:rPr>
            </w:pPr>
            <w:r>
              <w:rPr>
                <w:rFonts w:ascii="Arial" w:cs="Arial" w:eastAsia="Arial" w:hAnsi="Arial"/>
                <w:sz w:val="18"/>
                <w:szCs w:val="18"/>
                <w:color w:val="auto"/>
              </w:rPr>
              <w:t>Cialis</w:t>
            </w:r>
          </w:p>
        </w:tc>
        <w:tc>
          <w:tcPr>
            <w:tcW w:w="300" w:type="dxa"/>
            <w:vAlign w:val="bottom"/>
          </w:tcPr>
          <w:p>
            <w:pPr>
              <w:spacing w:after="0"/>
              <w:rPr>
                <w:sz w:val="22"/>
                <w:szCs w:val="22"/>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b w:val="1"/>
                <w:bCs w:val="1"/>
                <w:color w:val="auto"/>
              </w:rPr>
              <w:t>313.4</w:t>
            </w:r>
          </w:p>
        </w:tc>
        <w:tc>
          <w:tcPr>
            <w:tcW w:w="300" w:type="dxa"/>
            <w:vAlign w:val="bottom"/>
          </w:tcPr>
          <w:p>
            <w:pPr>
              <w:spacing w:after="0"/>
              <w:rPr>
                <w:sz w:val="22"/>
                <w:szCs w:val="22"/>
                <w:color w:val="auto"/>
              </w:rPr>
            </w:pPr>
          </w:p>
        </w:tc>
        <w:tc>
          <w:tcPr>
            <w:tcW w:w="1200" w:type="dxa"/>
            <w:vAlign w:val="bottom"/>
          </w:tcPr>
          <w:p>
            <w:pPr>
              <w:jc w:val="right"/>
              <w:ind w:right="53"/>
              <w:spacing w:after="0"/>
              <w:rPr>
                <w:sz w:val="20"/>
                <w:szCs w:val="20"/>
                <w:color w:val="auto"/>
              </w:rPr>
            </w:pPr>
            <w:r>
              <w:rPr>
                <w:rFonts w:ascii="Arial" w:cs="Arial" w:eastAsia="Arial" w:hAnsi="Arial"/>
                <w:sz w:val="18"/>
                <w:szCs w:val="18"/>
                <w:b w:val="1"/>
                <w:bCs w:val="1"/>
                <w:color w:val="auto"/>
              </w:rPr>
              <w:t>182.0</w:t>
            </w:r>
          </w:p>
        </w:tc>
        <w:tc>
          <w:tcPr>
            <w:tcW w:w="500" w:type="dxa"/>
            <w:vAlign w:val="bottom"/>
          </w:tcPr>
          <w:p>
            <w:pPr>
              <w:spacing w:after="0"/>
              <w:rPr>
                <w:sz w:val="22"/>
                <w:szCs w:val="22"/>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b w:val="1"/>
                <w:bCs w:val="1"/>
                <w:color w:val="auto"/>
              </w:rPr>
              <w:t>495.4</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533.6</w:t>
            </w:r>
          </w:p>
        </w:tc>
        <w:tc>
          <w:tcPr>
            <w:tcW w:w="1480" w:type="dxa"/>
            <w:vAlign w:val="bottom"/>
          </w:tcPr>
          <w:p>
            <w:pPr>
              <w:jc w:val="center"/>
              <w:ind w:left="11"/>
              <w:spacing w:after="0"/>
              <w:rPr>
                <w:sz w:val="20"/>
                <w:szCs w:val="20"/>
                <w:color w:val="auto"/>
              </w:rPr>
            </w:pPr>
            <w:r>
              <w:rPr>
                <w:rFonts w:ascii="Arial" w:cs="Arial" w:eastAsia="Arial" w:hAnsi="Arial"/>
                <w:sz w:val="18"/>
                <w:szCs w:val="18"/>
                <w:color w:val="auto"/>
                <w:w w:val="99"/>
              </w:rPr>
              <w:t>(7)</w:t>
            </w:r>
          </w:p>
        </w:tc>
      </w:tr>
      <w:tr>
        <w:trPr>
          <w:trHeight w:val="277"/>
        </w:trPr>
        <w:tc>
          <w:tcPr>
            <w:tcW w:w="4120" w:type="dxa"/>
            <w:vAlign w:val="bottom"/>
            <w:shd w:val="clear" w:color="auto" w:fill="CCEEFF"/>
          </w:tcPr>
          <w:p>
            <w:pPr>
              <w:ind w:left="40"/>
              <w:spacing w:after="0"/>
              <w:rPr>
                <w:sz w:val="20"/>
                <w:szCs w:val="20"/>
                <w:color w:val="auto"/>
              </w:rPr>
            </w:pPr>
            <w:r>
              <w:rPr>
                <w:rFonts w:ascii="Arial" w:cs="Arial" w:eastAsia="Arial" w:hAnsi="Arial"/>
                <w:sz w:val="18"/>
                <w:szCs w:val="18"/>
                <w:color w:val="auto"/>
              </w:rPr>
              <w:t>Humulin</w:t>
            </w:r>
            <w:r>
              <w:rPr>
                <w:rFonts w:ascii="Arial" w:cs="Arial" w:eastAsia="Arial" w:hAnsi="Arial"/>
                <w:sz w:val="21"/>
                <w:szCs w:val="21"/>
                <w:color w:val="auto"/>
                <w:vertAlign w:val="superscript"/>
              </w:rPr>
              <w:t>®</w:t>
            </w:r>
          </w:p>
        </w:tc>
        <w:tc>
          <w:tcPr>
            <w:tcW w:w="30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221.6</w:t>
            </w:r>
          </w:p>
        </w:tc>
        <w:tc>
          <w:tcPr>
            <w:tcW w:w="30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53"/>
              <w:spacing w:after="0"/>
              <w:rPr>
                <w:sz w:val="20"/>
                <w:szCs w:val="20"/>
                <w:color w:val="auto"/>
              </w:rPr>
            </w:pPr>
            <w:r>
              <w:rPr>
                <w:rFonts w:ascii="Arial" w:cs="Arial" w:eastAsia="Arial" w:hAnsi="Arial"/>
                <w:sz w:val="18"/>
                <w:szCs w:val="18"/>
                <w:b w:val="1"/>
                <w:bCs w:val="1"/>
                <w:color w:val="auto"/>
              </w:rPr>
              <w:t>104.3</w:t>
            </w:r>
          </w:p>
        </w:tc>
        <w:tc>
          <w:tcPr>
            <w:tcW w:w="50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325.9</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314.5</w:t>
            </w:r>
          </w:p>
        </w:tc>
        <w:tc>
          <w:tcPr>
            <w:tcW w:w="1480" w:type="dxa"/>
            <w:vAlign w:val="bottom"/>
            <w:shd w:val="clear" w:color="auto" w:fill="CCEEFF"/>
          </w:tcPr>
          <w:p>
            <w:pPr>
              <w:jc w:val="center"/>
              <w:ind w:left="11"/>
              <w:spacing w:after="0"/>
              <w:rPr>
                <w:sz w:val="20"/>
                <w:szCs w:val="20"/>
                <w:color w:val="auto"/>
              </w:rPr>
            </w:pPr>
            <w:r>
              <w:rPr>
                <w:rFonts w:ascii="Arial" w:cs="Arial" w:eastAsia="Arial" w:hAnsi="Arial"/>
                <w:sz w:val="18"/>
                <w:szCs w:val="18"/>
                <w:color w:val="auto"/>
                <w:w w:val="99"/>
              </w:rPr>
              <w:t>4</w:t>
            </w:r>
          </w:p>
        </w:tc>
      </w:tr>
      <w:tr>
        <w:trPr>
          <w:trHeight w:val="270"/>
        </w:trPr>
        <w:tc>
          <w:tcPr>
            <w:tcW w:w="4120" w:type="dxa"/>
            <w:vAlign w:val="bottom"/>
          </w:tcPr>
          <w:p>
            <w:pPr>
              <w:ind w:left="40"/>
              <w:spacing w:after="0"/>
              <w:rPr>
                <w:sz w:val="20"/>
                <w:szCs w:val="20"/>
                <w:color w:val="auto"/>
              </w:rPr>
            </w:pPr>
            <w:r>
              <w:rPr>
                <w:rFonts w:ascii="Arial" w:cs="Arial" w:eastAsia="Arial" w:hAnsi="Arial"/>
                <w:sz w:val="18"/>
                <w:szCs w:val="18"/>
                <w:color w:val="auto"/>
              </w:rPr>
              <w:t>Forteo</w:t>
            </w:r>
            <w:r>
              <w:rPr>
                <w:rFonts w:ascii="Arial" w:cs="Arial" w:eastAsia="Arial" w:hAnsi="Arial"/>
                <w:sz w:val="21"/>
                <w:szCs w:val="21"/>
                <w:color w:val="auto"/>
                <w:vertAlign w:val="superscript"/>
              </w:rPr>
              <w:t>®</w:t>
            </w:r>
          </w:p>
        </w:tc>
        <w:tc>
          <w:tcPr>
            <w:tcW w:w="300" w:type="dxa"/>
            <w:vAlign w:val="bottom"/>
          </w:tcPr>
          <w:p>
            <w:pPr>
              <w:spacing w:after="0"/>
              <w:rPr>
                <w:sz w:val="23"/>
                <w:szCs w:val="23"/>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b w:val="1"/>
                <w:bCs w:val="1"/>
                <w:color w:val="auto"/>
              </w:rPr>
              <w:t>122.1</w:t>
            </w:r>
          </w:p>
        </w:tc>
        <w:tc>
          <w:tcPr>
            <w:tcW w:w="300" w:type="dxa"/>
            <w:vAlign w:val="bottom"/>
          </w:tcPr>
          <w:p>
            <w:pPr>
              <w:spacing w:after="0"/>
              <w:rPr>
                <w:sz w:val="23"/>
                <w:szCs w:val="23"/>
                <w:color w:val="auto"/>
              </w:rPr>
            </w:pPr>
          </w:p>
        </w:tc>
        <w:tc>
          <w:tcPr>
            <w:tcW w:w="1200" w:type="dxa"/>
            <w:vAlign w:val="bottom"/>
          </w:tcPr>
          <w:p>
            <w:pPr>
              <w:jc w:val="right"/>
              <w:ind w:right="53"/>
              <w:spacing w:after="0"/>
              <w:rPr>
                <w:sz w:val="20"/>
                <w:szCs w:val="20"/>
                <w:color w:val="auto"/>
              </w:rPr>
            </w:pPr>
            <w:r>
              <w:rPr>
                <w:rFonts w:ascii="Arial" w:cs="Arial" w:eastAsia="Arial" w:hAnsi="Arial"/>
                <w:sz w:val="18"/>
                <w:szCs w:val="18"/>
                <w:b w:val="1"/>
                <w:bCs w:val="1"/>
                <w:color w:val="auto"/>
              </w:rPr>
              <w:t>191.1</w:t>
            </w:r>
          </w:p>
        </w:tc>
        <w:tc>
          <w:tcPr>
            <w:tcW w:w="500" w:type="dxa"/>
            <w:vAlign w:val="bottom"/>
          </w:tcPr>
          <w:p>
            <w:pPr>
              <w:spacing w:after="0"/>
              <w:rPr>
                <w:sz w:val="23"/>
                <w:szCs w:val="23"/>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b w:val="1"/>
                <w:bCs w:val="1"/>
                <w:color w:val="auto"/>
              </w:rPr>
              <w:t>313.2</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347.5</w:t>
            </w:r>
          </w:p>
        </w:tc>
        <w:tc>
          <w:tcPr>
            <w:tcW w:w="1480" w:type="dxa"/>
            <w:vAlign w:val="bottom"/>
          </w:tcPr>
          <w:p>
            <w:pPr>
              <w:jc w:val="center"/>
              <w:ind w:left="31"/>
              <w:spacing w:after="0"/>
              <w:rPr>
                <w:sz w:val="20"/>
                <w:szCs w:val="20"/>
                <w:color w:val="auto"/>
              </w:rPr>
            </w:pPr>
            <w:r>
              <w:rPr>
                <w:rFonts w:ascii="Arial" w:cs="Arial" w:eastAsia="Arial" w:hAnsi="Arial"/>
                <w:sz w:val="18"/>
                <w:szCs w:val="18"/>
                <w:color w:val="auto"/>
                <w:w w:val="99"/>
              </w:rPr>
              <w:t>(10)</w:t>
            </w:r>
          </w:p>
        </w:tc>
      </w:tr>
      <w:tr>
        <w:trPr>
          <w:trHeight w:val="270"/>
        </w:trPr>
        <w:tc>
          <w:tcPr>
            <w:tcW w:w="4120" w:type="dxa"/>
            <w:vAlign w:val="bottom"/>
            <w:shd w:val="clear" w:color="auto" w:fill="CCEEFF"/>
          </w:tcPr>
          <w:p>
            <w:pPr>
              <w:ind w:left="40"/>
              <w:spacing w:after="0"/>
              <w:rPr>
                <w:sz w:val="20"/>
                <w:szCs w:val="20"/>
                <w:color w:val="auto"/>
              </w:rPr>
            </w:pPr>
            <w:r>
              <w:rPr>
                <w:rFonts w:ascii="Arial" w:cs="Arial" w:eastAsia="Arial" w:hAnsi="Arial"/>
                <w:sz w:val="18"/>
                <w:szCs w:val="18"/>
                <w:color w:val="auto"/>
              </w:rPr>
              <w:t>Cyramza</w:t>
            </w:r>
            <w:r>
              <w:rPr>
                <w:rFonts w:ascii="Arial" w:cs="Arial" w:eastAsia="Arial" w:hAnsi="Arial"/>
                <w:sz w:val="21"/>
                <w:szCs w:val="21"/>
                <w:color w:val="auto"/>
                <w:vertAlign w:val="superscript"/>
              </w:rPr>
              <w:t>®</w:t>
            </w:r>
          </w:p>
        </w:tc>
        <w:tc>
          <w:tcPr>
            <w:tcW w:w="30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68.3</w:t>
            </w:r>
          </w:p>
        </w:tc>
        <w:tc>
          <w:tcPr>
            <w:tcW w:w="30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53"/>
              <w:spacing w:after="0"/>
              <w:rPr>
                <w:sz w:val="20"/>
                <w:szCs w:val="20"/>
                <w:color w:val="auto"/>
              </w:rPr>
            </w:pPr>
            <w:r>
              <w:rPr>
                <w:rFonts w:ascii="Arial" w:cs="Arial" w:eastAsia="Arial" w:hAnsi="Arial"/>
                <w:sz w:val="18"/>
                <w:szCs w:val="18"/>
                <w:b w:val="1"/>
                <w:bCs w:val="1"/>
                <w:color w:val="auto"/>
              </w:rPr>
              <w:t>115.3</w:t>
            </w:r>
          </w:p>
        </w:tc>
        <w:tc>
          <w:tcPr>
            <w:tcW w:w="50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183.6</w:t>
            </w: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171.2</w:t>
            </w:r>
          </w:p>
        </w:tc>
        <w:tc>
          <w:tcPr>
            <w:tcW w:w="1480" w:type="dxa"/>
            <w:vAlign w:val="bottom"/>
            <w:shd w:val="clear" w:color="auto" w:fill="CCEEFF"/>
          </w:tcPr>
          <w:p>
            <w:pPr>
              <w:jc w:val="center"/>
              <w:ind w:left="11"/>
              <w:spacing w:after="0"/>
              <w:rPr>
                <w:sz w:val="20"/>
                <w:szCs w:val="20"/>
                <w:color w:val="auto"/>
              </w:rPr>
            </w:pPr>
            <w:r>
              <w:rPr>
                <w:rFonts w:ascii="Arial" w:cs="Arial" w:eastAsia="Arial" w:hAnsi="Arial"/>
                <w:sz w:val="18"/>
                <w:szCs w:val="18"/>
                <w:color w:val="auto"/>
                <w:w w:val="99"/>
              </w:rPr>
              <w:t>7</w:t>
            </w:r>
          </w:p>
        </w:tc>
      </w:tr>
      <w:tr>
        <w:trPr>
          <w:trHeight w:val="270"/>
        </w:trPr>
        <w:tc>
          <w:tcPr>
            <w:tcW w:w="4120" w:type="dxa"/>
            <w:vAlign w:val="bottom"/>
          </w:tcPr>
          <w:p>
            <w:pPr>
              <w:ind w:left="40"/>
              <w:spacing w:after="0"/>
              <w:rPr>
                <w:sz w:val="20"/>
                <w:szCs w:val="20"/>
                <w:color w:val="auto"/>
              </w:rPr>
            </w:pPr>
            <w:r>
              <w:rPr>
                <w:rFonts w:ascii="Arial" w:cs="Arial" w:eastAsia="Arial" w:hAnsi="Arial"/>
                <w:sz w:val="18"/>
                <w:szCs w:val="18"/>
                <w:color w:val="auto"/>
              </w:rPr>
              <w:t>Cymbalta</w:t>
            </w:r>
            <w:r>
              <w:rPr>
                <w:rFonts w:ascii="Arial" w:cs="Arial" w:eastAsia="Arial" w:hAnsi="Arial"/>
                <w:sz w:val="21"/>
                <w:szCs w:val="21"/>
                <w:color w:val="auto"/>
                <w:vertAlign w:val="superscript"/>
              </w:rPr>
              <w:t>®</w:t>
            </w:r>
          </w:p>
        </w:tc>
        <w:tc>
          <w:tcPr>
            <w:tcW w:w="300" w:type="dxa"/>
            <w:vAlign w:val="bottom"/>
          </w:tcPr>
          <w:p>
            <w:pPr>
              <w:spacing w:after="0"/>
              <w:rPr>
                <w:sz w:val="23"/>
                <w:szCs w:val="23"/>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b w:val="1"/>
                <w:bCs w:val="1"/>
                <w:color w:val="auto"/>
              </w:rPr>
              <w:t>12.2</w:t>
            </w:r>
          </w:p>
        </w:tc>
        <w:tc>
          <w:tcPr>
            <w:tcW w:w="300" w:type="dxa"/>
            <w:vAlign w:val="bottom"/>
          </w:tcPr>
          <w:p>
            <w:pPr>
              <w:spacing w:after="0"/>
              <w:rPr>
                <w:sz w:val="23"/>
                <w:szCs w:val="23"/>
                <w:color w:val="auto"/>
              </w:rPr>
            </w:pPr>
          </w:p>
        </w:tc>
        <w:tc>
          <w:tcPr>
            <w:tcW w:w="1200" w:type="dxa"/>
            <w:vAlign w:val="bottom"/>
          </w:tcPr>
          <w:p>
            <w:pPr>
              <w:jc w:val="right"/>
              <w:ind w:right="53"/>
              <w:spacing w:after="0"/>
              <w:rPr>
                <w:sz w:val="20"/>
                <w:szCs w:val="20"/>
                <w:color w:val="auto"/>
              </w:rPr>
            </w:pPr>
            <w:r>
              <w:rPr>
                <w:rFonts w:ascii="Arial" w:cs="Arial" w:eastAsia="Arial" w:hAnsi="Arial"/>
                <w:sz w:val="18"/>
                <w:szCs w:val="18"/>
                <w:b w:val="1"/>
                <w:bCs w:val="1"/>
                <w:color w:val="auto"/>
              </w:rPr>
              <w:t>157.3</w:t>
            </w:r>
          </w:p>
        </w:tc>
        <w:tc>
          <w:tcPr>
            <w:tcW w:w="500" w:type="dxa"/>
            <w:vAlign w:val="bottom"/>
          </w:tcPr>
          <w:p>
            <w:pPr>
              <w:spacing w:after="0"/>
              <w:rPr>
                <w:sz w:val="23"/>
                <w:szCs w:val="23"/>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b w:val="1"/>
                <w:bCs w:val="1"/>
                <w:color w:val="auto"/>
              </w:rPr>
              <w:t>169.6</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174.6</w:t>
            </w:r>
          </w:p>
        </w:tc>
        <w:tc>
          <w:tcPr>
            <w:tcW w:w="1480" w:type="dxa"/>
            <w:vAlign w:val="bottom"/>
          </w:tcPr>
          <w:p>
            <w:pPr>
              <w:jc w:val="center"/>
              <w:ind w:left="11"/>
              <w:spacing w:after="0"/>
              <w:rPr>
                <w:sz w:val="20"/>
                <w:szCs w:val="20"/>
                <w:color w:val="auto"/>
              </w:rPr>
            </w:pPr>
            <w:r>
              <w:rPr>
                <w:rFonts w:ascii="Arial" w:cs="Arial" w:eastAsia="Arial" w:hAnsi="Arial"/>
                <w:sz w:val="18"/>
                <w:szCs w:val="18"/>
                <w:color w:val="auto"/>
                <w:w w:val="99"/>
              </w:rPr>
              <w:t>(3)</w:t>
            </w:r>
          </w:p>
        </w:tc>
      </w:tr>
      <w:tr>
        <w:trPr>
          <w:trHeight w:val="270"/>
        </w:trPr>
        <w:tc>
          <w:tcPr>
            <w:tcW w:w="4120" w:type="dxa"/>
            <w:vAlign w:val="bottom"/>
            <w:shd w:val="clear" w:color="auto" w:fill="CCEEFF"/>
          </w:tcPr>
          <w:p>
            <w:pPr>
              <w:ind w:left="40"/>
              <w:spacing w:after="0"/>
              <w:rPr>
                <w:sz w:val="20"/>
                <w:szCs w:val="20"/>
                <w:color w:val="auto"/>
              </w:rPr>
            </w:pPr>
            <w:r>
              <w:rPr>
                <w:rFonts w:ascii="Arial" w:cs="Arial" w:eastAsia="Arial" w:hAnsi="Arial"/>
                <w:sz w:val="18"/>
                <w:szCs w:val="18"/>
                <w:color w:val="auto"/>
              </w:rPr>
              <w:t>Basaglar</w:t>
            </w:r>
          </w:p>
        </w:tc>
        <w:tc>
          <w:tcPr>
            <w:tcW w:w="30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126.7</w:t>
            </w:r>
          </w:p>
        </w:tc>
        <w:tc>
          <w:tcPr>
            <w:tcW w:w="30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53"/>
              <w:spacing w:after="0"/>
              <w:rPr>
                <w:sz w:val="20"/>
                <w:szCs w:val="20"/>
                <w:color w:val="auto"/>
              </w:rPr>
            </w:pPr>
            <w:r>
              <w:rPr>
                <w:rFonts w:ascii="Arial" w:cs="Arial" w:eastAsia="Arial" w:hAnsi="Arial"/>
                <w:sz w:val="18"/>
                <w:szCs w:val="18"/>
                <w:b w:val="1"/>
                <w:bCs w:val="1"/>
                <w:color w:val="auto"/>
              </w:rPr>
              <w:t>39.3</w:t>
            </w:r>
          </w:p>
        </w:tc>
        <w:tc>
          <w:tcPr>
            <w:tcW w:w="50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166.0</w:t>
            </w: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46.0</w:t>
            </w:r>
          </w:p>
        </w:tc>
        <w:tc>
          <w:tcPr>
            <w:tcW w:w="1480" w:type="dxa"/>
            <w:vAlign w:val="bottom"/>
            <w:shd w:val="clear" w:color="auto" w:fill="CCEEFF"/>
          </w:tcPr>
          <w:p>
            <w:pPr>
              <w:jc w:val="center"/>
              <w:ind w:left="31"/>
              <w:spacing w:after="0"/>
              <w:rPr>
                <w:sz w:val="20"/>
                <w:szCs w:val="20"/>
                <w:color w:val="auto"/>
              </w:rPr>
            </w:pPr>
            <w:r>
              <w:rPr>
                <w:rFonts w:ascii="Arial" w:cs="Arial" w:eastAsia="Arial" w:hAnsi="Arial"/>
                <w:sz w:val="18"/>
                <w:szCs w:val="18"/>
                <w:color w:val="auto"/>
                <w:w w:val="99"/>
              </w:rPr>
              <w:t>NM</w:t>
            </w:r>
          </w:p>
        </w:tc>
      </w:tr>
      <w:tr>
        <w:trPr>
          <w:trHeight w:val="270"/>
        </w:trPr>
        <w:tc>
          <w:tcPr>
            <w:tcW w:w="4120" w:type="dxa"/>
            <w:vAlign w:val="bottom"/>
          </w:tcPr>
          <w:p>
            <w:pPr>
              <w:ind w:left="40"/>
              <w:spacing w:after="0"/>
              <w:rPr>
                <w:sz w:val="20"/>
                <w:szCs w:val="20"/>
                <w:color w:val="auto"/>
              </w:rPr>
            </w:pPr>
            <w:r>
              <w:rPr>
                <w:rFonts w:ascii="Arial" w:cs="Arial" w:eastAsia="Arial" w:hAnsi="Arial"/>
                <w:sz w:val="18"/>
                <w:szCs w:val="18"/>
                <w:color w:val="auto"/>
              </w:rPr>
              <w:t xml:space="preserve">Jardiance </w:t>
            </w:r>
            <w:r>
              <w:rPr>
                <w:rFonts w:ascii="Arial" w:cs="Arial" w:eastAsia="Arial" w:hAnsi="Arial"/>
                <w:sz w:val="21"/>
                <w:szCs w:val="21"/>
                <w:color w:val="auto"/>
                <w:vertAlign w:val="superscript"/>
              </w:rPr>
              <w:t>(2)</w:t>
            </w:r>
          </w:p>
        </w:tc>
        <w:tc>
          <w:tcPr>
            <w:tcW w:w="300" w:type="dxa"/>
            <w:vAlign w:val="bottom"/>
          </w:tcPr>
          <w:p>
            <w:pPr>
              <w:spacing w:after="0"/>
              <w:rPr>
                <w:sz w:val="23"/>
                <w:szCs w:val="23"/>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b w:val="1"/>
                <w:bCs w:val="1"/>
                <w:color w:val="auto"/>
              </w:rPr>
              <w:t>95.0</w:t>
            </w:r>
          </w:p>
        </w:tc>
        <w:tc>
          <w:tcPr>
            <w:tcW w:w="300" w:type="dxa"/>
            <w:vAlign w:val="bottom"/>
          </w:tcPr>
          <w:p>
            <w:pPr>
              <w:spacing w:after="0"/>
              <w:rPr>
                <w:sz w:val="23"/>
                <w:szCs w:val="23"/>
                <w:color w:val="auto"/>
              </w:rPr>
            </w:pPr>
          </w:p>
        </w:tc>
        <w:tc>
          <w:tcPr>
            <w:tcW w:w="1200" w:type="dxa"/>
            <w:vAlign w:val="bottom"/>
          </w:tcPr>
          <w:p>
            <w:pPr>
              <w:jc w:val="right"/>
              <w:ind w:right="53"/>
              <w:spacing w:after="0"/>
              <w:rPr>
                <w:sz w:val="20"/>
                <w:szCs w:val="20"/>
                <w:color w:val="auto"/>
              </w:rPr>
            </w:pPr>
            <w:r>
              <w:rPr>
                <w:rFonts w:ascii="Arial" w:cs="Arial" w:eastAsia="Arial" w:hAnsi="Arial"/>
                <w:sz w:val="18"/>
                <w:szCs w:val="18"/>
                <w:b w:val="1"/>
                <w:bCs w:val="1"/>
                <w:color w:val="auto"/>
              </w:rPr>
              <w:t>56.0</w:t>
            </w:r>
          </w:p>
        </w:tc>
        <w:tc>
          <w:tcPr>
            <w:tcW w:w="500" w:type="dxa"/>
            <w:vAlign w:val="bottom"/>
          </w:tcPr>
          <w:p>
            <w:pPr>
              <w:spacing w:after="0"/>
              <w:rPr>
                <w:sz w:val="23"/>
                <w:szCs w:val="23"/>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b w:val="1"/>
                <w:bCs w:val="1"/>
                <w:color w:val="auto"/>
              </w:rPr>
              <w:t>151.0</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74.0</w:t>
            </w:r>
          </w:p>
        </w:tc>
        <w:tc>
          <w:tcPr>
            <w:tcW w:w="1480" w:type="dxa"/>
            <w:vAlign w:val="bottom"/>
          </w:tcPr>
          <w:p>
            <w:pPr>
              <w:jc w:val="center"/>
              <w:ind w:left="11"/>
              <w:spacing w:after="0"/>
              <w:rPr>
                <w:sz w:val="20"/>
                <w:szCs w:val="20"/>
                <w:color w:val="auto"/>
              </w:rPr>
            </w:pPr>
            <w:r>
              <w:rPr>
                <w:rFonts w:ascii="Arial" w:cs="Arial" w:eastAsia="Arial" w:hAnsi="Arial"/>
                <w:sz w:val="18"/>
                <w:szCs w:val="18"/>
                <w:color w:val="auto"/>
                <w:w w:val="99"/>
              </w:rPr>
              <w:t>104</w:t>
            </w:r>
          </w:p>
        </w:tc>
      </w:tr>
      <w:tr>
        <w:trPr>
          <w:trHeight w:val="270"/>
        </w:trPr>
        <w:tc>
          <w:tcPr>
            <w:tcW w:w="4120" w:type="dxa"/>
            <w:vAlign w:val="bottom"/>
            <w:shd w:val="clear" w:color="auto" w:fill="CCEEFF"/>
          </w:tcPr>
          <w:p>
            <w:pPr>
              <w:ind w:left="40"/>
              <w:spacing w:after="0"/>
              <w:rPr>
                <w:sz w:val="20"/>
                <w:szCs w:val="20"/>
                <w:color w:val="auto"/>
              </w:rPr>
            </w:pPr>
            <w:r>
              <w:rPr>
                <w:rFonts w:ascii="Arial" w:cs="Arial" w:eastAsia="Arial" w:hAnsi="Arial"/>
                <w:sz w:val="18"/>
                <w:szCs w:val="18"/>
                <w:color w:val="auto"/>
              </w:rPr>
              <w:t>Erbitux</w:t>
            </w:r>
            <w:r>
              <w:rPr>
                <w:rFonts w:ascii="Arial" w:cs="Arial" w:eastAsia="Arial" w:hAnsi="Arial"/>
                <w:sz w:val="21"/>
                <w:szCs w:val="21"/>
                <w:color w:val="auto"/>
                <w:vertAlign w:val="superscript"/>
              </w:rPr>
              <w:t>®</w:t>
            </w:r>
          </w:p>
        </w:tc>
        <w:tc>
          <w:tcPr>
            <w:tcW w:w="30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121.3</w:t>
            </w:r>
          </w:p>
        </w:tc>
        <w:tc>
          <w:tcPr>
            <w:tcW w:w="30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53"/>
              <w:spacing w:after="0"/>
              <w:rPr>
                <w:sz w:val="20"/>
                <w:szCs w:val="20"/>
                <w:color w:val="auto"/>
              </w:rPr>
            </w:pPr>
            <w:r>
              <w:rPr>
                <w:rFonts w:ascii="Arial" w:cs="Arial" w:eastAsia="Arial" w:hAnsi="Arial"/>
                <w:sz w:val="18"/>
                <w:szCs w:val="18"/>
                <w:b w:val="1"/>
                <w:bCs w:val="1"/>
                <w:color w:val="auto"/>
              </w:rPr>
              <w:t>28.3</w:t>
            </w:r>
          </w:p>
        </w:tc>
        <w:tc>
          <w:tcPr>
            <w:tcW w:w="50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149.6</w:t>
            </w: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154.4</w:t>
            </w:r>
          </w:p>
        </w:tc>
        <w:tc>
          <w:tcPr>
            <w:tcW w:w="1480" w:type="dxa"/>
            <w:vAlign w:val="bottom"/>
            <w:shd w:val="clear" w:color="auto" w:fill="CCEEFF"/>
          </w:tcPr>
          <w:p>
            <w:pPr>
              <w:jc w:val="center"/>
              <w:ind w:left="11"/>
              <w:spacing w:after="0"/>
              <w:rPr>
                <w:sz w:val="20"/>
                <w:szCs w:val="20"/>
                <w:color w:val="auto"/>
              </w:rPr>
            </w:pPr>
            <w:r>
              <w:rPr>
                <w:rFonts w:ascii="Arial" w:cs="Arial" w:eastAsia="Arial" w:hAnsi="Arial"/>
                <w:sz w:val="18"/>
                <w:szCs w:val="18"/>
                <w:color w:val="auto"/>
                <w:w w:val="99"/>
              </w:rPr>
              <w:t>(3)</w:t>
            </w:r>
          </w:p>
        </w:tc>
      </w:tr>
      <w:tr>
        <w:trPr>
          <w:trHeight w:val="263"/>
        </w:trPr>
        <w:tc>
          <w:tcPr>
            <w:tcW w:w="4120" w:type="dxa"/>
            <w:vAlign w:val="bottom"/>
          </w:tcPr>
          <w:p>
            <w:pPr>
              <w:ind w:left="40"/>
              <w:spacing w:after="0"/>
              <w:rPr>
                <w:sz w:val="20"/>
                <w:szCs w:val="20"/>
                <w:color w:val="auto"/>
              </w:rPr>
            </w:pPr>
            <w:r>
              <w:rPr>
                <w:rFonts w:ascii="Arial" w:cs="Arial" w:eastAsia="Arial" w:hAnsi="Arial"/>
                <w:sz w:val="18"/>
                <w:szCs w:val="18"/>
                <w:color w:val="auto"/>
              </w:rPr>
              <w:t>Taltz</w:t>
            </w:r>
          </w:p>
        </w:tc>
        <w:tc>
          <w:tcPr>
            <w:tcW w:w="300" w:type="dxa"/>
            <w:vAlign w:val="bottom"/>
          </w:tcPr>
          <w:p>
            <w:pPr>
              <w:spacing w:after="0"/>
              <w:rPr>
                <w:sz w:val="22"/>
                <w:szCs w:val="22"/>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b w:val="1"/>
                <w:bCs w:val="1"/>
                <w:color w:val="auto"/>
              </w:rPr>
              <w:t>111.2</w:t>
            </w:r>
          </w:p>
        </w:tc>
        <w:tc>
          <w:tcPr>
            <w:tcW w:w="300" w:type="dxa"/>
            <w:vAlign w:val="bottom"/>
          </w:tcPr>
          <w:p>
            <w:pPr>
              <w:spacing w:after="0"/>
              <w:rPr>
                <w:sz w:val="22"/>
                <w:szCs w:val="22"/>
                <w:color w:val="auto"/>
              </w:rPr>
            </w:pPr>
          </w:p>
        </w:tc>
        <w:tc>
          <w:tcPr>
            <w:tcW w:w="1200" w:type="dxa"/>
            <w:vAlign w:val="bottom"/>
          </w:tcPr>
          <w:p>
            <w:pPr>
              <w:jc w:val="right"/>
              <w:ind w:right="53"/>
              <w:spacing w:after="0"/>
              <w:rPr>
                <w:sz w:val="20"/>
                <w:szCs w:val="20"/>
                <w:color w:val="auto"/>
              </w:rPr>
            </w:pPr>
            <w:r>
              <w:rPr>
                <w:rFonts w:ascii="Arial" w:cs="Arial" w:eastAsia="Arial" w:hAnsi="Arial"/>
                <w:sz w:val="18"/>
                <w:szCs w:val="18"/>
                <w:b w:val="1"/>
                <w:bCs w:val="1"/>
                <w:color w:val="auto"/>
              </w:rPr>
              <w:t>35.3</w:t>
            </w:r>
          </w:p>
        </w:tc>
        <w:tc>
          <w:tcPr>
            <w:tcW w:w="500" w:type="dxa"/>
            <w:vAlign w:val="bottom"/>
          </w:tcPr>
          <w:p>
            <w:pPr>
              <w:spacing w:after="0"/>
              <w:rPr>
                <w:sz w:val="22"/>
                <w:szCs w:val="22"/>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b w:val="1"/>
                <w:bCs w:val="1"/>
                <w:color w:val="auto"/>
              </w:rPr>
              <w:t>146.5</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96.6</w:t>
            </w:r>
          </w:p>
        </w:tc>
        <w:tc>
          <w:tcPr>
            <w:tcW w:w="1480" w:type="dxa"/>
            <w:vAlign w:val="bottom"/>
          </w:tcPr>
          <w:p>
            <w:pPr>
              <w:jc w:val="center"/>
              <w:ind w:left="31"/>
              <w:spacing w:after="0"/>
              <w:rPr>
                <w:sz w:val="20"/>
                <w:szCs w:val="20"/>
                <w:color w:val="auto"/>
              </w:rPr>
            </w:pPr>
            <w:r>
              <w:rPr>
                <w:rFonts w:ascii="Arial" w:cs="Arial" w:eastAsia="Arial" w:hAnsi="Arial"/>
                <w:sz w:val="18"/>
                <w:szCs w:val="18"/>
                <w:color w:val="auto"/>
                <w:w w:val="99"/>
              </w:rPr>
              <w:t>52</w:t>
            </w:r>
          </w:p>
        </w:tc>
      </w:tr>
      <w:tr>
        <w:trPr>
          <w:trHeight w:val="277"/>
        </w:trPr>
        <w:tc>
          <w:tcPr>
            <w:tcW w:w="4120" w:type="dxa"/>
            <w:vAlign w:val="bottom"/>
            <w:shd w:val="clear" w:color="auto" w:fill="CCEEFF"/>
          </w:tcPr>
          <w:p>
            <w:pPr>
              <w:ind w:left="40"/>
              <w:spacing w:after="0"/>
              <w:rPr>
                <w:sz w:val="20"/>
                <w:szCs w:val="20"/>
                <w:color w:val="auto"/>
              </w:rPr>
            </w:pPr>
            <w:r>
              <w:rPr>
                <w:rFonts w:ascii="Arial" w:cs="Arial" w:eastAsia="Arial" w:hAnsi="Arial"/>
                <w:sz w:val="18"/>
                <w:szCs w:val="18"/>
                <w:color w:val="auto"/>
              </w:rPr>
              <w:t>Trajenta</w:t>
            </w:r>
            <w:r>
              <w:rPr>
                <w:rFonts w:ascii="Arial" w:cs="Arial" w:eastAsia="Arial" w:hAnsi="Arial"/>
                <w:sz w:val="21"/>
                <w:szCs w:val="21"/>
                <w:color w:val="auto"/>
                <w:vertAlign w:val="superscript"/>
              </w:rPr>
              <w:t>™ (3)</w:t>
            </w:r>
          </w:p>
        </w:tc>
        <w:tc>
          <w:tcPr>
            <w:tcW w:w="30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54.1</w:t>
            </w:r>
          </w:p>
        </w:tc>
        <w:tc>
          <w:tcPr>
            <w:tcW w:w="30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53"/>
              <w:spacing w:after="0"/>
              <w:rPr>
                <w:sz w:val="20"/>
                <w:szCs w:val="20"/>
                <w:color w:val="auto"/>
              </w:rPr>
            </w:pPr>
            <w:r>
              <w:rPr>
                <w:rFonts w:ascii="Arial" w:cs="Arial" w:eastAsia="Arial" w:hAnsi="Arial"/>
                <w:sz w:val="18"/>
                <w:szCs w:val="18"/>
                <w:b w:val="1"/>
                <w:bCs w:val="1"/>
                <w:color w:val="auto"/>
              </w:rPr>
              <w:t>87.0</w:t>
            </w:r>
          </w:p>
        </w:tc>
        <w:tc>
          <w:tcPr>
            <w:tcW w:w="50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141.1</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113.0</w:t>
            </w:r>
          </w:p>
        </w:tc>
        <w:tc>
          <w:tcPr>
            <w:tcW w:w="1480" w:type="dxa"/>
            <w:vAlign w:val="bottom"/>
            <w:shd w:val="clear" w:color="auto" w:fill="CCEEFF"/>
          </w:tcPr>
          <w:p>
            <w:pPr>
              <w:jc w:val="center"/>
              <w:ind w:left="31"/>
              <w:spacing w:after="0"/>
              <w:rPr>
                <w:sz w:val="20"/>
                <w:szCs w:val="20"/>
                <w:color w:val="auto"/>
              </w:rPr>
            </w:pPr>
            <w:r>
              <w:rPr>
                <w:rFonts w:ascii="Arial" w:cs="Arial" w:eastAsia="Arial" w:hAnsi="Arial"/>
                <w:sz w:val="18"/>
                <w:szCs w:val="18"/>
                <w:color w:val="auto"/>
                <w:w w:val="99"/>
              </w:rPr>
              <w:t>25</w:t>
            </w:r>
          </w:p>
        </w:tc>
      </w:tr>
      <w:tr>
        <w:trPr>
          <w:trHeight w:val="263"/>
        </w:trPr>
        <w:tc>
          <w:tcPr>
            <w:tcW w:w="4120" w:type="dxa"/>
            <w:vAlign w:val="bottom"/>
          </w:tcPr>
          <w:p>
            <w:pPr>
              <w:ind w:left="40"/>
              <w:spacing w:after="0"/>
              <w:rPr>
                <w:sz w:val="20"/>
                <w:szCs w:val="20"/>
                <w:color w:val="auto"/>
              </w:rPr>
            </w:pPr>
            <w:r>
              <w:rPr>
                <w:rFonts w:ascii="Arial" w:cs="Arial" w:eastAsia="Arial" w:hAnsi="Arial"/>
                <w:sz w:val="18"/>
                <w:szCs w:val="18"/>
                <w:color w:val="auto"/>
              </w:rPr>
              <w:t>Strattera</w:t>
            </w:r>
          </w:p>
        </w:tc>
        <w:tc>
          <w:tcPr>
            <w:tcW w:w="300" w:type="dxa"/>
            <w:vAlign w:val="bottom"/>
          </w:tcPr>
          <w:p>
            <w:pPr>
              <w:spacing w:after="0"/>
              <w:rPr>
                <w:sz w:val="22"/>
                <w:szCs w:val="22"/>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b w:val="1"/>
                <w:bCs w:val="1"/>
                <w:color w:val="auto"/>
              </w:rPr>
              <w:t>46.9</w:t>
            </w:r>
          </w:p>
        </w:tc>
        <w:tc>
          <w:tcPr>
            <w:tcW w:w="300" w:type="dxa"/>
            <w:vAlign w:val="bottom"/>
          </w:tcPr>
          <w:p>
            <w:pPr>
              <w:spacing w:after="0"/>
              <w:rPr>
                <w:sz w:val="22"/>
                <w:szCs w:val="22"/>
                <w:color w:val="auto"/>
              </w:rPr>
            </w:pPr>
          </w:p>
        </w:tc>
        <w:tc>
          <w:tcPr>
            <w:tcW w:w="1200" w:type="dxa"/>
            <w:vAlign w:val="bottom"/>
          </w:tcPr>
          <w:p>
            <w:pPr>
              <w:jc w:val="right"/>
              <w:ind w:right="53"/>
              <w:spacing w:after="0"/>
              <w:rPr>
                <w:sz w:val="20"/>
                <w:szCs w:val="20"/>
                <w:color w:val="auto"/>
              </w:rPr>
            </w:pPr>
            <w:r>
              <w:rPr>
                <w:rFonts w:ascii="Arial" w:cs="Arial" w:eastAsia="Arial" w:hAnsi="Arial"/>
                <w:sz w:val="18"/>
                <w:szCs w:val="18"/>
                <w:b w:val="1"/>
                <w:bCs w:val="1"/>
                <w:color w:val="auto"/>
              </w:rPr>
              <w:t>83.7</w:t>
            </w:r>
          </w:p>
        </w:tc>
        <w:tc>
          <w:tcPr>
            <w:tcW w:w="500" w:type="dxa"/>
            <w:vAlign w:val="bottom"/>
          </w:tcPr>
          <w:p>
            <w:pPr>
              <w:spacing w:after="0"/>
              <w:rPr>
                <w:sz w:val="22"/>
                <w:szCs w:val="22"/>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b w:val="1"/>
                <w:bCs w:val="1"/>
                <w:color w:val="auto"/>
              </w:rPr>
              <w:t>130.7</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196.2</w:t>
            </w:r>
          </w:p>
        </w:tc>
        <w:tc>
          <w:tcPr>
            <w:tcW w:w="1480" w:type="dxa"/>
            <w:vAlign w:val="bottom"/>
          </w:tcPr>
          <w:p>
            <w:pPr>
              <w:jc w:val="center"/>
              <w:ind w:left="31"/>
              <w:spacing w:after="0"/>
              <w:rPr>
                <w:sz w:val="20"/>
                <w:szCs w:val="20"/>
                <w:color w:val="auto"/>
              </w:rPr>
            </w:pPr>
            <w:r>
              <w:rPr>
                <w:rFonts w:ascii="Arial" w:cs="Arial" w:eastAsia="Arial" w:hAnsi="Arial"/>
                <w:sz w:val="18"/>
                <w:szCs w:val="18"/>
                <w:color w:val="auto"/>
                <w:w w:val="99"/>
              </w:rPr>
              <w:t>(33)</w:t>
            </w:r>
          </w:p>
        </w:tc>
      </w:tr>
      <w:tr>
        <w:trPr>
          <w:trHeight w:val="277"/>
        </w:trPr>
        <w:tc>
          <w:tcPr>
            <w:tcW w:w="4120" w:type="dxa"/>
            <w:vAlign w:val="bottom"/>
            <w:shd w:val="clear" w:color="auto" w:fill="CCEEFF"/>
          </w:tcPr>
          <w:p>
            <w:pPr>
              <w:ind w:left="40"/>
              <w:spacing w:after="0"/>
              <w:rPr>
                <w:sz w:val="20"/>
                <w:szCs w:val="20"/>
                <w:color w:val="auto"/>
              </w:rPr>
            </w:pPr>
            <w:r>
              <w:rPr>
                <w:rFonts w:ascii="Arial" w:cs="Arial" w:eastAsia="Arial" w:hAnsi="Arial"/>
                <w:sz w:val="18"/>
                <w:szCs w:val="18"/>
                <w:color w:val="auto"/>
              </w:rPr>
              <w:t>Zyprexa</w:t>
            </w:r>
            <w:r>
              <w:rPr>
                <w:rFonts w:ascii="Arial" w:cs="Arial" w:eastAsia="Arial" w:hAnsi="Arial"/>
                <w:sz w:val="21"/>
                <w:szCs w:val="21"/>
                <w:color w:val="auto"/>
                <w:vertAlign w:val="superscript"/>
              </w:rPr>
              <w:t>®</w:t>
            </w:r>
          </w:p>
        </w:tc>
        <w:tc>
          <w:tcPr>
            <w:tcW w:w="30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8.8</w:t>
            </w:r>
          </w:p>
        </w:tc>
        <w:tc>
          <w:tcPr>
            <w:tcW w:w="30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53"/>
              <w:spacing w:after="0"/>
              <w:rPr>
                <w:sz w:val="20"/>
                <w:szCs w:val="20"/>
                <w:color w:val="auto"/>
              </w:rPr>
            </w:pPr>
            <w:r>
              <w:rPr>
                <w:rFonts w:ascii="Arial" w:cs="Arial" w:eastAsia="Arial" w:hAnsi="Arial"/>
                <w:sz w:val="18"/>
                <w:szCs w:val="18"/>
                <w:b w:val="1"/>
                <w:bCs w:val="1"/>
                <w:color w:val="auto"/>
              </w:rPr>
              <w:t>113.8</w:t>
            </w:r>
          </w:p>
        </w:tc>
        <w:tc>
          <w:tcPr>
            <w:tcW w:w="50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122.6</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147.5</w:t>
            </w:r>
          </w:p>
        </w:tc>
        <w:tc>
          <w:tcPr>
            <w:tcW w:w="1480" w:type="dxa"/>
            <w:vAlign w:val="bottom"/>
            <w:shd w:val="clear" w:color="auto" w:fill="CCEEFF"/>
          </w:tcPr>
          <w:p>
            <w:pPr>
              <w:jc w:val="center"/>
              <w:ind w:left="31"/>
              <w:spacing w:after="0"/>
              <w:rPr>
                <w:sz w:val="20"/>
                <w:szCs w:val="20"/>
                <w:color w:val="auto"/>
              </w:rPr>
            </w:pPr>
            <w:r>
              <w:rPr>
                <w:rFonts w:ascii="Arial" w:cs="Arial" w:eastAsia="Arial" w:hAnsi="Arial"/>
                <w:sz w:val="18"/>
                <w:szCs w:val="18"/>
                <w:color w:val="auto"/>
                <w:w w:val="99"/>
              </w:rPr>
              <w:t>(17)</w:t>
            </w:r>
          </w:p>
        </w:tc>
      </w:tr>
      <w:tr>
        <w:trPr>
          <w:trHeight w:val="263"/>
        </w:trPr>
        <w:tc>
          <w:tcPr>
            <w:tcW w:w="4120" w:type="dxa"/>
            <w:vAlign w:val="bottom"/>
          </w:tcPr>
          <w:p>
            <w:pPr>
              <w:ind w:left="40"/>
              <w:spacing w:after="0"/>
              <w:rPr>
                <w:sz w:val="20"/>
                <w:szCs w:val="20"/>
                <w:color w:val="auto"/>
              </w:rPr>
            </w:pPr>
            <w:r>
              <w:rPr>
                <w:rFonts w:ascii="Arial" w:cs="Arial" w:eastAsia="Arial" w:hAnsi="Arial"/>
                <w:sz w:val="18"/>
                <w:szCs w:val="18"/>
                <w:color w:val="auto"/>
              </w:rPr>
              <w:t>Effient</w:t>
            </w:r>
          </w:p>
        </w:tc>
        <w:tc>
          <w:tcPr>
            <w:tcW w:w="300" w:type="dxa"/>
            <w:vAlign w:val="bottom"/>
          </w:tcPr>
          <w:p>
            <w:pPr>
              <w:spacing w:after="0"/>
              <w:rPr>
                <w:sz w:val="22"/>
                <w:szCs w:val="22"/>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b w:val="1"/>
                <w:bCs w:val="1"/>
                <w:color w:val="auto"/>
              </w:rPr>
              <w:t>15.9</w:t>
            </w:r>
          </w:p>
        </w:tc>
        <w:tc>
          <w:tcPr>
            <w:tcW w:w="300" w:type="dxa"/>
            <w:vAlign w:val="bottom"/>
          </w:tcPr>
          <w:p>
            <w:pPr>
              <w:spacing w:after="0"/>
              <w:rPr>
                <w:sz w:val="22"/>
                <w:szCs w:val="22"/>
                <w:color w:val="auto"/>
              </w:rPr>
            </w:pPr>
          </w:p>
        </w:tc>
        <w:tc>
          <w:tcPr>
            <w:tcW w:w="1200" w:type="dxa"/>
            <w:vAlign w:val="bottom"/>
          </w:tcPr>
          <w:p>
            <w:pPr>
              <w:jc w:val="right"/>
              <w:ind w:right="53"/>
              <w:spacing w:after="0"/>
              <w:rPr>
                <w:sz w:val="20"/>
                <w:szCs w:val="20"/>
                <w:color w:val="auto"/>
              </w:rPr>
            </w:pPr>
            <w:r>
              <w:rPr>
                <w:rFonts w:ascii="Arial" w:cs="Arial" w:eastAsia="Arial" w:hAnsi="Arial"/>
                <w:sz w:val="18"/>
                <w:szCs w:val="18"/>
                <w:b w:val="1"/>
                <w:bCs w:val="1"/>
                <w:color w:val="auto"/>
              </w:rPr>
              <w:t>15.7</w:t>
            </w:r>
          </w:p>
        </w:tc>
        <w:tc>
          <w:tcPr>
            <w:tcW w:w="500" w:type="dxa"/>
            <w:vAlign w:val="bottom"/>
          </w:tcPr>
          <w:p>
            <w:pPr>
              <w:spacing w:after="0"/>
              <w:rPr>
                <w:sz w:val="22"/>
                <w:szCs w:val="22"/>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b w:val="1"/>
                <w:bCs w:val="1"/>
                <w:color w:val="auto"/>
              </w:rPr>
              <w:t>31.6</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127.8</w:t>
            </w:r>
          </w:p>
        </w:tc>
        <w:tc>
          <w:tcPr>
            <w:tcW w:w="1480" w:type="dxa"/>
            <w:vAlign w:val="bottom"/>
          </w:tcPr>
          <w:p>
            <w:pPr>
              <w:jc w:val="center"/>
              <w:ind w:left="31"/>
              <w:spacing w:after="0"/>
              <w:rPr>
                <w:sz w:val="20"/>
                <w:szCs w:val="20"/>
                <w:color w:val="auto"/>
              </w:rPr>
            </w:pPr>
            <w:r>
              <w:rPr>
                <w:rFonts w:ascii="Arial" w:cs="Arial" w:eastAsia="Arial" w:hAnsi="Arial"/>
                <w:sz w:val="18"/>
                <w:szCs w:val="18"/>
                <w:color w:val="auto"/>
                <w:w w:val="99"/>
              </w:rPr>
              <w:t>(75)</w:t>
            </w:r>
          </w:p>
        </w:tc>
      </w:tr>
      <w:tr>
        <w:trPr>
          <w:trHeight w:val="277"/>
        </w:trPr>
        <w:tc>
          <w:tcPr>
            <w:tcW w:w="4120" w:type="dxa"/>
            <w:vAlign w:val="bottom"/>
            <w:shd w:val="clear" w:color="auto" w:fill="CCEEFF"/>
          </w:tcPr>
          <w:p>
            <w:pPr>
              <w:ind w:left="40"/>
              <w:spacing w:after="0"/>
              <w:rPr>
                <w:sz w:val="20"/>
                <w:szCs w:val="20"/>
                <w:color w:val="auto"/>
              </w:rPr>
            </w:pPr>
            <w:r>
              <w:rPr>
                <w:rFonts w:ascii="Arial" w:cs="Arial" w:eastAsia="Arial" w:hAnsi="Arial"/>
                <w:sz w:val="18"/>
                <w:szCs w:val="18"/>
                <w:color w:val="auto"/>
              </w:rPr>
              <w:t>Other human pharmaceutical products</w:t>
            </w:r>
          </w:p>
        </w:tc>
        <w:tc>
          <w:tcPr>
            <w:tcW w:w="30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183.9</w:t>
            </w:r>
          </w:p>
        </w:tc>
        <w:tc>
          <w:tcPr>
            <w:tcW w:w="30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53"/>
              <w:spacing w:after="0"/>
              <w:rPr>
                <w:sz w:val="20"/>
                <w:szCs w:val="20"/>
                <w:color w:val="auto"/>
              </w:rPr>
            </w:pPr>
            <w:r>
              <w:rPr>
                <w:rFonts w:ascii="Arial" w:cs="Arial" w:eastAsia="Arial" w:hAnsi="Arial"/>
                <w:sz w:val="18"/>
                <w:szCs w:val="18"/>
                <w:b w:val="1"/>
                <w:bCs w:val="1"/>
                <w:color w:val="auto"/>
              </w:rPr>
              <w:t>258.6</w:t>
            </w:r>
          </w:p>
        </w:tc>
        <w:tc>
          <w:tcPr>
            <w:tcW w:w="50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442.3</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390.8</w:t>
            </w:r>
          </w:p>
        </w:tc>
        <w:tc>
          <w:tcPr>
            <w:tcW w:w="1480" w:type="dxa"/>
            <w:vAlign w:val="bottom"/>
            <w:shd w:val="clear" w:color="auto" w:fill="CCEEFF"/>
          </w:tcPr>
          <w:p>
            <w:pPr>
              <w:jc w:val="center"/>
              <w:ind w:left="31"/>
              <w:spacing w:after="0"/>
              <w:rPr>
                <w:sz w:val="20"/>
                <w:szCs w:val="20"/>
                <w:color w:val="auto"/>
              </w:rPr>
            </w:pPr>
            <w:r>
              <w:rPr>
                <w:rFonts w:ascii="Arial" w:cs="Arial" w:eastAsia="Arial" w:hAnsi="Arial"/>
                <w:sz w:val="18"/>
                <w:szCs w:val="18"/>
                <w:color w:val="auto"/>
                <w:w w:val="99"/>
              </w:rPr>
              <w:t>13</w:t>
            </w:r>
          </w:p>
        </w:tc>
      </w:tr>
      <w:tr>
        <w:trPr>
          <w:trHeight w:val="264"/>
        </w:trPr>
        <w:tc>
          <w:tcPr>
            <w:tcW w:w="41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Animal health products</w:t>
            </w:r>
          </w:p>
        </w:tc>
        <w:tc>
          <w:tcPr>
            <w:tcW w:w="3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b w:val="1"/>
                <w:bCs w:val="1"/>
                <w:color w:val="auto"/>
              </w:rPr>
              <w:t>375.7</w:t>
            </w:r>
          </w:p>
        </w:tc>
        <w:tc>
          <w:tcPr>
            <w:tcW w:w="30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b w:val="1"/>
                <w:bCs w:val="1"/>
                <w:color w:val="auto"/>
              </w:rPr>
              <w:t>385.6</w:t>
            </w:r>
          </w:p>
        </w:tc>
        <w:tc>
          <w:tcPr>
            <w:tcW w:w="5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761.3</w:t>
            </w:r>
          </w:p>
        </w:tc>
        <w:tc>
          <w:tcPr>
            <w:tcW w:w="12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769.4</w:t>
            </w:r>
          </w:p>
        </w:tc>
        <w:tc>
          <w:tcPr>
            <w:tcW w:w="1480" w:type="dxa"/>
            <w:vAlign w:val="bottom"/>
            <w:tcBorders>
              <w:bottom w:val="single" w:sz="8" w:color="CCEEFF"/>
            </w:tcBorders>
          </w:tcPr>
          <w:p>
            <w:pPr>
              <w:jc w:val="center"/>
              <w:ind w:left="11"/>
              <w:spacing w:after="0"/>
              <w:rPr>
                <w:sz w:val="20"/>
                <w:szCs w:val="20"/>
                <w:color w:val="auto"/>
              </w:rPr>
            </w:pPr>
            <w:r>
              <w:rPr>
                <w:rFonts w:ascii="Arial" w:cs="Arial" w:eastAsia="Arial" w:hAnsi="Arial"/>
                <w:sz w:val="18"/>
                <w:szCs w:val="18"/>
                <w:color w:val="auto"/>
                <w:w w:val="99"/>
              </w:rPr>
              <w:t>(1)</w:t>
            </w:r>
          </w:p>
        </w:tc>
      </w:tr>
      <w:tr>
        <w:trPr>
          <w:trHeight w:val="277"/>
        </w:trPr>
        <w:tc>
          <w:tcPr>
            <w:tcW w:w="4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Revenue</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3,154.7</w:t>
            </w: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20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8"/>
                <w:szCs w:val="18"/>
                <w:b w:val="1"/>
                <w:bCs w:val="1"/>
                <w:color w:val="auto"/>
              </w:rPr>
              <w:t>2,545.3</w:t>
            </w:r>
          </w:p>
        </w:tc>
        <w:tc>
          <w:tcPr>
            <w:tcW w:w="5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b w:val="1"/>
                <w:bCs w:val="1"/>
                <w:color w:val="auto"/>
              </w:rPr>
              <w:t>$</w:t>
            </w:r>
          </w:p>
        </w:tc>
        <w:tc>
          <w:tcPr>
            <w:tcW w:w="9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5,700.0</w:t>
            </w:r>
          </w:p>
        </w:tc>
        <w:tc>
          <w:tcPr>
            <w:tcW w:w="120" w:type="dxa"/>
            <w:vAlign w:val="bottom"/>
            <w:tcBorders>
              <w:bottom w:val="single" w:sz="8" w:color="auto"/>
            </w:tcBorders>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5,228.3</w:t>
            </w:r>
          </w:p>
        </w:tc>
        <w:tc>
          <w:tcPr>
            <w:tcW w:w="1480" w:type="dxa"/>
            <w:vAlign w:val="bottom"/>
            <w:tcBorders>
              <w:bottom w:val="single" w:sz="8" w:color="auto"/>
            </w:tcBorders>
            <w:shd w:val="clear" w:color="auto" w:fill="CCEEFF"/>
          </w:tcPr>
          <w:p>
            <w:pPr>
              <w:jc w:val="center"/>
              <w:ind w:left="11"/>
              <w:spacing w:after="0"/>
              <w:rPr>
                <w:sz w:val="20"/>
                <w:szCs w:val="20"/>
                <w:color w:val="auto"/>
              </w:rPr>
            </w:pPr>
            <w:r>
              <w:rPr>
                <w:rFonts w:ascii="Arial" w:cs="Arial" w:eastAsia="Arial" w:hAnsi="Arial"/>
                <w:sz w:val="18"/>
                <w:szCs w:val="18"/>
                <w:color w:val="auto"/>
                <w:w w:val="99"/>
              </w:rPr>
              <w:t>9</w:t>
            </w:r>
          </w:p>
        </w:tc>
      </w:tr>
    </w:tbl>
    <w:p>
      <w:pPr>
        <w:spacing w:after="0" w:line="113" w:lineRule="exact"/>
        <w:rPr>
          <w:sz w:val="20"/>
          <w:szCs w:val="20"/>
          <w:color w:val="auto"/>
        </w:rPr>
      </w:pPr>
    </w:p>
    <w:p>
      <w:pPr>
        <w:spacing w:after="0"/>
        <w:rPr>
          <w:sz w:val="20"/>
          <w:szCs w:val="20"/>
          <w:color w:val="auto"/>
        </w:rPr>
      </w:pPr>
      <w:r>
        <w:rPr>
          <w:rFonts w:ascii="Arial" w:cs="Arial" w:eastAsia="Arial" w:hAnsi="Arial"/>
          <w:sz w:val="14"/>
          <w:szCs w:val="14"/>
          <w:color w:val="auto"/>
        </w:rPr>
        <w:t>Numbers may not add due to rounding.</w:t>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color w:val="auto"/>
        </w:rPr>
        <w:t>NM - not meaningful</w:t>
      </w:r>
    </w:p>
    <w:p>
      <w:pPr>
        <w:spacing w:after="0" w:line="97" w:lineRule="exact"/>
        <w:rPr>
          <w:sz w:val="20"/>
          <w:szCs w:val="20"/>
          <w:color w:val="auto"/>
        </w:rPr>
      </w:pPr>
    </w:p>
    <w:p>
      <w:pPr>
        <w:ind w:left="140" w:hanging="132"/>
        <w:spacing w:after="0"/>
        <w:tabs>
          <w:tab w:leader="none" w:pos="140" w:val="left"/>
        </w:tabs>
        <w:numPr>
          <w:ilvl w:val="0"/>
          <w:numId w:val="24"/>
        </w:numPr>
        <w:rPr>
          <w:rFonts w:ascii="Arial" w:cs="Arial" w:eastAsia="Arial" w:hAnsi="Arial"/>
          <w:sz w:val="16"/>
          <w:szCs w:val="16"/>
          <w:color w:val="auto"/>
          <w:vertAlign w:val="superscript"/>
        </w:rPr>
      </w:pPr>
      <w:r>
        <w:rPr>
          <w:rFonts w:ascii="Arial" w:cs="Arial" w:eastAsia="Arial" w:hAnsi="Arial"/>
          <w:sz w:val="13"/>
          <w:szCs w:val="13"/>
          <w:color w:val="auto"/>
        </w:rPr>
        <w:t>U.S. revenue includes revenue in Puerto Rico.</w:t>
      </w:r>
    </w:p>
    <w:p>
      <w:pPr>
        <w:spacing w:after="0" w:line="92" w:lineRule="exact"/>
        <w:rPr>
          <w:rFonts w:ascii="Arial" w:cs="Arial" w:eastAsia="Arial" w:hAnsi="Arial"/>
          <w:sz w:val="16"/>
          <w:szCs w:val="16"/>
          <w:color w:val="auto"/>
          <w:vertAlign w:val="superscript"/>
        </w:rPr>
      </w:pPr>
    </w:p>
    <w:p>
      <w:pPr>
        <w:ind w:left="140" w:hanging="132"/>
        <w:spacing w:after="0"/>
        <w:tabs>
          <w:tab w:leader="none" w:pos="140" w:val="left"/>
        </w:tabs>
        <w:numPr>
          <w:ilvl w:val="0"/>
          <w:numId w:val="24"/>
        </w:numPr>
        <w:rPr>
          <w:rFonts w:ascii="Arial" w:cs="Arial" w:eastAsia="Arial" w:hAnsi="Arial"/>
          <w:sz w:val="16"/>
          <w:szCs w:val="16"/>
          <w:color w:val="auto"/>
          <w:vertAlign w:val="superscript"/>
        </w:rPr>
      </w:pPr>
      <w:r>
        <w:rPr>
          <w:rFonts w:ascii="Arial" w:cs="Arial" w:eastAsia="Arial" w:hAnsi="Arial"/>
          <w:sz w:val="13"/>
          <w:szCs w:val="13"/>
          <w:color w:val="auto"/>
        </w:rPr>
        <w:t>Jardiance revenue includes Glyxambi</w:t>
      </w:r>
      <w:r>
        <w:rPr>
          <w:rFonts w:ascii="Arial" w:cs="Arial" w:eastAsia="Arial" w:hAnsi="Arial"/>
          <w:sz w:val="15"/>
          <w:szCs w:val="15"/>
          <w:color w:val="auto"/>
          <w:vertAlign w:val="superscript"/>
        </w:rPr>
        <w:t>®</w:t>
      </w:r>
      <w:r>
        <w:rPr>
          <w:rFonts w:ascii="Arial" w:cs="Arial" w:eastAsia="Arial" w:hAnsi="Arial"/>
          <w:sz w:val="13"/>
          <w:szCs w:val="13"/>
          <w:color w:val="auto"/>
        </w:rPr>
        <w:t xml:space="preserve"> and Synjardy</w:t>
      </w:r>
      <w:r>
        <w:rPr>
          <w:rFonts w:ascii="Arial" w:cs="Arial" w:eastAsia="Arial" w:hAnsi="Arial"/>
          <w:sz w:val="15"/>
          <w:szCs w:val="15"/>
          <w:color w:val="auto"/>
          <w:vertAlign w:val="superscript"/>
        </w:rPr>
        <w:t>®</w:t>
      </w:r>
      <w:r>
        <w:rPr>
          <w:rFonts w:ascii="Arial" w:cs="Arial" w:eastAsia="Arial" w:hAnsi="Arial"/>
          <w:sz w:val="13"/>
          <w:szCs w:val="13"/>
          <w:color w:val="auto"/>
        </w:rPr>
        <w:t>.</w:t>
      </w:r>
    </w:p>
    <w:p>
      <w:pPr>
        <w:spacing w:after="0" w:line="86" w:lineRule="exact"/>
        <w:rPr>
          <w:rFonts w:ascii="Arial" w:cs="Arial" w:eastAsia="Arial" w:hAnsi="Arial"/>
          <w:sz w:val="16"/>
          <w:szCs w:val="16"/>
          <w:color w:val="auto"/>
          <w:vertAlign w:val="superscript"/>
        </w:rPr>
      </w:pPr>
    </w:p>
    <w:p>
      <w:pPr>
        <w:ind w:left="140" w:hanging="132"/>
        <w:spacing w:after="0"/>
        <w:tabs>
          <w:tab w:leader="none" w:pos="140" w:val="left"/>
        </w:tabs>
        <w:numPr>
          <w:ilvl w:val="0"/>
          <w:numId w:val="24"/>
        </w:numPr>
        <w:rPr>
          <w:rFonts w:ascii="Arial" w:cs="Arial" w:eastAsia="Arial" w:hAnsi="Arial"/>
          <w:sz w:val="16"/>
          <w:szCs w:val="16"/>
          <w:color w:val="auto"/>
          <w:vertAlign w:val="superscript"/>
        </w:rPr>
      </w:pPr>
      <w:r>
        <w:rPr>
          <w:rFonts w:ascii="Arial" w:cs="Arial" w:eastAsia="Arial" w:hAnsi="Arial"/>
          <w:sz w:val="13"/>
          <w:szCs w:val="13"/>
          <w:color w:val="auto"/>
        </w:rPr>
        <w:t>Trajenta revenue includes Jentadueto</w:t>
      </w:r>
      <w:r>
        <w:rPr>
          <w:rFonts w:ascii="Arial" w:cs="Arial" w:eastAsia="Arial" w:hAnsi="Arial"/>
          <w:sz w:val="15"/>
          <w:szCs w:val="15"/>
          <w:color w:val="auto"/>
          <w:vertAlign w:val="superscript"/>
        </w:rPr>
        <w:t>®</w:t>
      </w:r>
      <w:r>
        <w:rPr>
          <w:rFonts w:ascii="Arial" w:cs="Arial" w:eastAsia="Arial" w:hAnsi="Arial"/>
          <w:sz w:val="13"/>
          <w:szCs w:val="13"/>
          <w:color w:val="auto"/>
        </w:rPr>
        <w:t>.</w:t>
      </w:r>
    </w:p>
    <w:p>
      <w:pPr>
        <w:spacing w:after="0" w:line="86" w:lineRule="exact"/>
        <w:rPr>
          <w:sz w:val="20"/>
          <w:szCs w:val="20"/>
          <w:color w:val="auto"/>
        </w:rPr>
      </w:pPr>
    </w:p>
    <w:p>
      <w:pPr>
        <w:ind w:right="100"/>
        <w:spacing w:after="0" w:line="252" w:lineRule="auto"/>
        <w:rPr>
          <w:sz w:val="20"/>
          <w:szCs w:val="20"/>
          <w:color w:val="auto"/>
        </w:rPr>
      </w:pPr>
      <w:r>
        <w:rPr>
          <w:rFonts w:ascii="Arial" w:cs="Arial" w:eastAsia="Arial" w:hAnsi="Arial"/>
          <w:sz w:val="18"/>
          <w:szCs w:val="18"/>
          <w:color w:val="auto"/>
        </w:rPr>
        <w:t>Revenue of Humalog, our injectable human insulin analog for the treatment of diabetes, increased 12 percent in the U.S. during the first three months of 2018, driven by higher realized prices due to changes in estimates to rebates and discounts and changes in payer segment mix, and, to a lesser extent volume. Revenue outside the U.S. increased 11 percent during the first three months of 2018, driven by the favorable impact of foreign exchange rates and, to a lesser extent, increased volume. A similar version of insulin lispro has received approval in the U.S. and could launch soon. We are also aware that a competitor's insulin lispro product has launched in certain European markets. While it is difficult to estimate the severity of the impact of similar insulin lispro products entering the market, we do not expect a rapid and severe decline in revenue; however, we expect pricing pressure and some loss of market share initially that would continue over time. See "Executive Overview - Other Matters - Patent Matters" for more information.</w:t>
      </w:r>
    </w:p>
    <w:p>
      <w:pPr>
        <w:spacing w:after="0" w:line="98"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Revenue of Trulicity, a treatment for type 2 diabetes, increased 78 percent in the U.S. during the first three months of 2018, driven primarily by increased demand as a result of growth in the GLP-1 class and increased share of market for Trulicity. Revenue outside the U.S. increased 96 percent during the first three months of 2018, primarily driven by increased volume and, to a lesser extent, the favorable impact of foreign exchange rates.</w:t>
      </w:r>
    </w:p>
    <w:p>
      <w:pPr>
        <w:spacing w:after="0" w:line="204"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Revenue of Alimta, a treatment for various cancers, increased 8 percent in the U.S. during the first three months of 2018, driven by increased volume and, to a lesser extent, higher realized prices. Revenue outside the U.S. decreased 3 percent during the first three months of 2018, driven by competitive pressure and the loss of exclusivity in several countries, partially offset by the favorable impact of foreign exchange rates. We have faced and remain exposed to generic entry in multiple countries that has eroded revenue and is likely to continue to erode revenue from current levels.</w:t>
      </w: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706" w:right="239" w:bottom="1440" w:gutter="0" w:footer="0" w:header="0"/>
        </w:sectPr>
      </w:pPr>
    </w:p>
    <w:bookmarkStart w:id="42" w:name="page43"/>
    <w:bookmarkEnd w:id="42"/>
    <w:p>
      <w:pPr>
        <w:ind w:right="80"/>
        <w:spacing w:after="0" w:line="252" w:lineRule="auto"/>
        <w:rPr>
          <w:sz w:val="20"/>
          <w:szCs w:val="20"/>
          <w:color w:val="auto"/>
        </w:rPr>
      </w:pPr>
      <w:r>
        <w:rPr>
          <w:rFonts w:ascii="Arial" w:cs="Arial" w:eastAsia="Arial" w:hAnsi="Arial"/>
          <w:sz w:val="18"/>
          <w:szCs w:val="18"/>
          <w:color w:val="auto"/>
        </w:rPr>
        <w:t>Revenue of Cialis, a treatment for erectile dysfunction and benign prostatic hyperplasia, increased 6 percent in the U.S. during the first three months of 2018, driven by higher realized prices, largely offset by decreased demand due to the entry of generic sildenafil. Revenue outside the U.S. decreased 23 percent during the first three months of 2018, driven by the loss of exclusivity in Europe, partially offset by the favorable impact of foreign exchange rates. We lost our compound patent protection for Cialis in major European markets in November 2017 and now expect U.S. exclusivity for Cialis to end in late September 2018 at the earliest. See "Executive Overview - Other Matters - Patent Matters" for more information regarding our U.S. exclusivity. In addition to potential competition from generic tadalafil, we also currently face competition from generic sildenafil, which has accelerated during 2018. We expect that the entry of generic competition following the loss of exclusivity will cause a rapid and severe decline in revenue.</w:t>
      </w:r>
    </w:p>
    <w:p>
      <w:pPr>
        <w:spacing w:after="0" w:line="98"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Revenue of Humulin, an injectable human insulin for the treatment of diabetes, increased 8 percent in the U.S. during the first three months of 2018, driven by increased demand, partially offset by lower realized prices. Revenue outside the U.S. decreased 4 percent during the first three months of 2018, driven by decreased volume, primarily due to buying patterns in China, and, to a lesser extent, lower realized prices, partially offset by the favorable impact of foreign exchange rates.</w:t>
      </w:r>
    </w:p>
    <w:p>
      <w:pPr>
        <w:spacing w:after="0" w:line="96"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Revenue of Forteo, an injectable treatment for osteoporosis in postmenopausal women and men at high risk for fracture and for glucocorticoid-induced osteoporosis in men and postmenopausal women, decreased 31 percent in the U.S. during the first three months of 2018, primarily due to decreased volume from wholesale and retail buying patterns, and, to a lesser extent, lower realized prices. Revenue outside the U.S. increased 13 percent during the first three months of 2018, driven by the favorable impact of foreign exchange rates and, to a lesser extent, increased volume.</w:t>
      </w:r>
    </w:p>
    <w:p>
      <w:pPr>
        <w:spacing w:after="0" w:line="97" w:lineRule="exact"/>
        <w:rPr>
          <w:sz w:val="20"/>
          <w:szCs w:val="20"/>
          <w:color w:val="auto"/>
        </w:rPr>
      </w:pPr>
    </w:p>
    <w:p>
      <w:pPr>
        <w:ind w:right="220"/>
        <w:spacing w:after="0" w:line="256" w:lineRule="auto"/>
        <w:rPr>
          <w:sz w:val="20"/>
          <w:szCs w:val="20"/>
          <w:color w:val="auto"/>
        </w:rPr>
      </w:pPr>
      <w:r>
        <w:rPr>
          <w:rFonts w:ascii="Arial" w:cs="Arial" w:eastAsia="Arial" w:hAnsi="Arial"/>
          <w:sz w:val="18"/>
          <w:szCs w:val="18"/>
          <w:color w:val="auto"/>
        </w:rPr>
        <w:t>Revenue of Cyramza, a treatment for various cancers, increased 3 percent in the U.S. during the first three months of 2018, driven by increased volume and higher realized prices. Revenue outside the U.S. increased 10 percent during the first three months of 2018, driven by the favorable impact of foreign exchange rates and increased volume, partially offset by lower realized prices.</w:t>
      </w:r>
    </w:p>
    <w:p>
      <w:pPr>
        <w:spacing w:after="0" w:line="94" w:lineRule="exact"/>
        <w:rPr>
          <w:sz w:val="20"/>
          <w:szCs w:val="20"/>
          <w:color w:val="auto"/>
        </w:rPr>
      </w:pPr>
    </w:p>
    <w:p>
      <w:pPr>
        <w:ind w:right="240"/>
        <w:spacing w:after="0" w:line="253" w:lineRule="auto"/>
        <w:rPr>
          <w:sz w:val="20"/>
          <w:szCs w:val="20"/>
          <w:color w:val="auto"/>
        </w:rPr>
      </w:pPr>
      <w:r>
        <w:rPr>
          <w:rFonts w:ascii="Arial" w:cs="Arial" w:eastAsia="Arial" w:hAnsi="Arial"/>
          <w:sz w:val="18"/>
          <w:szCs w:val="18"/>
          <w:color w:val="auto"/>
        </w:rPr>
        <w:t>Revenue of Cymbalta, a product for the treatment of major depressive disorder, diabetic peripheral neuropathic pain, generalized anxiety disorder, and for the treatment of chronic musculoskeletal pain and the management of fibromyalgia, was $12.2 million in the U.S. during the first three months of 2018, compared to $34.1 million during the first three months of 2017. Revenue increased 12 percent outside the U.S. during the first three months of 2018, primarily driven by increased volume in Japan and, to a lesser extent, the favorable impact of foreign exchange rates.</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color w:val="auto"/>
        </w:rPr>
        <w:t>Revenue of Basaglar, a long-acting human insulin analog for the treatment of diabetes, which launched in the U.S. in late 2016, increased</w:t>
      </w:r>
    </w:p>
    <w:p>
      <w:pPr>
        <w:spacing w:after="0" w:line="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$104.7 million in the U.S. during the first three months of 2018 compared with the first three months 2017, driven by increased volume and, to a lesser extent, higher realized prices. Revenue outside the U.S. increased $15.3 million during the first three months of 2018 compared with the first three months 2017, primarily driven by increased volume and, to a lesser extent, the favorable impact of foreign exchange rates. See Note 4 to the consolidated condensed financial statements for information regarding our collaboration with Boehringer Ingelheim involving Basaglar.</w:t>
      </w:r>
    </w:p>
    <w:p>
      <w:pPr>
        <w:spacing w:after="0" w:line="96"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Revenue of Jardiance, a medicine for the treatment of type 2 diabetes and for the reduction of the risk of cardiovascular death in adult patients with type 2 diabetes and established cardiovascular disease, increased 99 percent in the U.S. during the first three months of 2018, driven by increased share of market for Jardiance and growth in the SGLT2 class. Revenue outside the U.S. increased 113 percent during the first three months of 2018, primarily driven by increased volume, and, to a lesser extent, the favorable impact of foreign exchange rates. See Note 4 to the consolidated condensed financial statement for information regarding our collaboration with Boehringer Ingelheim involving Jardiance.</w:t>
      </w:r>
    </w:p>
    <w:p>
      <w:pPr>
        <w:spacing w:after="0" w:line="97"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Worldwide food animal revenue decreased 7 percent during the first three months of 2018, primarily driven by market access pressures. Worldwide companion animal revenue increased 10 percent during the first three months of 2018, primarily driven by higher realized prices for several products, and, to a lesser extent, the favorable impact of foreign exchange rates.</w:t>
      </w: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00"/>
          </w:cols>
          <w:pgMar w:left="240" w:top="706" w:right="259" w:bottom="1440" w:gutter="0" w:footer="0" w:header="0"/>
        </w:sectPr>
      </w:pPr>
    </w:p>
    <w:bookmarkStart w:id="43" w:name="page44"/>
    <w:bookmarkEnd w:id="43"/>
    <w:p>
      <w:pPr>
        <w:spacing w:after="0"/>
        <w:rPr>
          <w:sz w:val="20"/>
          <w:szCs w:val="20"/>
          <w:color w:val="auto"/>
        </w:rPr>
      </w:pPr>
      <w:r>
        <w:rPr>
          <w:rFonts w:ascii="Arial" w:cs="Arial" w:eastAsia="Arial" w:hAnsi="Arial"/>
          <w:sz w:val="18"/>
          <w:szCs w:val="18"/>
          <w:b w:val="1"/>
          <w:bCs w:val="1"/>
          <w:color w:val="auto"/>
        </w:rPr>
        <w:t>Gross Margin, Costs, and Expenses</w:t>
      </w:r>
    </w:p>
    <w:p>
      <w:pPr>
        <w:spacing w:after="0" w:line="193" w:lineRule="exact"/>
        <w:rPr>
          <w:sz w:val="20"/>
          <w:szCs w:val="20"/>
          <w:color w:val="auto"/>
        </w:rPr>
      </w:pPr>
    </w:p>
    <w:p>
      <w:pPr>
        <w:ind w:right="280"/>
        <w:spacing w:after="0" w:line="254" w:lineRule="auto"/>
        <w:rPr>
          <w:sz w:val="20"/>
          <w:szCs w:val="20"/>
          <w:color w:val="auto"/>
        </w:rPr>
      </w:pPr>
      <w:r>
        <w:rPr>
          <w:rFonts w:ascii="Arial" w:cs="Arial" w:eastAsia="Arial" w:hAnsi="Arial"/>
          <w:sz w:val="18"/>
          <w:szCs w:val="18"/>
          <w:color w:val="auto"/>
        </w:rPr>
        <w:t>Gross margin as a percent of revenue decreased 1.8 percentage points to 72.4 percent for the first three months of 2018 compared with the first three months of 2017. The decrease in gross margin percent for the first three months of 2018 was primarily due to the effect of foreign exchange rates on international inventories sold and, to a lesser extent, product mix, partially offset by higher realized prices and manufacturing efficiencies.</w:t>
      </w:r>
    </w:p>
    <w:p>
      <w:pPr>
        <w:spacing w:after="0" w:line="96" w:lineRule="exact"/>
        <w:rPr>
          <w:sz w:val="20"/>
          <w:szCs w:val="20"/>
          <w:color w:val="auto"/>
        </w:rPr>
      </w:pPr>
    </w:p>
    <w:p>
      <w:pPr>
        <w:ind w:right="60"/>
        <w:spacing w:after="0" w:line="262" w:lineRule="auto"/>
        <w:rPr>
          <w:sz w:val="20"/>
          <w:szCs w:val="20"/>
          <w:color w:val="auto"/>
        </w:rPr>
      </w:pPr>
      <w:r>
        <w:rPr>
          <w:rFonts w:ascii="Arial" w:cs="Arial" w:eastAsia="Arial" w:hAnsi="Arial"/>
          <w:sz w:val="18"/>
          <w:szCs w:val="18"/>
          <w:color w:val="auto"/>
        </w:rPr>
        <w:t>Research and development expenses decreased 6 percent to $1.18 billion for the first three months of 2018, primarily driven by a $50.0 million charge for the first three months of 2017 related to a collaboration with DEKA Research &amp; Development Corp.</w:t>
      </w:r>
    </w:p>
    <w:p>
      <w:pPr>
        <w:spacing w:after="0" w:line="88" w:lineRule="exact"/>
        <w:rPr>
          <w:sz w:val="20"/>
          <w:szCs w:val="20"/>
          <w:color w:val="auto"/>
        </w:rPr>
      </w:pPr>
    </w:p>
    <w:p>
      <w:pPr>
        <w:ind w:right="580"/>
        <w:spacing w:after="0" w:line="262" w:lineRule="auto"/>
        <w:rPr>
          <w:sz w:val="20"/>
          <w:szCs w:val="20"/>
          <w:color w:val="auto"/>
        </w:rPr>
      </w:pPr>
      <w:r>
        <w:rPr>
          <w:rFonts w:ascii="Arial" w:cs="Arial" w:eastAsia="Arial" w:hAnsi="Arial"/>
          <w:sz w:val="18"/>
          <w:szCs w:val="18"/>
          <w:color w:val="auto"/>
        </w:rPr>
        <w:t>Marketing, selling, and administrative expenses decreased 4 percent to $1.50 billion for the first three months of 2018, due to decreased expenses related to late life-cycle products, partially offset by increased expenses related to new pharmaceutical products.</w:t>
      </w:r>
    </w:p>
    <w:p>
      <w:pPr>
        <w:spacing w:after="0" w:line="88"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There were no acquired IPR&amp;D charges for the first three months of 2018. We recognized an acquired IPR&amp;D charge of $857.6 million associated with the acquisition of CoLucid for the first three months of 2017. See Note 3 to the consolidated condensed financial statements for additional information.</w:t>
      </w:r>
    </w:p>
    <w:p>
      <w:pPr>
        <w:spacing w:after="0" w:line="94" w:lineRule="exact"/>
        <w:rPr>
          <w:sz w:val="20"/>
          <w:szCs w:val="20"/>
          <w:color w:val="auto"/>
        </w:rPr>
      </w:pPr>
    </w:p>
    <w:p>
      <w:pPr>
        <w:ind w:right="160"/>
        <w:spacing w:after="0" w:line="252" w:lineRule="auto"/>
        <w:rPr>
          <w:sz w:val="20"/>
          <w:szCs w:val="20"/>
          <w:color w:val="auto"/>
        </w:rPr>
      </w:pPr>
      <w:r>
        <w:rPr>
          <w:rFonts w:ascii="Arial" w:cs="Arial" w:eastAsia="Arial" w:hAnsi="Arial"/>
          <w:sz w:val="18"/>
          <w:szCs w:val="18"/>
          <w:color w:val="auto"/>
        </w:rPr>
        <w:t>We recognized asset impairment, restructuring, and other special charges of $78.3 million for the first three months of 2018, compared with charges of $213.9 million for the first three months of 2017. The charges for the first three months of 2018 were primarily associated with the asset impairment and restructuring charges related to the decision to end Posilac (rbST) production at the Augusta, Georgia manufacturing site. We also incurred expenses associated with the ongoing review of strategic alternatives for the Elanco animal health business. The charges for the first three months of 2017 were primarily due to severance costs incurred as a result of actions taken to reduce our cost structure, as well as integration costs related to the acquisition of Novartis Animal Health. See Note 5 to the consolidated condensed financial statements for additional information.</w:t>
      </w:r>
    </w:p>
    <w:p>
      <w:pPr>
        <w:spacing w:after="0" w:line="99" w:lineRule="exact"/>
        <w:rPr>
          <w:sz w:val="20"/>
          <w:szCs w:val="20"/>
          <w:color w:val="auto"/>
        </w:rPr>
      </w:pPr>
    </w:p>
    <w:p>
      <w:pPr>
        <w:ind w:right="100"/>
        <w:spacing w:after="0" w:line="262" w:lineRule="auto"/>
        <w:rPr>
          <w:sz w:val="20"/>
          <w:szCs w:val="20"/>
          <w:color w:val="auto"/>
        </w:rPr>
      </w:pPr>
      <w:r>
        <w:rPr>
          <w:rFonts w:ascii="Arial" w:cs="Arial" w:eastAsia="Arial" w:hAnsi="Arial"/>
          <w:sz w:val="18"/>
          <w:szCs w:val="18"/>
          <w:color w:val="auto"/>
        </w:rPr>
        <w:t>Other–net, (income) expense was income of $67.5 million first three months of 2018, compared with income of $78.3 million first three months of 2017. See Note 12 to the consolidated condensed financial statements for additional information.</w:t>
      </w:r>
    </w:p>
    <w:p>
      <w:pPr>
        <w:spacing w:after="0" w:line="88" w:lineRule="exact"/>
        <w:rPr>
          <w:sz w:val="20"/>
          <w:szCs w:val="20"/>
          <w:color w:val="auto"/>
        </w:rPr>
      </w:pPr>
    </w:p>
    <w:p>
      <w:pPr>
        <w:jc w:val="both"/>
        <w:ind w:right="440"/>
        <w:spacing w:after="0" w:line="256" w:lineRule="auto"/>
        <w:rPr>
          <w:sz w:val="20"/>
          <w:szCs w:val="20"/>
          <w:color w:val="auto"/>
        </w:rPr>
      </w:pPr>
      <w:r>
        <w:rPr>
          <w:rFonts w:ascii="Arial" w:cs="Arial" w:eastAsia="Arial" w:hAnsi="Arial"/>
          <w:sz w:val="18"/>
          <w:szCs w:val="18"/>
          <w:color w:val="auto"/>
        </w:rPr>
        <w:t>The effective tax rate was 15.5 percent for the first three months of 2018. For the first three months of 2017, the company incurred $172.0 million of income tax, despite earning $61.2 million of income before taxes as a result of the nondeductible $857.6 million acquired IPR&amp;D charge for the acquisition of CoLucid. See Note 8 to the consolidated condensed financial statements for further discussion.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Financial Condition</w:t>
      </w:r>
    </w:p>
    <w:p>
      <w:pPr>
        <w:spacing w:after="0" w:line="193"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Cash and cash equivalents decreased to $3.08 billion as of March 31, 2018, compared with $6.54 billion as of December 31, 2017. Refer to the consolidated condensed statements of cash flows for additional details on the significant sources and uses of cash for the three months ended March 31, 2018 and 2017.</w:t>
      </w:r>
    </w:p>
    <w:p>
      <w:pPr>
        <w:spacing w:after="0" w:line="94" w:lineRule="exact"/>
        <w:rPr>
          <w:sz w:val="20"/>
          <w:szCs w:val="20"/>
          <w:color w:val="auto"/>
        </w:rPr>
      </w:pPr>
    </w:p>
    <w:p>
      <w:pPr>
        <w:ind w:right="1100"/>
        <w:spacing w:after="0" w:line="262" w:lineRule="auto"/>
        <w:rPr>
          <w:sz w:val="20"/>
          <w:szCs w:val="20"/>
          <w:color w:val="auto"/>
        </w:rPr>
      </w:pPr>
      <w:r>
        <w:rPr>
          <w:rFonts w:ascii="Arial" w:cs="Arial" w:eastAsia="Arial" w:hAnsi="Arial"/>
          <w:sz w:val="18"/>
          <w:szCs w:val="18"/>
          <w:color w:val="auto"/>
        </w:rPr>
        <w:t>In addition to our cash and cash equivalents, we held total investments of $7.08 billion and $7.18 billion as of March 31, 2018 and December 31, 2017, respectively. See Note 6 to the consolidated condensed financial statements for additional details.</w:t>
      </w:r>
    </w:p>
    <w:p>
      <w:pPr>
        <w:spacing w:after="0" w:line="88"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Total debt decreased to $11.70 billion as of March 31, 2018, compared with $13.65 billion as of December 31, 2017. The decrease was primarily due to the net decrease in the balance of commercial paper outstanding of $ 1.20 billion and the repayment of $800.3 million of long term debt. At March 31, 2018, we had a total of $5.57 billion of committed bank credit facilities, $5.00 billion of which is available to support our commercial paper program. We believe that amounts accessible through existing commercial paper markets should be adequate to fund short-term borrowing needs.</w:t>
      </w:r>
    </w:p>
    <w:p>
      <w:pPr>
        <w:spacing w:after="0" w:line="97"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color w:val="auto"/>
        </w:rPr>
        <w:t>During the three months ended March 31, 2018, we repurchased $1.10 billion of shares associated with our previously announced $5.00 billion share repurchase program.</w:t>
      </w:r>
    </w:p>
    <w:p>
      <w:pPr>
        <w:spacing w:after="0" w:line="88" w:lineRule="exact"/>
        <w:rPr>
          <w:sz w:val="20"/>
          <w:szCs w:val="20"/>
          <w:color w:val="auto"/>
        </w:rPr>
      </w:pPr>
    </w:p>
    <w:p>
      <w:pPr>
        <w:ind w:right="60"/>
        <w:spacing w:after="0" w:line="262" w:lineRule="auto"/>
        <w:rPr>
          <w:sz w:val="20"/>
          <w:szCs w:val="20"/>
          <w:color w:val="auto"/>
        </w:rPr>
      </w:pPr>
      <w:r>
        <w:rPr>
          <w:rFonts w:ascii="Arial" w:cs="Arial" w:eastAsia="Arial" w:hAnsi="Arial"/>
          <w:sz w:val="18"/>
          <w:szCs w:val="18"/>
          <w:color w:val="auto"/>
        </w:rPr>
        <w:t>We believe that cash generated from operations, along with available cash and cash equivalents, will be sufficient to fund our normal operating needs, including dividends, share repurchases, and capital expenditures.</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color w:val="auto"/>
        </w:rPr>
        <w:t>See "Executive Overview - Other Matters - Patent Matters" for information regarding recent and upcoming losses of patent protection.</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00"/>
          </w:cols>
          <w:pgMar w:left="240" w:top="576" w:right="259" w:bottom="1440" w:gutter="0" w:footer="0" w:header="0"/>
        </w:sectPr>
      </w:pPr>
    </w:p>
    <w:bookmarkStart w:id="44" w:name="page45"/>
    <w:bookmarkEnd w:id="44"/>
    <w:p>
      <w:pPr>
        <w:ind w:right="60"/>
        <w:spacing w:after="0" w:line="254" w:lineRule="auto"/>
        <w:rPr>
          <w:sz w:val="20"/>
          <w:szCs w:val="20"/>
          <w:color w:val="auto"/>
        </w:rPr>
      </w:pPr>
      <w:r>
        <w:rPr>
          <w:rFonts w:ascii="Arial" w:cs="Arial" w:eastAsia="Arial" w:hAnsi="Arial"/>
          <w:sz w:val="18"/>
          <w:szCs w:val="18"/>
          <w:color w:val="auto"/>
        </w:rPr>
        <w:t>Both domestically and abroad, we continue to monitor the potential impacts of the economic environment; the creditworthiness of our wholesalers and other customers, including foreign government-backed agencies and suppliers; the uncertain impact of health care legislation; various international government funding levels; and changes in foreign currency exchange rates (see "Executive Overview - Other Matters - Foreign Currency Exchange Rates").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Financial Expectations</w:t>
      </w:r>
    </w:p>
    <w:p>
      <w:pPr>
        <w:spacing w:after="0" w:line="193"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Full-year 2018 EPS is now anticipated to be in the range of $4.52 to $4.62, reflecting our expectation of higher operating income and a lower effective tax rate. We now expect 2018 revenue of between $23.7 billion and $24.2 billion, with the increase from prior guidance due to lower anticipated rebates and discounts in the U.S. as a result of lower expected Medicaid utilization and favorable payer mix for several products, as well as the impact of foreign exchange rates. We still expect revenue growth to be driven by new pharmaceutical products including Trulicity, Taltz, Basaglar, Jardiance, Verzenio, Cyramza, Olumiant, and Lartruvo.</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color w:val="auto"/>
        </w:rPr>
        <w:t>Gross margin as a percent of revenue is still expected to be approximately 73 percent. Research and development expenses are now expected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to be in the range of $5.2 billion to $5.4 billion. The increase from prior expectations is due to increased funding of pipeline opportunities 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the impact of foreign exchange rates. Marketing, selling, and administrative expenses are now expected to be in the range of $6.2 billion to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$6.5 billion. The increase from prior expectations is primarily due to the impact of foreign exchange rates. Other—net, (income) expense is now</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expected to be income between $75 million and $200 million.</w:t>
      </w:r>
    </w:p>
    <w:p>
      <w:pPr>
        <w:spacing w:after="0" w:line="117" w:lineRule="exact"/>
        <w:rPr>
          <w:sz w:val="20"/>
          <w:szCs w:val="20"/>
          <w:color w:val="auto"/>
        </w:rPr>
      </w:pPr>
    </w:p>
    <w:p>
      <w:pPr>
        <w:ind w:right="140"/>
        <w:spacing w:after="0" w:line="253" w:lineRule="auto"/>
        <w:rPr>
          <w:sz w:val="20"/>
          <w:szCs w:val="20"/>
          <w:color w:val="auto"/>
        </w:rPr>
      </w:pPr>
      <w:r>
        <w:rPr>
          <w:rFonts w:ascii="Arial" w:cs="Arial" w:eastAsia="Arial" w:hAnsi="Arial"/>
          <w:sz w:val="18"/>
          <w:szCs w:val="18"/>
          <w:color w:val="auto"/>
        </w:rPr>
        <w:t>The 2018 tax rate is now expected to be approximately 17 percent. The lower rate reflects a more favorable jurisdictional mix of earnings. The 2018 effective tax rate benefits from a lower corporate income tax rate, partially offset by the changes to certain business exclusions, deductions, credits, and international tax provisions as a result of the 2017 Tax Act. The 2018 effective tax rate is subject to change based upon changes in our interpretations of the tax laws, along with subsequent regulations, interpretations, guidance, and accounting policy elections that we continue to evaluate.</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color w:val="auto"/>
        </w:rPr>
        <w:t>Capital expenditures are still expected to be approximately $1.2 billion.</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Available Information on our Website</w:t>
      </w:r>
    </w:p>
    <w:p>
      <w:pPr>
        <w:spacing w:after="0" w:line="193"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We make available through our company website, free of charge, our company filings with the Securities and Exchange Commission (SEC) as soon as reasonably practicable after we electronically file them with, or furnish them to, the SEC. The reports we make available include annual reports on Form 10-K, quarterly reports on Form 10-Q, current reports on Form 8-K, proxy statements, registration statements, and any amendments to those documents.</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The website link to our SEC filings is </w:t>
      </w:r>
      <w:r>
        <w:rPr>
          <w:rFonts w:ascii="Arial" w:cs="Arial" w:eastAsia="Arial" w:hAnsi="Arial"/>
          <w:sz w:val="18"/>
          <w:szCs w:val="18"/>
          <w:b w:val="1"/>
          <w:bCs w:val="1"/>
          <w:color w:val="auto"/>
        </w:rPr>
        <w:t>http://investor.lilly.com/sec.cfm</w:t>
      </w: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Item 4. Controls and Procedures</w:t>
      </w:r>
    </w:p>
    <w:p>
      <w:pPr>
        <w:spacing w:after="0" w:line="175" w:lineRule="exact"/>
        <w:rPr>
          <w:sz w:val="20"/>
          <w:szCs w:val="20"/>
          <w:color w:val="auto"/>
        </w:rPr>
      </w:pPr>
    </w:p>
    <w:p>
      <w:pPr>
        <w:ind w:left="660" w:right="80" w:hanging="652"/>
        <w:spacing w:after="0" w:line="258" w:lineRule="auto"/>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i w:val="1"/>
          <w:iCs w:val="1"/>
          <w:color w:val="auto"/>
        </w:rPr>
        <w:t>Evaluation of Disclosure Controls and Procedures</w:t>
      </w:r>
      <w:r>
        <w:rPr>
          <w:rFonts w:ascii="Arial" w:cs="Arial" w:eastAsia="Arial" w:hAnsi="Arial"/>
          <w:sz w:val="18"/>
          <w:szCs w:val="18"/>
          <w:color w:val="auto"/>
        </w:rPr>
        <w:t>. Under applicable SEC regulations, management of a reporting company, with the</w:t>
      </w:r>
      <w:r>
        <w:rPr>
          <w:rFonts w:ascii="Arial" w:cs="Arial" w:eastAsia="Arial" w:hAnsi="Arial"/>
          <w:sz w:val="18"/>
          <w:szCs w:val="18"/>
          <w:i w:val="1"/>
          <w:iCs w:val="1"/>
          <w:color w:val="auto"/>
        </w:rPr>
        <w:t xml:space="preserve"> </w:t>
      </w:r>
      <w:r>
        <w:rPr>
          <w:rFonts w:ascii="Arial" w:cs="Arial" w:eastAsia="Arial" w:hAnsi="Arial"/>
          <w:sz w:val="18"/>
          <w:szCs w:val="18"/>
          <w:color w:val="auto"/>
        </w:rPr>
        <w:t>participation of the principal executive officer and principal financial officer, must periodically evaluate the company’s “disclosure controls and procedures,” which are defined generally as controls and other procedures of a reporting company designed to ensure that information required to be disclosed by the reporting company in its periodic reports filed with the SEC (such as this Form 10-Q) is recorded, processed, summarized, and reported on a timely basis.</w:t>
      </w:r>
    </w:p>
    <w:p>
      <w:pPr>
        <w:spacing w:after="0" w:line="93" w:lineRule="exact"/>
        <w:rPr>
          <w:rFonts w:ascii="Arial" w:cs="Arial" w:eastAsia="Arial" w:hAnsi="Arial"/>
          <w:sz w:val="18"/>
          <w:szCs w:val="18"/>
          <w:color w:val="auto"/>
        </w:rPr>
      </w:pPr>
    </w:p>
    <w:p>
      <w:pPr>
        <w:ind w:left="660" w:right="60"/>
        <w:spacing w:after="0" w:line="256" w:lineRule="auto"/>
        <w:rPr>
          <w:rFonts w:ascii="Arial" w:cs="Arial" w:eastAsia="Arial" w:hAnsi="Arial"/>
          <w:sz w:val="18"/>
          <w:szCs w:val="18"/>
          <w:color w:val="auto"/>
        </w:rPr>
      </w:pPr>
      <w:r>
        <w:rPr>
          <w:rFonts w:ascii="Arial" w:cs="Arial" w:eastAsia="Arial" w:hAnsi="Arial"/>
          <w:sz w:val="18"/>
          <w:szCs w:val="18"/>
          <w:color w:val="auto"/>
        </w:rPr>
        <w:t>Our management, with the participation of David A. Ricks, chairman, president, and chief executive officer, and Joshua L. Smiley, senior vice president and chief financial officer, evaluated our disclosure controls and procedures as of March 31, 2018, and concluded that they are effective.</w:t>
      </w:r>
    </w:p>
    <w:p>
      <w:pPr>
        <w:spacing w:after="0" w:line="75" w:lineRule="exact"/>
        <w:rPr>
          <w:rFonts w:ascii="Arial" w:cs="Arial" w:eastAsia="Arial" w:hAnsi="Arial"/>
          <w:sz w:val="18"/>
          <w:szCs w:val="18"/>
          <w:color w:val="auto"/>
        </w:rPr>
      </w:pPr>
    </w:p>
    <w:p>
      <w:pPr>
        <w:ind w:left="660" w:right="60" w:hanging="652"/>
        <w:spacing w:after="0" w:line="282" w:lineRule="auto"/>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i w:val="1"/>
          <w:iCs w:val="1"/>
          <w:color w:val="auto"/>
        </w:rPr>
        <w:t>Changes in Internal Controls</w:t>
      </w:r>
      <w:r>
        <w:rPr>
          <w:rFonts w:ascii="Arial" w:cs="Arial" w:eastAsia="Arial" w:hAnsi="Arial"/>
          <w:sz w:val="18"/>
          <w:szCs w:val="18"/>
          <w:color w:val="auto"/>
        </w:rPr>
        <w:t>. During the first quarter of 2018, there were no changes in our internal control over financial reporting that</w:t>
      </w:r>
      <w:r>
        <w:rPr>
          <w:rFonts w:ascii="Arial" w:cs="Arial" w:eastAsia="Arial" w:hAnsi="Arial"/>
          <w:sz w:val="18"/>
          <w:szCs w:val="18"/>
          <w:i w:val="1"/>
          <w:iCs w:val="1"/>
          <w:color w:val="auto"/>
        </w:rPr>
        <w:t xml:space="preserve"> </w:t>
      </w:r>
      <w:r>
        <w:rPr>
          <w:rFonts w:ascii="Arial" w:cs="Arial" w:eastAsia="Arial" w:hAnsi="Arial"/>
          <w:sz w:val="18"/>
          <w:szCs w:val="18"/>
          <w:color w:val="auto"/>
        </w:rPr>
        <w:t>materially affected, or are reasonably likely to materially affect, our internal control over financial reporting.</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706" w:right="239" w:bottom="1440" w:gutter="0" w:footer="0" w:header="0"/>
        </w:sectPr>
      </w:pPr>
    </w:p>
    <w:bookmarkStart w:id="45" w:name="page46"/>
    <w:bookmarkEnd w:id="45"/>
    <w:p>
      <w:pPr>
        <w:spacing w:after="0"/>
        <w:rPr>
          <w:sz w:val="20"/>
          <w:szCs w:val="20"/>
          <w:color w:val="auto"/>
        </w:rPr>
      </w:pPr>
      <w:r>
        <w:rPr>
          <w:rFonts w:ascii="Arial" w:cs="Arial" w:eastAsia="Arial" w:hAnsi="Arial"/>
          <w:sz w:val="29"/>
          <w:szCs w:val="29"/>
          <w:u w:val="single" w:color="auto"/>
          <w:color w:val="auto"/>
        </w:rPr>
        <w:t>PART II. Other Information</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Item 1. Legal Proceedings</w:t>
      </w:r>
    </w:p>
    <w:p>
      <w:pPr>
        <w:spacing w:after="0" w:line="193" w:lineRule="exact"/>
        <w:rPr>
          <w:sz w:val="20"/>
          <w:szCs w:val="20"/>
          <w:color w:val="auto"/>
        </w:rPr>
      </w:pPr>
    </w:p>
    <w:p>
      <w:pPr>
        <w:ind w:right="60"/>
        <w:spacing w:after="0" w:line="262" w:lineRule="auto"/>
        <w:rPr>
          <w:sz w:val="20"/>
          <w:szCs w:val="20"/>
          <w:color w:val="auto"/>
        </w:rPr>
      </w:pPr>
      <w:r>
        <w:rPr>
          <w:rFonts w:ascii="Arial" w:cs="Arial" w:eastAsia="Arial" w:hAnsi="Arial"/>
          <w:sz w:val="18"/>
          <w:szCs w:val="18"/>
          <w:color w:val="auto"/>
        </w:rPr>
        <w:t>See "Notes to Consolidated Condensed Financial Statements - Note 10, Contingencies" for information on various legal proceedings, including but not limited to:</w:t>
      </w:r>
    </w:p>
    <w:p>
      <w:pPr>
        <w:spacing w:after="0" w:line="115" w:lineRule="exact"/>
        <w:rPr>
          <w:sz w:val="20"/>
          <w:szCs w:val="20"/>
          <w:color w:val="auto"/>
        </w:rPr>
      </w:pPr>
    </w:p>
    <w:p>
      <w:pPr>
        <w:ind w:left="1040" w:hanging="384"/>
        <w:spacing w:after="0"/>
        <w:tabs>
          <w:tab w:leader="none" w:pos="10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patent litigation and administrative proceedings involving Alimta.</w:t>
      </w:r>
    </w:p>
    <w:p>
      <w:pPr>
        <w:spacing w:after="0" w:line="128" w:lineRule="exact"/>
        <w:rPr>
          <w:rFonts w:ascii="Arial" w:cs="Arial" w:eastAsia="Arial" w:hAnsi="Arial"/>
          <w:sz w:val="18"/>
          <w:szCs w:val="18"/>
          <w:color w:val="auto"/>
        </w:rPr>
      </w:pPr>
    </w:p>
    <w:p>
      <w:pPr>
        <w:ind w:left="1040" w:hanging="384"/>
        <w:spacing w:after="0"/>
        <w:tabs>
          <w:tab w:leader="none" w:pos="10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product liability litigation involving Actos</w:t>
      </w:r>
      <w:r>
        <w:rPr>
          <w:rFonts w:ascii="Arial" w:cs="Arial" w:eastAsia="Arial" w:hAnsi="Arial"/>
          <w:sz w:val="21"/>
          <w:szCs w:val="21"/>
          <w:color w:val="auto"/>
          <w:vertAlign w:val="superscript"/>
        </w:rPr>
        <w:t>®</w:t>
      </w:r>
      <w:r>
        <w:rPr>
          <w:rFonts w:ascii="Arial" w:cs="Arial" w:eastAsia="Arial" w:hAnsi="Arial"/>
          <w:sz w:val="18"/>
          <w:szCs w:val="18"/>
          <w:color w:val="auto"/>
        </w:rPr>
        <w:t xml:space="preserve"> and Cymbalta.</w:t>
      </w:r>
    </w:p>
    <w:p>
      <w:pPr>
        <w:spacing w:after="0" w:line="152" w:lineRule="exact"/>
        <w:rPr>
          <w:rFonts w:ascii="Arial" w:cs="Arial" w:eastAsia="Arial" w:hAnsi="Arial"/>
          <w:sz w:val="18"/>
          <w:szCs w:val="18"/>
          <w:color w:val="auto"/>
        </w:rPr>
      </w:pPr>
    </w:p>
    <w:p>
      <w:pPr>
        <w:ind w:left="1040" w:hanging="384"/>
        <w:spacing w:after="0"/>
        <w:tabs>
          <w:tab w:leader="none" w:pos="10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employee litigation in Brazil.</w:t>
      </w:r>
    </w:p>
    <w:p>
      <w:pPr>
        <w:spacing w:after="0" w:line="157" w:lineRule="exact"/>
        <w:rPr>
          <w:rFonts w:ascii="Arial" w:cs="Arial" w:eastAsia="Arial" w:hAnsi="Arial"/>
          <w:sz w:val="18"/>
          <w:szCs w:val="18"/>
          <w:color w:val="auto"/>
        </w:rPr>
      </w:pPr>
    </w:p>
    <w:p>
      <w:pPr>
        <w:ind w:left="1040" w:hanging="384"/>
        <w:spacing w:after="0"/>
        <w:tabs>
          <w:tab w:leader="none" w:pos="10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Antitrust litigation involving Agri Stats, Inc.</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That information is incorporated into this Item by reference.</w:t>
      </w:r>
    </w:p>
    <w:p>
      <w:pPr>
        <w:spacing w:after="0" w:line="117" w:lineRule="exact"/>
        <w:rPr>
          <w:sz w:val="20"/>
          <w:szCs w:val="20"/>
          <w:color w:val="auto"/>
        </w:rPr>
      </w:pPr>
    </w:p>
    <w:p>
      <w:pPr>
        <w:ind w:right="760"/>
        <w:spacing w:after="0" w:line="262" w:lineRule="auto"/>
        <w:rPr>
          <w:sz w:val="20"/>
          <w:szCs w:val="20"/>
          <w:color w:val="auto"/>
        </w:rPr>
      </w:pPr>
      <w:r>
        <w:rPr>
          <w:rFonts w:ascii="Arial" w:cs="Arial" w:eastAsia="Arial" w:hAnsi="Arial"/>
          <w:sz w:val="18"/>
          <w:szCs w:val="18"/>
          <w:color w:val="auto"/>
        </w:rPr>
        <w:t>This Item should be read in conjunction with the Legal Proceedings disclosures in our Annual Report on Form 10-K for the year ended December 31, 2017 (Part I, Item 3).</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Product Liability Litigation</w:t>
      </w:r>
    </w:p>
    <w:p>
      <w:pPr>
        <w:spacing w:after="0" w:line="139" w:lineRule="exact"/>
        <w:rPr>
          <w:sz w:val="20"/>
          <w:szCs w:val="20"/>
          <w:color w:val="auto"/>
        </w:rPr>
      </w:pPr>
    </w:p>
    <w:p>
      <w:pPr>
        <w:spacing w:after="0" w:line="245" w:lineRule="auto"/>
        <w:rPr>
          <w:sz w:val="20"/>
          <w:szCs w:val="20"/>
          <w:color w:val="auto"/>
        </w:rPr>
      </w:pPr>
      <w:r>
        <w:rPr>
          <w:rFonts w:ascii="Arial" w:cs="Arial" w:eastAsia="Arial" w:hAnsi="Arial"/>
          <w:sz w:val="18"/>
          <w:szCs w:val="18"/>
          <w:color w:val="auto"/>
        </w:rPr>
        <w:t>We are named as a defendant in approximately 180 Cialis product liability lawsuits in the U.S. These cases, originally filed in various federal courts, contain allegations that Cialis caused or contributed to the plaintiffs' cancer (melanoma). In December 2016, the Judicial Panel on Multidistrict Litigation (JPML) granted the plaintiffs' petition to have the filed cases and an unspecified number of future cases coordinated into a federal multi-district litigation (MDL) in the U.S. District Court for the Northern District of California, alongside an existing coordinated proceeding involving Viagra</w:t>
      </w:r>
      <w:r>
        <w:rPr>
          <w:rFonts w:ascii="Arial" w:cs="Arial" w:eastAsia="Arial" w:hAnsi="Arial"/>
          <w:sz w:val="21"/>
          <w:szCs w:val="21"/>
          <w:color w:val="auto"/>
          <w:vertAlign w:val="superscript"/>
        </w:rPr>
        <w:t>®</w:t>
      </w:r>
      <w:r>
        <w:rPr>
          <w:rFonts w:ascii="Arial" w:cs="Arial" w:eastAsia="Arial" w:hAnsi="Arial"/>
          <w:sz w:val="18"/>
          <w:szCs w:val="18"/>
          <w:color w:val="auto"/>
        </w:rPr>
        <w:t xml:space="preserve"> . The JPML ordered the transfer of the existing cases to the now-renamed MDL </w:t>
      </w:r>
      <w:r>
        <w:rPr>
          <w:rFonts w:ascii="Arial" w:cs="Arial" w:eastAsia="Arial" w:hAnsi="Arial"/>
          <w:sz w:val="18"/>
          <w:szCs w:val="18"/>
          <w:i w:val="1"/>
          <w:iCs w:val="1"/>
          <w:color w:val="auto"/>
        </w:rPr>
        <w:t>In re: Viagra (Sildenafil Citrate)</w:t>
      </w:r>
      <w:r>
        <w:rPr>
          <w:rFonts w:ascii="Arial" w:cs="Arial" w:eastAsia="Arial" w:hAnsi="Arial"/>
          <w:sz w:val="18"/>
          <w:szCs w:val="18"/>
          <w:color w:val="auto"/>
        </w:rPr>
        <w:t xml:space="preserve"> </w:t>
      </w:r>
      <w:r>
        <w:rPr>
          <w:rFonts w:ascii="Arial" w:cs="Arial" w:eastAsia="Arial" w:hAnsi="Arial"/>
          <w:sz w:val="18"/>
          <w:szCs w:val="18"/>
          <w:i w:val="1"/>
          <w:iCs w:val="1"/>
          <w:color w:val="auto"/>
        </w:rPr>
        <w:t>and Cialis (Tadalafil) Products Liability Litigation</w:t>
      </w:r>
      <w:r>
        <w:rPr>
          <w:rFonts w:ascii="Arial" w:cs="Arial" w:eastAsia="Arial" w:hAnsi="Arial"/>
          <w:sz w:val="18"/>
          <w:szCs w:val="18"/>
          <w:color w:val="auto"/>
        </w:rPr>
        <w:t>. We believe these lawsuits and claims are without merit and are prepared to defend against</w:t>
      </w:r>
      <w:r>
        <w:rPr>
          <w:rFonts w:ascii="Arial" w:cs="Arial" w:eastAsia="Arial" w:hAnsi="Arial"/>
          <w:sz w:val="18"/>
          <w:szCs w:val="18"/>
          <w:i w:val="1"/>
          <w:iCs w:val="1"/>
          <w:color w:val="auto"/>
        </w:rPr>
        <w:t xml:space="preserve"> </w:t>
      </w:r>
      <w:r>
        <w:rPr>
          <w:rFonts w:ascii="Arial" w:cs="Arial" w:eastAsia="Arial" w:hAnsi="Arial"/>
          <w:sz w:val="18"/>
          <w:szCs w:val="18"/>
          <w:color w:val="auto"/>
        </w:rPr>
        <w:t>them vigorously.</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Patent Matters</w:t>
      </w:r>
    </w:p>
    <w:p>
      <w:pPr>
        <w:spacing w:after="0" w:line="139"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In February 2018, we received notice that Apotex, Inc. (Apotex) filed an Abbreviated New Drug Application with the FDA, seeking approval to market a generic version of Forteo. Apotex's notice is limited to our pen injector device patent, which expires March 25, 2025. In April 2018, we filed a patent infringement suit in the Southern District of Indiana against Apotex and Apotex Corp.</w:t>
      </w:r>
    </w:p>
    <w:p>
      <w:pPr>
        <w:spacing w:after="0" w:line="94"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In Canada, several generic companies previously challenged the validity of our Zyprexa compound patent. In September 2012, the Canadian Court of Appeals affirmed the lower court's decision that the patent was invalid for lack of utility. In 2013, our petition for leave to appeal the decision to the Supreme Court of Canada was denied. Two of the generic companies, Apotex and Teva Canada Limited (Teva Canada), pursued claims for damages arising from our enforcement of the patent under Canadian regulations. In April 2014, the Supreme Court of Canada dismissed Apotex's damages suit. Teva Canada's claim for damages remains, and in January 2017, the court issued a ruling that Teva Canada is entitled to damages. We appealed the ruling, and in February 2018 the Canadian Federal Court of Appeal affirmed the lower court ruling.</w:t>
      </w:r>
    </w:p>
    <w:p>
      <w:pPr>
        <w:spacing w:after="0" w:line="126"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In October 2017, Teva Pharmaceuticals International GMBH filed a lawsuit against us in U.S District Court for the District of Massachusetts seeking a ruling that various patents would be infringed if we launch galcanezumab for the prevention of migraine in adults. Teva Pharmaceuticals USA, Inc. (collectively with Teva Pharmaceuticals International GMBH, Teva) was added as a plaintiff in January 2018. In February 2018, Teva filed another lawsuit in the District of Massachusetts seeking a ruling that two recently granted Teva patents would also be infringed if we launch galcanezumab for the prevention of migraine in adults. We believe these lawsuits are without merit and we are prepared to defend against them vigorously.</w:t>
      </w:r>
    </w:p>
    <w:p>
      <w:pPr>
        <w:spacing w:after="0" w:line="3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Matters</w:t>
      </w:r>
    </w:p>
    <w:p>
      <w:pPr>
        <w:spacing w:after="0" w:line="121"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 xml:space="preserve">We, along with Sanofi and Novo Nordisk, were named as defendants in a consolidated purported class action lawsuit, </w:t>
      </w:r>
      <w:r>
        <w:rPr>
          <w:rFonts w:ascii="Arial" w:cs="Arial" w:eastAsia="Arial" w:hAnsi="Arial"/>
          <w:sz w:val="18"/>
          <w:szCs w:val="18"/>
          <w:i w:val="1"/>
          <w:iCs w:val="1"/>
          <w:color w:val="auto"/>
        </w:rPr>
        <w:t>In re. Insulin Pricing</w:t>
      </w:r>
      <w:r>
        <w:rPr>
          <w:rFonts w:ascii="Arial" w:cs="Arial" w:eastAsia="Arial" w:hAnsi="Arial"/>
          <w:sz w:val="18"/>
          <w:szCs w:val="18"/>
          <w:color w:val="auto"/>
        </w:rPr>
        <w:t xml:space="preserve"> </w:t>
      </w:r>
      <w:r>
        <w:rPr>
          <w:rFonts w:ascii="Arial" w:cs="Arial" w:eastAsia="Arial" w:hAnsi="Arial"/>
          <w:sz w:val="18"/>
          <w:szCs w:val="18"/>
          <w:i w:val="1"/>
          <w:iCs w:val="1"/>
          <w:color w:val="auto"/>
        </w:rPr>
        <w:t>Litigation</w:t>
      </w:r>
      <w:r>
        <w:rPr>
          <w:rFonts w:ascii="Arial" w:cs="Arial" w:eastAsia="Arial" w:hAnsi="Arial"/>
          <w:sz w:val="18"/>
          <w:szCs w:val="18"/>
          <w:color w:val="auto"/>
        </w:rPr>
        <w:t>, in the U.S. District Court of New Jersey relating to insulin pricing, which was later amended to name only Sanofi and Novo Nordisk</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as defendants. We have since been named as a defendant in a purported class action lawsuit, </w:t>
      </w:r>
      <w:r>
        <w:rPr>
          <w:rFonts w:ascii="Arial" w:cs="Arial" w:eastAsia="Arial" w:hAnsi="Arial"/>
          <w:sz w:val="18"/>
          <w:szCs w:val="18"/>
          <w:i w:val="1"/>
          <w:iCs w:val="1"/>
          <w:color w:val="auto"/>
        </w:rPr>
        <w:t>Bentele et. al. v. Eli Lilly &amp; Co.</w:t>
      </w:r>
      <w:r>
        <w:rPr>
          <w:rFonts w:ascii="Arial" w:cs="Arial" w:eastAsia="Arial" w:hAnsi="Arial"/>
          <w:sz w:val="18"/>
          <w:szCs w:val="18"/>
          <w:color w:val="auto"/>
        </w:rPr>
        <w:t>, in the U.S. District Court of Rhode Island relating to insulin pricing. Plantiffs in this case are seeking damages under various state consumer protection laws and the federal Racketeer Influenced and Corrupt Organization Act (federal RICO Act). We believe these claims are without merit and are prepared to defend against them vigorously. Separately, we, along with Sanofi and Novo Nordisk,</w:t>
      </w: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595" w:right="239" w:bottom="1440" w:gutter="0" w:footer="0" w:header="0"/>
        </w:sectPr>
      </w:pPr>
    </w:p>
    <w:bookmarkStart w:id="46" w:name="page47"/>
    <w:bookmarkEnd w:id="46"/>
    <w:p>
      <w:pPr>
        <w:ind w:right="140"/>
        <w:spacing w:after="0" w:line="266" w:lineRule="auto"/>
        <w:rPr>
          <w:sz w:val="20"/>
          <w:szCs w:val="20"/>
          <w:color w:val="auto"/>
        </w:rPr>
      </w:pPr>
      <w:r>
        <w:rPr>
          <w:rFonts w:ascii="Arial" w:cs="Arial" w:eastAsia="Arial" w:hAnsi="Arial"/>
          <w:sz w:val="18"/>
          <w:szCs w:val="18"/>
          <w:color w:val="auto"/>
        </w:rPr>
        <w:t xml:space="preserve">were named as defendants in a purported class action lawsuit, </w:t>
      </w:r>
      <w:r>
        <w:rPr>
          <w:rFonts w:ascii="Arial" w:cs="Arial" w:eastAsia="Arial" w:hAnsi="Arial"/>
          <w:sz w:val="18"/>
          <w:szCs w:val="18"/>
          <w:i w:val="1"/>
          <w:iCs w:val="1"/>
          <w:color w:val="auto"/>
        </w:rPr>
        <w:t>MSP Recovery Claims, Series, LLC et al. v. Sanofi Aventis U.S. LLC,</w:t>
      </w:r>
      <w:r>
        <w:rPr>
          <w:rFonts w:ascii="Arial" w:cs="Arial" w:eastAsia="Arial" w:hAnsi="Arial"/>
          <w:sz w:val="18"/>
          <w:szCs w:val="18"/>
          <w:color w:val="auto"/>
        </w:rPr>
        <w:t xml:space="preserve"> in the District of New Jersey seeking damages under various state consumer protection laws, common law fraud, unjust enrichment, and the federal RICO Act.</w:t>
      </w:r>
    </w:p>
    <w:p>
      <w:pPr>
        <w:spacing w:after="0" w:line="84" w:lineRule="exact"/>
        <w:rPr>
          <w:sz w:val="20"/>
          <w:szCs w:val="20"/>
          <w:color w:val="auto"/>
        </w:rPr>
      </w:pPr>
    </w:p>
    <w:p>
      <w:pPr>
        <w:ind w:right="660"/>
        <w:spacing w:after="0" w:line="233" w:lineRule="auto"/>
        <w:rPr>
          <w:sz w:val="20"/>
          <w:szCs w:val="20"/>
          <w:color w:val="auto"/>
        </w:rPr>
      </w:pPr>
      <w:r>
        <w:rPr>
          <w:rFonts w:ascii="Arial" w:cs="Arial" w:eastAsia="Arial" w:hAnsi="Arial"/>
          <w:sz w:val="18"/>
          <w:szCs w:val="18"/>
          <w:color w:val="auto"/>
        </w:rPr>
        <w:t>We received interrogatories from the California Attorney General's Office regarding competition to Lantus</w:t>
      </w:r>
      <w:r>
        <w:rPr>
          <w:rFonts w:ascii="Arial" w:cs="Arial" w:eastAsia="Arial" w:hAnsi="Arial"/>
          <w:sz w:val="21"/>
          <w:szCs w:val="21"/>
          <w:color w:val="auto"/>
          <w:vertAlign w:val="superscript"/>
        </w:rPr>
        <w:t>®</w:t>
      </w:r>
      <w:r>
        <w:rPr>
          <w:rFonts w:ascii="Arial" w:cs="Arial" w:eastAsia="Arial" w:hAnsi="Arial"/>
          <w:sz w:val="18"/>
          <w:szCs w:val="18"/>
          <w:color w:val="auto"/>
        </w:rPr>
        <w:t xml:space="preserve"> in the insulin market. We are cooperating with this investigation.</w:t>
      </w:r>
    </w:p>
    <w:p>
      <w:pPr>
        <w:spacing w:after="0" w:line="215"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We are also a defendant in other litigation and investigations, including product liability, patent, employment, and premises liability litigation, of a character we regard as normal to our business.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Item 1A. Risk Factors</w:t>
      </w:r>
    </w:p>
    <w:p>
      <w:pPr>
        <w:spacing w:after="0" w:line="193" w:lineRule="exact"/>
        <w:rPr>
          <w:sz w:val="20"/>
          <w:szCs w:val="20"/>
          <w:color w:val="auto"/>
        </w:rPr>
      </w:pPr>
    </w:p>
    <w:p>
      <w:pPr>
        <w:ind w:right="60"/>
        <w:spacing w:after="0" w:line="262" w:lineRule="auto"/>
        <w:rPr>
          <w:sz w:val="20"/>
          <w:szCs w:val="20"/>
          <w:color w:val="auto"/>
        </w:rPr>
      </w:pPr>
      <w:r>
        <w:rPr>
          <w:rFonts w:ascii="Arial" w:cs="Arial" w:eastAsia="Arial" w:hAnsi="Arial"/>
          <w:sz w:val="18"/>
          <w:szCs w:val="18"/>
          <w:color w:val="auto"/>
        </w:rPr>
        <w:t>Our material risk factors are disclosed in Item 1A of our Annual Report on Form 10-K for the year ended December 31, 2017. There have been no material changes from the risk factors previously disclosed in our Annual Report.</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Item 2. Unregistered Sales of Equity Securities and Use of Proceeds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activity related to repurchases of our equity securities during the three months ended March 31, 2018:</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64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27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Total Number of Shares</w:t>
            </w:r>
          </w:p>
        </w:tc>
        <w:tc>
          <w:tcPr>
            <w:tcW w:w="2180" w:type="dxa"/>
            <w:vAlign w:val="bottom"/>
          </w:tcPr>
          <w:p>
            <w:pPr>
              <w:jc w:val="center"/>
              <w:ind w:right="201"/>
              <w:spacing w:after="0"/>
              <w:rPr>
                <w:sz w:val="20"/>
                <w:szCs w:val="20"/>
                <w:color w:val="auto"/>
              </w:rPr>
            </w:pPr>
            <w:r>
              <w:rPr>
                <w:rFonts w:ascii="Arial" w:cs="Arial" w:eastAsia="Arial" w:hAnsi="Arial"/>
                <w:sz w:val="14"/>
                <w:szCs w:val="14"/>
                <w:b w:val="1"/>
                <w:bCs w:val="1"/>
                <w:color w:val="auto"/>
              </w:rPr>
              <w:t>Approximate Dollar Value</w:t>
            </w:r>
          </w:p>
        </w:tc>
      </w:tr>
      <w:tr>
        <w:trPr>
          <w:trHeight w:val="162"/>
        </w:trPr>
        <w:tc>
          <w:tcPr>
            <w:tcW w:w="264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27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Purchased as Part of</w:t>
            </w:r>
          </w:p>
        </w:tc>
        <w:tc>
          <w:tcPr>
            <w:tcW w:w="2180" w:type="dxa"/>
            <w:vAlign w:val="bottom"/>
          </w:tcPr>
          <w:p>
            <w:pPr>
              <w:jc w:val="center"/>
              <w:ind w:right="141"/>
              <w:spacing w:after="0"/>
              <w:rPr>
                <w:sz w:val="20"/>
                <w:szCs w:val="20"/>
                <w:color w:val="auto"/>
              </w:rPr>
            </w:pPr>
            <w:r>
              <w:rPr>
                <w:rFonts w:ascii="Arial" w:cs="Arial" w:eastAsia="Arial" w:hAnsi="Arial"/>
                <w:sz w:val="14"/>
                <w:szCs w:val="14"/>
                <w:b w:val="1"/>
                <w:bCs w:val="1"/>
                <w:color w:val="auto"/>
              </w:rPr>
              <w:t>of Shares that May Yet Be</w:t>
            </w:r>
          </w:p>
        </w:tc>
      </w:tr>
      <w:tr>
        <w:trPr>
          <w:trHeight w:val="162"/>
        </w:trPr>
        <w:tc>
          <w:tcPr>
            <w:tcW w:w="2640" w:type="dxa"/>
            <w:vAlign w:val="bottom"/>
          </w:tcPr>
          <w:p>
            <w:pPr>
              <w:spacing w:after="0"/>
              <w:rPr>
                <w:sz w:val="14"/>
                <w:szCs w:val="14"/>
                <w:color w:val="auto"/>
              </w:rPr>
            </w:pPr>
          </w:p>
        </w:tc>
        <w:tc>
          <w:tcPr>
            <w:tcW w:w="21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Total Number of</w:t>
            </w:r>
          </w:p>
        </w:tc>
        <w:tc>
          <w:tcPr>
            <w:tcW w:w="1760" w:type="dxa"/>
            <w:vAlign w:val="bottom"/>
          </w:tcPr>
          <w:p>
            <w:pPr>
              <w:spacing w:after="0"/>
              <w:rPr>
                <w:sz w:val="14"/>
                <w:szCs w:val="14"/>
                <w:color w:val="auto"/>
              </w:rPr>
            </w:pPr>
          </w:p>
        </w:tc>
        <w:tc>
          <w:tcPr>
            <w:tcW w:w="27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Publicly Announced</w:t>
            </w:r>
          </w:p>
        </w:tc>
        <w:tc>
          <w:tcPr>
            <w:tcW w:w="2180" w:type="dxa"/>
            <w:vAlign w:val="bottom"/>
          </w:tcPr>
          <w:p>
            <w:pPr>
              <w:jc w:val="center"/>
              <w:ind w:right="181"/>
              <w:spacing w:after="0"/>
              <w:rPr>
                <w:sz w:val="20"/>
                <w:szCs w:val="20"/>
                <w:color w:val="auto"/>
              </w:rPr>
            </w:pPr>
            <w:r>
              <w:rPr>
                <w:rFonts w:ascii="Arial" w:cs="Arial" w:eastAsia="Arial" w:hAnsi="Arial"/>
                <w:sz w:val="14"/>
                <w:szCs w:val="14"/>
                <w:b w:val="1"/>
                <w:bCs w:val="1"/>
                <w:color w:val="auto"/>
              </w:rPr>
              <w:t>Purchased Under the</w:t>
            </w:r>
          </w:p>
        </w:tc>
      </w:tr>
      <w:tr>
        <w:trPr>
          <w:trHeight w:val="162"/>
        </w:trPr>
        <w:tc>
          <w:tcPr>
            <w:tcW w:w="2640" w:type="dxa"/>
            <w:vAlign w:val="bottom"/>
          </w:tcPr>
          <w:p>
            <w:pPr>
              <w:spacing w:after="0"/>
              <w:rPr>
                <w:sz w:val="14"/>
                <w:szCs w:val="14"/>
                <w:color w:val="auto"/>
              </w:rPr>
            </w:pPr>
          </w:p>
        </w:tc>
        <w:tc>
          <w:tcPr>
            <w:tcW w:w="21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Shares Purchased</w:t>
            </w:r>
          </w:p>
        </w:tc>
        <w:tc>
          <w:tcPr>
            <w:tcW w:w="1760" w:type="dxa"/>
            <w:vAlign w:val="bottom"/>
          </w:tcPr>
          <w:p>
            <w:pPr>
              <w:jc w:val="right"/>
              <w:ind w:right="316"/>
              <w:spacing w:after="0"/>
              <w:rPr>
                <w:sz w:val="20"/>
                <w:szCs w:val="20"/>
                <w:color w:val="auto"/>
              </w:rPr>
            </w:pPr>
            <w:r>
              <w:rPr>
                <w:rFonts w:ascii="Arial" w:cs="Arial" w:eastAsia="Arial" w:hAnsi="Arial"/>
                <w:sz w:val="14"/>
                <w:szCs w:val="14"/>
                <w:b w:val="1"/>
                <w:bCs w:val="1"/>
                <w:color w:val="auto"/>
              </w:rPr>
              <w:t>Average Price Paid</w:t>
            </w:r>
          </w:p>
        </w:tc>
        <w:tc>
          <w:tcPr>
            <w:tcW w:w="27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Plans or Programs</w:t>
            </w:r>
          </w:p>
        </w:tc>
        <w:tc>
          <w:tcPr>
            <w:tcW w:w="2180" w:type="dxa"/>
            <w:vAlign w:val="bottom"/>
          </w:tcPr>
          <w:p>
            <w:pPr>
              <w:jc w:val="center"/>
              <w:ind w:right="141"/>
              <w:spacing w:after="0"/>
              <w:rPr>
                <w:sz w:val="20"/>
                <w:szCs w:val="20"/>
                <w:color w:val="auto"/>
              </w:rPr>
            </w:pPr>
            <w:r>
              <w:rPr>
                <w:rFonts w:ascii="Arial" w:cs="Arial" w:eastAsia="Arial" w:hAnsi="Arial"/>
                <w:sz w:val="14"/>
                <w:szCs w:val="14"/>
                <w:b w:val="1"/>
                <w:bCs w:val="1"/>
                <w:color w:val="auto"/>
              </w:rPr>
              <w:t>Plans or Programs</w:t>
            </w:r>
          </w:p>
        </w:tc>
      </w:tr>
      <w:tr>
        <w:trPr>
          <w:trHeight w:val="196"/>
        </w:trPr>
        <w:tc>
          <w:tcPr>
            <w:tcW w:w="26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Period</w:t>
            </w:r>
          </w:p>
        </w:tc>
        <w:tc>
          <w:tcPr>
            <w:tcW w:w="212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rPr>
              <w:t>(in thousands)</w:t>
            </w:r>
          </w:p>
        </w:tc>
        <w:tc>
          <w:tcPr>
            <w:tcW w:w="1760" w:type="dxa"/>
            <w:vAlign w:val="bottom"/>
            <w:tcBorders>
              <w:bottom w:val="single" w:sz="8" w:color="auto"/>
            </w:tcBorders>
          </w:tcPr>
          <w:p>
            <w:pPr>
              <w:jc w:val="right"/>
              <w:ind w:right="616"/>
              <w:spacing w:after="0"/>
              <w:rPr>
                <w:sz w:val="20"/>
                <w:szCs w:val="20"/>
                <w:color w:val="auto"/>
              </w:rPr>
            </w:pPr>
            <w:r>
              <w:rPr>
                <w:rFonts w:ascii="Arial" w:cs="Arial" w:eastAsia="Arial" w:hAnsi="Arial"/>
                <w:sz w:val="14"/>
                <w:szCs w:val="14"/>
                <w:b w:val="1"/>
                <w:bCs w:val="1"/>
                <w:color w:val="auto"/>
              </w:rPr>
              <w:t>per Share</w:t>
            </w:r>
          </w:p>
        </w:tc>
        <w:tc>
          <w:tcPr>
            <w:tcW w:w="272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4"/>
                <w:szCs w:val="14"/>
                <w:b w:val="1"/>
                <w:bCs w:val="1"/>
                <w:color w:val="auto"/>
              </w:rPr>
              <w:t>(in thousands)</w:t>
            </w:r>
          </w:p>
        </w:tc>
        <w:tc>
          <w:tcPr>
            <w:tcW w:w="2180" w:type="dxa"/>
            <w:vAlign w:val="bottom"/>
            <w:tcBorders>
              <w:bottom w:val="single" w:sz="8" w:color="auto"/>
            </w:tcBorders>
          </w:tcPr>
          <w:p>
            <w:pPr>
              <w:jc w:val="center"/>
              <w:ind w:right="141"/>
              <w:spacing w:after="0"/>
              <w:rPr>
                <w:sz w:val="20"/>
                <w:szCs w:val="20"/>
                <w:color w:val="auto"/>
              </w:rPr>
            </w:pPr>
            <w:r>
              <w:rPr>
                <w:rFonts w:ascii="Arial" w:cs="Arial" w:eastAsia="Arial" w:hAnsi="Arial"/>
                <w:sz w:val="14"/>
                <w:szCs w:val="14"/>
                <w:b w:val="1"/>
                <w:bCs w:val="1"/>
                <w:color w:val="auto"/>
              </w:rPr>
              <w:t>(in millions)</w:t>
            </w:r>
          </w:p>
        </w:tc>
      </w:tr>
      <w:tr>
        <w:trPr>
          <w:trHeight w:val="270"/>
        </w:trPr>
        <w:tc>
          <w:tcPr>
            <w:tcW w:w="2640" w:type="dxa"/>
            <w:vAlign w:val="bottom"/>
            <w:shd w:val="clear" w:color="auto" w:fill="CCEEFF"/>
          </w:tcPr>
          <w:p>
            <w:pPr>
              <w:ind w:left="40"/>
              <w:spacing w:after="0"/>
              <w:rPr>
                <w:sz w:val="20"/>
                <w:szCs w:val="20"/>
                <w:color w:val="auto"/>
              </w:rPr>
            </w:pPr>
            <w:r>
              <w:rPr>
                <w:rFonts w:ascii="Arial" w:cs="Arial" w:eastAsia="Arial" w:hAnsi="Arial"/>
                <w:sz w:val="18"/>
                <w:szCs w:val="18"/>
                <w:color w:val="auto"/>
              </w:rPr>
              <w:t>January 2018</w:t>
            </w:r>
          </w:p>
        </w:tc>
        <w:tc>
          <w:tcPr>
            <w:tcW w:w="2120" w:type="dxa"/>
            <w:vAlign w:val="bottom"/>
            <w:gridSpan w:val="2"/>
            <w:shd w:val="clear" w:color="auto" w:fill="CCEEFF"/>
          </w:tcPr>
          <w:p>
            <w:pPr>
              <w:ind w:left="1540"/>
              <w:spacing w:after="0"/>
              <w:rPr>
                <w:sz w:val="20"/>
                <w:szCs w:val="20"/>
                <w:color w:val="auto"/>
              </w:rPr>
            </w:pPr>
            <w:r>
              <w:rPr>
                <w:rFonts w:ascii="Arial" w:cs="Arial" w:eastAsia="Arial" w:hAnsi="Arial"/>
                <w:sz w:val="18"/>
                <w:szCs w:val="18"/>
                <w:color w:val="auto"/>
              </w:rPr>
              <w:t>—   $</w:t>
            </w:r>
          </w:p>
        </w:tc>
        <w:tc>
          <w:tcPr>
            <w:tcW w:w="1760" w:type="dxa"/>
            <w:vAlign w:val="bottom"/>
            <w:shd w:val="clear" w:color="auto" w:fill="CCEEFF"/>
          </w:tcPr>
          <w:p>
            <w:pPr>
              <w:jc w:val="right"/>
              <w:ind w:right="136"/>
              <w:spacing w:after="0"/>
              <w:rPr>
                <w:sz w:val="20"/>
                <w:szCs w:val="20"/>
                <w:color w:val="auto"/>
              </w:rPr>
            </w:pPr>
            <w:r>
              <w:rPr>
                <w:rFonts w:ascii="Arial" w:cs="Arial" w:eastAsia="Arial" w:hAnsi="Arial"/>
                <w:sz w:val="18"/>
                <w:szCs w:val="18"/>
                <w:color w:val="auto"/>
              </w:rPr>
              <w:t>—</w:t>
            </w:r>
          </w:p>
        </w:tc>
        <w:tc>
          <w:tcPr>
            <w:tcW w:w="2720" w:type="dxa"/>
            <w:vAlign w:val="bottom"/>
            <w:gridSpan w:val="2"/>
            <w:shd w:val="clear" w:color="auto" w:fill="CCEEFF"/>
          </w:tcPr>
          <w:p>
            <w:pPr>
              <w:ind w:left="2100"/>
              <w:spacing w:after="0"/>
              <w:rPr>
                <w:sz w:val="20"/>
                <w:szCs w:val="20"/>
                <w:color w:val="auto"/>
              </w:rPr>
            </w:pPr>
            <w:r>
              <w:rPr>
                <w:rFonts w:ascii="Arial" w:cs="Arial" w:eastAsia="Arial" w:hAnsi="Arial"/>
                <w:sz w:val="18"/>
                <w:szCs w:val="18"/>
                <w:color w:val="auto"/>
              </w:rPr>
              <w:t>—   $</w:t>
            </w:r>
          </w:p>
        </w:tc>
        <w:tc>
          <w:tcPr>
            <w:tcW w:w="2180" w:type="dxa"/>
            <w:vAlign w:val="bottom"/>
            <w:shd w:val="clear" w:color="auto" w:fill="CCEEFF"/>
          </w:tcPr>
          <w:p>
            <w:pPr>
              <w:jc w:val="right"/>
              <w:ind w:right="21"/>
              <w:spacing w:after="0"/>
              <w:rPr>
                <w:sz w:val="20"/>
                <w:szCs w:val="20"/>
                <w:color w:val="auto"/>
              </w:rPr>
            </w:pPr>
            <w:r>
              <w:rPr>
                <w:rFonts w:ascii="Arial" w:cs="Arial" w:eastAsia="Arial" w:hAnsi="Arial"/>
                <w:sz w:val="18"/>
                <w:szCs w:val="18"/>
                <w:color w:val="auto"/>
              </w:rPr>
              <w:t>2,050.7</w:t>
            </w:r>
          </w:p>
        </w:tc>
      </w:tr>
      <w:tr>
        <w:trPr>
          <w:trHeight w:val="263"/>
        </w:trPr>
        <w:tc>
          <w:tcPr>
            <w:tcW w:w="2640" w:type="dxa"/>
            <w:vAlign w:val="bottom"/>
          </w:tcPr>
          <w:p>
            <w:pPr>
              <w:ind w:left="40"/>
              <w:spacing w:after="0"/>
              <w:rPr>
                <w:sz w:val="20"/>
                <w:szCs w:val="20"/>
                <w:color w:val="auto"/>
              </w:rPr>
            </w:pPr>
            <w:r>
              <w:rPr>
                <w:rFonts w:ascii="Arial" w:cs="Arial" w:eastAsia="Arial" w:hAnsi="Arial"/>
                <w:sz w:val="18"/>
                <w:szCs w:val="18"/>
                <w:color w:val="auto"/>
              </w:rPr>
              <w:t>February 2018</w:t>
            </w:r>
          </w:p>
        </w:tc>
        <w:tc>
          <w:tcPr>
            <w:tcW w:w="1820" w:type="dxa"/>
            <w:vAlign w:val="bottom"/>
          </w:tcPr>
          <w:p>
            <w:pPr>
              <w:jc w:val="right"/>
              <w:ind w:right="18"/>
              <w:spacing w:after="0"/>
              <w:rPr>
                <w:sz w:val="20"/>
                <w:szCs w:val="20"/>
                <w:color w:val="auto"/>
              </w:rPr>
            </w:pPr>
            <w:r>
              <w:rPr>
                <w:rFonts w:ascii="Arial" w:cs="Arial" w:eastAsia="Arial" w:hAnsi="Arial"/>
                <w:sz w:val="18"/>
                <w:szCs w:val="18"/>
                <w:color w:val="auto"/>
              </w:rPr>
              <w:t>12,194.5</w:t>
            </w:r>
          </w:p>
        </w:tc>
        <w:tc>
          <w:tcPr>
            <w:tcW w:w="300" w:type="dxa"/>
            <w:vAlign w:val="bottom"/>
          </w:tcPr>
          <w:p>
            <w:pPr>
              <w:spacing w:after="0"/>
              <w:rPr>
                <w:sz w:val="22"/>
                <w:szCs w:val="22"/>
                <w:color w:val="auto"/>
              </w:rPr>
            </w:pPr>
          </w:p>
        </w:tc>
        <w:tc>
          <w:tcPr>
            <w:tcW w:w="1760" w:type="dxa"/>
            <w:vAlign w:val="bottom"/>
          </w:tcPr>
          <w:p>
            <w:pPr>
              <w:jc w:val="right"/>
              <w:ind w:right="136"/>
              <w:spacing w:after="0"/>
              <w:rPr>
                <w:sz w:val="20"/>
                <w:szCs w:val="20"/>
                <w:color w:val="auto"/>
              </w:rPr>
            </w:pPr>
            <w:r>
              <w:rPr>
                <w:rFonts w:ascii="Arial" w:cs="Arial" w:eastAsia="Arial" w:hAnsi="Arial"/>
                <w:sz w:val="18"/>
                <w:szCs w:val="18"/>
                <w:color w:val="auto"/>
              </w:rPr>
              <w:t>78.04</w:t>
            </w:r>
          </w:p>
        </w:tc>
        <w:tc>
          <w:tcPr>
            <w:tcW w:w="2380" w:type="dxa"/>
            <w:vAlign w:val="bottom"/>
          </w:tcPr>
          <w:p>
            <w:pPr>
              <w:jc w:val="right"/>
              <w:ind w:right="20"/>
              <w:spacing w:after="0"/>
              <w:rPr>
                <w:sz w:val="20"/>
                <w:szCs w:val="20"/>
                <w:color w:val="auto"/>
              </w:rPr>
            </w:pPr>
            <w:r>
              <w:rPr>
                <w:rFonts w:ascii="Arial" w:cs="Arial" w:eastAsia="Arial" w:hAnsi="Arial"/>
                <w:sz w:val="18"/>
                <w:szCs w:val="18"/>
                <w:color w:val="auto"/>
              </w:rPr>
              <w:t>12,194.5</w:t>
            </w:r>
          </w:p>
        </w:tc>
        <w:tc>
          <w:tcPr>
            <w:tcW w:w="340" w:type="dxa"/>
            <w:vAlign w:val="bottom"/>
          </w:tcPr>
          <w:p>
            <w:pPr>
              <w:spacing w:after="0"/>
              <w:rPr>
                <w:sz w:val="22"/>
                <w:szCs w:val="22"/>
                <w:color w:val="auto"/>
              </w:rPr>
            </w:pPr>
          </w:p>
        </w:tc>
        <w:tc>
          <w:tcPr>
            <w:tcW w:w="2180" w:type="dxa"/>
            <w:vAlign w:val="bottom"/>
          </w:tcPr>
          <w:p>
            <w:pPr>
              <w:jc w:val="right"/>
              <w:ind w:right="21"/>
              <w:spacing w:after="0"/>
              <w:rPr>
                <w:sz w:val="20"/>
                <w:szCs w:val="20"/>
                <w:color w:val="auto"/>
              </w:rPr>
            </w:pPr>
            <w:r>
              <w:rPr>
                <w:rFonts w:ascii="Arial" w:cs="Arial" w:eastAsia="Arial" w:hAnsi="Arial"/>
                <w:sz w:val="18"/>
                <w:szCs w:val="18"/>
                <w:color w:val="auto"/>
              </w:rPr>
              <w:t>1,098.9</w:t>
            </w:r>
          </w:p>
        </w:tc>
      </w:tr>
      <w:tr>
        <w:trPr>
          <w:trHeight w:val="270"/>
        </w:trPr>
        <w:tc>
          <w:tcPr>
            <w:tcW w:w="2640" w:type="dxa"/>
            <w:vAlign w:val="bottom"/>
            <w:shd w:val="clear" w:color="auto" w:fill="CCEEFF"/>
          </w:tcPr>
          <w:p>
            <w:pPr>
              <w:ind w:left="40"/>
              <w:spacing w:after="0"/>
              <w:rPr>
                <w:sz w:val="20"/>
                <w:szCs w:val="20"/>
                <w:color w:val="auto"/>
              </w:rPr>
            </w:pPr>
            <w:r>
              <w:rPr>
                <w:rFonts w:ascii="Arial" w:cs="Arial" w:eastAsia="Arial" w:hAnsi="Arial"/>
                <w:sz w:val="18"/>
                <w:szCs w:val="18"/>
                <w:color w:val="auto"/>
              </w:rPr>
              <w:t>March 2018</w:t>
            </w:r>
          </w:p>
        </w:tc>
        <w:tc>
          <w:tcPr>
            <w:tcW w:w="1820" w:type="dxa"/>
            <w:vAlign w:val="bottom"/>
            <w:tcBorders>
              <w:bottom w:val="single" w:sz="8" w:color="auto"/>
            </w:tcBorders>
            <w:shd w:val="clear" w:color="auto" w:fill="CCEEFF"/>
          </w:tcPr>
          <w:p>
            <w:pPr>
              <w:jc w:val="right"/>
              <w:ind w:right="18"/>
              <w:spacing w:after="0"/>
              <w:rPr>
                <w:sz w:val="20"/>
                <w:szCs w:val="20"/>
                <w:color w:val="auto"/>
              </w:rPr>
            </w:pPr>
            <w:r>
              <w:rPr>
                <w:rFonts w:ascii="Arial" w:cs="Arial" w:eastAsia="Arial" w:hAnsi="Arial"/>
                <w:sz w:val="18"/>
                <w:szCs w:val="18"/>
                <w:color w:val="auto"/>
              </w:rPr>
              <w:t>1,893.4</w:t>
            </w:r>
          </w:p>
        </w:tc>
        <w:tc>
          <w:tcPr>
            <w:tcW w:w="300" w:type="dxa"/>
            <w:vAlign w:val="bottom"/>
            <w:shd w:val="clear" w:color="auto" w:fill="CCEEFF"/>
          </w:tcPr>
          <w:p>
            <w:pPr>
              <w:spacing w:after="0"/>
              <w:rPr>
                <w:sz w:val="23"/>
                <w:szCs w:val="23"/>
                <w:color w:val="auto"/>
              </w:rPr>
            </w:pPr>
          </w:p>
        </w:tc>
        <w:tc>
          <w:tcPr>
            <w:tcW w:w="1760" w:type="dxa"/>
            <w:vAlign w:val="bottom"/>
            <w:shd w:val="clear" w:color="auto" w:fill="CCEEFF"/>
          </w:tcPr>
          <w:p>
            <w:pPr>
              <w:jc w:val="right"/>
              <w:ind w:right="136"/>
              <w:spacing w:after="0"/>
              <w:rPr>
                <w:sz w:val="20"/>
                <w:szCs w:val="20"/>
                <w:color w:val="auto"/>
              </w:rPr>
            </w:pPr>
            <w:r>
              <w:rPr>
                <w:rFonts w:ascii="Arial" w:cs="Arial" w:eastAsia="Arial" w:hAnsi="Arial"/>
                <w:sz w:val="18"/>
                <w:szCs w:val="18"/>
                <w:color w:val="auto"/>
              </w:rPr>
              <w:t>78.24</w:t>
            </w:r>
          </w:p>
        </w:tc>
        <w:tc>
          <w:tcPr>
            <w:tcW w:w="238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8"/>
                <w:szCs w:val="18"/>
                <w:color w:val="auto"/>
              </w:rPr>
              <w:t>1,893.4</w:t>
            </w:r>
          </w:p>
        </w:tc>
        <w:tc>
          <w:tcPr>
            <w:tcW w:w="340" w:type="dxa"/>
            <w:vAlign w:val="bottom"/>
            <w:shd w:val="clear" w:color="auto" w:fill="CCEEFF"/>
          </w:tcPr>
          <w:p>
            <w:pPr>
              <w:spacing w:after="0"/>
              <w:rPr>
                <w:sz w:val="23"/>
                <w:szCs w:val="23"/>
                <w:color w:val="auto"/>
              </w:rPr>
            </w:pPr>
          </w:p>
        </w:tc>
        <w:tc>
          <w:tcPr>
            <w:tcW w:w="2180" w:type="dxa"/>
            <w:vAlign w:val="bottom"/>
            <w:shd w:val="clear" w:color="auto" w:fill="CCEEFF"/>
          </w:tcPr>
          <w:p>
            <w:pPr>
              <w:jc w:val="right"/>
              <w:ind w:right="21"/>
              <w:spacing w:after="0"/>
              <w:rPr>
                <w:sz w:val="20"/>
                <w:szCs w:val="20"/>
                <w:color w:val="auto"/>
              </w:rPr>
            </w:pPr>
            <w:r>
              <w:rPr>
                <w:rFonts w:ascii="Arial" w:cs="Arial" w:eastAsia="Arial" w:hAnsi="Arial"/>
                <w:sz w:val="18"/>
                <w:szCs w:val="18"/>
                <w:color w:val="auto"/>
              </w:rPr>
              <w:t>950.7</w:t>
            </w:r>
          </w:p>
        </w:tc>
      </w:tr>
      <w:tr>
        <w:trPr>
          <w:trHeight w:val="264"/>
        </w:trPr>
        <w:tc>
          <w:tcPr>
            <w:tcW w:w="2640" w:type="dxa"/>
            <w:vAlign w:val="bottom"/>
          </w:tcPr>
          <w:p>
            <w:pPr>
              <w:ind w:left="40"/>
              <w:spacing w:after="0"/>
              <w:rPr>
                <w:sz w:val="20"/>
                <w:szCs w:val="20"/>
                <w:color w:val="auto"/>
              </w:rPr>
            </w:pPr>
            <w:r>
              <w:rPr>
                <w:rFonts w:ascii="Arial" w:cs="Arial" w:eastAsia="Arial" w:hAnsi="Arial"/>
                <w:sz w:val="18"/>
                <w:szCs w:val="18"/>
                <w:color w:val="auto"/>
              </w:rPr>
              <w:t>Total</w:t>
            </w:r>
          </w:p>
        </w:tc>
        <w:tc>
          <w:tcPr>
            <w:tcW w:w="1820" w:type="dxa"/>
            <w:vAlign w:val="bottom"/>
            <w:tcBorders>
              <w:bottom w:val="single" w:sz="8" w:color="auto"/>
            </w:tcBorders>
          </w:tcPr>
          <w:p>
            <w:pPr>
              <w:jc w:val="right"/>
              <w:ind w:right="18"/>
              <w:spacing w:after="0"/>
              <w:rPr>
                <w:sz w:val="20"/>
                <w:szCs w:val="20"/>
                <w:color w:val="auto"/>
              </w:rPr>
            </w:pPr>
            <w:r>
              <w:rPr>
                <w:rFonts w:ascii="Arial" w:cs="Arial" w:eastAsia="Arial" w:hAnsi="Arial"/>
                <w:sz w:val="18"/>
                <w:szCs w:val="18"/>
                <w:color w:val="auto"/>
              </w:rPr>
              <w:t>14,088.0</w:t>
            </w:r>
          </w:p>
        </w:tc>
        <w:tc>
          <w:tcPr>
            <w:tcW w:w="300" w:type="dxa"/>
            <w:vAlign w:val="bottom"/>
          </w:tcPr>
          <w:p>
            <w:pPr>
              <w:spacing w:after="0"/>
              <w:rPr>
                <w:sz w:val="22"/>
                <w:szCs w:val="22"/>
                <w:color w:val="auto"/>
              </w:rPr>
            </w:pPr>
          </w:p>
        </w:tc>
        <w:tc>
          <w:tcPr>
            <w:tcW w:w="1760" w:type="dxa"/>
            <w:vAlign w:val="bottom"/>
          </w:tcPr>
          <w:p>
            <w:pPr>
              <w:jc w:val="right"/>
              <w:ind w:right="136"/>
              <w:spacing w:after="0"/>
              <w:rPr>
                <w:sz w:val="20"/>
                <w:szCs w:val="20"/>
                <w:color w:val="auto"/>
              </w:rPr>
            </w:pPr>
            <w:r>
              <w:rPr>
                <w:rFonts w:ascii="Arial" w:cs="Arial" w:eastAsia="Arial" w:hAnsi="Arial"/>
                <w:sz w:val="18"/>
                <w:szCs w:val="18"/>
                <w:color w:val="auto"/>
              </w:rPr>
              <w:t>78.07</w:t>
            </w:r>
          </w:p>
        </w:tc>
        <w:tc>
          <w:tcPr>
            <w:tcW w:w="2380" w:type="dxa"/>
            <w:vAlign w:val="bottom"/>
            <w:tcBorders>
              <w:bottom w:val="single" w:sz="8" w:color="auto"/>
            </w:tcBorders>
          </w:tcPr>
          <w:p>
            <w:pPr>
              <w:jc w:val="right"/>
              <w:ind w:right="20"/>
              <w:spacing w:after="0"/>
              <w:rPr>
                <w:sz w:val="20"/>
                <w:szCs w:val="20"/>
                <w:color w:val="auto"/>
              </w:rPr>
            </w:pPr>
            <w:r>
              <w:rPr>
                <w:rFonts w:ascii="Arial" w:cs="Arial" w:eastAsia="Arial" w:hAnsi="Arial"/>
                <w:sz w:val="18"/>
                <w:szCs w:val="18"/>
                <w:color w:val="auto"/>
              </w:rPr>
              <w:t>14,088.0</w:t>
            </w:r>
          </w:p>
        </w:tc>
        <w:tc>
          <w:tcPr>
            <w:tcW w:w="340" w:type="dxa"/>
            <w:vAlign w:val="bottom"/>
          </w:tcPr>
          <w:p>
            <w:pPr>
              <w:spacing w:after="0"/>
              <w:rPr>
                <w:sz w:val="22"/>
                <w:szCs w:val="22"/>
                <w:color w:val="auto"/>
              </w:rPr>
            </w:pPr>
          </w:p>
        </w:tc>
        <w:tc>
          <w:tcPr>
            <w:tcW w:w="2180" w:type="dxa"/>
            <w:vAlign w:val="bottom"/>
          </w:tcPr>
          <w:p>
            <w:pPr>
              <w:spacing w:after="0"/>
              <w:rPr>
                <w:sz w:val="22"/>
                <w:szCs w:val="22"/>
                <w:color w:val="auto"/>
              </w:rPr>
            </w:pPr>
          </w:p>
        </w:tc>
      </w:tr>
      <w:tr>
        <w:trPr>
          <w:trHeight w:val="285"/>
        </w:trPr>
        <w:tc>
          <w:tcPr>
            <w:tcW w:w="2640" w:type="dxa"/>
            <w:vAlign w:val="bottom"/>
          </w:tcPr>
          <w:p>
            <w:pPr>
              <w:spacing w:after="0"/>
              <w:rPr>
                <w:sz w:val="20"/>
                <w:szCs w:val="20"/>
                <w:color w:val="auto"/>
              </w:rPr>
            </w:pPr>
            <w:r>
              <w:rPr>
                <w:rFonts w:ascii="Arial" w:cs="Arial" w:eastAsia="Arial" w:hAnsi="Arial"/>
                <w:sz w:val="14"/>
                <w:szCs w:val="14"/>
                <w:color w:val="auto"/>
              </w:rPr>
              <w:t>Numbers may not add due to rounding</w:t>
            </w:r>
          </w:p>
        </w:tc>
        <w:tc>
          <w:tcPr>
            <w:tcW w:w="1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180" w:type="dxa"/>
            <w:vAlign w:val="bottom"/>
          </w:tcPr>
          <w:p>
            <w:pPr>
              <w:spacing w:after="0"/>
              <w:rPr>
                <w:sz w:val="24"/>
                <w:szCs w:val="24"/>
                <w:color w:val="auto"/>
              </w:rPr>
            </w:pPr>
          </w:p>
        </w:tc>
      </w:tr>
    </w:tbl>
    <w:p>
      <w:pPr>
        <w:spacing w:after="0" w:line="200" w:lineRule="exact"/>
        <w:rPr>
          <w:sz w:val="20"/>
          <w:szCs w:val="20"/>
          <w:color w:val="auto"/>
        </w:rPr>
      </w:pPr>
    </w:p>
    <w:p>
      <w:pPr>
        <w:ind w:right="400"/>
        <w:spacing w:after="0" w:line="262" w:lineRule="auto"/>
        <w:rPr>
          <w:sz w:val="20"/>
          <w:szCs w:val="20"/>
          <w:color w:val="auto"/>
        </w:rPr>
      </w:pPr>
      <w:r>
        <w:rPr>
          <w:rFonts w:ascii="Arial" w:cs="Arial" w:eastAsia="Arial" w:hAnsi="Arial"/>
          <w:sz w:val="18"/>
          <w:szCs w:val="18"/>
          <w:color w:val="auto"/>
        </w:rPr>
        <w:t>During the three months ended March 31, 2018, we repurchased $1.10 billion of shares associated with our $5.00 billion share repurchase program announced in October 2013.</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Item 6. Exhibits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documents are filed as exhibits to this Report:</w:t>
      </w:r>
    </w:p>
    <w:p>
      <w:pPr>
        <w:sectPr>
          <w:pgSz w:w="11900" w:h="16838" w:orient="portrait"/>
          <w:cols w:equalWidth="0" w:num="1">
            <w:col w:w="11420"/>
          </w:cols>
          <w:pgMar w:left="240" w:top="688" w:right="239" w:bottom="1440" w:gutter="0" w:footer="0" w:header="0"/>
        </w:sectPr>
      </w:pPr>
    </w:p>
    <w:p>
      <w:pPr>
        <w:spacing w:after="0" w:line="171" w:lineRule="exact"/>
        <w:rPr>
          <w:sz w:val="20"/>
          <w:szCs w:val="20"/>
          <w:color w:val="auto"/>
        </w:rPr>
      </w:pPr>
    </w:p>
    <w:p>
      <w:pPr>
        <w:ind w:left="40"/>
        <w:spacing w:after="0"/>
        <w:rPr>
          <w:sz w:val="20"/>
          <w:szCs w:val="20"/>
          <w:color w:val="auto"/>
        </w:rPr>
      </w:pPr>
      <w:r>
        <w:rPr>
          <w:rFonts w:ascii="Arial" w:cs="Arial" w:eastAsia="Arial" w:hAnsi="Arial"/>
          <w:sz w:val="17"/>
          <w:szCs w:val="17"/>
          <w:color w:val="auto"/>
        </w:rPr>
        <w:t>EXHIBIT 3.1</w:t>
      </w:r>
    </w:p>
    <w:p>
      <w:pPr>
        <w:spacing w:after="0" w:line="20" w:lineRule="exact"/>
        <w:rPr>
          <w:sz w:val="20"/>
          <w:szCs w:val="20"/>
          <w:color w:val="auto"/>
        </w:rPr>
      </w:pPr>
      <w:r>
        <w:rPr>
          <w:sz w:val="20"/>
          <w:szCs w:val="20"/>
          <w:color w:val="auto"/>
        </w:rPr>
        <w:br w:type="column"/>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Amended Articles of Incorporation</w:t>
      </w:r>
    </w:p>
    <w:p>
      <w:pPr>
        <w:spacing w:after="0" w:line="200" w:lineRule="exact"/>
        <w:rPr>
          <w:sz w:val="20"/>
          <w:szCs w:val="20"/>
          <w:color w:val="auto"/>
        </w:rPr>
      </w:pPr>
    </w:p>
    <w:p>
      <w:pPr>
        <w:sectPr>
          <w:pgSz w:w="11900" w:h="16838" w:orient="portrait"/>
          <w:cols w:equalWidth="0" w:num="2">
            <w:col w:w="1940" w:space="720"/>
            <w:col w:w="8760"/>
          </w:cols>
          <w:pgMar w:left="240" w:top="688" w:right="239" w:bottom="1440" w:gutter="0" w:footer="0" w:header="0"/>
          <w:type w:val="continuous"/>
        </w:sectPr>
      </w:pPr>
    </w:p>
    <w:p>
      <w:pPr>
        <w:spacing w:after="0" w:line="160" w:lineRule="exact"/>
        <w:rPr>
          <w:sz w:val="20"/>
          <w:szCs w:val="20"/>
          <w:color w:val="auto"/>
        </w:rPr>
      </w:pPr>
    </w:p>
    <w:p>
      <w:pPr>
        <w:ind w:left="40"/>
        <w:spacing w:after="0"/>
        <w:rPr>
          <w:sz w:val="20"/>
          <w:szCs w:val="20"/>
          <w:color w:val="auto"/>
        </w:rPr>
      </w:pPr>
      <w:r>
        <w:rPr>
          <w:rFonts w:ascii="Arial" w:cs="Arial" w:eastAsia="Arial" w:hAnsi="Arial"/>
          <w:sz w:val="17"/>
          <w:szCs w:val="17"/>
          <w:color w:val="auto"/>
        </w:rPr>
        <w:t>EXHIBIT 3.2</w:t>
      </w:r>
    </w:p>
    <w:p>
      <w:pPr>
        <w:spacing w:after="0" w:line="20" w:lineRule="exact"/>
        <w:rPr>
          <w:sz w:val="20"/>
          <w:szCs w:val="20"/>
          <w:color w:val="auto"/>
        </w:rPr>
      </w:pPr>
      <w:r>
        <w:rPr>
          <w:sz w:val="20"/>
          <w:szCs w:val="20"/>
          <w:color w:val="auto"/>
        </w:rPr>
        <w:br w:type="column"/>
      </w:r>
    </w:p>
    <w:p>
      <w:pPr>
        <w:spacing w:after="0" w:line="140" w:lineRule="exact"/>
        <w:rPr>
          <w:sz w:val="20"/>
          <w:szCs w:val="20"/>
          <w:color w:val="auto"/>
        </w:rPr>
      </w:pPr>
    </w:p>
    <w:p>
      <w:pPr>
        <w:spacing w:after="0"/>
        <w:rPr>
          <w:sz w:val="20"/>
          <w:szCs w:val="20"/>
          <w:color w:val="auto"/>
        </w:rPr>
      </w:pPr>
      <w:r>
        <w:rPr>
          <w:rFonts w:ascii="Arial" w:cs="Arial" w:eastAsia="Arial" w:hAnsi="Arial"/>
          <w:sz w:val="17"/>
          <w:szCs w:val="17"/>
          <w:color w:val="auto"/>
        </w:rPr>
        <w:t>By-laws, as amended</w:t>
      </w:r>
    </w:p>
    <w:p>
      <w:pPr>
        <w:spacing w:after="0" w:line="200" w:lineRule="exact"/>
        <w:rPr>
          <w:sz w:val="20"/>
          <w:szCs w:val="20"/>
          <w:color w:val="auto"/>
        </w:rPr>
      </w:pPr>
    </w:p>
    <w:p>
      <w:pPr>
        <w:sectPr>
          <w:pgSz w:w="11900" w:h="16838" w:orient="portrait"/>
          <w:cols w:equalWidth="0" w:num="2">
            <w:col w:w="1940" w:space="720"/>
            <w:col w:w="8760"/>
          </w:cols>
          <w:pgMar w:left="240" w:top="688" w:right="239" w:bottom="1440" w:gutter="0" w:footer="0" w:header="0"/>
          <w:type w:val="continuous"/>
        </w:sectPr>
      </w:pPr>
    </w:p>
    <w:p>
      <w:pPr>
        <w:spacing w:after="0" w:line="172" w:lineRule="exact"/>
        <w:rPr>
          <w:sz w:val="20"/>
          <w:szCs w:val="20"/>
          <w:color w:val="auto"/>
        </w:rPr>
      </w:pPr>
    </w:p>
    <w:p>
      <w:pPr>
        <w:ind w:left="40"/>
        <w:spacing w:after="0"/>
        <w:rPr>
          <w:sz w:val="20"/>
          <w:szCs w:val="20"/>
          <w:color w:val="auto"/>
        </w:rPr>
      </w:pPr>
      <w:r>
        <w:rPr>
          <w:rFonts w:ascii="Arial" w:cs="Arial" w:eastAsia="Arial" w:hAnsi="Arial"/>
          <w:sz w:val="17"/>
          <w:szCs w:val="17"/>
          <w:color w:val="auto"/>
        </w:rPr>
        <w:t>EXHIBIT 12.</w:t>
      </w:r>
    </w:p>
    <w:p>
      <w:pPr>
        <w:spacing w:after="0" w:line="20" w:lineRule="exact"/>
        <w:rPr>
          <w:sz w:val="20"/>
          <w:szCs w:val="20"/>
          <w:color w:val="auto"/>
        </w:rPr>
      </w:pPr>
      <w:r>
        <w:rPr>
          <w:sz w:val="20"/>
          <w:szCs w:val="20"/>
          <w:color w:val="auto"/>
        </w:rPr>
        <w:br w:type="column"/>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color w:val="auto"/>
        </w:rPr>
        <w:t>Statement re: Computation of Ratio of Earnings to Fixed Charges</w:t>
      </w:r>
    </w:p>
    <w:p>
      <w:pPr>
        <w:spacing w:after="0" w:line="200" w:lineRule="exact"/>
        <w:rPr>
          <w:sz w:val="20"/>
          <w:szCs w:val="20"/>
          <w:color w:val="auto"/>
        </w:rPr>
      </w:pPr>
    </w:p>
    <w:p>
      <w:pPr>
        <w:sectPr>
          <w:pgSz w:w="11900" w:h="16838" w:orient="portrait"/>
          <w:cols w:equalWidth="0" w:num="2">
            <w:col w:w="1940" w:space="720"/>
            <w:col w:w="8760"/>
          </w:cols>
          <w:pgMar w:left="240" w:top="688" w:right="239" w:bottom="1440" w:gutter="0" w:footer="0" w:header="0"/>
          <w:type w:val="continuous"/>
        </w:sectPr>
      </w:pPr>
    </w:p>
    <w:p>
      <w:pPr>
        <w:spacing w:after="0" w:line="174" w:lineRule="exact"/>
        <w:rPr>
          <w:sz w:val="20"/>
          <w:szCs w:val="20"/>
          <w:color w:val="auto"/>
        </w:rPr>
      </w:pPr>
    </w:p>
    <w:p>
      <w:pPr>
        <w:ind w:left="40"/>
        <w:spacing w:after="0"/>
        <w:rPr>
          <w:sz w:val="20"/>
          <w:szCs w:val="20"/>
          <w:color w:val="auto"/>
        </w:rPr>
      </w:pPr>
      <w:r>
        <w:rPr>
          <w:rFonts w:ascii="Arial" w:cs="Arial" w:eastAsia="Arial" w:hAnsi="Arial"/>
          <w:sz w:val="17"/>
          <w:szCs w:val="17"/>
          <w:color w:val="auto"/>
        </w:rPr>
        <w:t>EXHIBIT 31.1</w:t>
      </w:r>
    </w:p>
    <w:p>
      <w:pPr>
        <w:spacing w:after="0" w:line="20" w:lineRule="exact"/>
        <w:rPr>
          <w:sz w:val="20"/>
          <w:szCs w:val="20"/>
          <w:color w:val="auto"/>
        </w:rPr>
      </w:pPr>
      <w:r>
        <w:rPr>
          <w:sz w:val="20"/>
          <w:szCs w:val="20"/>
          <w:color w:val="auto"/>
        </w:rPr>
        <w:br w:type="column"/>
      </w:r>
    </w:p>
    <w:p>
      <w:pPr>
        <w:spacing w:after="0" w:line="154" w:lineRule="exact"/>
        <w:rPr>
          <w:sz w:val="20"/>
          <w:szCs w:val="20"/>
          <w:color w:val="auto"/>
        </w:rPr>
      </w:pPr>
    </w:p>
    <w:p>
      <w:pPr>
        <w:spacing w:after="0"/>
        <w:rPr>
          <w:sz w:val="20"/>
          <w:szCs w:val="20"/>
          <w:color w:val="auto"/>
        </w:rPr>
      </w:pPr>
      <w:r>
        <w:rPr>
          <w:rFonts w:ascii="Arial" w:cs="Arial" w:eastAsia="Arial" w:hAnsi="Arial"/>
          <w:sz w:val="17"/>
          <w:szCs w:val="17"/>
          <w:color w:val="auto"/>
        </w:rPr>
        <w:t>Rule 13a-14(a) Certification of David A. Ricks, Chairman, President, and Chief Executive Officer</w:t>
      </w:r>
    </w:p>
    <w:p>
      <w:pPr>
        <w:spacing w:after="0" w:line="200" w:lineRule="exact"/>
        <w:rPr>
          <w:sz w:val="20"/>
          <w:szCs w:val="20"/>
          <w:color w:val="auto"/>
        </w:rPr>
      </w:pPr>
    </w:p>
    <w:p>
      <w:pPr>
        <w:sectPr>
          <w:pgSz w:w="11900" w:h="16838" w:orient="portrait"/>
          <w:cols w:equalWidth="0" w:num="2">
            <w:col w:w="1940" w:space="720"/>
            <w:col w:w="8760"/>
          </w:cols>
          <w:pgMar w:left="240" w:top="688" w:right="239" w:bottom="1440" w:gutter="0" w:footer="0" w:header="0"/>
          <w:type w:val="continuous"/>
        </w:sectPr>
      </w:pPr>
    </w:p>
    <w:p>
      <w:pPr>
        <w:spacing w:after="0" w:line="185" w:lineRule="exact"/>
        <w:rPr>
          <w:sz w:val="20"/>
          <w:szCs w:val="20"/>
          <w:color w:val="auto"/>
        </w:rPr>
      </w:pPr>
    </w:p>
    <w:p>
      <w:pPr>
        <w:ind w:left="40"/>
        <w:spacing w:after="0"/>
        <w:rPr>
          <w:sz w:val="20"/>
          <w:szCs w:val="20"/>
          <w:color w:val="auto"/>
        </w:rPr>
      </w:pPr>
      <w:r>
        <w:rPr>
          <w:rFonts w:ascii="Arial" w:cs="Arial" w:eastAsia="Arial" w:hAnsi="Arial"/>
          <w:sz w:val="17"/>
          <w:szCs w:val="17"/>
          <w:color w:val="auto"/>
        </w:rPr>
        <w:t>EXHIBIT 31.2</w:t>
      </w:r>
    </w:p>
    <w:p>
      <w:pPr>
        <w:spacing w:after="0" w:line="20" w:lineRule="exact"/>
        <w:rPr>
          <w:sz w:val="20"/>
          <w:szCs w:val="20"/>
          <w:color w:val="auto"/>
        </w:rPr>
      </w:pPr>
      <w:r>
        <w:rPr>
          <w:sz w:val="20"/>
          <w:szCs w:val="20"/>
          <w:color w:val="auto"/>
        </w:rPr>
        <w:br w:type="column"/>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color w:val="auto"/>
        </w:rPr>
        <w:t>Rule 13a-14(a) Certification of Joshua L. Smiley, Senior Vice President and Chief Financial Officer</w:t>
      </w:r>
    </w:p>
    <w:p>
      <w:pPr>
        <w:spacing w:after="0" w:line="200" w:lineRule="exact"/>
        <w:rPr>
          <w:sz w:val="20"/>
          <w:szCs w:val="20"/>
          <w:color w:val="auto"/>
        </w:rPr>
      </w:pPr>
    </w:p>
    <w:p>
      <w:pPr>
        <w:sectPr>
          <w:pgSz w:w="11900" w:h="16838" w:orient="portrait"/>
          <w:cols w:equalWidth="0" w:num="2">
            <w:col w:w="1940" w:space="720"/>
            <w:col w:w="8760"/>
          </w:cols>
          <w:pgMar w:left="240" w:top="688" w:right="239" w:bottom="1440" w:gutter="0" w:footer="0" w:header="0"/>
          <w:type w:val="continuous"/>
        </w:sectPr>
      </w:pPr>
    </w:p>
    <w:p>
      <w:pPr>
        <w:spacing w:after="0" w:line="185" w:lineRule="exact"/>
        <w:rPr>
          <w:sz w:val="20"/>
          <w:szCs w:val="20"/>
          <w:color w:val="auto"/>
        </w:rPr>
      </w:pPr>
    </w:p>
    <w:p>
      <w:pPr>
        <w:ind w:left="40"/>
        <w:spacing w:after="0"/>
        <w:rPr>
          <w:sz w:val="20"/>
          <w:szCs w:val="20"/>
          <w:color w:val="auto"/>
        </w:rPr>
      </w:pPr>
      <w:r>
        <w:rPr>
          <w:rFonts w:ascii="Arial" w:cs="Arial" w:eastAsia="Arial" w:hAnsi="Arial"/>
          <w:sz w:val="17"/>
          <w:szCs w:val="17"/>
          <w:color w:val="auto"/>
        </w:rPr>
        <w:t>EXHIBIT 32.</w:t>
      </w:r>
    </w:p>
    <w:p>
      <w:pPr>
        <w:spacing w:after="0" w:line="20" w:lineRule="exact"/>
        <w:rPr>
          <w:sz w:val="20"/>
          <w:szCs w:val="20"/>
          <w:color w:val="auto"/>
        </w:rPr>
      </w:pPr>
      <w:r>
        <w:rPr>
          <w:sz w:val="20"/>
          <w:szCs w:val="20"/>
          <w:color w:val="auto"/>
        </w:rPr>
        <w:br w:type="column"/>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Section 1350 Certification</w:t>
      </w:r>
    </w:p>
    <w:p>
      <w:pPr>
        <w:spacing w:after="0" w:line="200" w:lineRule="exact"/>
        <w:rPr>
          <w:sz w:val="20"/>
          <w:szCs w:val="20"/>
          <w:color w:val="auto"/>
        </w:rPr>
      </w:pPr>
    </w:p>
    <w:p>
      <w:pPr>
        <w:sectPr>
          <w:pgSz w:w="11900" w:h="16838" w:orient="portrait"/>
          <w:cols w:equalWidth="0" w:num="2">
            <w:col w:w="1940" w:space="720"/>
            <w:col w:w="8760"/>
          </w:cols>
          <w:pgMar w:left="240" w:top="688" w:right="239" w:bottom="1440" w:gutter="0" w:footer="0" w:header="0"/>
          <w:type w:val="continuous"/>
        </w:sectPr>
      </w:pPr>
    </w:p>
    <w:p>
      <w:pPr>
        <w:spacing w:after="0" w:line="174" w:lineRule="exact"/>
        <w:rPr>
          <w:sz w:val="20"/>
          <w:szCs w:val="20"/>
          <w:color w:val="auto"/>
        </w:rPr>
      </w:pPr>
    </w:p>
    <w:p>
      <w:pPr>
        <w:ind w:left="40"/>
        <w:spacing w:after="0"/>
        <w:rPr>
          <w:sz w:val="20"/>
          <w:szCs w:val="20"/>
          <w:color w:val="auto"/>
        </w:rPr>
      </w:pPr>
      <w:r>
        <w:rPr>
          <w:rFonts w:ascii="Arial" w:cs="Arial" w:eastAsia="Arial" w:hAnsi="Arial"/>
          <w:sz w:val="17"/>
          <w:szCs w:val="17"/>
          <w:color w:val="auto"/>
        </w:rPr>
        <w:t>EXHIBIT 101.</w:t>
      </w:r>
    </w:p>
    <w:p>
      <w:pPr>
        <w:spacing w:after="0" w:line="20" w:lineRule="exact"/>
        <w:rPr>
          <w:sz w:val="20"/>
          <w:szCs w:val="20"/>
          <w:color w:val="auto"/>
        </w:rPr>
      </w:pPr>
      <w:r>
        <w:rPr>
          <w:sz w:val="20"/>
          <w:szCs w:val="20"/>
          <w:color w:val="auto"/>
        </w:rPr>
        <w:br w:type="column"/>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Interactive Data Files</w:t>
      </w:r>
    </w:p>
    <w:p>
      <w:pPr>
        <w:spacing w:after="0" w:line="200" w:lineRule="exact"/>
        <w:rPr>
          <w:sz w:val="20"/>
          <w:szCs w:val="20"/>
          <w:color w:val="auto"/>
        </w:rPr>
      </w:pPr>
    </w:p>
    <w:p>
      <w:pPr>
        <w:sectPr>
          <w:pgSz w:w="11900" w:h="16838" w:orient="portrait"/>
          <w:cols w:equalWidth="0" w:num="2">
            <w:col w:w="1940" w:space="720"/>
            <w:col w:w="8760"/>
          </w:cols>
          <w:pgMar w:left="240" w:top="688" w:right="239" w:bottom="1440" w:gutter="0" w:footer="0" w:header="0"/>
          <w:type w:val="continuous"/>
        </w:sectPr>
      </w:pPr>
    </w:p>
    <w:p>
      <w:pPr>
        <w:spacing w:after="0" w:line="28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47</w:t>
      </w:r>
    </w:p>
    <w:p>
      <w:pPr>
        <w:sectPr>
          <w:pgSz w:w="11900" w:h="16838" w:orient="portrait"/>
          <w:cols w:equalWidth="0" w:num="1">
            <w:col w:w="11420"/>
          </w:cols>
          <w:pgMar w:left="240" w:top="688" w:right="239" w:bottom="1440" w:gutter="0" w:footer="0" w:header="0"/>
          <w:type w:val="continuous"/>
        </w:sectPr>
      </w:pPr>
    </w:p>
    <w:bookmarkStart w:id="47" w:name="page48"/>
    <w:bookmarkEnd w:id="47"/>
    <w:p>
      <w:pPr>
        <w:jc w:val="center"/>
        <w:spacing w:after="0"/>
        <w:rPr>
          <w:sz w:val="20"/>
          <w:szCs w:val="20"/>
          <w:color w:val="auto"/>
        </w:rPr>
      </w:pPr>
      <w:r>
        <w:rPr>
          <w:rFonts w:ascii="Arial" w:cs="Arial" w:eastAsia="Arial" w:hAnsi="Arial"/>
          <w:sz w:val="18"/>
          <w:szCs w:val="18"/>
          <w:b w:val="1"/>
          <w:bCs w:val="1"/>
          <w:color w:val="auto"/>
        </w:rPr>
        <w:t>Signatures</w:t>
      </w:r>
    </w:p>
    <w:p>
      <w:pPr>
        <w:spacing w:after="0" w:line="274" w:lineRule="exact"/>
        <w:rPr>
          <w:sz w:val="20"/>
          <w:szCs w:val="20"/>
          <w:color w:val="auto"/>
        </w:rPr>
      </w:pPr>
    </w:p>
    <w:p>
      <w:pPr>
        <w:ind w:right="160"/>
        <w:spacing w:after="0" w:line="449"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46"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56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880" w:type="dxa"/>
            <w:vAlign w:val="bottom"/>
            <w:gridSpan w:val="2"/>
          </w:tcPr>
          <w:p>
            <w:pPr>
              <w:spacing w:after="0"/>
              <w:rPr>
                <w:sz w:val="20"/>
                <w:szCs w:val="20"/>
                <w:color w:val="auto"/>
              </w:rPr>
            </w:pPr>
            <w:r>
              <w:rPr>
                <w:rFonts w:ascii="Arial" w:cs="Arial" w:eastAsia="Arial" w:hAnsi="Arial"/>
                <w:sz w:val="18"/>
                <w:szCs w:val="18"/>
                <w:color w:val="auto"/>
              </w:rPr>
              <w:t>ELI LILLY AND COMPANY</w:t>
            </w:r>
          </w:p>
        </w:tc>
      </w:tr>
      <w:tr>
        <w:trPr>
          <w:trHeight w:val="291"/>
        </w:trPr>
        <w:tc>
          <w:tcPr>
            <w:tcW w:w="56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1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(Registrant)</w:t>
            </w:r>
          </w:p>
        </w:tc>
        <w:tc>
          <w:tcPr>
            <w:tcW w:w="6720" w:type="dxa"/>
            <w:vAlign w:val="bottom"/>
          </w:tcPr>
          <w:p>
            <w:pPr>
              <w:spacing w:after="0"/>
              <w:rPr>
                <w:sz w:val="24"/>
                <w:szCs w:val="24"/>
                <w:color w:val="auto"/>
              </w:rPr>
            </w:pPr>
          </w:p>
        </w:tc>
      </w:tr>
      <w:tr>
        <w:trPr>
          <w:trHeight w:val="588"/>
        </w:trPr>
        <w:tc>
          <w:tcPr>
            <w:tcW w:w="560" w:type="dxa"/>
            <w:vAlign w:val="bottom"/>
          </w:tcPr>
          <w:p>
            <w:pPr>
              <w:spacing w:after="0"/>
              <w:rPr>
                <w:sz w:val="20"/>
                <w:szCs w:val="20"/>
                <w:color w:val="auto"/>
              </w:rPr>
            </w:pPr>
            <w:r>
              <w:rPr>
                <w:rFonts w:ascii="Arial" w:cs="Arial" w:eastAsia="Arial" w:hAnsi="Arial"/>
                <w:sz w:val="18"/>
                <w:szCs w:val="18"/>
                <w:color w:val="auto"/>
              </w:rPr>
              <w:t>Date:</w:t>
            </w:r>
          </w:p>
        </w:tc>
        <w:tc>
          <w:tcPr>
            <w:tcW w:w="1920" w:type="dxa"/>
            <w:vAlign w:val="bottom"/>
          </w:tcPr>
          <w:p>
            <w:pPr>
              <w:ind w:left="120"/>
              <w:spacing w:after="0"/>
              <w:rPr>
                <w:sz w:val="20"/>
                <w:szCs w:val="20"/>
                <w:color w:val="auto"/>
              </w:rPr>
            </w:pPr>
            <w:r>
              <w:rPr>
                <w:rFonts w:ascii="Arial" w:cs="Arial" w:eastAsia="Arial" w:hAnsi="Arial"/>
                <w:sz w:val="18"/>
                <w:szCs w:val="18"/>
                <w:color w:val="auto"/>
              </w:rPr>
              <w:t>April 27, 2018</w:t>
            </w:r>
          </w:p>
        </w:tc>
        <w:tc>
          <w:tcPr>
            <w:tcW w:w="20" w:type="dxa"/>
            <w:vAlign w:val="bottom"/>
            <w:tcBorders>
              <w:bottom w:val="single" w:sz="8" w:color="auto"/>
            </w:tcBorders>
          </w:tcPr>
          <w:p>
            <w:pPr>
              <w:spacing w:after="0"/>
              <w:rPr>
                <w:sz w:val="24"/>
                <w:szCs w:val="24"/>
                <w:color w:val="auto"/>
              </w:rPr>
            </w:pPr>
          </w:p>
        </w:tc>
        <w:tc>
          <w:tcPr>
            <w:tcW w:w="88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/s/Bronwen L. Mantlo</w:t>
            </w:r>
          </w:p>
        </w:tc>
      </w:tr>
      <w:tr>
        <w:trPr>
          <w:trHeight w:val="243"/>
        </w:trPr>
        <w:tc>
          <w:tcPr>
            <w:tcW w:w="560" w:type="dxa"/>
            <w:vAlign w:val="bottom"/>
          </w:tcPr>
          <w:p>
            <w:pPr>
              <w:spacing w:after="0"/>
              <w:rPr>
                <w:sz w:val="21"/>
                <w:szCs w:val="21"/>
                <w:color w:val="auto"/>
              </w:rPr>
            </w:pPr>
          </w:p>
        </w:tc>
        <w:tc>
          <w:tcPr>
            <w:tcW w:w="19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880" w:type="dxa"/>
            <w:vAlign w:val="bottom"/>
            <w:gridSpan w:val="2"/>
          </w:tcPr>
          <w:p>
            <w:pPr>
              <w:spacing w:after="0"/>
              <w:rPr>
                <w:sz w:val="20"/>
                <w:szCs w:val="20"/>
                <w:color w:val="auto"/>
              </w:rPr>
            </w:pPr>
            <w:r>
              <w:rPr>
                <w:rFonts w:ascii="Arial" w:cs="Arial" w:eastAsia="Arial" w:hAnsi="Arial"/>
                <w:sz w:val="18"/>
                <w:szCs w:val="18"/>
                <w:color w:val="auto"/>
              </w:rPr>
              <w:t>Bronwen L. Mantlo</w:t>
            </w:r>
          </w:p>
        </w:tc>
      </w:tr>
      <w:tr>
        <w:trPr>
          <w:trHeight w:val="257"/>
        </w:trPr>
        <w:tc>
          <w:tcPr>
            <w:tcW w:w="560" w:type="dxa"/>
            <w:vAlign w:val="bottom"/>
          </w:tcPr>
          <w:p>
            <w:pPr>
              <w:spacing w:after="0"/>
              <w:rPr>
                <w:sz w:val="22"/>
                <w:szCs w:val="22"/>
                <w:color w:val="auto"/>
              </w:rPr>
            </w:pPr>
          </w:p>
        </w:tc>
        <w:tc>
          <w:tcPr>
            <w:tcW w:w="19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880" w:type="dxa"/>
            <w:vAlign w:val="bottom"/>
            <w:gridSpan w:val="2"/>
          </w:tcPr>
          <w:p>
            <w:pPr>
              <w:spacing w:after="0"/>
              <w:rPr>
                <w:sz w:val="20"/>
                <w:szCs w:val="20"/>
                <w:color w:val="auto"/>
              </w:rPr>
            </w:pPr>
            <w:r>
              <w:rPr>
                <w:rFonts w:ascii="Arial" w:cs="Arial" w:eastAsia="Arial" w:hAnsi="Arial"/>
                <w:sz w:val="18"/>
                <w:szCs w:val="18"/>
                <w:color w:val="auto"/>
              </w:rPr>
              <w:t>Corporate Secretary</w:t>
            </w:r>
          </w:p>
        </w:tc>
      </w:tr>
      <w:tr>
        <w:trPr>
          <w:trHeight w:val="777"/>
        </w:trPr>
        <w:tc>
          <w:tcPr>
            <w:tcW w:w="560" w:type="dxa"/>
            <w:vAlign w:val="bottom"/>
          </w:tcPr>
          <w:p>
            <w:pPr>
              <w:spacing w:after="0"/>
              <w:rPr>
                <w:sz w:val="20"/>
                <w:szCs w:val="20"/>
                <w:color w:val="auto"/>
              </w:rPr>
            </w:pPr>
            <w:r>
              <w:rPr>
                <w:rFonts w:ascii="Arial" w:cs="Arial" w:eastAsia="Arial" w:hAnsi="Arial"/>
                <w:sz w:val="18"/>
                <w:szCs w:val="18"/>
                <w:color w:val="auto"/>
              </w:rPr>
              <w:t>Date:</w:t>
            </w:r>
          </w:p>
        </w:tc>
        <w:tc>
          <w:tcPr>
            <w:tcW w:w="1920" w:type="dxa"/>
            <w:vAlign w:val="bottom"/>
          </w:tcPr>
          <w:p>
            <w:pPr>
              <w:ind w:left="120"/>
              <w:spacing w:after="0"/>
              <w:rPr>
                <w:sz w:val="20"/>
                <w:szCs w:val="20"/>
                <w:color w:val="auto"/>
              </w:rPr>
            </w:pPr>
            <w:r>
              <w:rPr>
                <w:rFonts w:ascii="Arial" w:cs="Arial" w:eastAsia="Arial" w:hAnsi="Arial"/>
                <w:sz w:val="18"/>
                <w:szCs w:val="18"/>
                <w:color w:val="auto"/>
              </w:rPr>
              <w:t>April 27, 2018</w:t>
            </w:r>
          </w:p>
        </w:tc>
        <w:tc>
          <w:tcPr>
            <w:tcW w:w="20" w:type="dxa"/>
            <w:vAlign w:val="bottom"/>
            <w:tcBorders>
              <w:bottom w:val="single" w:sz="8" w:color="auto"/>
            </w:tcBorders>
          </w:tcPr>
          <w:p>
            <w:pPr>
              <w:spacing w:after="0"/>
              <w:rPr>
                <w:sz w:val="24"/>
                <w:szCs w:val="24"/>
                <w:color w:val="auto"/>
              </w:rPr>
            </w:pPr>
          </w:p>
        </w:tc>
        <w:tc>
          <w:tcPr>
            <w:tcW w:w="88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/s/Donald A. Zakrowski</w:t>
            </w:r>
          </w:p>
        </w:tc>
      </w:tr>
      <w:tr>
        <w:trPr>
          <w:trHeight w:val="243"/>
        </w:trPr>
        <w:tc>
          <w:tcPr>
            <w:tcW w:w="560" w:type="dxa"/>
            <w:vAlign w:val="bottom"/>
          </w:tcPr>
          <w:p>
            <w:pPr>
              <w:spacing w:after="0"/>
              <w:rPr>
                <w:sz w:val="21"/>
                <w:szCs w:val="21"/>
                <w:color w:val="auto"/>
              </w:rPr>
            </w:pPr>
          </w:p>
        </w:tc>
        <w:tc>
          <w:tcPr>
            <w:tcW w:w="19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880" w:type="dxa"/>
            <w:vAlign w:val="bottom"/>
            <w:gridSpan w:val="2"/>
          </w:tcPr>
          <w:p>
            <w:pPr>
              <w:spacing w:after="0"/>
              <w:rPr>
                <w:sz w:val="20"/>
                <w:szCs w:val="20"/>
                <w:color w:val="auto"/>
              </w:rPr>
            </w:pPr>
            <w:r>
              <w:rPr>
                <w:rFonts w:ascii="Arial" w:cs="Arial" w:eastAsia="Arial" w:hAnsi="Arial"/>
                <w:sz w:val="18"/>
                <w:szCs w:val="18"/>
                <w:color w:val="auto"/>
              </w:rPr>
              <w:t>Donald A. Zakrowski</w:t>
            </w:r>
          </w:p>
        </w:tc>
      </w:tr>
      <w:tr>
        <w:trPr>
          <w:trHeight w:val="270"/>
        </w:trPr>
        <w:tc>
          <w:tcPr>
            <w:tcW w:w="560" w:type="dxa"/>
            <w:vAlign w:val="bottom"/>
          </w:tcPr>
          <w:p>
            <w:pPr>
              <w:spacing w:after="0"/>
              <w:rPr>
                <w:sz w:val="23"/>
                <w:szCs w:val="23"/>
                <w:color w:val="auto"/>
              </w:rPr>
            </w:pPr>
          </w:p>
        </w:tc>
        <w:tc>
          <w:tcPr>
            <w:tcW w:w="19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880" w:type="dxa"/>
            <w:vAlign w:val="bottom"/>
            <w:gridSpan w:val="2"/>
          </w:tcPr>
          <w:p>
            <w:pPr>
              <w:spacing w:after="0"/>
              <w:rPr>
                <w:sz w:val="20"/>
                <w:szCs w:val="20"/>
                <w:color w:val="auto"/>
              </w:rPr>
            </w:pPr>
            <w:r>
              <w:rPr>
                <w:rFonts w:ascii="Arial" w:cs="Arial" w:eastAsia="Arial" w:hAnsi="Arial"/>
                <w:sz w:val="18"/>
                <w:szCs w:val="18"/>
                <w:color w:val="auto"/>
              </w:rPr>
              <w:t>Vice President, Finance and Chief Accounting Officer</w:t>
            </w:r>
          </w:p>
        </w:tc>
      </w:tr>
      <w:tr>
        <w:trPr>
          <w:trHeight w:val="473"/>
        </w:trPr>
        <w:tc>
          <w:tcPr>
            <w:tcW w:w="56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8900" w:type="dxa"/>
            <w:vAlign w:val="bottom"/>
            <w:gridSpan w:val="3"/>
          </w:tcPr>
          <w:p>
            <w:pPr>
              <w:jc w:val="right"/>
              <w:ind w:right="5600"/>
              <w:spacing w:after="0"/>
              <w:rPr>
                <w:sz w:val="20"/>
                <w:szCs w:val="20"/>
                <w:color w:val="auto"/>
              </w:rPr>
            </w:pPr>
            <w:r>
              <w:rPr>
                <w:rFonts w:ascii="Arial" w:cs="Arial" w:eastAsia="Arial" w:hAnsi="Arial"/>
                <w:sz w:val="18"/>
                <w:szCs w:val="18"/>
                <w:color w:val="auto"/>
              </w:rPr>
              <w:t>48</w:t>
            </w:r>
          </w:p>
        </w:tc>
      </w:tr>
    </w:tbl>
    <w:p>
      <w:pPr>
        <w:sectPr>
          <w:pgSz w:w="11900" w:h="16838" w:orient="portrait"/>
          <w:cols w:equalWidth="0" w:num="1">
            <w:col w:w="11420"/>
          </w:cols>
          <w:pgMar w:left="240" w:top="576" w:right="239" w:bottom="1440" w:gutter="0" w:footer="0" w:header="0"/>
        </w:sectPr>
      </w:pPr>
    </w:p>
    <w:bookmarkStart w:id="48" w:name="page49"/>
    <w:bookmarkEnd w:id="48"/>
    <w:p>
      <w:pPr>
        <w:spacing w:after="0" w:line="211" w:lineRule="auto"/>
        <w:framePr w:w="8540" w:h="366" w:wrap="auto" w:vAnchor="page" w:hAnchor="page" w:x="2860" w:y="2408"/>
        <w:rPr>
          <w:rFonts w:ascii="Arial" w:cs="Arial" w:eastAsia="Arial" w:hAnsi="Arial"/>
          <w:sz w:val="18"/>
          <w:szCs w:val="18"/>
          <w:u w:val="single" w:color="auto"/>
          <w:color w:val="0000FF"/>
        </w:rPr>
      </w:pPr>
      <w:hyperlink r:id="rId58">
        <w:r>
          <w:rPr>
            <w:rFonts w:ascii="Arial" w:cs="Arial" w:eastAsia="Arial" w:hAnsi="Arial"/>
            <w:sz w:val="18"/>
            <w:szCs w:val="18"/>
            <w:u w:val="single" w:color="auto"/>
            <w:color w:val="0000FF"/>
          </w:rPr>
          <w:t>By-laws, as amended, are incorporated by reference to Exhibit 99.1 to the Company's Report on Form 8-K</w:t>
        </w:r>
      </w:hyperlink>
      <w:r>
        <w:rPr>
          <w:rFonts w:ascii="Arial" w:cs="Arial" w:eastAsia="Arial" w:hAnsi="Arial"/>
          <w:sz w:val="18"/>
          <w:szCs w:val="18"/>
          <w:u w:val="single" w:color="auto"/>
          <w:color w:val="0000FF"/>
        </w:rPr>
        <w:t xml:space="preserve"> </w:t>
      </w:r>
      <w:hyperlink r:id="rId58">
        <w:r>
          <w:rPr>
            <w:rFonts w:ascii="Arial" w:cs="Arial" w:eastAsia="Arial" w:hAnsi="Arial"/>
            <w:sz w:val="18"/>
            <w:szCs w:val="18"/>
            <w:u w:val="single" w:color="auto"/>
            <w:color w:val="0000FF"/>
          </w:rPr>
          <w:t>dated August 29, 2017.</w:t>
        </w:r>
      </w:hyperlink>
    </w:p>
    <w:p>
      <w:pPr>
        <w:spacing w:after="0" w:line="188" w:lineRule="auto"/>
        <w:framePr w:w="5300" w:h="163" w:wrap="auto" w:vAnchor="page" w:hAnchor="page" w:x="2860" w:y="3191"/>
        <w:rPr>
          <w:rFonts w:ascii="Arial" w:cs="Arial" w:eastAsia="Arial" w:hAnsi="Arial"/>
          <w:sz w:val="18"/>
          <w:szCs w:val="18"/>
          <w:u w:val="single" w:color="auto"/>
          <w:color w:val="0000FF"/>
        </w:rPr>
      </w:pPr>
      <w:hyperlink w:anchor="page50">
        <w:r>
          <w:rPr>
            <w:rFonts w:ascii="Arial" w:cs="Arial" w:eastAsia="Arial" w:hAnsi="Arial"/>
            <w:sz w:val="18"/>
            <w:szCs w:val="18"/>
            <w:u w:val="single" w:color="auto"/>
            <w:color w:val="0000FF"/>
          </w:rPr>
          <w:t>Statement re: Computation of Ratio of Earnings to Fixed Charges</w:t>
        </w:r>
      </w:hyperlink>
    </w:p>
    <w:p>
      <w:pPr>
        <w:spacing w:after="0" w:line="200" w:lineRule="auto"/>
        <w:framePr w:w="7720" w:h="163" w:wrap="auto" w:vAnchor="page" w:hAnchor="page" w:x="2860" w:y="3772"/>
        <w:rPr>
          <w:rFonts w:ascii="Arial" w:cs="Arial" w:eastAsia="Arial" w:hAnsi="Arial"/>
          <w:sz w:val="17"/>
          <w:szCs w:val="17"/>
          <w:u w:val="single" w:color="auto"/>
          <w:color w:val="0000FF"/>
        </w:rPr>
      </w:pPr>
      <w:hyperlink w:anchor="page51">
        <w:r>
          <w:rPr>
            <w:rFonts w:ascii="Arial" w:cs="Arial" w:eastAsia="Arial" w:hAnsi="Arial"/>
            <w:sz w:val="17"/>
            <w:szCs w:val="17"/>
            <w:u w:val="single" w:color="auto"/>
            <w:color w:val="0000FF"/>
          </w:rPr>
          <w:t>Rule 13a-14(a) Certification of David A. Ricks, Chairman, President, and Chief Executive Officer</w:t>
        </w:r>
      </w:hyperlink>
    </w:p>
    <w:p>
      <w:pPr>
        <w:spacing w:after="0" w:line="200" w:lineRule="auto"/>
        <w:framePr w:w="7900" w:h="163" w:wrap="auto" w:vAnchor="page" w:hAnchor="page" w:x="2860" w:y="4353"/>
        <w:rPr>
          <w:rFonts w:ascii="Arial" w:cs="Arial" w:eastAsia="Arial" w:hAnsi="Arial"/>
          <w:sz w:val="17"/>
          <w:szCs w:val="17"/>
          <w:u w:val="single" w:color="auto"/>
          <w:color w:val="0000FF"/>
        </w:rPr>
      </w:pPr>
      <w:hyperlink w:anchor="page52">
        <w:r>
          <w:rPr>
            <w:rFonts w:ascii="Arial" w:cs="Arial" w:eastAsia="Arial" w:hAnsi="Arial"/>
            <w:sz w:val="17"/>
            <w:szCs w:val="17"/>
            <w:u w:val="single" w:color="auto"/>
            <w:color w:val="0000FF"/>
          </w:rPr>
          <w:t>Rule 13a-14(a) Certification of Joshua L. Smiley, Senior Vice President and Chief Financial Officer</w:t>
        </w:r>
      </w:hyperlink>
    </w:p>
    <w:p>
      <w:pPr>
        <w:spacing w:after="0" w:line="188" w:lineRule="auto"/>
        <w:framePr w:w="2140" w:h="163" w:wrap="auto" w:vAnchor="page" w:hAnchor="page" w:x="2860" w:y="4934"/>
        <w:rPr>
          <w:rFonts w:ascii="Arial" w:cs="Arial" w:eastAsia="Arial" w:hAnsi="Arial"/>
          <w:sz w:val="18"/>
          <w:szCs w:val="18"/>
          <w:u w:val="single" w:color="auto"/>
          <w:color w:val="0000FF"/>
        </w:rPr>
      </w:pPr>
      <w:hyperlink w:anchor="page53">
        <w:r>
          <w:rPr>
            <w:rFonts w:ascii="Arial" w:cs="Arial" w:eastAsia="Arial" w:hAnsi="Arial"/>
            <w:sz w:val="18"/>
            <w:szCs w:val="18"/>
            <w:u w:val="single" w:color="auto"/>
            <w:color w:val="0000FF"/>
          </w:rPr>
          <w:t>Section 1350 Certification</w:t>
        </w:r>
      </w:hyperlink>
    </w:p>
    <w:p>
      <w:pPr>
        <w:spacing w:after="0" w:line="188" w:lineRule="auto"/>
        <w:framePr w:w="1780" w:h="163" w:wrap="auto" w:vAnchor="page" w:hAnchor="page" w:x="2860" w:y="5514"/>
        <w:rPr>
          <w:rFonts w:ascii="Arial" w:cs="Arial" w:eastAsia="Arial" w:hAnsi="Arial"/>
          <w:sz w:val="18"/>
          <w:szCs w:val="18"/>
          <w:u w:val="single" w:color="auto"/>
          <w:color w:val="0000FF"/>
        </w:rPr>
      </w:pPr>
      <w:r>
        <w:rPr>
          <w:rFonts w:ascii="Arial" w:cs="Arial" w:eastAsia="Arial" w:hAnsi="Arial"/>
          <w:sz w:val="18"/>
          <w:szCs w:val="18"/>
          <w:u w:val="single" w:color="auto"/>
          <w:color w:val="0000FF"/>
        </w:rPr>
        <w:t>Interactive Data Files</w:t>
      </w:r>
    </w:p>
    <w:p>
      <w:pPr>
        <w:spacing w:after="0" w:line="200" w:lineRule="auto"/>
        <w:framePr w:w="280" w:h="163" w:wrap="auto" w:vAnchor="page" w:hAnchor="page" w:x="5820" w:y="6203"/>
        <w:rPr>
          <w:rFonts w:ascii="Arial" w:cs="Arial" w:eastAsia="Arial" w:hAnsi="Arial"/>
          <w:sz w:val="17"/>
          <w:szCs w:val="17"/>
          <w:u w:val="single" w:color="auto"/>
          <w:color w:val="0000FF"/>
        </w:rPr>
      </w:pPr>
      <w:r>
        <w:rPr>
          <w:rFonts w:ascii="Arial" w:cs="Arial" w:eastAsia="Arial" w:hAnsi="Arial"/>
          <w:sz w:val="17"/>
          <w:szCs w:val="17"/>
          <w:u w:val="single" w:color="auto"/>
          <w:color w:val="0000FF"/>
        </w:rPr>
        <w:t>49</w:t>
      </w:r>
    </w:p>
    <w:p>
      <w:pPr>
        <w:spacing w:after="0" w:line="211" w:lineRule="auto"/>
        <w:framePr w:w="8580" w:h="366" w:wrap="auto" w:vAnchor="page" w:hAnchor="page" w:x="2860" w:y="1625"/>
        <w:rPr>
          <w:rFonts w:ascii="Arial" w:cs="Arial" w:eastAsia="Arial" w:hAnsi="Arial"/>
          <w:sz w:val="18"/>
          <w:szCs w:val="18"/>
          <w:u w:val="single" w:color="auto"/>
          <w:color w:val="0000FF"/>
        </w:rPr>
      </w:pPr>
      <w:hyperlink r:id="rId59">
        <w:r>
          <w:rPr>
            <w:rFonts w:ascii="Arial" w:cs="Arial" w:eastAsia="Arial" w:hAnsi="Arial"/>
            <w:sz w:val="18"/>
            <w:szCs w:val="18"/>
            <w:u w:val="single" w:color="auto"/>
            <w:color w:val="0000FF"/>
          </w:rPr>
          <w:t>Amended Articles of Incorporation are incorporated by reference to Exhibit 3.1 to the Company's Report on</w:t>
        </w:r>
      </w:hyperlink>
      <w:r>
        <w:rPr>
          <w:rFonts w:ascii="Arial" w:cs="Arial" w:eastAsia="Arial" w:hAnsi="Arial"/>
          <w:sz w:val="18"/>
          <w:szCs w:val="18"/>
          <w:u w:val="single" w:color="auto"/>
          <w:color w:val="0000FF"/>
        </w:rPr>
        <w:t xml:space="preserve"> </w:t>
      </w:r>
      <w:hyperlink r:id="rId59">
        <w:r>
          <w:rPr>
            <w:rFonts w:ascii="Arial" w:cs="Arial" w:eastAsia="Arial" w:hAnsi="Arial"/>
            <w:sz w:val="18"/>
            <w:szCs w:val="18"/>
            <w:u w:val="single" w:color="auto"/>
            <w:color w:val="0000FF"/>
          </w:rPr>
          <w:t>Form 10-K for the year ended December 31, 2013.</w:t>
        </w:r>
      </w:hyperlink>
    </w:p>
    <w:p>
      <w:pPr>
        <w:spacing w:after="0"/>
        <w:rPr>
          <w:sz w:val="20"/>
          <w:szCs w:val="20"/>
          <w:color w:val="auto"/>
        </w:rPr>
      </w:pPr>
      <w:r>
        <w:rPr>
          <w:rFonts w:ascii="Arial" w:cs="Arial" w:eastAsia="Arial" w:hAnsi="Arial"/>
          <w:sz w:val="18"/>
          <w:szCs w:val="18"/>
          <w:b w:val="1"/>
          <w:bCs w:val="1"/>
          <w:color w:val="auto"/>
        </w:rPr>
        <w:t>Index to Exhibits</w:t>
      </w:r>
    </w:p>
    <w:p>
      <w:pPr>
        <w:spacing w:after="0" w:line="193" w:lineRule="exact"/>
        <w:rPr>
          <w:rFonts w:ascii="Arial" w:cs="Arial" w:eastAsia="Arial" w:hAnsi="Arial"/>
          <w:sz w:val="18"/>
          <w:szCs w:val="18"/>
          <w:u w:val="single" w:color="auto"/>
          <w:color w:val="0000FF"/>
        </w:rPr>
      </w:pPr>
    </w:p>
    <w:p>
      <w:pPr>
        <w:spacing w:after="0"/>
        <w:rPr>
          <w:sz w:val="20"/>
          <w:szCs w:val="20"/>
          <w:color w:val="auto"/>
        </w:rPr>
      </w:pPr>
      <w:r>
        <w:rPr>
          <w:rFonts w:ascii="Arial" w:cs="Arial" w:eastAsia="Arial" w:hAnsi="Arial"/>
          <w:sz w:val="18"/>
          <w:szCs w:val="18"/>
          <w:color w:val="auto"/>
        </w:rPr>
        <w:t>The following documents are filed as a part of this Report:</w:t>
      </w:r>
    </w:p>
    <w:p>
      <w:pPr>
        <w:spacing w:after="0" w:line="171" w:lineRule="exact"/>
        <w:rPr>
          <w:rFonts w:ascii="Arial" w:cs="Arial" w:eastAsia="Arial" w:hAnsi="Arial"/>
          <w:sz w:val="18"/>
          <w:szCs w:val="18"/>
          <w:u w:val="single" w:color="auto"/>
          <w:color w:val="0000FF"/>
        </w:rPr>
      </w:pPr>
    </w:p>
    <w:p>
      <w:pPr>
        <w:ind w:left="40"/>
        <w:spacing w:after="0"/>
        <w:rPr>
          <w:sz w:val="20"/>
          <w:szCs w:val="20"/>
          <w:color w:val="auto"/>
        </w:rPr>
      </w:pPr>
      <w:r>
        <w:rPr>
          <w:rFonts w:ascii="Arial" w:cs="Arial" w:eastAsia="Arial" w:hAnsi="Arial"/>
          <w:sz w:val="18"/>
          <w:szCs w:val="18"/>
          <w:u w:val="single" w:color="auto"/>
          <w:color w:val="auto"/>
        </w:rPr>
        <w:t>Exhibit</w:t>
      </w:r>
    </w:p>
    <w:p>
      <w:pPr>
        <w:spacing w:after="0" w:line="63" w:lineRule="exact"/>
        <w:rPr>
          <w:rFonts w:ascii="Arial" w:cs="Arial" w:eastAsia="Arial" w:hAnsi="Arial"/>
          <w:sz w:val="18"/>
          <w:szCs w:val="18"/>
          <w:u w:val="single" w:color="auto"/>
          <w:color w:val="0000FF"/>
        </w:rPr>
      </w:pPr>
    </w:p>
    <w:p>
      <w:pPr>
        <w:ind w:left="40"/>
        <w:spacing w:after="0"/>
        <w:rPr>
          <w:sz w:val="20"/>
          <w:szCs w:val="20"/>
          <w:color w:val="auto"/>
        </w:rPr>
      </w:pPr>
      <w:r>
        <w:rPr>
          <w:rFonts w:ascii="Arial" w:cs="Arial" w:eastAsia="Arial" w:hAnsi="Arial"/>
          <w:sz w:val="18"/>
          <w:szCs w:val="18"/>
          <w:color w:val="auto"/>
        </w:rPr>
        <w:t>EXHIBIT 3.1</w:t>
      </w:r>
    </w:p>
    <w:p>
      <w:pPr>
        <w:spacing w:after="0" w:line="200" w:lineRule="exact"/>
        <w:rPr>
          <w:rFonts w:ascii="Arial" w:cs="Arial" w:eastAsia="Arial" w:hAnsi="Arial"/>
          <w:sz w:val="18"/>
          <w:szCs w:val="18"/>
          <w:u w:val="single" w:color="auto"/>
          <w:color w:val="0000FF"/>
        </w:rPr>
      </w:pPr>
    </w:p>
    <w:p>
      <w:pPr>
        <w:spacing w:after="0" w:line="376" w:lineRule="exact"/>
        <w:rPr>
          <w:rFonts w:ascii="Arial" w:cs="Arial" w:eastAsia="Arial" w:hAnsi="Arial"/>
          <w:sz w:val="18"/>
          <w:szCs w:val="18"/>
          <w:u w:val="single" w:color="auto"/>
          <w:color w:val="0000FF"/>
        </w:rPr>
      </w:pPr>
    </w:p>
    <w:p>
      <w:pPr>
        <w:ind w:left="40"/>
        <w:spacing w:after="0"/>
        <w:rPr>
          <w:sz w:val="20"/>
          <w:szCs w:val="20"/>
          <w:color w:val="auto"/>
        </w:rPr>
      </w:pPr>
      <w:r>
        <w:rPr>
          <w:rFonts w:ascii="Arial" w:cs="Arial" w:eastAsia="Arial" w:hAnsi="Arial"/>
          <w:sz w:val="18"/>
          <w:szCs w:val="18"/>
          <w:color w:val="auto"/>
        </w:rPr>
        <w:t>EXHIBIT 3.2</w:t>
      </w:r>
    </w:p>
    <w:p>
      <w:pPr>
        <w:spacing w:after="0" w:line="200" w:lineRule="exact"/>
        <w:rPr>
          <w:rFonts w:ascii="Arial" w:cs="Arial" w:eastAsia="Arial" w:hAnsi="Arial"/>
          <w:sz w:val="18"/>
          <w:szCs w:val="18"/>
          <w:u w:val="single" w:color="auto"/>
          <w:color w:val="0000FF"/>
        </w:rPr>
      </w:pPr>
    </w:p>
    <w:p>
      <w:pPr>
        <w:spacing w:after="0" w:line="376" w:lineRule="exact"/>
        <w:rPr>
          <w:rFonts w:ascii="Arial" w:cs="Arial" w:eastAsia="Arial" w:hAnsi="Arial"/>
          <w:sz w:val="18"/>
          <w:szCs w:val="18"/>
          <w:u w:val="single" w:color="auto"/>
          <w:color w:val="0000FF"/>
        </w:rPr>
      </w:pPr>
    </w:p>
    <w:p>
      <w:pPr>
        <w:ind w:left="40"/>
        <w:spacing w:after="0"/>
        <w:rPr>
          <w:sz w:val="20"/>
          <w:szCs w:val="20"/>
          <w:color w:val="auto"/>
        </w:rPr>
      </w:pPr>
      <w:r>
        <w:rPr>
          <w:rFonts w:ascii="Arial" w:cs="Arial" w:eastAsia="Arial" w:hAnsi="Arial"/>
          <w:sz w:val="18"/>
          <w:szCs w:val="18"/>
          <w:color w:val="auto"/>
        </w:rPr>
        <w:t>EXHIBIT 12.</w:t>
      </w:r>
    </w:p>
    <w:p>
      <w:pPr>
        <w:spacing w:after="0" w:line="374" w:lineRule="exact"/>
        <w:rPr>
          <w:rFonts w:ascii="Arial" w:cs="Arial" w:eastAsia="Arial" w:hAnsi="Arial"/>
          <w:sz w:val="18"/>
          <w:szCs w:val="18"/>
          <w:u w:val="single" w:color="auto"/>
          <w:color w:val="0000FF"/>
        </w:rPr>
      </w:pPr>
    </w:p>
    <w:p>
      <w:pPr>
        <w:ind w:left="40"/>
        <w:spacing w:after="0"/>
        <w:rPr>
          <w:sz w:val="20"/>
          <w:szCs w:val="20"/>
          <w:color w:val="auto"/>
        </w:rPr>
      </w:pPr>
      <w:r>
        <w:rPr>
          <w:rFonts w:ascii="Arial" w:cs="Arial" w:eastAsia="Arial" w:hAnsi="Arial"/>
          <w:sz w:val="18"/>
          <w:szCs w:val="18"/>
          <w:color w:val="auto"/>
        </w:rPr>
        <w:t>EXHIBIT 31.1</w:t>
      </w:r>
    </w:p>
    <w:p>
      <w:pPr>
        <w:spacing w:after="0" w:line="374" w:lineRule="exact"/>
        <w:rPr>
          <w:rFonts w:ascii="Arial" w:cs="Arial" w:eastAsia="Arial" w:hAnsi="Arial"/>
          <w:sz w:val="18"/>
          <w:szCs w:val="18"/>
          <w:u w:val="single" w:color="auto"/>
          <w:color w:val="0000FF"/>
        </w:rPr>
      </w:pPr>
    </w:p>
    <w:p>
      <w:pPr>
        <w:ind w:left="40"/>
        <w:spacing w:after="0"/>
        <w:rPr>
          <w:sz w:val="20"/>
          <w:szCs w:val="20"/>
          <w:color w:val="auto"/>
        </w:rPr>
      </w:pPr>
      <w:r>
        <w:rPr>
          <w:rFonts w:ascii="Arial" w:cs="Arial" w:eastAsia="Arial" w:hAnsi="Arial"/>
          <w:sz w:val="18"/>
          <w:szCs w:val="18"/>
          <w:color w:val="auto"/>
        </w:rPr>
        <w:t>EXHIBIT 31.2</w:t>
      </w:r>
    </w:p>
    <w:p>
      <w:pPr>
        <w:spacing w:after="0" w:line="374" w:lineRule="exact"/>
        <w:rPr>
          <w:rFonts w:ascii="Arial" w:cs="Arial" w:eastAsia="Arial" w:hAnsi="Arial"/>
          <w:sz w:val="18"/>
          <w:szCs w:val="18"/>
          <w:u w:val="single" w:color="auto"/>
          <w:color w:val="0000FF"/>
        </w:rPr>
      </w:pPr>
    </w:p>
    <w:p>
      <w:pPr>
        <w:ind w:left="40"/>
        <w:spacing w:after="0"/>
        <w:rPr>
          <w:sz w:val="20"/>
          <w:szCs w:val="20"/>
          <w:color w:val="auto"/>
        </w:rPr>
      </w:pPr>
      <w:r>
        <w:rPr>
          <w:rFonts w:ascii="Arial" w:cs="Arial" w:eastAsia="Arial" w:hAnsi="Arial"/>
          <w:sz w:val="18"/>
          <w:szCs w:val="18"/>
          <w:color w:val="auto"/>
        </w:rPr>
        <w:t>EXHIBIT 32.</w:t>
      </w:r>
    </w:p>
    <w:p>
      <w:pPr>
        <w:spacing w:after="0" w:line="374" w:lineRule="exact"/>
        <w:rPr>
          <w:rFonts w:ascii="Arial" w:cs="Arial" w:eastAsia="Arial" w:hAnsi="Arial"/>
          <w:sz w:val="18"/>
          <w:szCs w:val="18"/>
          <w:u w:val="single" w:color="auto"/>
          <w:color w:val="0000FF"/>
        </w:rPr>
      </w:pPr>
    </w:p>
    <w:p>
      <w:pPr>
        <w:ind w:left="40"/>
        <w:spacing w:after="0"/>
        <w:rPr>
          <w:sz w:val="20"/>
          <w:szCs w:val="20"/>
          <w:color w:val="auto"/>
        </w:rPr>
      </w:pPr>
      <w:r>
        <w:rPr>
          <w:rFonts w:ascii="Arial" w:cs="Arial" w:eastAsia="Arial" w:hAnsi="Arial"/>
          <w:sz w:val="18"/>
          <w:szCs w:val="18"/>
          <w:color w:val="auto"/>
        </w:rPr>
        <w:t>EXHIBIT 101.</w:t>
      </w:r>
    </w:p>
    <w:p>
      <w:pPr>
        <w:sectPr>
          <w:pgSz w:w="11900" w:h="16838" w:orient="portrait"/>
          <w:cols w:equalWidth="0" w:num="1">
            <w:col w:w="10219"/>
          </w:cols>
          <w:pgMar w:left="240" w:top="576" w:right="1440" w:bottom="1440" w:gutter="0" w:footer="0" w:header="0"/>
        </w:sectPr>
      </w:pPr>
    </w:p>
    <w:bookmarkStart w:id="49" w:name="page50"/>
    <w:bookmarkEnd w:id="49"/>
    <w:p>
      <w:pPr>
        <w:jc w:val="center"/>
        <w:ind w:left="260" w:right="2540"/>
        <w:spacing w:after="0" w:line="428" w:lineRule="auto"/>
        <w:rPr>
          <w:sz w:val="20"/>
          <w:szCs w:val="20"/>
          <w:color w:val="auto"/>
        </w:rPr>
      </w:pPr>
      <w:r>
        <w:rPr>
          <w:rFonts w:ascii="Arial" w:cs="Arial" w:eastAsia="Arial" w:hAnsi="Arial"/>
          <w:sz w:val="18"/>
          <w:szCs w:val="18"/>
          <w:color w:val="auto"/>
        </w:rPr>
        <w:t>EXHIBIT 12. Statement Re: Computation of Ratio of Earnings to Fixed Charges ELI LILLY AND COMPANY AND SUBSIDIARIES (Dollars in millions)</w:t>
      </w:r>
    </w:p>
    <w:p>
      <w:pPr>
        <w:spacing w:after="0" w:line="200" w:lineRule="exact"/>
        <w:rPr>
          <w:sz w:val="20"/>
          <w:szCs w:val="20"/>
          <w:color w:val="auto"/>
        </w:rPr>
      </w:pP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000" w:type="dxa"/>
            <w:vAlign w:val="bottom"/>
          </w:tcPr>
          <w:p>
            <w:pPr>
              <w:spacing w:after="0"/>
              <w:rPr>
                <w:sz w:val="14"/>
                <w:szCs w:val="14"/>
                <w:color w:val="auto"/>
              </w:rPr>
            </w:pPr>
          </w:p>
        </w:tc>
        <w:tc>
          <w:tcPr>
            <w:tcW w:w="124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rPr>
              <w:t>Three Months</w:t>
            </w: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2"/>
        </w:trPr>
        <w:tc>
          <w:tcPr>
            <w:tcW w:w="4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Ended</w:t>
            </w: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96"/>
        </w:trPr>
        <w:tc>
          <w:tcPr>
            <w:tcW w:w="4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March 31,</w:t>
            </w:r>
          </w:p>
        </w:tc>
        <w:tc>
          <w:tcPr>
            <w:tcW w:w="2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256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Years Ended December 31,</w:t>
            </w:r>
          </w:p>
        </w:tc>
        <w:tc>
          <w:tcPr>
            <w:tcW w:w="86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r>
      <w:tr>
        <w:trPr>
          <w:trHeight w:val="264"/>
        </w:trPr>
        <w:tc>
          <w:tcPr>
            <w:tcW w:w="400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center"/>
              <w:ind w:right="77"/>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2017</w:t>
            </w:r>
          </w:p>
        </w:tc>
        <w:tc>
          <w:tcPr>
            <w:tcW w:w="3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2016</w:t>
            </w:r>
          </w:p>
        </w:tc>
        <w:tc>
          <w:tcPr>
            <w:tcW w:w="3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2015</w:t>
            </w:r>
          </w:p>
        </w:tc>
        <w:tc>
          <w:tcPr>
            <w:tcW w:w="3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2014</w:t>
            </w:r>
          </w:p>
        </w:tc>
        <w:tc>
          <w:tcPr>
            <w:tcW w:w="3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2013</w:t>
            </w:r>
          </w:p>
        </w:tc>
      </w:tr>
      <w:tr>
        <w:trPr>
          <w:trHeight w:val="264"/>
        </w:trPr>
        <w:tc>
          <w:tcPr>
            <w:tcW w:w="40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(Unaudited)</w:t>
            </w:r>
          </w:p>
        </w:tc>
        <w:tc>
          <w:tcPr>
            <w:tcW w:w="2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880" w:type="dxa"/>
            <w:vAlign w:val="bottom"/>
          </w:tcPr>
          <w:p>
            <w:pPr>
              <w:spacing w:after="0"/>
              <w:rPr>
                <w:sz w:val="22"/>
                <w:szCs w:val="22"/>
                <w:color w:val="auto"/>
              </w:rPr>
            </w:pPr>
          </w:p>
        </w:tc>
      </w:tr>
      <w:tr>
        <w:trPr>
          <w:trHeight w:val="276"/>
        </w:trPr>
        <w:tc>
          <w:tcPr>
            <w:tcW w:w="4000" w:type="dxa"/>
            <w:vAlign w:val="bottom"/>
            <w:shd w:val="clear" w:color="auto" w:fill="CCEEFF"/>
          </w:tcPr>
          <w:p>
            <w:pPr>
              <w:ind w:left="40"/>
              <w:spacing w:after="0"/>
              <w:rPr>
                <w:sz w:val="20"/>
                <w:szCs w:val="20"/>
                <w:color w:val="auto"/>
              </w:rPr>
            </w:pPr>
            <w:r>
              <w:rPr>
                <w:rFonts w:ascii="Arial" w:cs="Arial" w:eastAsia="Arial" w:hAnsi="Arial"/>
                <w:sz w:val="18"/>
                <w:szCs w:val="18"/>
                <w:color w:val="auto"/>
              </w:rPr>
              <w:t>Consolidated pretax income</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000" w:type="dxa"/>
            <w:vAlign w:val="bottom"/>
            <w:shd w:val="clear" w:color="auto" w:fill="CCEEFF"/>
          </w:tcPr>
          <w:p>
            <w:pPr>
              <w:jc w:val="right"/>
              <w:ind w:right="17"/>
              <w:spacing w:after="0"/>
              <w:rPr>
                <w:sz w:val="20"/>
                <w:szCs w:val="20"/>
                <w:color w:val="auto"/>
              </w:rPr>
            </w:pPr>
            <w:r>
              <w:rPr>
                <w:rFonts w:ascii="Arial" w:cs="Arial" w:eastAsia="Arial" w:hAnsi="Arial"/>
                <w:sz w:val="18"/>
                <w:szCs w:val="18"/>
                <w:b w:val="1"/>
                <w:bCs w:val="1"/>
                <w:color w:val="auto"/>
              </w:rPr>
              <w:t>1,441.0</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2,197.4</w:t>
            </w:r>
          </w:p>
        </w:tc>
        <w:tc>
          <w:tcPr>
            <w:tcW w:w="3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3,374.0</w:t>
            </w:r>
          </w:p>
        </w:tc>
        <w:tc>
          <w:tcPr>
            <w:tcW w:w="3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2,790.0</w:t>
            </w:r>
          </w:p>
        </w:tc>
        <w:tc>
          <w:tcPr>
            <w:tcW w:w="3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3,000.3</w:t>
            </w:r>
          </w:p>
        </w:tc>
        <w:tc>
          <w:tcPr>
            <w:tcW w:w="3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5,889.3</w:t>
            </w:r>
          </w:p>
        </w:tc>
      </w:tr>
      <w:tr>
        <w:trPr>
          <w:trHeight w:val="270"/>
        </w:trPr>
        <w:tc>
          <w:tcPr>
            <w:tcW w:w="4000" w:type="dxa"/>
            <w:vAlign w:val="bottom"/>
          </w:tcPr>
          <w:p>
            <w:pPr>
              <w:ind w:left="40"/>
              <w:spacing w:after="0"/>
              <w:rPr>
                <w:sz w:val="20"/>
                <w:szCs w:val="20"/>
                <w:color w:val="auto"/>
              </w:rPr>
            </w:pPr>
            <w:r>
              <w:rPr>
                <w:rFonts w:ascii="Arial" w:cs="Arial" w:eastAsia="Arial" w:hAnsi="Arial"/>
                <w:sz w:val="18"/>
                <w:szCs w:val="18"/>
                <w:color w:val="auto"/>
              </w:rPr>
              <w:t xml:space="preserve">Interest </w:t>
            </w:r>
            <w:r>
              <w:rPr>
                <w:rFonts w:ascii="Arial" w:cs="Arial" w:eastAsia="Arial" w:hAnsi="Arial"/>
                <w:sz w:val="21"/>
                <w:szCs w:val="21"/>
                <w:color w:val="auto"/>
                <w:vertAlign w:val="superscript"/>
              </w:rPr>
              <w:t>(1)</w:t>
            </w:r>
          </w:p>
        </w:tc>
        <w:tc>
          <w:tcPr>
            <w:tcW w:w="140" w:type="dxa"/>
            <w:vAlign w:val="bottom"/>
          </w:tcPr>
          <w:p>
            <w:pPr>
              <w:spacing w:after="0"/>
              <w:rPr>
                <w:sz w:val="23"/>
                <w:szCs w:val="23"/>
                <w:color w:val="auto"/>
              </w:rPr>
            </w:pPr>
          </w:p>
        </w:tc>
        <w:tc>
          <w:tcPr>
            <w:tcW w:w="1000" w:type="dxa"/>
            <w:vAlign w:val="bottom"/>
          </w:tcPr>
          <w:p>
            <w:pPr>
              <w:jc w:val="right"/>
              <w:ind w:right="17"/>
              <w:spacing w:after="0"/>
              <w:rPr>
                <w:sz w:val="20"/>
                <w:szCs w:val="20"/>
                <w:color w:val="auto"/>
              </w:rPr>
            </w:pPr>
            <w:r>
              <w:rPr>
                <w:rFonts w:ascii="Arial" w:cs="Arial" w:eastAsia="Arial" w:hAnsi="Arial"/>
                <w:sz w:val="18"/>
                <w:szCs w:val="18"/>
                <w:b w:val="1"/>
                <w:bCs w:val="1"/>
                <w:color w:val="auto"/>
              </w:rPr>
              <w:t>73.7</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20" w:type="dxa"/>
            <w:vAlign w:val="bottom"/>
          </w:tcPr>
          <w:p>
            <w:pPr>
              <w:jc w:val="right"/>
              <w:ind w:right="73"/>
              <w:spacing w:after="0"/>
              <w:rPr>
                <w:sz w:val="20"/>
                <w:szCs w:val="20"/>
                <w:color w:val="auto"/>
              </w:rPr>
            </w:pPr>
            <w:r>
              <w:rPr>
                <w:rFonts w:ascii="Arial" w:cs="Arial" w:eastAsia="Arial" w:hAnsi="Arial"/>
                <w:sz w:val="18"/>
                <w:szCs w:val="18"/>
                <w:color w:val="auto"/>
              </w:rPr>
              <w:t>282.3</w:t>
            </w:r>
          </w:p>
        </w:tc>
        <w:tc>
          <w:tcPr>
            <w:tcW w:w="340" w:type="dxa"/>
            <w:vAlign w:val="bottom"/>
          </w:tcPr>
          <w:p>
            <w:pPr>
              <w:spacing w:after="0"/>
              <w:rPr>
                <w:sz w:val="23"/>
                <w:szCs w:val="23"/>
                <w:color w:val="auto"/>
              </w:rPr>
            </w:pPr>
          </w:p>
        </w:tc>
        <w:tc>
          <w:tcPr>
            <w:tcW w:w="920" w:type="dxa"/>
            <w:vAlign w:val="bottom"/>
          </w:tcPr>
          <w:p>
            <w:pPr>
              <w:jc w:val="right"/>
              <w:ind w:right="74"/>
              <w:spacing w:after="0"/>
              <w:rPr>
                <w:sz w:val="20"/>
                <w:szCs w:val="20"/>
                <w:color w:val="auto"/>
              </w:rPr>
            </w:pPr>
            <w:r>
              <w:rPr>
                <w:rFonts w:ascii="Arial" w:cs="Arial" w:eastAsia="Arial" w:hAnsi="Arial"/>
                <w:sz w:val="18"/>
                <w:szCs w:val="18"/>
                <w:color w:val="auto"/>
              </w:rPr>
              <w:t>232.9</w:t>
            </w:r>
          </w:p>
        </w:tc>
        <w:tc>
          <w:tcPr>
            <w:tcW w:w="340" w:type="dxa"/>
            <w:vAlign w:val="bottom"/>
          </w:tcPr>
          <w:p>
            <w:pPr>
              <w:spacing w:after="0"/>
              <w:rPr>
                <w:sz w:val="23"/>
                <w:szCs w:val="23"/>
                <w:color w:val="auto"/>
              </w:rPr>
            </w:pPr>
          </w:p>
        </w:tc>
        <w:tc>
          <w:tcPr>
            <w:tcW w:w="920" w:type="dxa"/>
            <w:vAlign w:val="bottom"/>
          </w:tcPr>
          <w:p>
            <w:pPr>
              <w:jc w:val="right"/>
              <w:ind w:right="73"/>
              <w:spacing w:after="0"/>
              <w:rPr>
                <w:sz w:val="20"/>
                <w:szCs w:val="20"/>
                <w:color w:val="auto"/>
              </w:rPr>
            </w:pPr>
            <w:r>
              <w:rPr>
                <w:rFonts w:ascii="Arial" w:cs="Arial" w:eastAsia="Arial" w:hAnsi="Arial"/>
                <w:sz w:val="18"/>
                <w:szCs w:val="18"/>
                <w:color w:val="auto"/>
              </w:rPr>
              <w:t>216.0</w:t>
            </w:r>
          </w:p>
        </w:tc>
        <w:tc>
          <w:tcPr>
            <w:tcW w:w="380" w:type="dxa"/>
            <w:vAlign w:val="bottom"/>
          </w:tcPr>
          <w:p>
            <w:pPr>
              <w:spacing w:after="0"/>
              <w:rPr>
                <w:sz w:val="23"/>
                <w:szCs w:val="23"/>
                <w:color w:val="auto"/>
              </w:rPr>
            </w:pPr>
          </w:p>
        </w:tc>
        <w:tc>
          <w:tcPr>
            <w:tcW w:w="860" w:type="dxa"/>
            <w:vAlign w:val="bottom"/>
          </w:tcPr>
          <w:p>
            <w:pPr>
              <w:jc w:val="right"/>
              <w:ind w:right="53"/>
              <w:spacing w:after="0"/>
              <w:rPr>
                <w:sz w:val="20"/>
                <w:szCs w:val="20"/>
                <w:color w:val="auto"/>
              </w:rPr>
            </w:pPr>
            <w:r>
              <w:rPr>
                <w:rFonts w:ascii="Arial" w:cs="Arial" w:eastAsia="Arial" w:hAnsi="Arial"/>
                <w:sz w:val="18"/>
                <w:szCs w:val="18"/>
                <w:color w:val="auto"/>
              </w:rPr>
              <w:t>187.1</w:t>
            </w:r>
          </w:p>
        </w:tc>
        <w:tc>
          <w:tcPr>
            <w:tcW w:w="340" w:type="dxa"/>
            <w:vAlign w:val="bottom"/>
          </w:tcPr>
          <w:p>
            <w:pPr>
              <w:spacing w:after="0"/>
              <w:rPr>
                <w:sz w:val="23"/>
                <w:szCs w:val="23"/>
                <w:color w:val="auto"/>
              </w:rPr>
            </w:pPr>
          </w:p>
        </w:tc>
        <w:tc>
          <w:tcPr>
            <w:tcW w:w="880" w:type="dxa"/>
            <w:vAlign w:val="bottom"/>
          </w:tcPr>
          <w:p>
            <w:pPr>
              <w:jc w:val="right"/>
              <w:ind w:right="13"/>
              <w:spacing w:after="0"/>
              <w:rPr>
                <w:sz w:val="20"/>
                <w:szCs w:val="20"/>
                <w:color w:val="auto"/>
              </w:rPr>
            </w:pPr>
            <w:r>
              <w:rPr>
                <w:rFonts w:ascii="Arial" w:cs="Arial" w:eastAsia="Arial" w:hAnsi="Arial"/>
                <w:sz w:val="18"/>
                <w:szCs w:val="18"/>
                <w:color w:val="auto"/>
              </w:rPr>
              <w:t>184.2</w:t>
            </w:r>
          </w:p>
        </w:tc>
      </w:tr>
      <w:tr>
        <w:trPr>
          <w:trHeight w:val="264"/>
        </w:trPr>
        <w:tc>
          <w:tcPr>
            <w:tcW w:w="4000" w:type="dxa"/>
            <w:vAlign w:val="bottom"/>
            <w:shd w:val="clear" w:color="auto" w:fill="CCEEFF"/>
          </w:tcPr>
          <w:p>
            <w:pPr>
              <w:ind w:left="40"/>
              <w:spacing w:after="0"/>
              <w:rPr>
                <w:sz w:val="20"/>
                <w:szCs w:val="20"/>
                <w:color w:val="auto"/>
              </w:rPr>
            </w:pPr>
            <w:r>
              <w:rPr>
                <w:rFonts w:ascii="Arial" w:cs="Arial" w:eastAsia="Arial" w:hAnsi="Arial"/>
                <w:sz w:val="18"/>
                <w:szCs w:val="18"/>
                <w:color w:val="auto"/>
              </w:rPr>
              <w:t>Less interest capitalized during the period</w:t>
            </w:r>
          </w:p>
        </w:tc>
        <w:tc>
          <w:tcPr>
            <w:tcW w:w="140" w:type="dxa"/>
            <w:vAlign w:val="bottom"/>
            <w:tcBorders>
              <w:bottom w:val="single" w:sz="8" w:color="auto"/>
            </w:tcBorders>
            <w:shd w:val="clear" w:color="auto" w:fill="CCEEFF"/>
          </w:tcPr>
          <w:p>
            <w:pPr>
              <w:spacing w:after="0"/>
              <w:rPr>
                <w:sz w:val="22"/>
                <w:szCs w:val="22"/>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(12.5)</w:t>
            </w:r>
          </w:p>
        </w:tc>
        <w:tc>
          <w:tcPr>
            <w:tcW w:w="100" w:type="dxa"/>
            <w:vAlign w:val="bottom"/>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(57.3)</w:t>
            </w:r>
          </w:p>
        </w:tc>
        <w:tc>
          <w:tcPr>
            <w:tcW w:w="340" w:type="dxa"/>
            <w:vAlign w:val="bottom"/>
            <w:tcBorders>
              <w:bottom w:val="single" w:sz="8" w:color="auto"/>
            </w:tcBorders>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(47.7)</w:t>
            </w:r>
          </w:p>
        </w:tc>
        <w:tc>
          <w:tcPr>
            <w:tcW w:w="340" w:type="dxa"/>
            <w:vAlign w:val="bottom"/>
            <w:tcBorders>
              <w:bottom w:val="single" w:sz="8" w:color="auto"/>
            </w:tcBorders>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(54.8)</w:t>
            </w:r>
          </w:p>
        </w:tc>
        <w:tc>
          <w:tcPr>
            <w:tcW w:w="380" w:type="dxa"/>
            <w:vAlign w:val="bottom"/>
            <w:tcBorders>
              <w:bottom w:val="single" w:sz="8" w:color="auto"/>
            </w:tcBorders>
            <w:shd w:val="clear" w:color="auto" w:fill="CCEEFF"/>
          </w:tcPr>
          <w:p>
            <w:pPr>
              <w:spacing w:after="0"/>
              <w:rPr>
                <w:sz w:val="22"/>
                <w:szCs w:val="22"/>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(38.3)</w:t>
            </w:r>
          </w:p>
        </w:tc>
        <w:tc>
          <w:tcPr>
            <w:tcW w:w="340" w:type="dxa"/>
            <w:vAlign w:val="bottom"/>
            <w:tcBorders>
              <w:bottom w:val="single" w:sz="8" w:color="auto"/>
            </w:tcBorders>
            <w:shd w:val="clear" w:color="auto" w:fill="CCEEFF"/>
          </w:tcPr>
          <w:p>
            <w:pPr>
              <w:spacing w:after="0"/>
              <w:rPr>
                <w:sz w:val="22"/>
                <w:szCs w:val="22"/>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(24.1)</w:t>
            </w:r>
          </w:p>
        </w:tc>
      </w:tr>
      <w:tr>
        <w:trPr>
          <w:trHeight w:val="277"/>
        </w:trPr>
        <w:tc>
          <w:tcPr>
            <w:tcW w:w="400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Earnings</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Borders>
              <w:bottom w:val="single" w:sz="8" w:color="auto"/>
            </w:tcBorders>
          </w:tcPr>
          <w:p>
            <w:pPr>
              <w:jc w:val="right"/>
              <w:ind w:right="17"/>
              <w:spacing w:after="0"/>
              <w:rPr>
                <w:sz w:val="20"/>
                <w:szCs w:val="20"/>
                <w:color w:val="auto"/>
              </w:rPr>
            </w:pPr>
            <w:r>
              <w:rPr>
                <w:rFonts w:ascii="Arial" w:cs="Arial" w:eastAsia="Arial" w:hAnsi="Arial"/>
                <w:sz w:val="18"/>
                <w:szCs w:val="18"/>
                <w:b w:val="1"/>
                <w:bCs w:val="1"/>
                <w:color w:val="auto"/>
              </w:rPr>
              <w:t>1,502.2</w:t>
            </w:r>
          </w:p>
        </w:tc>
        <w:tc>
          <w:tcPr>
            <w:tcW w:w="10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color w:val="auto"/>
              </w:rPr>
              <w:t>2,422.4</w:t>
            </w:r>
          </w:p>
        </w:tc>
        <w:tc>
          <w:tcPr>
            <w:tcW w:w="3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tcPr>
          <w:p>
            <w:pPr>
              <w:jc w:val="right"/>
              <w:ind w:right="74"/>
              <w:spacing w:after="0"/>
              <w:rPr>
                <w:sz w:val="20"/>
                <w:szCs w:val="20"/>
                <w:color w:val="auto"/>
              </w:rPr>
            </w:pPr>
            <w:r>
              <w:rPr>
                <w:rFonts w:ascii="Arial" w:cs="Arial" w:eastAsia="Arial" w:hAnsi="Arial"/>
                <w:sz w:val="18"/>
                <w:szCs w:val="18"/>
                <w:color w:val="auto"/>
              </w:rPr>
              <w:t>3,559.2</w:t>
            </w:r>
          </w:p>
        </w:tc>
        <w:tc>
          <w:tcPr>
            <w:tcW w:w="3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color w:val="auto"/>
              </w:rPr>
              <w:t>2,951.2</w:t>
            </w:r>
          </w:p>
        </w:tc>
        <w:tc>
          <w:tcPr>
            <w:tcW w:w="3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3,149.1</w:t>
            </w:r>
          </w:p>
        </w:tc>
        <w:tc>
          <w:tcPr>
            <w:tcW w:w="3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6,049.4</w:t>
            </w:r>
          </w:p>
        </w:tc>
      </w:tr>
      <w:tr>
        <w:trPr>
          <w:trHeight w:val="277"/>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Fixed charges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b w:val="1"/>
                <w:bCs w:val="1"/>
                <w:color w:val="auto"/>
              </w:rPr>
              <w:t>73.7</w:t>
            </w:r>
          </w:p>
        </w:tc>
        <w:tc>
          <w:tcPr>
            <w:tcW w:w="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color w:val="auto"/>
              </w:rPr>
              <w:t>282.3</w:t>
            </w:r>
          </w:p>
        </w:tc>
        <w:tc>
          <w:tcPr>
            <w:tcW w:w="3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8"/>
                <w:szCs w:val="18"/>
                <w:color w:val="auto"/>
              </w:rPr>
              <w:t>232.9</w:t>
            </w:r>
          </w:p>
        </w:tc>
        <w:tc>
          <w:tcPr>
            <w:tcW w:w="34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color w:val="auto"/>
              </w:rPr>
              <w:t>216.0</w:t>
            </w:r>
          </w:p>
        </w:tc>
        <w:tc>
          <w:tcPr>
            <w:tcW w:w="38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8"/>
                <w:szCs w:val="18"/>
                <w:color w:val="auto"/>
              </w:rPr>
              <w:t>187.1</w:t>
            </w:r>
          </w:p>
        </w:tc>
        <w:tc>
          <w:tcPr>
            <w:tcW w:w="3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184.2</w:t>
            </w:r>
          </w:p>
        </w:tc>
      </w:tr>
      <w:tr>
        <w:trPr>
          <w:trHeight w:val="277"/>
        </w:trPr>
        <w:tc>
          <w:tcPr>
            <w:tcW w:w="4000" w:type="dxa"/>
            <w:vAlign w:val="bottom"/>
          </w:tcPr>
          <w:p>
            <w:pPr>
              <w:ind w:left="40"/>
              <w:spacing w:after="0"/>
              <w:rPr>
                <w:sz w:val="20"/>
                <w:szCs w:val="20"/>
                <w:color w:val="auto"/>
              </w:rPr>
            </w:pPr>
            <w:r>
              <w:rPr>
                <w:rFonts w:ascii="Arial" w:cs="Arial" w:eastAsia="Arial" w:hAnsi="Arial"/>
                <w:sz w:val="18"/>
                <w:szCs w:val="18"/>
                <w:color w:val="auto"/>
              </w:rPr>
              <w:t>Ratio of earnings to fixed charges</w:t>
            </w:r>
          </w:p>
        </w:tc>
        <w:tc>
          <w:tcPr>
            <w:tcW w:w="1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17"/>
              <w:spacing w:after="0"/>
              <w:rPr>
                <w:sz w:val="20"/>
                <w:szCs w:val="20"/>
                <w:color w:val="auto"/>
              </w:rPr>
            </w:pPr>
            <w:r>
              <w:rPr>
                <w:rFonts w:ascii="Arial" w:cs="Arial" w:eastAsia="Arial" w:hAnsi="Arial"/>
                <w:sz w:val="18"/>
                <w:szCs w:val="18"/>
                <w:b w:val="1"/>
                <w:bCs w:val="1"/>
                <w:color w:val="auto"/>
              </w:rPr>
              <w:t>20.4</w:t>
            </w:r>
          </w:p>
        </w:tc>
        <w:tc>
          <w:tcPr>
            <w:tcW w:w="10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color w:val="auto"/>
              </w:rPr>
              <w:t>8.6</w:t>
            </w:r>
          </w:p>
        </w:tc>
        <w:tc>
          <w:tcPr>
            <w:tcW w:w="3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74"/>
              <w:spacing w:after="0"/>
              <w:rPr>
                <w:sz w:val="20"/>
                <w:szCs w:val="20"/>
                <w:color w:val="auto"/>
              </w:rPr>
            </w:pPr>
            <w:r>
              <w:rPr>
                <w:rFonts w:ascii="Arial" w:cs="Arial" w:eastAsia="Arial" w:hAnsi="Arial"/>
                <w:sz w:val="18"/>
                <w:szCs w:val="18"/>
                <w:color w:val="auto"/>
              </w:rPr>
              <w:t>15.3</w:t>
            </w:r>
          </w:p>
        </w:tc>
        <w:tc>
          <w:tcPr>
            <w:tcW w:w="3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color w:val="auto"/>
              </w:rPr>
              <w:t>13.7</w:t>
            </w:r>
          </w:p>
        </w:tc>
        <w:tc>
          <w:tcPr>
            <w:tcW w:w="3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16.8</w:t>
            </w:r>
          </w:p>
        </w:tc>
        <w:tc>
          <w:tcPr>
            <w:tcW w:w="3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32.8</w:t>
            </w:r>
          </w:p>
        </w:tc>
      </w:tr>
    </w:tbl>
    <w:p>
      <w:pPr>
        <w:spacing w:after="0" w:line="161" w:lineRule="exact"/>
        <w:rPr>
          <w:sz w:val="20"/>
          <w:szCs w:val="20"/>
          <w:color w:val="auto"/>
        </w:rPr>
      </w:pPr>
    </w:p>
    <w:p>
      <w:pPr>
        <w:ind w:left="500" w:right="180" w:hanging="465"/>
        <w:spacing w:after="0" w:line="218" w:lineRule="auto"/>
        <w:tabs>
          <w:tab w:leader="none" w:pos="500" w:val="left"/>
        </w:tabs>
        <w:numPr>
          <w:ilvl w:val="0"/>
          <w:numId w:val="27"/>
        </w:numPr>
        <w:rPr>
          <w:rFonts w:ascii="Arial" w:cs="Arial" w:eastAsia="Arial" w:hAnsi="Arial"/>
          <w:sz w:val="22"/>
          <w:szCs w:val="22"/>
          <w:color w:val="auto"/>
          <w:vertAlign w:val="superscript"/>
        </w:rPr>
      </w:pPr>
      <w:r>
        <w:rPr>
          <w:rFonts w:ascii="Arial" w:cs="Arial" w:eastAsia="Arial" w:hAnsi="Arial"/>
          <w:sz w:val="18"/>
          <w:szCs w:val="18"/>
          <w:color w:val="auto"/>
        </w:rPr>
        <w:t>Interest is based upon interest expense reported as such in the consolidated condensed statements of operations and does not include any interest related to unrecognized tax benefits, which is included in income tax expense.</w:t>
      </w:r>
    </w:p>
    <w:p>
      <w:pPr>
        <w:sectPr>
          <w:pgSz w:w="11900" w:h="16838" w:orient="portrait"/>
          <w:cols w:equalWidth="0" w:num="1">
            <w:col w:w="11420"/>
          </w:cols>
          <w:pgMar w:left="240" w:top="598" w:right="239" w:bottom="1440" w:gutter="0" w:footer="0" w:header="0"/>
        </w:sectPr>
      </w:pPr>
    </w:p>
    <w:bookmarkStart w:id="50" w:name="page51"/>
    <w:bookmarkEnd w:id="50"/>
    <w:p>
      <w:pPr>
        <w:spacing w:after="0"/>
        <w:rPr>
          <w:sz w:val="20"/>
          <w:szCs w:val="20"/>
          <w:color w:val="auto"/>
        </w:rPr>
      </w:pPr>
      <w:r>
        <w:rPr>
          <w:rFonts w:ascii="Arial" w:cs="Arial" w:eastAsia="Arial" w:hAnsi="Arial"/>
          <w:sz w:val="18"/>
          <w:szCs w:val="18"/>
          <w:color w:val="auto"/>
        </w:rPr>
        <w:t>EXHIBIT 31.1 Rule 13a-14(a) Certification of David A. Ricks, Chairman, President, and Chief Executive Officer</w:t>
      </w:r>
    </w:p>
    <w:p>
      <w:pPr>
        <w:spacing w:after="0" w:line="23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CERTIFICATIONS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I, David A. Ricks, certify that:</w:t>
      </w:r>
    </w:p>
    <w:p>
      <w:pPr>
        <w:spacing w:after="0" w:line="171" w:lineRule="exact"/>
        <w:rPr>
          <w:sz w:val="20"/>
          <w:szCs w:val="20"/>
          <w:color w:val="auto"/>
        </w:rPr>
      </w:pPr>
    </w:p>
    <w:p>
      <w:pPr>
        <w:ind w:left="340" w:hanging="332"/>
        <w:spacing w:after="0"/>
        <w:tabs>
          <w:tab w:leader="none" w:pos="3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 have reviewed this report on Form 10-Q of Eli Lilly and Company;</w:t>
      </w:r>
    </w:p>
    <w:p>
      <w:pPr>
        <w:spacing w:after="0" w:line="171" w:lineRule="exact"/>
        <w:rPr>
          <w:rFonts w:ascii="Arial" w:cs="Arial" w:eastAsia="Arial" w:hAnsi="Arial"/>
          <w:sz w:val="18"/>
          <w:szCs w:val="18"/>
          <w:color w:val="auto"/>
        </w:rPr>
      </w:pPr>
    </w:p>
    <w:p>
      <w:pPr>
        <w:ind w:left="340" w:right="220" w:hanging="332"/>
        <w:spacing w:after="0" w:line="256" w:lineRule="auto"/>
        <w:tabs>
          <w:tab w:leader="none" w:pos="3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7" w:lineRule="exact"/>
        <w:rPr>
          <w:rFonts w:ascii="Arial" w:cs="Arial" w:eastAsia="Arial" w:hAnsi="Arial"/>
          <w:sz w:val="18"/>
          <w:szCs w:val="18"/>
          <w:color w:val="auto"/>
        </w:rPr>
      </w:pPr>
    </w:p>
    <w:p>
      <w:pPr>
        <w:ind w:left="340" w:right="320" w:hanging="332"/>
        <w:spacing w:after="0" w:line="291" w:lineRule="auto"/>
        <w:tabs>
          <w:tab w:leader="none" w:pos="340" w:val="left"/>
        </w:tabs>
        <w:numPr>
          <w:ilvl w:val="0"/>
          <w:numId w:val="2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0" w:lineRule="exact"/>
        <w:rPr>
          <w:rFonts w:ascii="Arial" w:cs="Arial" w:eastAsia="Arial" w:hAnsi="Arial"/>
          <w:sz w:val="17"/>
          <w:szCs w:val="17"/>
          <w:color w:val="auto"/>
        </w:rPr>
      </w:pPr>
    </w:p>
    <w:p>
      <w:pPr>
        <w:ind w:left="340" w:right="300" w:hanging="332"/>
        <w:spacing w:after="0" w:line="265" w:lineRule="auto"/>
        <w:tabs>
          <w:tab w:leader="none" w:pos="340" w:val="left"/>
        </w:tabs>
        <w:numPr>
          <w:ilvl w:val="0"/>
          <w:numId w:val="28"/>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w:t>
      </w:r>
    </w:p>
    <w:p>
      <w:pPr>
        <w:ind w:left="340"/>
        <w:spacing w:after="0"/>
        <w:rPr>
          <w:rFonts w:ascii="Arial" w:cs="Arial" w:eastAsia="Arial" w:hAnsi="Arial"/>
          <w:sz w:val="17"/>
          <w:szCs w:val="17"/>
          <w:color w:val="auto"/>
        </w:rPr>
      </w:pPr>
      <w:r>
        <w:rPr>
          <w:rFonts w:ascii="Arial" w:cs="Arial" w:eastAsia="Arial" w:hAnsi="Arial"/>
          <w:sz w:val="18"/>
          <w:szCs w:val="18"/>
          <w:color w:val="auto"/>
        </w:rPr>
        <w:t>13a-15(f) and 15d-15(f)) for the registrant and have:</w:t>
      </w:r>
    </w:p>
    <w:p>
      <w:pPr>
        <w:spacing w:after="0" w:line="171" w:lineRule="exact"/>
        <w:rPr>
          <w:rFonts w:ascii="Arial" w:cs="Arial" w:eastAsia="Arial" w:hAnsi="Arial"/>
          <w:sz w:val="17"/>
          <w:szCs w:val="17"/>
          <w:color w:val="auto"/>
        </w:rPr>
      </w:pPr>
    </w:p>
    <w:p>
      <w:pPr>
        <w:jc w:val="both"/>
        <w:ind w:left="980" w:right="140" w:hanging="324"/>
        <w:spacing w:after="0" w:line="256" w:lineRule="auto"/>
        <w:tabs>
          <w:tab w:leader="none" w:pos="980" w:val="left"/>
        </w:tabs>
        <w:numPr>
          <w:ilvl w:val="1"/>
          <w:numId w:val="2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7" w:lineRule="exact"/>
        <w:rPr>
          <w:rFonts w:ascii="Arial" w:cs="Arial" w:eastAsia="Arial" w:hAnsi="Arial"/>
          <w:sz w:val="18"/>
          <w:szCs w:val="18"/>
          <w:color w:val="auto"/>
        </w:rPr>
      </w:pPr>
    </w:p>
    <w:p>
      <w:pPr>
        <w:ind w:left="980" w:right="480" w:hanging="324"/>
        <w:spacing w:after="0" w:line="256" w:lineRule="auto"/>
        <w:tabs>
          <w:tab w:leader="none" w:pos="980" w:val="left"/>
        </w:tabs>
        <w:numPr>
          <w:ilvl w:val="1"/>
          <w:numId w:val="2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7" w:lineRule="exact"/>
        <w:rPr>
          <w:rFonts w:ascii="Arial" w:cs="Arial" w:eastAsia="Arial" w:hAnsi="Arial"/>
          <w:sz w:val="18"/>
          <w:szCs w:val="18"/>
          <w:color w:val="auto"/>
        </w:rPr>
      </w:pPr>
    </w:p>
    <w:p>
      <w:pPr>
        <w:ind w:left="980" w:right="40" w:hanging="324"/>
        <w:spacing w:after="0" w:line="256" w:lineRule="auto"/>
        <w:tabs>
          <w:tab w:leader="none" w:pos="980" w:val="left"/>
        </w:tabs>
        <w:numPr>
          <w:ilvl w:val="1"/>
          <w:numId w:val="28"/>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7" w:lineRule="exact"/>
        <w:rPr>
          <w:rFonts w:ascii="Arial" w:cs="Arial" w:eastAsia="Arial" w:hAnsi="Arial"/>
          <w:sz w:val="18"/>
          <w:szCs w:val="18"/>
          <w:color w:val="auto"/>
        </w:rPr>
      </w:pPr>
    </w:p>
    <w:p>
      <w:pPr>
        <w:ind w:left="980" w:right="220" w:hanging="324"/>
        <w:spacing w:after="0" w:line="256" w:lineRule="auto"/>
        <w:tabs>
          <w:tab w:leader="none" w:pos="980" w:val="left"/>
        </w:tabs>
        <w:numPr>
          <w:ilvl w:val="1"/>
          <w:numId w:val="2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47" w:lineRule="exact"/>
        <w:rPr>
          <w:rFonts w:ascii="Arial" w:cs="Arial" w:eastAsia="Arial" w:hAnsi="Arial"/>
          <w:sz w:val="18"/>
          <w:szCs w:val="18"/>
          <w:color w:val="auto"/>
        </w:rPr>
      </w:pPr>
    </w:p>
    <w:p>
      <w:pPr>
        <w:ind w:left="340" w:hanging="332"/>
        <w:spacing w:after="0" w:line="291" w:lineRule="auto"/>
        <w:tabs>
          <w:tab w:leader="none" w:pos="340" w:val="left"/>
        </w:tabs>
        <w:numPr>
          <w:ilvl w:val="0"/>
          <w:numId w:val="28"/>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0" w:lineRule="exact"/>
        <w:rPr>
          <w:rFonts w:ascii="Arial" w:cs="Arial" w:eastAsia="Arial" w:hAnsi="Arial"/>
          <w:sz w:val="17"/>
          <w:szCs w:val="17"/>
          <w:color w:val="auto"/>
        </w:rPr>
      </w:pPr>
    </w:p>
    <w:p>
      <w:pPr>
        <w:ind w:left="980" w:right="100" w:hanging="324"/>
        <w:spacing w:after="0" w:line="291" w:lineRule="auto"/>
        <w:tabs>
          <w:tab w:leader="none" w:pos="980" w:val="left"/>
        </w:tabs>
        <w:numPr>
          <w:ilvl w:val="1"/>
          <w:numId w:val="28"/>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0" w:lineRule="exact"/>
        <w:rPr>
          <w:rFonts w:ascii="Arial" w:cs="Arial" w:eastAsia="Arial" w:hAnsi="Arial"/>
          <w:sz w:val="17"/>
          <w:szCs w:val="17"/>
          <w:color w:val="auto"/>
        </w:rPr>
      </w:pPr>
    </w:p>
    <w:p>
      <w:pPr>
        <w:ind w:left="980" w:right="320" w:hanging="324"/>
        <w:spacing w:after="0" w:line="262" w:lineRule="auto"/>
        <w:tabs>
          <w:tab w:leader="none" w:pos="980" w:val="left"/>
        </w:tabs>
        <w:numPr>
          <w:ilvl w:val="1"/>
          <w:numId w:val="2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31" w:lineRule="exact"/>
        <w:rPr>
          <w:sz w:val="20"/>
          <w:szCs w:val="20"/>
          <w:color w:val="auto"/>
        </w:rPr>
      </w:pPr>
    </w:p>
    <w:p>
      <w:pPr>
        <w:ind w:left="40"/>
        <w:spacing w:after="0"/>
        <w:tabs>
          <w:tab w:leader="none" w:pos="680" w:val="left"/>
        </w:tabs>
        <w:rPr>
          <w:sz w:val="20"/>
          <w:szCs w:val="20"/>
          <w:color w:val="auto"/>
        </w:rPr>
      </w:pPr>
      <w:r>
        <w:rPr>
          <w:rFonts w:ascii="Arial" w:cs="Arial" w:eastAsia="Arial" w:hAnsi="Arial"/>
          <w:sz w:val="18"/>
          <w:szCs w:val="18"/>
          <w:color w:val="auto"/>
        </w:rPr>
        <w:t>Date:</w:t>
        <w:tab/>
        <w:t>April 27, 2018</w:t>
      </w:r>
    </w:p>
    <w:p>
      <w:pPr>
        <w:spacing w:after="0" w:line="374" w:lineRule="exact"/>
        <w:rPr>
          <w:sz w:val="20"/>
          <w:szCs w:val="20"/>
          <w:color w:val="auto"/>
        </w:rPr>
      </w:pPr>
    </w:p>
    <w:p>
      <w:pPr>
        <w:ind w:left="40"/>
        <w:spacing w:after="0"/>
        <w:tabs>
          <w:tab w:leader="none" w:pos="10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/s/David A. Ricks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425450</wp:posOffset>
            </wp:positionH>
            <wp:positionV relativeFrom="paragraph">
              <wp:posOffset>14605</wp:posOffset>
            </wp:positionV>
            <wp:extent cx="374777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0">
                      <a:extLst>
                        <a:ext uri="{28A0092B-C50C-407E-A947-70E740481C1C}"/>
                      </a:extLst>
                    </a:blip>
                    <a:srcRect/>
                    <a:stretch>
                      <a:fillRect/>
                    </a:stretch>
                  </pic:blipFill>
                  <pic:spPr bwMode="auto">
                    <a:xfrm>
                      <a:off x="0" y="0"/>
                      <a:ext cx="3747770" cy="8890"/>
                    </a:xfrm>
                    <a:prstGeom prst="rect">
                      <a:avLst/>
                    </a:prstGeom>
                    <a:noFill/>
                  </pic:spPr>
                </pic:pic>
              </a:graphicData>
            </a:graphic>
          </wp:anchor>
        </w:drawing>
      </w:r>
    </w:p>
    <w:p>
      <w:pPr>
        <w:spacing w:after="0" w:line="43"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David A. Ricks</w:t>
      </w:r>
    </w:p>
    <w:p>
      <w:pPr>
        <w:spacing w:after="0" w:line="63"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Chairman, President, and Chief Executive Officer</w:t>
      </w:r>
    </w:p>
    <w:p>
      <w:pPr>
        <w:sectPr>
          <w:pgSz w:w="11900" w:h="16838" w:orient="portrait"/>
          <w:cols w:equalWidth="0" w:num="1">
            <w:col w:w="11400"/>
          </w:cols>
          <w:pgMar w:left="240" w:top="841" w:right="259" w:bottom="1440" w:gutter="0" w:footer="0" w:header="0"/>
        </w:sectPr>
      </w:pPr>
    </w:p>
    <w:bookmarkStart w:id="51" w:name="page52"/>
    <w:bookmarkEnd w:id="51"/>
    <w:p>
      <w:pPr>
        <w:spacing w:after="0"/>
        <w:rPr>
          <w:sz w:val="20"/>
          <w:szCs w:val="20"/>
          <w:color w:val="auto"/>
        </w:rPr>
      </w:pPr>
      <w:r>
        <w:rPr>
          <w:rFonts w:ascii="Arial" w:cs="Arial" w:eastAsia="Arial" w:hAnsi="Arial"/>
          <w:sz w:val="18"/>
          <w:szCs w:val="18"/>
          <w:color w:val="auto"/>
        </w:rPr>
        <w:t>EXHIBIT 31.2 Rule 13a-14(a) Certification of Joshua L. Smiley, Senior Vice President and Chief Financial Officer</w:t>
      </w:r>
    </w:p>
    <w:p>
      <w:pPr>
        <w:spacing w:after="0" w:line="23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CERTIFICATIONS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I, Joshua L. Smiley, certify that:</w:t>
      </w:r>
    </w:p>
    <w:p>
      <w:pPr>
        <w:spacing w:after="0" w:line="171" w:lineRule="exact"/>
        <w:rPr>
          <w:sz w:val="20"/>
          <w:szCs w:val="20"/>
          <w:color w:val="auto"/>
        </w:rPr>
      </w:pPr>
    </w:p>
    <w:p>
      <w:pPr>
        <w:ind w:left="340" w:hanging="332"/>
        <w:spacing w:after="0"/>
        <w:tabs>
          <w:tab w:leader="none" w:pos="3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 have reviewed this report on Form 10-Q of Eli Lilly and Company;</w:t>
      </w:r>
    </w:p>
    <w:p>
      <w:pPr>
        <w:spacing w:after="0" w:line="171" w:lineRule="exact"/>
        <w:rPr>
          <w:rFonts w:ascii="Arial" w:cs="Arial" w:eastAsia="Arial" w:hAnsi="Arial"/>
          <w:sz w:val="18"/>
          <w:szCs w:val="18"/>
          <w:color w:val="auto"/>
        </w:rPr>
      </w:pPr>
    </w:p>
    <w:p>
      <w:pPr>
        <w:ind w:left="340" w:right="220" w:hanging="332"/>
        <w:spacing w:after="0" w:line="256" w:lineRule="auto"/>
        <w:tabs>
          <w:tab w:leader="none" w:pos="3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7" w:lineRule="exact"/>
        <w:rPr>
          <w:rFonts w:ascii="Arial" w:cs="Arial" w:eastAsia="Arial" w:hAnsi="Arial"/>
          <w:sz w:val="18"/>
          <w:szCs w:val="18"/>
          <w:color w:val="auto"/>
        </w:rPr>
      </w:pPr>
    </w:p>
    <w:p>
      <w:pPr>
        <w:ind w:left="340" w:right="320" w:hanging="332"/>
        <w:spacing w:after="0" w:line="291" w:lineRule="auto"/>
        <w:tabs>
          <w:tab w:leader="none" w:pos="340" w:val="left"/>
        </w:tabs>
        <w:numPr>
          <w:ilvl w:val="0"/>
          <w:numId w:val="2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0" w:lineRule="exact"/>
        <w:rPr>
          <w:rFonts w:ascii="Arial" w:cs="Arial" w:eastAsia="Arial" w:hAnsi="Arial"/>
          <w:sz w:val="17"/>
          <w:szCs w:val="17"/>
          <w:color w:val="auto"/>
        </w:rPr>
      </w:pPr>
    </w:p>
    <w:p>
      <w:pPr>
        <w:ind w:left="340" w:right="300" w:hanging="332"/>
        <w:spacing w:after="0" w:line="265" w:lineRule="auto"/>
        <w:tabs>
          <w:tab w:leader="none" w:pos="340" w:val="left"/>
        </w:tabs>
        <w:numPr>
          <w:ilvl w:val="0"/>
          <w:numId w:val="29"/>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w:t>
      </w:r>
    </w:p>
    <w:p>
      <w:pPr>
        <w:ind w:left="340"/>
        <w:spacing w:after="0"/>
        <w:rPr>
          <w:rFonts w:ascii="Arial" w:cs="Arial" w:eastAsia="Arial" w:hAnsi="Arial"/>
          <w:sz w:val="17"/>
          <w:szCs w:val="17"/>
          <w:color w:val="auto"/>
        </w:rPr>
      </w:pPr>
      <w:r>
        <w:rPr>
          <w:rFonts w:ascii="Arial" w:cs="Arial" w:eastAsia="Arial" w:hAnsi="Arial"/>
          <w:sz w:val="18"/>
          <w:szCs w:val="18"/>
          <w:color w:val="auto"/>
        </w:rPr>
        <w:t>13a-15(f) and 15d-15(f)) for the registrant and have:</w:t>
      </w:r>
    </w:p>
    <w:p>
      <w:pPr>
        <w:spacing w:after="0" w:line="171" w:lineRule="exact"/>
        <w:rPr>
          <w:rFonts w:ascii="Arial" w:cs="Arial" w:eastAsia="Arial" w:hAnsi="Arial"/>
          <w:sz w:val="17"/>
          <w:szCs w:val="17"/>
          <w:color w:val="auto"/>
        </w:rPr>
      </w:pPr>
    </w:p>
    <w:p>
      <w:pPr>
        <w:jc w:val="both"/>
        <w:ind w:left="980" w:right="140" w:hanging="324"/>
        <w:spacing w:after="0" w:line="256" w:lineRule="auto"/>
        <w:tabs>
          <w:tab w:leader="none" w:pos="980" w:val="left"/>
        </w:tabs>
        <w:numPr>
          <w:ilvl w:val="1"/>
          <w:numId w:val="2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7" w:lineRule="exact"/>
        <w:rPr>
          <w:rFonts w:ascii="Arial" w:cs="Arial" w:eastAsia="Arial" w:hAnsi="Arial"/>
          <w:sz w:val="18"/>
          <w:szCs w:val="18"/>
          <w:color w:val="auto"/>
        </w:rPr>
      </w:pPr>
    </w:p>
    <w:p>
      <w:pPr>
        <w:ind w:left="980" w:right="480" w:hanging="324"/>
        <w:spacing w:after="0" w:line="256" w:lineRule="auto"/>
        <w:tabs>
          <w:tab w:leader="none" w:pos="980" w:val="left"/>
        </w:tabs>
        <w:numPr>
          <w:ilvl w:val="1"/>
          <w:numId w:val="2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7" w:lineRule="exact"/>
        <w:rPr>
          <w:rFonts w:ascii="Arial" w:cs="Arial" w:eastAsia="Arial" w:hAnsi="Arial"/>
          <w:sz w:val="18"/>
          <w:szCs w:val="18"/>
          <w:color w:val="auto"/>
        </w:rPr>
      </w:pPr>
    </w:p>
    <w:p>
      <w:pPr>
        <w:ind w:left="980" w:right="40" w:hanging="324"/>
        <w:spacing w:after="0" w:line="256" w:lineRule="auto"/>
        <w:tabs>
          <w:tab w:leader="none" w:pos="980" w:val="left"/>
        </w:tabs>
        <w:numPr>
          <w:ilvl w:val="1"/>
          <w:numId w:val="29"/>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7" w:lineRule="exact"/>
        <w:rPr>
          <w:rFonts w:ascii="Arial" w:cs="Arial" w:eastAsia="Arial" w:hAnsi="Arial"/>
          <w:sz w:val="18"/>
          <w:szCs w:val="18"/>
          <w:color w:val="auto"/>
        </w:rPr>
      </w:pPr>
    </w:p>
    <w:p>
      <w:pPr>
        <w:ind w:left="980" w:right="220" w:hanging="324"/>
        <w:spacing w:after="0" w:line="256" w:lineRule="auto"/>
        <w:tabs>
          <w:tab w:leader="none" w:pos="980" w:val="left"/>
        </w:tabs>
        <w:numPr>
          <w:ilvl w:val="1"/>
          <w:numId w:val="2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47" w:lineRule="exact"/>
        <w:rPr>
          <w:rFonts w:ascii="Arial" w:cs="Arial" w:eastAsia="Arial" w:hAnsi="Arial"/>
          <w:sz w:val="18"/>
          <w:szCs w:val="18"/>
          <w:color w:val="auto"/>
        </w:rPr>
      </w:pPr>
    </w:p>
    <w:p>
      <w:pPr>
        <w:ind w:left="340" w:hanging="332"/>
        <w:spacing w:after="0" w:line="291" w:lineRule="auto"/>
        <w:tabs>
          <w:tab w:leader="none" w:pos="340" w:val="left"/>
        </w:tabs>
        <w:numPr>
          <w:ilvl w:val="0"/>
          <w:numId w:val="29"/>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0" w:lineRule="exact"/>
        <w:rPr>
          <w:rFonts w:ascii="Arial" w:cs="Arial" w:eastAsia="Arial" w:hAnsi="Arial"/>
          <w:sz w:val="17"/>
          <w:szCs w:val="17"/>
          <w:color w:val="auto"/>
        </w:rPr>
      </w:pPr>
    </w:p>
    <w:p>
      <w:pPr>
        <w:ind w:left="980" w:right="100" w:hanging="324"/>
        <w:spacing w:after="0" w:line="291" w:lineRule="auto"/>
        <w:tabs>
          <w:tab w:leader="none" w:pos="980" w:val="left"/>
        </w:tabs>
        <w:numPr>
          <w:ilvl w:val="1"/>
          <w:numId w:val="29"/>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0" w:lineRule="exact"/>
        <w:rPr>
          <w:rFonts w:ascii="Arial" w:cs="Arial" w:eastAsia="Arial" w:hAnsi="Arial"/>
          <w:sz w:val="17"/>
          <w:szCs w:val="17"/>
          <w:color w:val="auto"/>
        </w:rPr>
      </w:pPr>
    </w:p>
    <w:p>
      <w:pPr>
        <w:ind w:left="980" w:right="320" w:hanging="324"/>
        <w:spacing w:after="0" w:line="262" w:lineRule="auto"/>
        <w:tabs>
          <w:tab w:leader="none" w:pos="980" w:val="left"/>
        </w:tabs>
        <w:numPr>
          <w:ilvl w:val="1"/>
          <w:numId w:val="2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31" w:lineRule="exact"/>
        <w:rPr>
          <w:sz w:val="20"/>
          <w:szCs w:val="20"/>
          <w:color w:val="auto"/>
        </w:rPr>
      </w:pPr>
    </w:p>
    <w:p>
      <w:pPr>
        <w:ind w:left="40"/>
        <w:spacing w:after="0"/>
        <w:tabs>
          <w:tab w:leader="none" w:pos="680" w:val="left"/>
        </w:tabs>
        <w:rPr>
          <w:sz w:val="20"/>
          <w:szCs w:val="20"/>
          <w:color w:val="auto"/>
        </w:rPr>
      </w:pPr>
      <w:r>
        <w:rPr>
          <w:rFonts w:ascii="Arial" w:cs="Arial" w:eastAsia="Arial" w:hAnsi="Arial"/>
          <w:sz w:val="18"/>
          <w:szCs w:val="18"/>
          <w:color w:val="auto"/>
        </w:rPr>
        <w:t>Date:</w:t>
        <w:tab/>
        <w:t>April 27, 2018</w:t>
      </w:r>
    </w:p>
    <w:p>
      <w:pPr>
        <w:spacing w:after="0" w:line="374" w:lineRule="exact"/>
        <w:rPr>
          <w:sz w:val="20"/>
          <w:szCs w:val="20"/>
          <w:color w:val="auto"/>
        </w:rPr>
      </w:pPr>
    </w:p>
    <w:p>
      <w:pPr>
        <w:ind w:left="40"/>
        <w:spacing w:after="0"/>
        <w:tabs>
          <w:tab w:leader="none" w:pos="10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Joshua L. Smiley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425450</wp:posOffset>
            </wp:positionH>
            <wp:positionV relativeFrom="paragraph">
              <wp:posOffset>14605</wp:posOffset>
            </wp:positionV>
            <wp:extent cx="374777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1">
                      <a:extLst>
                        <a:ext uri="{28A0092B-C50C-407E-A947-70E740481C1C}"/>
                      </a:extLst>
                    </a:blip>
                    <a:srcRect/>
                    <a:stretch>
                      <a:fillRect/>
                    </a:stretch>
                  </pic:blipFill>
                  <pic:spPr bwMode="auto">
                    <a:xfrm>
                      <a:off x="0" y="0"/>
                      <a:ext cx="3747770" cy="8890"/>
                    </a:xfrm>
                    <a:prstGeom prst="rect">
                      <a:avLst/>
                    </a:prstGeom>
                    <a:noFill/>
                  </pic:spPr>
                </pic:pic>
              </a:graphicData>
            </a:graphic>
          </wp:anchor>
        </w:drawing>
      </w:r>
    </w:p>
    <w:p>
      <w:pPr>
        <w:spacing w:after="0" w:line="43"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Joshua L. Smiley</w:t>
      </w:r>
    </w:p>
    <w:p>
      <w:pPr>
        <w:spacing w:after="0" w:line="50"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Senior Vice President and Chief Financial Officer</w:t>
      </w:r>
    </w:p>
    <w:p>
      <w:pPr>
        <w:sectPr>
          <w:pgSz w:w="11900" w:h="16838" w:orient="portrait"/>
          <w:cols w:equalWidth="0" w:num="1">
            <w:col w:w="11400"/>
          </w:cols>
          <w:pgMar w:left="240" w:top="841" w:right="259" w:bottom="1440" w:gutter="0" w:footer="0" w:header="0"/>
        </w:sectPr>
      </w:pPr>
    </w:p>
    <w:bookmarkStart w:id="52" w:name="page53"/>
    <w:bookmarkEnd w:id="52"/>
    <w:p>
      <w:pPr>
        <w:spacing w:after="0"/>
        <w:rPr>
          <w:sz w:val="20"/>
          <w:szCs w:val="20"/>
          <w:color w:val="auto"/>
        </w:rPr>
      </w:pPr>
      <w:r>
        <w:rPr>
          <w:rFonts w:ascii="Arial" w:cs="Arial" w:eastAsia="Arial" w:hAnsi="Arial"/>
          <w:sz w:val="18"/>
          <w:szCs w:val="18"/>
          <w:color w:val="auto"/>
        </w:rPr>
        <w:t>EXHIBIT 32. Section 1350 Certification</w:t>
      </w:r>
    </w:p>
    <w:p>
      <w:pPr>
        <w:spacing w:after="0" w:line="171"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Pursuant to section 906 of the Sarbanes-Oxley Act of 2002 (subsections (a) and (b) of section 1350, chapter 63 of title 18, United States Code), each of the undersigned officers of Eli Lilly and Company, an Indiana corporation (the “Company”), does hereby certify that, to the best of their knowledge:</w:t>
      </w:r>
    </w:p>
    <w:p>
      <w:pPr>
        <w:spacing w:after="0" w:line="148"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The Quarterly Report on Form 10-Q for the quarter ended March 31, 2018 (the “Form 10-Q”) of the Company fully complies with the requirements of section 13(a) or 15(d) of the Securities Exchange Act of 1934 and information contained in the Form 10-Q fairly presents, in all material respects, the financial condition and results of operations of the Company.</w:t>
      </w:r>
    </w:p>
    <w:p>
      <w:pPr>
        <w:spacing w:after="0" w:line="337" w:lineRule="exact"/>
        <w:rPr>
          <w:sz w:val="20"/>
          <w:szCs w:val="20"/>
          <w:color w:val="auto"/>
        </w:rPr>
      </w:pPr>
    </w:p>
    <w:p>
      <w:pPr>
        <w:ind w:left="40"/>
        <w:spacing w:after="0"/>
        <w:tabs>
          <w:tab w:leader="none" w:pos="700" w:val="left"/>
          <w:tab w:leader="none" w:pos="5960" w:val="left"/>
        </w:tabs>
        <w:rPr>
          <w:sz w:val="20"/>
          <w:szCs w:val="20"/>
          <w:color w:val="auto"/>
        </w:rPr>
      </w:pPr>
      <w:r>
        <w:rPr>
          <w:rFonts w:ascii="Arial" w:cs="Arial" w:eastAsia="Arial" w:hAnsi="Arial"/>
          <w:sz w:val="18"/>
          <w:szCs w:val="18"/>
          <w:color w:val="auto"/>
        </w:rPr>
        <w:t>Date:</w:t>
        <w:tab/>
        <w:t>April 27, 2018</w:t>
      </w:r>
      <w:r>
        <w:rPr>
          <w:sz w:val="20"/>
          <w:szCs w:val="20"/>
          <w:color w:val="auto"/>
        </w:rPr>
        <w:tab/>
      </w:r>
      <w:r>
        <w:rPr>
          <w:rFonts w:ascii="Arial" w:cs="Arial" w:eastAsia="Arial" w:hAnsi="Arial"/>
          <w:sz w:val="17"/>
          <w:szCs w:val="17"/>
          <w:color w:val="auto"/>
        </w:rPr>
        <w:t>/s/David A. Ricks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14605</wp:posOffset>
            </wp:positionV>
            <wp:extent cx="3618865"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2">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4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David A. Ricks</w:t>
      </w:r>
    </w:p>
    <w:p>
      <w:pPr>
        <w:spacing w:after="0" w:line="6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Chairman, President, and 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40"/>
        <w:spacing w:after="0"/>
        <w:tabs>
          <w:tab w:leader="none" w:pos="700" w:val="left"/>
          <w:tab w:leader="none" w:pos="5960" w:val="left"/>
        </w:tabs>
        <w:rPr>
          <w:sz w:val="20"/>
          <w:szCs w:val="20"/>
          <w:color w:val="auto"/>
        </w:rPr>
      </w:pPr>
      <w:r>
        <w:rPr>
          <w:rFonts w:ascii="Arial" w:cs="Arial" w:eastAsia="Arial" w:hAnsi="Arial"/>
          <w:sz w:val="18"/>
          <w:szCs w:val="18"/>
          <w:color w:val="auto"/>
        </w:rPr>
        <w:t>Date:</w:t>
        <w:tab/>
        <w:t>April 27, 2018</w:t>
      </w:r>
      <w:r>
        <w:rPr>
          <w:sz w:val="20"/>
          <w:szCs w:val="20"/>
          <w:color w:val="auto"/>
        </w:rPr>
        <w:tab/>
      </w:r>
      <w:r>
        <w:rPr>
          <w:rFonts w:ascii="Arial" w:cs="Arial" w:eastAsia="Arial" w:hAnsi="Arial"/>
          <w:sz w:val="17"/>
          <w:szCs w:val="17"/>
          <w:color w:val="auto"/>
        </w:rPr>
        <w:t>/s/Joshua L. Smiley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14605</wp:posOffset>
            </wp:positionV>
            <wp:extent cx="3618865"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3">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4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Joshua L. Smiley</w:t>
      </w:r>
    </w:p>
    <w:p>
      <w:pPr>
        <w:spacing w:after="0" w:line="50"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Senior Vice President and Chief Financial Officer</w:t>
      </w:r>
    </w:p>
    <w:sectPr>
      <w:pgSz w:w="11900" w:h="16838" w:orient="portrait"/>
      <w:cols w:equalWidth="0" w:num="1">
        <w:col w:w="11360"/>
      </w:cols>
      <w:pgMar w:left="240" w:top="760" w:right="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BEFD79F"/>
    <w:multiLevelType w:val="hybridMultilevel"/>
    <w:lvl w:ilvl="0">
      <w:lvlJc w:val="left"/>
      <w:lvlText w:val="•"/>
      <w:numFmt w:val="bullet"/>
      <w:start w:val="1"/>
    </w:lvl>
  </w:abstractNum>
  <w:abstractNum w:abstractNumId="1">
    <w:nsid w:val="41A7C4C9"/>
    <w:multiLevelType w:val="hybridMultilevel"/>
    <w:lvl w:ilvl="0">
      <w:lvlJc w:val="left"/>
      <w:lvlText w:val="(%1)"/>
      <w:numFmt w:val="decimal"/>
      <w:start w:val="1"/>
    </w:lvl>
  </w:abstractNum>
  <w:abstractNum w:abstractNumId="2">
    <w:nsid w:val="6B68079A"/>
    <w:multiLevelType w:val="hybridMultilevel"/>
    <w:lvl w:ilvl="0">
      <w:lvlJc w:val="left"/>
      <w:lvlText w:val="•"/>
      <w:numFmt w:val="bullet"/>
      <w:start w:val="1"/>
    </w:lvl>
  </w:abstractNum>
  <w:abstractNum w:abstractNumId="3">
    <w:nsid w:val="4E6AFB66"/>
    <w:multiLevelType w:val="hybridMultilevel"/>
    <w:lvl w:ilvl="0">
      <w:lvlJc w:val="left"/>
      <w:lvlText w:val="•"/>
      <w:numFmt w:val="bullet"/>
      <w:start w:val="1"/>
    </w:lvl>
  </w:abstractNum>
  <w:abstractNum w:abstractNumId="4">
    <w:nsid w:val="25E45D32"/>
    <w:multiLevelType w:val="hybridMultilevel"/>
    <w:lvl w:ilvl="0">
      <w:lvlJc w:val="left"/>
      <w:lvlText w:val="•"/>
      <w:numFmt w:val="bullet"/>
      <w:start w:val="1"/>
    </w:lvl>
  </w:abstractNum>
  <w:abstractNum w:abstractNumId="5">
    <w:nsid w:val="519B500D"/>
    <w:multiLevelType w:val="hybridMultilevel"/>
    <w:lvl w:ilvl="0">
      <w:lvlJc w:val="left"/>
      <w:lvlText w:val="•"/>
      <w:numFmt w:val="bullet"/>
      <w:start w:val="1"/>
    </w:lvl>
  </w:abstractNum>
  <w:abstractNum w:abstractNumId="6">
    <w:nsid w:val="431BD7B7"/>
    <w:multiLevelType w:val="hybridMultilevel"/>
    <w:lvl w:ilvl="0">
      <w:lvlJc w:val="left"/>
      <w:lvlText w:val="(%1)"/>
      <w:numFmt w:val="decimal"/>
      <w:start w:val="1"/>
    </w:lvl>
  </w:abstractNum>
  <w:abstractNum w:abstractNumId="7">
    <w:nsid w:val="3F2DBA31"/>
    <w:multiLevelType w:val="hybridMultilevel"/>
    <w:lvl w:ilvl="0">
      <w:lvlJc w:val="left"/>
      <w:lvlText w:val="(%1)"/>
      <w:numFmt w:val="decimal"/>
      <w:start w:val="1"/>
    </w:lvl>
  </w:abstractNum>
  <w:abstractNum w:abstractNumId="8">
    <w:nsid w:val="7C83E458"/>
    <w:multiLevelType w:val="hybridMultilevel"/>
    <w:lvl w:ilvl="0">
      <w:lvlJc w:val="left"/>
      <w:lvlText w:val="(%1)"/>
      <w:numFmt w:val="decimal"/>
      <w:start w:val="1"/>
    </w:lvl>
  </w:abstractNum>
  <w:abstractNum w:abstractNumId="9">
    <w:nsid w:val="257130A3"/>
    <w:multiLevelType w:val="hybridMultilevel"/>
    <w:lvl w:ilvl="0">
      <w:lvlJc w:val="left"/>
      <w:lvlText w:val="$"/>
      <w:numFmt w:val="bullet"/>
      <w:start w:val="1"/>
    </w:lvl>
  </w:abstractNum>
  <w:abstractNum w:abstractNumId="10">
    <w:nsid w:val="62BBD95A"/>
    <w:multiLevelType w:val="hybridMultilevel"/>
    <w:lvl w:ilvl="0">
      <w:lvlJc w:val="left"/>
      <w:lvlText w:val="(%1)"/>
      <w:numFmt w:val="decimal"/>
      <w:start w:val="1"/>
    </w:lvl>
  </w:abstractNum>
  <w:abstractNum w:abstractNumId="11">
    <w:nsid w:val="436C6125"/>
    <w:multiLevelType w:val="hybridMultilevel"/>
    <w:lvl w:ilvl="0">
      <w:lvlJc w:val="left"/>
      <w:lvlText w:val="(%1)"/>
      <w:numFmt w:val="decimal"/>
      <w:start w:val="1"/>
    </w:lvl>
  </w:abstractNum>
  <w:abstractNum w:abstractNumId="12">
    <w:nsid w:val="628C895D"/>
    <w:multiLevelType w:val="hybridMultilevel"/>
    <w:lvl w:ilvl="0">
      <w:lvlJc w:val="left"/>
      <w:lvlText w:val="(%1)"/>
      <w:numFmt w:val="decimal"/>
      <w:start w:val="1"/>
    </w:lvl>
  </w:abstractNum>
  <w:abstractNum w:abstractNumId="13">
    <w:nsid w:val="333AB105"/>
    <w:multiLevelType w:val="hybridMultilevel"/>
    <w:lvl w:ilvl="0">
      <w:lvlJc w:val="left"/>
      <w:lvlText w:val="(%1)"/>
      <w:numFmt w:val="decimal"/>
      <w:start w:val="1"/>
    </w:lvl>
  </w:abstractNum>
  <w:abstractNum w:abstractNumId="14">
    <w:nsid w:val="721DA317"/>
    <w:multiLevelType w:val="hybridMultilevel"/>
    <w:lvl w:ilvl="0">
      <w:lvlJc w:val="left"/>
      <w:lvlText w:val="(%1)"/>
      <w:numFmt w:val="decimal"/>
      <w:start w:val="1"/>
    </w:lvl>
  </w:abstractNum>
  <w:abstractNum w:abstractNumId="15">
    <w:nsid w:val="2443A858"/>
    <w:multiLevelType w:val="hybridMultilevel"/>
    <w:lvl w:ilvl="0">
      <w:lvlJc w:val="left"/>
      <w:lvlText w:val="(%1)"/>
      <w:numFmt w:val="decimal"/>
      <w:start w:val="1"/>
    </w:lvl>
  </w:abstractNum>
  <w:abstractNum w:abstractNumId="16">
    <w:nsid w:val="2D1D5AE9"/>
    <w:multiLevelType w:val="hybridMultilevel"/>
    <w:lvl w:ilvl="0">
      <w:lvlJc w:val="left"/>
      <w:lvlText w:val="(%1)"/>
      <w:numFmt w:val="decimal"/>
      <w:start w:val="1"/>
    </w:lvl>
  </w:abstractNum>
  <w:abstractNum w:abstractNumId="17">
    <w:nsid w:val="6763845E"/>
    <w:multiLevelType w:val="hybridMultilevel"/>
    <w:lvl w:ilvl="0">
      <w:lvlJc w:val="left"/>
      <w:lvlText w:val="•"/>
      <w:numFmt w:val="bullet"/>
      <w:start w:val="1"/>
    </w:lvl>
  </w:abstractNum>
  <w:abstractNum w:abstractNumId="18">
    <w:nsid w:val="75A2A8D4"/>
    <w:multiLevelType w:val="hybridMultilevel"/>
    <w:lvl w:ilvl="0">
      <w:lvlJc w:val="left"/>
      <w:lvlText w:val="•"/>
      <w:numFmt w:val="bullet"/>
      <w:start w:val="1"/>
    </w:lvl>
  </w:abstractNum>
  <w:abstractNum w:abstractNumId="19">
    <w:nsid w:val="8EDBDAB"/>
    <w:multiLevelType w:val="hybridMultilevel"/>
    <w:lvl w:ilvl="0">
      <w:lvlJc w:val="left"/>
      <w:lvlText w:val="•"/>
      <w:numFmt w:val="bullet"/>
      <w:start w:val="1"/>
    </w:lvl>
  </w:abstractNum>
  <w:abstractNum w:abstractNumId="20">
    <w:nsid w:val="79838CB2"/>
    <w:multiLevelType w:val="hybridMultilevel"/>
    <w:lvl w:ilvl="0">
      <w:lvlJc w:val="left"/>
      <w:lvlText w:val="*"/>
      <w:numFmt w:val="bullet"/>
      <w:start w:val="1"/>
    </w:lvl>
  </w:abstractNum>
  <w:abstractNum w:abstractNumId="21">
    <w:nsid w:val="4353D0CD"/>
    <w:multiLevelType w:val="hybridMultilevel"/>
    <w:lvl w:ilvl="0">
      <w:lvlJc w:val="left"/>
      <w:lvlText w:val="(%1)"/>
      <w:numFmt w:val="decimal"/>
      <w:start w:val="1"/>
    </w:lvl>
  </w:abstractNum>
  <w:abstractNum w:abstractNumId="22">
    <w:nsid w:val="B03E0C6"/>
    <w:multiLevelType w:val="hybridMultilevel"/>
    <w:lvl w:ilvl="0">
      <w:lvlJc w:val="left"/>
      <w:lvlText w:val="•"/>
      <w:numFmt w:val="bullet"/>
      <w:start w:val="1"/>
    </w:lvl>
  </w:abstractNum>
  <w:abstractNum w:abstractNumId="23">
    <w:nsid w:val="189A769B"/>
    <w:multiLevelType w:val="hybridMultilevel"/>
    <w:lvl w:ilvl="0">
      <w:lvlJc w:val="left"/>
      <w:lvlText w:val="(%1)"/>
      <w:numFmt w:val="decimal"/>
      <w:start w:val="1"/>
    </w:lvl>
  </w:abstractNum>
  <w:abstractNum w:abstractNumId="24">
    <w:nsid w:val="54E49EB4"/>
    <w:multiLevelType w:val="hybridMultilevel"/>
    <w:lvl w:ilvl="0">
      <w:lvlJc w:val="left"/>
      <w:lvlText w:val="(%1)"/>
      <w:numFmt w:val="lowerLetter"/>
      <w:start w:val="1"/>
    </w:lvl>
  </w:abstractNum>
  <w:abstractNum w:abstractNumId="25">
    <w:nsid w:val="71F32454"/>
    <w:multiLevelType w:val="hybridMultilevel"/>
    <w:lvl w:ilvl="0">
      <w:lvlJc w:val="left"/>
      <w:lvlText w:val="•"/>
      <w:numFmt w:val="bullet"/>
      <w:start w:val="1"/>
    </w:lvl>
  </w:abstractNum>
  <w:abstractNum w:abstractNumId="26">
    <w:nsid w:val="2CA88611"/>
    <w:multiLevelType w:val="hybridMultilevel"/>
    <w:lvl w:ilvl="0">
      <w:lvlJc w:val="left"/>
      <w:lvlText w:val="(%1)"/>
      <w:numFmt w:val="decimal"/>
      <w:start w:val="1"/>
    </w:lvl>
  </w:abstractNum>
  <w:abstractNum w:abstractNumId="27">
    <w:nsid w:val="836C40E"/>
    <w:multiLevelType w:val="hybridMultilevel"/>
    <w:lvl w:ilvl="0">
      <w:lvlJc w:val="left"/>
      <w:lvlText w:val="%1."/>
      <w:numFmt w:val="decimal"/>
      <w:start w:val="1"/>
    </w:lvl>
    <w:lvl w:ilvl="1">
      <w:lvlJc w:val="left"/>
      <w:lvlText w:val="%2)"/>
      <w:numFmt w:val="lowerLetter"/>
      <w:start w:val="1"/>
    </w:lvl>
  </w:abstractNum>
  <w:abstractNum w:abstractNumId="28">
    <w:nsid w:val="2901D82"/>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60" Type="http://schemas.openxmlformats.org/officeDocument/2006/relationships/image" Target="media/image51.png"/><Relationship Id="rId61" Type="http://schemas.openxmlformats.org/officeDocument/2006/relationships/image" Target="media/image52.png"/><Relationship Id="rId62" Type="http://schemas.openxmlformats.org/officeDocument/2006/relationships/image" Target="media/image53.png"/><Relationship Id="rId63" Type="http://schemas.openxmlformats.org/officeDocument/2006/relationships/image" Target="media/image54.png"/><Relationship Id="rId58" Type="http://schemas.openxmlformats.org/officeDocument/2006/relationships/hyperlink" Target="http://www.sec.gov/Archives/edgar/data/59478/000005947817000189/bylawsasamendment82917.htm" TargetMode="External"/><Relationship Id="rId59" Type="http://schemas.openxmlformats.org/officeDocument/2006/relationships/hyperlink" Target="http://www.sec.gov/Archives/edgar/data/59478/000005947814000078/lly-20131231x10kexhibit3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2019-12-28T23:22:20Z</dcterms:created>
  <dcterms:modified xsi:type="dcterms:W3CDTF">2019-12-28T23:22:20Z</dcterms:modified>
</cp:coreProperties>
</file>