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Leap Therapeutics,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52187K101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w:t>
      </w:r>
    </w:p>
    <w:p>
      <w:pPr>
        <w:spacing w:after="0" w:line="46"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664" w:right="8180" w:hanging="417"/>
        <w:spacing w:after="0" w:line="457" w:lineRule="auto"/>
        <w:tabs>
          <w:tab w:leader="none" w:pos="664"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 Eli Lilly and Company</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20" w:hanging="417"/>
        <w:spacing w:after="0" w:line="406" w:lineRule="auto"/>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Indiana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3,151,605</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3,151,605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460" w:hanging="41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3,151,605</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4" w:right="320" w:hanging="424"/>
        <w:spacing w:after="0" w:line="258"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1,331,847 shares of common stock, par value $0.001 per share, of Leap Therapeutics, Inc. issuable upon the exercise of a currently-exercisable warrant.</w:t>
      </w:r>
    </w:p>
    <w:p>
      <w:pPr>
        <w:spacing w:after="0" w:line="1" w:lineRule="exact"/>
        <w:rPr>
          <w:rFonts w:ascii="Arial" w:cs="Arial" w:eastAsia="Arial" w:hAnsi="Arial"/>
          <w:sz w:val="15"/>
          <w:szCs w:val="15"/>
          <w:color w:val="auto"/>
        </w:rPr>
      </w:pPr>
    </w:p>
    <w:p>
      <w:pPr>
        <w:jc w:val="both"/>
        <w:ind w:left="424" w:right="620" w:hanging="424"/>
        <w:spacing w:after="0" w:line="255"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percentage is calculated based upon 88,318,454 shares of common stock outstanding, as set forth in the Issuer’s Quarterly Report on Form 10-Q, filed on November 12, 2021, in addition to the 1,331,847 shares of common stock issuable upon the exercise of a currently-exercisable warrant.</w:t>
      </w:r>
    </w:p>
    <w:p>
      <w:pPr>
        <w:sectPr>
          <w:pgSz w:w="11900" w:h="16838" w:orient="portrait"/>
          <w:cols w:equalWidth="0" w:num="1">
            <w:col w:w="10904"/>
          </w:cols>
          <w:pgMar w:left="436" w:top="287" w:right="55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Name of Issuer</w:t>
      </w:r>
    </w:p>
    <w:p>
      <w:pPr>
        <w:spacing w:after="0" w:line="135"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Leap Therapeutics, Inc.</w:t>
      </w:r>
    </w:p>
    <w:p>
      <w:pPr>
        <w:spacing w:after="0" w:line="130" w:lineRule="exact"/>
        <w:rPr>
          <w:rFonts w:ascii="Arial" w:cs="Arial" w:eastAsia="Arial" w:hAnsi="Arial"/>
          <w:sz w:val="18"/>
          <w:szCs w:val="18"/>
          <w:color w:val="auto"/>
        </w:rPr>
      </w:pPr>
    </w:p>
    <w:p>
      <w:pPr>
        <w:ind w:left="980" w:right="6480" w:hanging="552"/>
        <w:spacing w:after="0" w:line="263" w:lineRule="auto"/>
        <w:tabs>
          <w:tab w:leader="none" w:pos="961"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47 Thorndike Street, Suite B1-1 Cambridge, Massachusetts 02142</w:t>
      </w:r>
    </w:p>
    <w:p>
      <w:pPr>
        <w:spacing w:after="0" w:line="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Name of Person Filing</w:t>
      </w:r>
    </w:p>
    <w:p>
      <w:pPr>
        <w:spacing w:after="0" w:line="135"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Eli Lilly and Company</w:t>
      </w:r>
    </w:p>
    <w:p>
      <w:pPr>
        <w:spacing w:after="0" w:line="130" w:lineRule="exact"/>
        <w:rPr>
          <w:rFonts w:ascii="Arial" w:cs="Arial" w:eastAsia="Arial" w:hAnsi="Arial"/>
          <w:sz w:val="18"/>
          <w:szCs w:val="18"/>
          <w:color w:val="auto"/>
        </w:rPr>
      </w:pPr>
    </w:p>
    <w:p>
      <w:pPr>
        <w:ind w:left="980" w:right="7240" w:hanging="552"/>
        <w:spacing w:after="0" w:line="263" w:lineRule="auto"/>
        <w:tabs>
          <w:tab w:leader="none" w:pos="961"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c/o Lilly Corporate Center Indianapolis, Indiana 46285</w:t>
      </w:r>
    </w:p>
    <w:p>
      <w:pPr>
        <w:spacing w:after="0" w:line="89" w:lineRule="exact"/>
        <w:rPr>
          <w:rFonts w:ascii="Arial" w:cs="Arial" w:eastAsia="Arial" w:hAnsi="Arial"/>
          <w:sz w:val="18"/>
          <w:szCs w:val="18"/>
          <w:color w:val="auto"/>
        </w:rPr>
      </w:pPr>
    </w:p>
    <w:p>
      <w:pPr>
        <w:ind w:left="980" w:right="8520" w:hanging="552"/>
        <w:spacing w:after="0" w:line="431" w:lineRule="auto"/>
        <w:tabs>
          <w:tab w:leader="none" w:pos="961"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Indiana corporation</w:t>
      </w:r>
    </w:p>
    <w:p>
      <w:pPr>
        <w:ind w:left="980" w:right="7420" w:hanging="552"/>
        <w:spacing w:after="0" w:line="431" w:lineRule="auto"/>
        <w:tabs>
          <w:tab w:leader="none" w:pos="961"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 $0.0001 par value</w:t>
      </w:r>
    </w:p>
    <w:p>
      <w:pPr>
        <w:ind w:left="980" w:right="8760" w:hanging="552"/>
        <w:spacing w:after="0" w:line="428" w:lineRule="auto"/>
        <w:tabs>
          <w:tab w:leader="none" w:pos="961"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05370A108</w:t>
      </w:r>
    </w:p>
    <w:p>
      <w:pPr>
        <w:sectPr>
          <w:pgSz w:w="11900" w:h="16838" w:orient="portrait"/>
          <w:cols w:equalWidth="0" w:num="1">
            <w:col w:w="10920"/>
          </w:cols>
          <w:pgMar w:left="440" w:top="270" w:right="5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If this statement is filed pursuant to § 240.13d-1(b) or § 240.13d-2(b) or (c), check whether the person filing is a:</w:t>
      </w:r>
    </w:p>
    <w:p>
      <w:pPr>
        <w:spacing w:after="0" w:line="144" w:lineRule="exact"/>
        <w:rPr>
          <w:sz w:val="20"/>
          <w:szCs w:val="20"/>
          <w:color w:val="auto"/>
        </w:rPr>
      </w:pPr>
    </w:p>
    <w:p>
      <w:pPr>
        <w:sectPr>
          <w:pgSz w:w="11900" w:h="16838" w:orient="portrait"/>
          <w:cols w:equalWidth="0" w:num="2">
            <w:col w:w="540" w:space="540"/>
            <w:col w:w="9840"/>
          </w:cols>
          <w:pgMar w:left="440" w:top="270" w:right="5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920"/>
          </w:cols>
          <w:pgMar w:left="440" w:top="270" w:right="5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540" w:space="540"/>
            <w:col w:w="9840"/>
          </w:cols>
          <w:pgMar w:left="440" w:top="270" w:right="5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All ownership information is as of December 31, 2021.</w:t>
      </w:r>
    </w:p>
    <w:p>
      <w:pPr>
        <w:spacing w:after="0" w:line="13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See Item 9 of Cover Sheet.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See Item 11 of Cover Sheet.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Cover Sheet.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Cover Sheet.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Cover Sheet.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Cover Sheet.</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4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Common Stock, check the following: </w:t>
      </w:r>
      <w:r>
        <w:rPr>
          <w:rFonts w:ascii="MS PGothic" w:cs="MS PGothic" w:eastAsia="MS PGothic" w:hAnsi="MS PGothic"/>
          <w:sz w:val="18"/>
          <w:szCs w:val="18"/>
          <w:color w:val="auto"/>
        </w:rPr>
        <w:t>☒</w:t>
      </w:r>
    </w:p>
    <w:p>
      <w:pPr>
        <w:sectPr>
          <w:pgSz w:w="11900" w:h="16838" w:orient="portrait"/>
          <w:cols w:equalWidth="0" w:num="1">
            <w:col w:w="10920"/>
          </w:cols>
          <w:pgMar w:left="440" w:top="270" w:right="539" w:bottom="1440" w:gutter="0" w:footer="0" w:header="0"/>
          <w:type w:val="continuous"/>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 of the Group</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440"/>
          </w:cols>
          <w:pgMar w:left="440" w:top="270" w:right="10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February 10, 2022</w:t>
      </w:r>
      <w:r>
        <w:rPr>
          <w:sz w:val="20"/>
          <w:szCs w:val="20"/>
          <w:color w:val="auto"/>
        </w:rPr>
        <w:tab/>
      </w: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Christopher Anderson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103"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and Company filed on the date hereof with the Securities and Exchange Commission and attached as an exhibit hereto.</w:t>
      </w:r>
    </w:p>
    <w:p>
      <w:pPr>
        <w:sectPr>
          <w:pgSz w:w="11900" w:h="16838" w:orient="portrait"/>
          <w:cols w:equalWidth="0" w:num="1">
            <w:col w:w="10900"/>
          </w:cols>
          <w:pgMar w:left="440" w:top="270"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undersigned, ELI LILLY AND COMPANY, a corporation duly organized under the laws of the State of Indiana, United States (the “Company”), does hereby make, constitute and appoint each of Anat Hakim, Christopher Anderson and Jonathan Groff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February,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Anat Ashkenazi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Anat Ashkenazi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w w:val="96"/>
              </w:rPr>
              <w:t>Senior Vice President and Chief Financial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lvl w:ilvl="1">
      <w:lvlJc w:val="left"/>
      <w:lvlText w:val="%2."/>
      <w:numFmt w:val="decimal"/>
      <w:start w:val="5"/>
    </w:lvl>
  </w:abstractNum>
  <w:abstractNum w:abstractNumId="4">
    <w:nsid w:val="41B71EFB"/>
    <w:multiLevelType w:val="hybridMultilevel"/>
    <w:lvl w:ilvl="0">
      <w:lvlJc w:val="left"/>
      <w:lvlText w:val="%1"/>
      <w:numFmt w:val="decimal"/>
      <w:start w:val="1"/>
    </w:lvl>
    <w:lvl w:ilvl="1">
      <w:lvlJc w:val="left"/>
      <w:lvlText w:val="%2."/>
      <w:numFmt w:val="decimal"/>
      <w:start w:val="9"/>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2022-02-11T23:07:35Z</dcterms:created>
  <dcterms:modified xsi:type="dcterms:W3CDTF">2022-02-11T23:07:35Z</dcterms:modified>
</cp:coreProperties>
</file>