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640" w:type="dxa"/>
        <w:tblCellMar>
          <w:top w:w="0" w:type="dxa"/>
          <w:left w:w="0" w:type="dxa"/>
          <w:bottom w:w="0" w:type="dxa"/>
          <w:right w:w="0" w:type="dxa"/>
        </w:tblCellMar>
      </w:tblPr>
      <w:tr>
        <w:trPr>
          <w:trHeight w:val="21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LILLY CORPORATE CENTER, INDIANAPOLIS, INDIANA 46285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jc w:val="both"/>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 “large accelerated filer,” “accelerated filer” and “smaller reporting company” in Rule 12b-2 of the Exchange Act. (Check one):</w:t>
      </w:r>
    </w:p>
    <w:p>
      <w:pPr>
        <w:spacing w:after="0" w:line="102" w:lineRule="exact"/>
        <w:rPr>
          <w:sz w:val="24"/>
          <w:szCs w:val="24"/>
          <w:color w:val="auto"/>
        </w:rPr>
      </w:pPr>
    </w:p>
    <w:p>
      <w:pPr>
        <w:ind w:left="40"/>
        <w:spacing w:after="0" w:line="207" w:lineRule="exact"/>
        <w:tabs>
          <w:tab w:leader="none" w:pos="3240" w:val="left"/>
          <w:tab w:leader="none" w:pos="5760" w:val="left"/>
          <w:tab w:leader="none" w:pos="9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393"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(Do not check if a smaller reporting company)</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7"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April 18, 2016:</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1,103,837,002</w:t>
            </w:r>
          </w:p>
        </w:tc>
      </w:tr>
      <w:tr>
        <w:trPr>
          <w:trHeight w:val="149"/>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5" w:right="239" w:bottom="1440" w:gutter="0" w:footer="0" w:header="0"/>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March 31, 2016</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Condensed Statements of Operations</w:t>
              </w:r>
            </w:hyperlink>
          </w:p>
        </w:tc>
        <w:tc>
          <w:tcPr>
            <w:tcW w:w="2940" w:type="dxa"/>
            <w:vAlign w:val="bottom"/>
            <w:gridSpan w:val="6"/>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Income (Loss)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w:t>
              </w:r>
            </w:hyperlink>
          </w:p>
        </w:tc>
        <w:tc>
          <w:tcPr>
            <w:tcW w:w="2340" w:type="dxa"/>
            <w:vAlign w:val="bottom"/>
            <w:gridSpan w:val="5"/>
          </w:tcPr>
          <w:p>
            <w:pPr>
              <w:spacing w:after="0"/>
              <w:rPr>
                <w:sz w:val="21"/>
                <w:szCs w:val="21"/>
                <w:color w:val="auto"/>
              </w:rPr>
            </w:pPr>
          </w:p>
        </w:tc>
        <w:tc>
          <w:tcPr>
            <w:tcW w:w="138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Cash Flows</w:t>
              </w:r>
            </w:hyperlink>
          </w:p>
        </w:tc>
        <w:tc>
          <w:tcPr>
            <w:tcW w:w="2880" w:type="dxa"/>
            <w:vAlign w:val="bottom"/>
            <w:gridSpan w:val="5"/>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80" w:type="dxa"/>
            <w:vAlign w:val="bottom"/>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Condensed Financial Statements</w:t>
              </w:r>
            </w:hyperlink>
          </w:p>
        </w:tc>
        <w:tc>
          <w:tcPr>
            <w:tcW w:w="2820" w:type="dxa"/>
            <w:vAlign w:val="bottom"/>
            <w:gridSpan w:val="4"/>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320" w:type="dxa"/>
            <w:vAlign w:val="bottom"/>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730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33</w:t>
              </w:r>
            </w:hyperlink>
          </w:p>
        </w:tc>
      </w:tr>
      <w:tr>
        <w:trPr>
          <w:trHeight w:val="27"/>
        </w:trPr>
        <w:tc>
          <w:tcPr>
            <w:tcW w:w="5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gridSpan w:val="2"/>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20" w:type="dxa"/>
            <w:vAlign w:val="bottom"/>
            <w:gridSpan w:val="5"/>
            <w:shd w:val="clear" w:color="auto" w:fill="0000EE"/>
          </w:tcPr>
          <w:p>
            <w:pPr>
              <w:spacing w:after="0"/>
              <w:rPr>
                <w:sz w:val="2"/>
                <w:szCs w:val="2"/>
                <w:color w:val="auto"/>
              </w:rPr>
            </w:pPr>
          </w:p>
        </w:tc>
        <w:tc>
          <w:tcPr>
            <w:tcW w:w="2240" w:type="dxa"/>
            <w:vAlign w:val="bottom"/>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4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Executive Overview</w:t>
              </w:r>
            </w:hyperlink>
          </w:p>
        </w:tc>
        <w:tc>
          <w:tcPr>
            <w:tcW w:w="2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Revenue</w:t>
              </w:r>
            </w:hyperlink>
          </w:p>
        </w:tc>
        <w:tc>
          <w:tcPr>
            <w:tcW w:w="5520" w:type="dxa"/>
            <w:vAlign w:val="bottom"/>
            <w:gridSpan w:val="12"/>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39</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Gross Margin, Costs, and Expenses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42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6"/>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Financial Condition</w:t>
              </w:r>
            </w:hyperlink>
          </w:p>
        </w:tc>
        <w:tc>
          <w:tcPr>
            <w:tcW w:w="1340" w:type="dxa"/>
            <w:vAlign w:val="bottom"/>
            <w:gridSpan w:val="4"/>
          </w:tcPr>
          <w:p>
            <w:pPr>
              <w:spacing w:after="0"/>
              <w:rPr>
                <w:sz w:val="21"/>
                <w:szCs w:val="21"/>
                <w:color w:val="auto"/>
              </w:rPr>
            </w:pPr>
          </w:p>
        </w:tc>
        <w:tc>
          <w:tcPr>
            <w:tcW w:w="4180" w:type="dxa"/>
            <w:vAlign w:val="bottom"/>
            <w:gridSpan w:val="8"/>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43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Financial Expectations for 2016</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0"/>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Available Information on our Website</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32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PART II. Other Information</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w:t>
              </w:r>
            </w:hyperlink>
          </w:p>
        </w:tc>
        <w:tc>
          <w:tcPr>
            <w:tcW w:w="1220" w:type="dxa"/>
            <w:vAlign w:val="bottom"/>
            <w:gridSpan w:val="2"/>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1A.</w:t>
              </w:r>
            </w:hyperlink>
          </w:p>
        </w:tc>
        <w:tc>
          <w:tcPr>
            <w:tcW w:w="730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2660" w:type="dxa"/>
            <w:vAlign w:val="bottom"/>
            <w:gridSpan w:val="5"/>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4"/>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6.</w:t>
              </w:r>
            </w:hyperlink>
          </w:p>
        </w:tc>
        <w:tc>
          <w:tcPr>
            <w:tcW w:w="730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860" w:type="dxa"/>
            <w:vAlign w:val="bottom"/>
            <w:gridSpan w:val="3"/>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Signatures</w:t>
              </w:r>
            </w:hyperlink>
          </w:p>
        </w:tc>
        <w:tc>
          <w:tcPr>
            <w:tcW w:w="24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Index to Exhibits</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493"/>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00" w:type="dxa"/>
            <w:vAlign w:val="bottom"/>
            <w:gridSpan w:val="9"/>
          </w:tcPr>
          <w:p>
            <w:pPr>
              <w:ind w:left="230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6"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w:t>
      </w:r>
    </w:p>
    <w:p>
      <w:pPr>
        <w:spacing w:after="0" w:line="1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Securities and Exchange Commission (SEC), including our Annual Report on Form 10-K for the year ended December 31, 2015, particularly under the captions “Forward-Looking Statements” and “Risk Factors.”</w:t>
      </w:r>
    </w:p>
    <w:p>
      <w:pPr>
        <w:spacing w:after="0" w:line="94"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4" w:right="27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9"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Borders>
              <w:bottom w:val="single" w:sz="8" w:color="CCEEFF"/>
            </w:tcBorders>
          </w:tcPr>
          <w:p>
            <w:pPr>
              <w:spacing w:after="0"/>
              <w:rPr>
                <w:sz w:val="17"/>
                <w:szCs w:val="17"/>
                <w:color w:val="auto"/>
              </w:rPr>
            </w:pPr>
          </w:p>
        </w:tc>
        <w:tc>
          <w:tcPr>
            <w:tcW w:w="3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4,865.1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4,644.7</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Costs, expenses, and other:</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1,323.0</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1,192.7</w:t>
            </w: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1,221.0</w:t>
            </w:r>
          </w:p>
        </w:tc>
        <w:tc>
          <w:tcPr>
            <w:tcW w:w="4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1,039.3</w:t>
            </w: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selling, and administrative</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1,473.9</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1,523.5</w:t>
            </w: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 (Note 3)</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256.0</w:t>
            </w: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impairment, restructuring, and other special charges (Note 5)</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131.4</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108.0</w:t>
            </w:r>
          </w:p>
        </w:tc>
      </w:tr>
      <w:tr>
        <w:trPr>
          <w:trHeight w:val="26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 (Note 12)</w:t>
            </w:r>
          </w:p>
        </w:tc>
        <w:tc>
          <w:tcPr>
            <w:tcW w:w="31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149.0</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r>
      <w:tr>
        <w:trPr>
          <w:trHeight w:val="250"/>
        </w:trPr>
        <w:tc>
          <w:tcPr>
            <w:tcW w:w="560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4,298.3</w:t>
            </w: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4,026.8</w:t>
            </w:r>
          </w:p>
        </w:tc>
      </w:tr>
      <w:tr>
        <w:trPr>
          <w:trHeight w:val="250"/>
        </w:trPr>
        <w:tc>
          <w:tcPr>
            <w:tcW w:w="56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566.8</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617.9</w:t>
            </w: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(Note 8)</w:t>
            </w:r>
          </w:p>
        </w:tc>
        <w:tc>
          <w:tcPr>
            <w:tcW w:w="31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126.7</w:t>
            </w: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88.4</w:t>
            </w:r>
          </w:p>
        </w:tc>
      </w:tr>
      <w:tr>
        <w:trPr>
          <w:trHeight w:val="264"/>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440.1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529.5</w:t>
            </w:r>
          </w:p>
        </w:tc>
      </w:tr>
      <w:tr>
        <w:trPr>
          <w:trHeight w:val="324"/>
        </w:trPr>
        <w:tc>
          <w:tcPr>
            <w:tcW w:w="5600" w:type="dxa"/>
            <w:vAlign w:val="bottom"/>
            <w:tcBorders>
              <w:top w:val="single" w:sz="8" w:color="CCEEFF"/>
            </w:tcBorders>
            <w:shd w:val="clear" w:color="auto" w:fill="CCEEFF"/>
          </w:tcPr>
          <w:p>
            <w:pPr>
              <w:spacing w:after="0"/>
              <w:rPr>
                <w:sz w:val="24"/>
                <w:szCs w:val="24"/>
                <w:color w:val="auto"/>
              </w:rPr>
            </w:pPr>
          </w:p>
        </w:tc>
        <w:tc>
          <w:tcPr>
            <w:tcW w:w="31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0.42</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r>
      <w:tr>
        <w:trPr>
          <w:trHeight w:val="277"/>
        </w:trPr>
        <w:tc>
          <w:tcPr>
            <w:tcW w:w="5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0.41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0.50</w:t>
            </w:r>
          </w:p>
        </w:tc>
      </w:tr>
      <w:tr>
        <w:trPr>
          <w:trHeight w:val="270"/>
        </w:trPr>
        <w:tc>
          <w:tcPr>
            <w:tcW w:w="5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per share:</w:t>
            </w:r>
          </w:p>
        </w:tc>
        <w:tc>
          <w:tcPr>
            <w:tcW w:w="31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1,059.9</w:t>
            </w:r>
          </w:p>
        </w:tc>
        <w:tc>
          <w:tcPr>
            <w:tcW w:w="4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1,064.2</w:t>
            </w: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1,063.1</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1,067.0</w:t>
            </w:r>
          </w:p>
        </w:tc>
      </w:tr>
      <w:tr>
        <w:trPr>
          <w:trHeight w:val="324"/>
        </w:trPr>
        <w:tc>
          <w:tcPr>
            <w:tcW w:w="56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share</w:t>
            </w:r>
          </w:p>
        </w:tc>
        <w:tc>
          <w:tcPr>
            <w:tcW w:w="3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0.51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r>
      <w:tr>
        <w:trPr>
          <w:trHeight w:val="365"/>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31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459"/>
        </w:trPr>
        <w:tc>
          <w:tcPr>
            <w:tcW w:w="5600" w:type="dxa"/>
            <w:vAlign w:val="bottom"/>
          </w:tcPr>
          <w:p>
            <w:pPr>
              <w:spacing w:after="0"/>
              <w:rPr>
                <w:sz w:val="24"/>
                <w:szCs w:val="24"/>
                <w:color w:val="auto"/>
              </w:rPr>
            </w:pPr>
          </w:p>
        </w:tc>
        <w:tc>
          <w:tcPr>
            <w:tcW w:w="3180" w:type="dxa"/>
            <w:vAlign w:val="bottom"/>
          </w:tcPr>
          <w:p>
            <w:pPr>
              <w:jc w:val="right"/>
              <w:ind w:right="293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9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440.1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529.5</w:t>
            </w:r>
          </w:p>
        </w:tc>
      </w:tr>
      <w:tr>
        <w:trPr>
          <w:trHeight w:val="264"/>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 net of tax (Note 11)</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316.0</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r>
      <w:tr>
        <w:trPr>
          <w:trHeight w:val="264"/>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756.1</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2,307.6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3,666.4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687.4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785.4</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$45.5 (2016)</w:t>
            </w:r>
            <w:r>
              <w:rPr>
                <w:rFonts w:ascii="Arial" w:cs="Arial" w:eastAsia="Arial" w:hAnsi="Arial"/>
                <w:sz w:val="18"/>
                <w:szCs w:val="18"/>
                <w:color w:val="auto"/>
              </w:rPr>
              <w:t xml:space="preserve"> and $44.3 (2015)</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3,622.6</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3,513.0</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564.8</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558.6</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3,740.2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3,445.8</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792.0</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604.4</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11,714.6</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12,573.6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(Note 6)</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3,764.3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3,646.6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4,045.1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4,039.9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 net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4,889.8</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5,034.8</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Sundry</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2,244.9</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2,220.5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14,944.1</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14,941.8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Property and Equipment</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 buildings, equipment, and construction in progress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16,783.1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16,660.9</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(8,750.0)</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(8,607.4)</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8,033.1</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8,053.5</w:t>
            </w:r>
          </w:p>
        </w:tc>
      </w:tr>
      <w:tr>
        <w:trPr>
          <w:trHeight w:val="277"/>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34,691.8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35,568.9</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648.3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1,151.6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1,338.2</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548.7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967.0</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Sales rebates and discounts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2,601.1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2,560.1</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539.0</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114.6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358.9</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2,276.6</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2,460.3</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7,340.9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8,229.6</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7,477.6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7,972.4</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retirement benefits (Note 9)</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2,106.6</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2,160.3</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income taxes payable</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908.0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868.9</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1,829.3</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1,747.4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12,321.5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12,749.0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(Note 10)</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 xml:space="preserve">Eli Lilly and Company Shareholders’ Equity </w:t>
            </w:r>
            <w:r>
              <w:rPr>
                <w:rFonts w:ascii="Arial" w:cs="Arial" w:eastAsia="Arial" w:hAnsi="Arial"/>
                <w:sz w:val="18"/>
                <w:szCs w:val="18"/>
                <w:color w:val="auto"/>
              </w:rPr>
              <w:t>(Note 7)</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690.3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5,523.0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5,552.1</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16,155.0</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16,011.8</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benefit trust</w:t>
            </w:r>
          </w:p>
        </w:tc>
        <w:tc>
          <w:tcPr>
            <w:tcW w:w="260" w:type="dxa"/>
            <w:vAlign w:val="bottom"/>
          </w:tcPr>
          <w:p>
            <w:pPr>
              <w:spacing w:after="0"/>
              <w:rPr>
                <w:sz w:val="22"/>
                <w:szCs w:val="22"/>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(Note 11)</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(4,264.7)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(4,580.7)</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common stock in treasury</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(80.5)</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15,009.9</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14,571.3</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19.5</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15,029.4</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14,590.3</w:t>
            </w:r>
          </w:p>
        </w:tc>
      </w:tr>
      <w:tr>
        <w:trPr>
          <w:trHeight w:val="277"/>
        </w:trPr>
        <w:tc>
          <w:tcPr>
            <w:tcW w:w="76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34,691.8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35,568.9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6" w:right="239" w:bottom="54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6" w:right="239" w:bottom="543"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9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spacing w:after="0" w:line="5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26035</wp:posOffset>
            </wp:positionV>
            <wp:extent cx="2400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440.1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529.5</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3"/>
        </w:trPr>
        <w:tc>
          <w:tcPr>
            <w:tcW w:w="7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385.5</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357.5</w:t>
            </w:r>
          </w:p>
        </w:tc>
      </w:tr>
      <w:tr>
        <w:trPr>
          <w:trHeight w:val="277"/>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deferred income taxes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30.6</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63"/>
        </w:trPr>
        <w:tc>
          <w:tcPr>
            <w:tcW w:w="76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62.0</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48.9</w:t>
            </w:r>
          </w:p>
        </w:tc>
      </w:tr>
      <w:tr>
        <w:trPr>
          <w:trHeight w:val="277"/>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payments for terminations of interest rate swaps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63"/>
        </w:trPr>
        <w:tc>
          <w:tcPr>
            <w:tcW w:w="762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256.0</w:t>
            </w:r>
          </w:p>
        </w:tc>
      </w:tr>
      <w:tr>
        <w:trPr>
          <w:trHeight w:val="277"/>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(1,429.5)</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w:t>
            </w:r>
          </w:p>
        </w:tc>
      </w:tr>
      <w:tr>
        <w:trPr>
          <w:trHeight w:val="264"/>
        </w:trPr>
        <w:tc>
          <w:tcPr>
            <w:tcW w:w="7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non-cash operating activities, net</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184.4</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for Operating Activities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(326.9)</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purchases of property and equipment</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(154.3)</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Proceeds from sales and maturities of short-term investments</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521.6</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507.2</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short-term investments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(98.4)</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Proceeds from sales of noncurrent investments</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338.9</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596.2</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noncurrent investments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(716.7)</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Restricted cash released for acquisition</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5,405.6</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acquisitions, net of cash acquired</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(5,276.7)</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Proceeds from sale of product rights</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410.0</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in-process research and development</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investing activities, net</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(36.5)</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(145.4)</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160.8</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(538.3)</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Net change in short term borrowings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(2,088.6)</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2,182.0</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common stock</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(300.1)</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(310.6)</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financing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23.1</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Used for Financing Activities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(816.4)</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(701.2)</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(70.1)</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84"/>
        </w:trPr>
        <w:tc>
          <w:tcPr>
            <w:tcW w:w="7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(1,358.8)</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January 1</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3,666.4</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3,871.6</w:t>
            </w:r>
          </w:p>
        </w:tc>
      </w:tr>
      <w:tr>
        <w:trPr>
          <w:trHeight w:val="277"/>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March 31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2,307.6</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3,064.8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76"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revenues, expenses, and related disclosures at the date of the financial statements and during the reporting period. Actual results could differ from those estimates.</w:t>
      </w:r>
    </w:p>
    <w:p>
      <w:pPr>
        <w:spacing w:after="0" w:line="9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2015. We issued our financial statements by filing with the Securities and Exchange Commission and have evaluated subsequent events up to the time of the filing.</w:t>
      </w:r>
    </w:p>
    <w:p>
      <w:pPr>
        <w:spacing w:after="0" w:line="94"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Certain reclassifications have been made to prior periods in the consolidated condensed financial statements and accompanying notes to conform with the current presentation.</w:t>
      </w:r>
    </w:p>
    <w:p>
      <w:pPr>
        <w:spacing w:after="0" w:line="88"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provides a brief description of accounting standards that have not yet been adopted and could have a material effect on our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360" w:type="dxa"/>
            <w:vAlign w:val="bottom"/>
          </w:tcPr>
          <w:p>
            <w:pPr>
              <w:ind w:left="80"/>
              <w:spacing w:after="0"/>
              <w:rPr>
                <w:sz w:val="20"/>
                <w:szCs w:val="20"/>
                <w:color w:val="auto"/>
              </w:rPr>
            </w:pPr>
            <w:r>
              <w:rPr>
                <w:rFonts w:ascii="Arial" w:cs="Arial" w:eastAsia="Arial" w:hAnsi="Arial"/>
                <w:sz w:val="14"/>
                <w:szCs w:val="14"/>
                <w:b w:val="1"/>
                <w:bCs w:val="1"/>
                <w:color w:val="auto"/>
              </w:rPr>
              <w:t>Effect on the financial statements or other</w:t>
            </w:r>
          </w:p>
        </w:tc>
      </w:tr>
      <w:tr>
        <w:trPr>
          <w:trHeight w:val="196"/>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Description</w:t>
            </w:r>
          </w:p>
        </w:tc>
        <w:tc>
          <w:tcPr>
            <w:tcW w:w="2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Effective Date</w:t>
            </w:r>
          </w:p>
        </w:tc>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significant matters</w:t>
            </w:r>
          </w:p>
        </w:tc>
      </w:tr>
      <w:tr>
        <w:trPr>
          <w:trHeight w:val="210"/>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w:t>
            </w: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This standard will replace existing revenue</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This standard is effective</w:t>
            </w:r>
          </w:p>
        </w:tc>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 are in the process of evaluating the</w:t>
            </w:r>
          </w:p>
        </w:tc>
      </w:tr>
      <w:tr>
        <w:trPr>
          <w:trHeight w:val="203"/>
        </w:trPr>
        <w:tc>
          <w:tcPr>
            <w:tcW w:w="2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Update 2014-09, </w:t>
            </w:r>
            <w:r>
              <w:rPr>
                <w:rFonts w:ascii="Arial" w:cs="Arial" w:eastAsia="Arial" w:hAnsi="Arial"/>
                <w:sz w:val="18"/>
                <w:szCs w:val="18"/>
                <w:i w:val="1"/>
                <w:iCs w:val="1"/>
                <w:color w:val="auto"/>
              </w:rPr>
              <w:t>Revenue</w:t>
            </w: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recognition standards and will require</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January 1, 2018, but we</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impact of the adoption of the standard,</w:t>
            </w:r>
          </w:p>
        </w:tc>
      </w:tr>
      <w:tr>
        <w:trPr>
          <w:trHeight w:val="203"/>
        </w:trPr>
        <w:tc>
          <w:tcPr>
            <w:tcW w:w="2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from Contracts with</w:t>
            </w: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entities to recognize revenues to depict the</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are permitted to adopt</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but do not yet have enough information</w:t>
            </w:r>
          </w:p>
        </w:tc>
      </w:tr>
      <w:tr>
        <w:trPr>
          <w:trHeight w:val="221"/>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Customers</w:t>
            </w: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transfer of promised goods or services to</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this standard one year</w:t>
            </w:r>
          </w:p>
        </w:tc>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 estimate the anticipated impact on our</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customers in an amount that reflects the</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earlier if we choose. We</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consolidated financial statements.</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consideration to which the entity expects to</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are evaluating our</w:t>
            </w: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be entitled in exchange for those goods or</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anticipated date of</w:t>
            </w: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services. An entity can apply the new</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adoption.</w:t>
            </w: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revenue standard retrospectively to each</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prior reporting period presented or with the</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cumulative effect of initially applying the</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standard recognized at the date of initial</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30"/>
        </w:trPr>
        <w:tc>
          <w:tcPr>
            <w:tcW w:w="2240" w:type="dxa"/>
            <w:vAlign w:val="bottom"/>
            <w:shd w:val="clear" w:color="auto" w:fill="CCEEFF"/>
          </w:tcPr>
          <w:p>
            <w:pPr>
              <w:spacing w:after="0"/>
              <w:rPr>
                <w:sz w:val="20"/>
                <w:szCs w:val="20"/>
                <w:color w:val="auto"/>
              </w:rPr>
            </w:pP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application in retained earnings.</w:t>
            </w:r>
          </w:p>
        </w:tc>
        <w:tc>
          <w:tcPr>
            <w:tcW w:w="218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r>
        <w:trPr>
          <w:trHeight w:val="459"/>
        </w:trPr>
        <w:tc>
          <w:tcPr>
            <w:tcW w:w="2240" w:type="dxa"/>
            <w:vAlign w:val="bottom"/>
          </w:tcPr>
          <w:p>
            <w:pPr>
              <w:spacing w:after="0"/>
              <w:rPr>
                <w:sz w:val="24"/>
                <w:szCs w:val="24"/>
                <w:color w:val="auto"/>
              </w:rPr>
            </w:pPr>
          </w:p>
        </w:tc>
        <w:tc>
          <w:tcPr>
            <w:tcW w:w="3640" w:type="dxa"/>
            <w:vAlign w:val="bottom"/>
          </w:tcPr>
          <w:p>
            <w:pPr>
              <w:ind w:left="3420"/>
              <w:spacing w:after="0"/>
              <w:rPr>
                <w:sz w:val="20"/>
                <w:szCs w:val="20"/>
                <w:color w:val="auto"/>
              </w:rPr>
            </w:pPr>
            <w:r>
              <w:rPr>
                <w:rFonts w:ascii="Arial" w:cs="Arial" w:eastAsia="Arial" w:hAnsi="Arial"/>
                <w:sz w:val="18"/>
                <w:szCs w:val="18"/>
                <w:color w:val="auto"/>
              </w:rPr>
              <w:t>8</w:t>
            </w:r>
          </w:p>
        </w:tc>
        <w:tc>
          <w:tcPr>
            <w:tcW w:w="218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8" w:name="page9"/>
    <w:bookmarkEnd w:id="8"/>
    <w:p>
      <w:pPr>
        <w:ind w:left="8140"/>
        <w:spacing w:after="0"/>
        <w:rPr>
          <w:sz w:val="20"/>
          <w:szCs w:val="20"/>
          <w:color w:val="auto"/>
        </w:rPr>
      </w:pPr>
      <w:r>
        <w:rPr>
          <w:rFonts w:ascii="Arial" w:cs="Arial" w:eastAsia="Arial" w:hAnsi="Arial"/>
          <w:sz w:val="14"/>
          <w:szCs w:val="14"/>
          <w:b w:val="1"/>
          <w:bCs w:val="1"/>
          <w:color w:val="auto"/>
        </w:rPr>
        <w:t>Effect on the financial statements or other</w:t>
      </w:r>
    </w:p>
    <w:p>
      <w:pPr>
        <w:spacing w:after="0" w:line="19" w:lineRule="exact"/>
        <w:rPr>
          <w:sz w:val="20"/>
          <w:szCs w:val="20"/>
          <w:color w:val="auto"/>
        </w:rPr>
      </w:pPr>
    </w:p>
    <w:p>
      <w:pPr>
        <w:ind w:left="40"/>
        <w:spacing w:after="0"/>
        <w:tabs>
          <w:tab w:leader="none" w:pos="2320" w:val="left"/>
          <w:tab w:leader="none" w:pos="5960" w:val="left"/>
          <w:tab w:leader="none" w:pos="8120" w:val="left"/>
        </w:tabs>
        <w:rPr>
          <w:sz w:val="20"/>
          <w:szCs w:val="20"/>
          <w:color w:val="auto"/>
        </w:rPr>
      </w:pPr>
      <w:r>
        <w:rPr>
          <w:rFonts w:ascii="Arial" w:cs="Arial" w:eastAsia="Arial" w:hAnsi="Arial"/>
          <w:sz w:val="14"/>
          <w:szCs w:val="14"/>
          <w:b w:val="1"/>
          <w:bCs w:val="1"/>
          <w:color w:val="auto"/>
        </w:rPr>
        <w:t>Standard</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Effective Date</w:t>
      </w:r>
      <w:r>
        <w:rPr>
          <w:sz w:val="20"/>
          <w:szCs w:val="20"/>
          <w:color w:val="auto"/>
        </w:rPr>
        <w:tab/>
      </w:r>
      <w:r>
        <w:rPr>
          <w:rFonts w:ascii="Arial" w:cs="Arial" w:eastAsia="Arial" w:hAnsi="Arial"/>
          <w:sz w:val="14"/>
          <w:szCs w:val="14"/>
          <w:b w:val="1"/>
          <w:bCs w:val="1"/>
          <w:color w:val="auto"/>
        </w:rPr>
        <w:t>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p>
      <w:pPr>
        <w:spacing w:after="0" w:line="59"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w:t>
      </w:r>
    </w:p>
    <w:p>
      <w:pPr>
        <w:ind w:left="40"/>
        <w:spacing w:after="0"/>
        <w:tabs>
          <w:tab w:leader="none" w:pos="2320" w:val="left"/>
        </w:tabs>
        <w:rPr>
          <w:sz w:val="20"/>
          <w:szCs w:val="20"/>
          <w:color w:val="auto"/>
        </w:rPr>
      </w:pPr>
      <w:r>
        <w:rPr>
          <w:rFonts w:ascii="Arial" w:cs="Arial" w:eastAsia="Arial" w:hAnsi="Arial"/>
          <w:sz w:val="18"/>
          <w:szCs w:val="18"/>
          <w:color w:val="auto"/>
        </w:rPr>
        <w:t xml:space="preserve">Update 2016-01, </w:t>
      </w:r>
      <w:r>
        <w:rPr>
          <w:rFonts w:ascii="Arial" w:cs="Arial" w:eastAsia="Arial" w:hAnsi="Arial"/>
          <w:sz w:val="18"/>
          <w:szCs w:val="18"/>
          <w:i w:val="1"/>
          <w:iCs w:val="1"/>
          <w:color w:val="auto"/>
        </w:rPr>
        <w:t>Financial</w:t>
      </w:r>
      <w:r>
        <w:rPr>
          <w:sz w:val="20"/>
          <w:szCs w:val="20"/>
          <w:color w:val="auto"/>
        </w:rPr>
        <w:tab/>
      </w:r>
      <w:r>
        <w:rPr>
          <w:rFonts w:ascii="Arial" w:cs="Arial" w:eastAsia="Arial" w:hAnsi="Arial"/>
          <w:sz w:val="17"/>
          <w:szCs w:val="17"/>
          <w:color w:val="auto"/>
        </w:rPr>
        <w:t>recognize changes in the fair value of</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Instruments - Overall:</w:t>
      </w:r>
      <w:r>
        <w:rPr>
          <w:sz w:val="20"/>
          <w:szCs w:val="20"/>
          <w:color w:val="auto"/>
        </w:rPr>
        <w:tab/>
      </w:r>
      <w:r>
        <w:rPr>
          <w:rFonts w:ascii="Arial" w:cs="Arial" w:eastAsia="Arial" w:hAnsi="Arial"/>
          <w:sz w:val="17"/>
          <w:szCs w:val="17"/>
          <w:color w:val="auto"/>
        </w:rPr>
        <w:t>equity investments with readily</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Recognition and</w:t>
      </w:r>
      <w:r>
        <w:rPr>
          <w:sz w:val="20"/>
          <w:szCs w:val="20"/>
          <w:color w:val="auto"/>
        </w:rPr>
        <w:tab/>
      </w:r>
      <w:r>
        <w:rPr>
          <w:rFonts w:ascii="Arial" w:cs="Arial" w:eastAsia="Arial" w:hAnsi="Arial"/>
          <w:sz w:val="17"/>
          <w:szCs w:val="17"/>
          <w:color w:val="auto"/>
        </w:rPr>
        <w:t>determinable fair values in net income</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Measurement of Financial</w:t>
      </w:r>
      <w:r>
        <w:rPr>
          <w:sz w:val="20"/>
          <w:szCs w:val="20"/>
          <w:color w:val="auto"/>
        </w:rPr>
        <w:tab/>
      </w:r>
      <w:r>
        <w:rPr>
          <w:rFonts w:ascii="Arial" w:cs="Arial" w:eastAsia="Arial" w:hAnsi="Arial"/>
          <w:sz w:val="17"/>
          <w:szCs w:val="17"/>
          <w:color w:val="auto"/>
        </w:rPr>
        <w:t>(except for investments accounted for</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Assets and Financial</w:t>
      </w:r>
      <w:r>
        <w:rPr>
          <w:sz w:val="20"/>
          <w:szCs w:val="20"/>
          <w:color w:val="auto"/>
        </w:rPr>
        <w:tab/>
      </w:r>
      <w:r>
        <w:rPr>
          <w:rFonts w:ascii="Arial" w:cs="Arial" w:eastAsia="Arial" w:hAnsi="Arial"/>
          <w:sz w:val="17"/>
          <w:szCs w:val="17"/>
          <w:color w:val="auto"/>
        </w:rPr>
        <w:t>under the equity method of accounting or</w:t>
      </w:r>
    </w:p>
    <w:p>
      <w:pPr>
        <w:ind w:left="40"/>
        <w:spacing w:after="0" w:line="235" w:lineRule="auto"/>
        <w:tabs>
          <w:tab w:leader="none" w:pos="2320" w:val="left"/>
        </w:tabs>
        <w:rPr>
          <w:sz w:val="20"/>
          <w:szCs w:val="20"/>
          <w:color w:val="auto"/>
        </w:rPr>
      </w:pPr>
      <w:r>
        <w:rPr>
          <w:rFonts w:ascii="Arial" w:cs="Arial" w:eastAsia="Arial" w:hAnsi="Arial"/>
          <w:sz w:val="18"/>
          <w:szCs w:val="18"/>
          <w:i w:val="1"/>
          <w:iCs w:val="1"/>
          <w:color w:val="auto"/>
        </w:rPr>
        <w:t>Liabilities</w:t>
      </w:r>
      <w:r>
        <w:rPr>
          <w:sz w:val="20"/>
          <w:szCs w:val="20"/>
          <w:color w:val="auto"/>
        </w:rPr>
        <w:tab/>
      </w:r>
      <w:r>
        <w:rPr>
          <w:rFonts w:ascii="Arial" w:cs="Arial" w:eastAsia="Arial" w:hAnsi="Arial"/>
          <w:sz w:val="18"/>
          <w:szCs w:val="18"/>
          <w:color w:val="auto"/>
        </w:rPr>
        <w:t>those that result in consolidation of the</w:t>
      </w:r>
    </w:p>
    <w:p>
      <w:pPr>
        <w:ind w:left="2340"/>
        <w:spacing w:after="0" w:line="257" w:lineRule="auto"/>
        <w:rPr>
          <w:sz w:val="20"/>
          <w:szCs w:val="20"/>
          <w:color w:val="auto"/>
        </w:rPr>
      </w:pPr>
      <w:r>
        <w:rPr>
          <w:rFonts w:ascii="Arial" w:cs="Arial" w:eastAsia="Arial" w:hAnsi="Arial"/>
          <w:sz w:val="17"/>
          <w:szCs w:val="17"/>
          <w:color w:val="auto"/>
        </w:rPr>
        <w:t>investee). An entity should apply the new standard through a cumulative effect adjustment to retained earnings as of the beginning of the fiscal year of adoption.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This standard is effective January 1, 2018. Early adoption of the majority of the amendments in this standard is not permitted, however, early application of certain amendments is permitted. We intend to fully adopt this standard on January 1, 2018.</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are unable to estimate the impact of adopting this standard as the significance of the impact will depend upon our equity investments as of the date of adoption.</w:t>
      </w:r>
    </w:p>
    <w:p>
      <w:pPr>
        <w:spacing w:after="0" w:line="1234" w:lineRule="exact"/>
        <w:rPr>
          <w:sz w:val="20"/>
          <w:szCs w:val="20"/>
          <w:color w:val="auto"/>
        </w:rPr>
      </w:pPr>
    </w:p>
    <w:p>
      <w:pPr>
        <w:sectPr>
          <w:pgSz w:w="11900" w:h="16838" w:orient="portrait"/>
          <w:cols w:equalWidth="0" w:num="3">
            <w:col w:w="5600" w:space="380"/>
            <w:col w:w="1980" w:space="180"/>
            <w:col w:w="3280"/>
          </w:cols>
          <w:pgMar w:left="240" w:top="910"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w:t>
            </w: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This standard was issued to increase</w:t>
            </w:r>
          </w:p>
        </w:tc>
        <w:tc>
          <w:tcPr>
            <w:tcW w:w="2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This standard is effective</w:t>
            </w:r>
          </w:p>
        </w:tc>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 are in the process of determining our</w:t>
            </w:r>
          </w:p>
        </w:tc>
      </w:tr>
      <w:tr>
        <w:trPr>
          <w:trHeight w:val="221"/>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Update 2016-02, </w:t>
            </w:r>
            <w:r>
              <w:rPr>
                <w:rFonts w:ascii="Arial" w:cs="Arial" w:eastAsia="Arial" w:hAnsi="Arial"/>
                <w:sz w:val="18"/>
                <w:szCs w:val="18"/>
                <w:i w:val="1"/>
                <w:iCs w:val="1"/>
                <w:color w:val="auto"/>
              </w:rPr>
              <w:t>Leases</w:t>
            </w: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transparency and comparability among</w:t>
            </w:r>
          </w:p>
        </w:tc>
        <w:tc>
          <w:tcPr>
            <w:tcW w:w="2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January 1, 2019, with</w:t>
            </w:r>
          </w:p>
        </w:tc>
        <w:tc>
          <w:tcPr>
            <w:tcW w:w="3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approach to adopting the standard, as</w:t>
            </w: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organizations by recognizing lease assets</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early adoption permitted.</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well as the anticipated impact on our</w:t>
            </w: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lease liabilities, including leases</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We intend to adopt this</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consolidated financial statements.</w:t>
            </w: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classified as operating leases under current</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standard on January 1,</w:t>
            </w: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GAAP, on the balance sheet and requiring</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2019.</w:t>
            </w: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disclosures about leasing</w:t>
            </w:r>
          </w:p>
        </w:tc>
        <w:tc>
          <w:tcPr>
            <w:tcW w:w="21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arrangements. This standard requires a</w:t>
            </w:r>
          </w:p>
        </w:tc>
        <w:tc>
          <w:tcPr>
            <w:tcW w:w="21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modified retrospective approach to</w:t>
            </w:r>
          </w:p>
        </w:tc>
        <w:tc>
          <w:tcPr>
            <w:tcW w:w="21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17"/>
        </w:trPr>
        <w:tc>
          <w:tcPr>
            <w:tcW w:w="2160" w:type="dxa"/>
            <w:vAlign w:val="bottom"/>
            <w:shd w:val="clear" w:color="auto" w:fill="CCEEFF"/>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adoption.</w:t>
            </w:r>
          </w:p>
        </w:tc>
        <w:tc>
          <w:tcPr>
            <w:tcW w:w="2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r>
      <w:tr>
        <w:trPr>
          <w:trHeight w:val="189"/>
        </w:trPr>
        <w:tc>
          <w:tcPr>
            <w:tcW w:w="2160" w:type="dxa"/>
            <w:vAlign w:val="bottom"/>
            <w:shd w:val="clear" w:color="auto" w:fill="CCEEFF"/>
          </w:tcPr>
          <w:p>
            <w:pPr>
              <w:spacing w:after="0"/>
              <w:rPr>
                <w:sz w:val="16"/>
                <w:szCs w:val="16"/>
                <w:color w:val="auto"/>
              </w:rPr>
            </w:pPr>
          </w:p>
        </w:tc>
        <w:tc>
          <w:tcPr>
            <w:tcW w:w="37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r>
    </w:tbl>
    <w:p>
      <w:pPr>
        <w:spacing w:after="0" w:line="22" w:lineRule="exact"/>
        <w:rPr>
          <w:sz w:val="20"/>
          <w:szCs w:val="20"/>
          <w:color w:val="auto"/>
        </w:rPr>
      </w:pPr>
    </w:p>
    <w:p>
      <w:pPr>
        <w:sectPr>
          <w:pgSz w:w="11900" w:h="16838" w:orient="portrait"/>
          <w:cols w:equalWidth="0" w:num="1">
            <w:col w:w="11420"/>
          </w:cols>
          <w:pgMar w:left="240" w:top="910" w:right="239" w:bottom="1440" w:gutter="0" w:footer="0" w:header="0"/>
          <w:type w:val="continuous"/>
        </w:sectPr>
      </w:pPr>
    </w:p>
    <w:p>
      <w:pPr>
        <w:ind w:left="40"/>
        <w:spacing w:after="0"/>
        <w:tabs>
          <w:tab w:leader="none" w:pos="232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w:t>
      </w:r>
    </w:p>
    <w:p>
      <w:pPr>
        <w:ind w:left="40"/>
        <w:spacing w:after="0"/>
        <w:tabs>
          <w:tab w:leader="none" w:pos="2320" w:val="left"/>
        </w:tabs>
        <w:rPr>
          <w:sz w:val="20"/>
          <w:szCs w:val="20"/>
          <w:color w:val="auto"/>
        </w:rPr>
      </w:pPr>
      <w:r>
        <w:rPr>
          <w:rFonts w:ascii="Arial" w:cs="Arial" w:eastAsia="Arial" w:hAnsi="Arial"/>
          <w:sz w:val="18"/>
          <w:szCs w:val="18"/>
          <w:color w:val="auto"/>
        </w:rPr>
        <w:t>Update 2016-09,</w:t>
      </w:r>
      <w:r>
        <w:rPr>
          <w:sz w:val="20"/>
          <w:szCs w:val="20"/>
          <w:color w:val="auto"/>
        </w:rPr>
        <w:tab/>
      </w:r>
      <w:r>
        <w:rPr>
          <w:rFonts w:ascii="Arial" w:cs="Arial" w:eastAsia="Arial" w:hAnsi="Arial"/>
          <w:sz w:val="17"/>
          <w:szCs w:val="17"/>
          <w:color w:val="auto"/>
        </w:rPr>
        <w:t>recognize all excess tax benefits and tax</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Compensation - Stock</w:t>
      </w:r>
      <w:r>
        <w:rPr>
          <w:sz w:val="20"/>
          <w:szCs w:val="20"/>
          <w:color w:val="auto"/>
        </w:rPr>
        <w:tab/>
      </w:r>
      <w:r>
        <w:rPr>
          <w:rFonts w:ascii="Arial" w:cs="Arial" w:eastAsia="Arial" w:hAnsi="Arial"/>
          <w:sz w:val="17"/>
          <w:szCs w:val="17"/>
          <w:color w:val="auto"/>
        </w:rPr>
        <w:t>deficiencies in the statement of operations</w:t>
      </w:r>
    </w:p>
    <w:p>
      <w:pPr>
        <w:ind w:left="40"/>
        <w:spacing w:after="0" w:line="235" w:lineRule="auto"/>
        <w:tabs>
          <w:tab w:leader="none" w:pos="2320" w:val="left"/>
        </w:tabs>
        <w:rPr>
          <w:sz w:val="20"/>
          <w:szCs w:val="20"/>
          <w:color w:val="auto"/>
        </w:rPr>
      </w:pPr>
      <w:r>
        <w:rPr>
          <w:rFonts w:ascii="Arial" w:cs="Arial" w:eastAsia="Arial" w:hAnsi="Arial"/>
          <w:sz w:val="18"/>
          <w:szCs w:val="18"/>
          <w:i w:val="1"/>
          <w:iCs w:val="1"/>
          <w:color w:val="auto"/>
        </w:rPr>
        <w:t>Compensation:</w:t>
      </w:r>
      <w:r>
        <w:rPr>
          <w:sz w:val="20"/>
          <w:szCs w:val="20"/>
          <w:color w:val="auto"/>
        </w:rPr>
        <w:tab/>
      </w:r>
      <w:r>
        <w:rPr>
          <w:rFonts w:ascii="Arial" w:cs="Arial" w:eastAsia="Arial" w:hAnsi="Arial"/>
          <w:sz w:val="18"/>
          <w:szCs w:val="18"/>
          <w:color w:val="auto"/>
        </w:rPr>
        <w:t>as a discrete item in the reporting period in</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Improvements to</w:t>
      </w:r>
      <w:r>
        <w:rPr>
          <w:sz w:val="20"/>
          <w:szCs w:val="20"/>
          <w:color w:val="auto"/>
        </w:rPr>
        <w:tab/>
      </w:r>
      <w:r>
        <w:rPr>
          <w:rFonts w:ascii="Arial" w:cs="Arial" w:eastAsia="Arial" w:hAnsi="Arial"/>
          <w:sz w:val="17"/>
          <w:szCs w:val="17"/>
          <w:color w:val="auto"/>
        </w:rPr>
        <w:t>which they occur. The standard also allows</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Employee Share-Based</w:t>
      </w:r>
      <w:r>
        <w:rPr>
          <w:sz w:val="20"/>
          <w:szCs w:val="20"/>
          <w:color w:val="auto"/>
        </w:rPr>
        <w:tab/>
      </w:r>
      <w:r>
        <w:rPr>
          <w:rFonts w:ascii="Arial" w:cs="Arial" w:eastAsia="Arial" w:hAnsi="Arial"/>
          <w:sz w:val="17"/>
          <w:szCs w:val="17"/>
          <w:color w:val="auto"/>
        </w:rPr>
        <w:t>an employer to withhold up to the maximum</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Payment Accounting</w:t>
      </w:r>
      <w:r>
        <w:rPr>
          <w:sz w:val="20"/>
          <w:szCs w:val="20"/>
          <w:color w:val="auto"/>
        </w:rPr>
        <w:tab/>
      </w:r>
      <w:r>
        <w:rPr>
          <w:rFonts w:ascii="Arial" w:cs="Arial" w:eastAsia="Arial" w:hAnsi="Arial"/>
          <w:sz w:val="17"/>
          <w:szCs w:val="17"/>
          <w:color w:val="auto"/>
        </w:rPr>
        <w:t>statutory tax rate and still qualify for equity</w:t>
      </w:r>
    </w:p>
    <w:p>
      <w:pPr>
        <w:ind w:left="2340" w:right="120"/>
        <w:spacing w:after="0" w:line="236" w:lineRule="auto"/>
        <w:rPr>
          <w:sz w:val="20"/>
          <w:szCs w:val="20"/>
          <w:color w:val="auto"/>
        </w:rPr>
      </w:pPr>
      <w:r>
        <w:rPr>
          <w:rFonts w:ascii="Arial" w:cs="Arial" w:eastAsia="Arial" w:hAnsi="Arial"/>
          <w:sz w:val="18"/>
          <w:szCs w:val="18"/>
          <w:color w:val="auto"/>
        </w:rPr>
        <w:t>classification. Classification of excess tax benefits on the statement of cash flows should be classified as an operating activity, and employee taxes paid when an employer withholds shares for tax-withholding purposes should be classified as a financing activity. The provisions that affect the statement of operations will be effective prospectively in the year of adoption and the provisions that affect the statement of cash flows will be effective retrospectively.</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7"/>
          <w:szCs w:val="17"/>
          <w:color w:val="auto"/>
        </w:rPr>
        <w:t>This standard is effective January 1, 2017. Early adoption is permitted. We are evaluating our anticipated date of adoption.</w:t>
      </w:r>
    </w:p>
    <w:p>
      <w:pPr>
        <w:spacing w:after="0" w:line="20" w:lineRule="exact"/>
        <w:rPr>
          <w:sz w:val="20"/>
          <w:szCs w:val="20"/>
          <w:color w:val="auto"/>
        </w:rPr>
      </w:pPr>
      <w:r>
        <w:rPr>
          <w:sz w:val="20"/>
          <w:szCs w:val="20"/>
          <w:color w:val="auto"/>
        </w:rPr>
        <w:br w:type="column"/>
      </w:r>
    </w:p>
    <w:p>
      <w:pPr>
        <w:ind w:right="120"/>
        <w:spacing w:after="0" w:line="236" w:lineRule="auto"/>
        <w:rPr>
          <w:sz w:val="20"/>
          <w:szCs w:val="20"/>
          <w:color w:val="auto"/>
        </w:rPr>
      </w:pPr>
      <w:r>
        <w:rPr>
          <w:rFonts w:ascii="Arial" w:cs="Arial" w:eastAsia="Arial" w:hAnsi="Arial"/>
          <w:sz w:val="18"/>
          <w:szCs w:val="18"/>
          <w:color w:val="auto"/>
        </w:rPr>
        <w:t>We do not believe the impact of adopting this standard will have a material impact on our consolidated financial statements. We cannot predict the impact on our consolidated financial statements in future reporting periods following adoption as this will be dependent upon various factors including the number of shares issued and changes in the price of our stock.</w:t>
      </w:r>
    </w:p>
    <w:p>
      <w:pPr>
        <w:spacing w:after="0" w:line="2025" w:lineRule="exact"/>
        <w:rPr>
          <w:sz w:val="20"/>
          <w:szCs w:val="20"/>
          <w:color w:val="auto"/>
        </w:rPr>
      </w:pPr>
    </w:p>
    <w:p>
      <w:pPr>
        <w:sectPr>
          <w:pgSz w:w="11900" w:h="16838" w:orient="portrait"/>
          <w:cols w:equalWidth="0" w:num="3">
            <w:col w:w="5820" w:space="160"/>
            <w:col w:w="1980" w:space="180"/>
            <w:col w:w="3280"/>
          </w:cols>
          <w:pgMar w:left="240" w:top="910" w:right="239" w:bottom="1440" w:gutter="0" w:footer="0" w:header="0"/>
          <w:type w:val="continuous"/>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910"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January 1, 2015, we completed the acquisition of Novartis Animal Health (Novartis AH). Additionally, on October 1, 2015, Bristol-Myers Squibb Company and E.R. Squibb (collectively, BMS) transferred to us their commercialization rights with respect to Erbitux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United States (U.S.) and Canada (collectively, North America) through a modification of our existing arrangement. These transactions were accounted for as business combinations under the acquisition method of accounting. See Note 4 for additional information related to the Erbitux arrangement.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 of acquisition.</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to the acquisitions of businesses, we also acquired an asset in development in the first quarter of 2015, which is further discussed in this note below in Product and Other Acquisitions. Upon acquisition, the acquired in-process research and development (IPR&amp;D) related to this product was immediately written off as an expense because the product had no alternative future use. There were acquired IPR&amp;D charges of $256.0 million for the three months ended March 31, 2015 which included the transaction discussed below in Product and Other Acquisitions and the upfront fee of $200.0 million related to tanezumab. See Note 4 for additional information related to the tanezumab arrangement. For the three months ended March 31, 2016, we recorded no acquired IPR&amp;D charges.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AH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On January 1, 2015, we acquired from Novartis AG all of the shares of certain Novartis subsidiaries and the assets and liabilities of other Novartis subsidiaries that were exclusively related to the Novartis AH business in an all-cash transaction for a total purchase price of $5.28 billion, $5.41 billion of which was funded by cash held in escrow at December 31, 2014.</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a condition to the clearance of the transaction under the Hart-Scott-Rodino Antitrust Improvements Act, following the closing of the acquisition of Novartis AH, we divested certain animal health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(Virbac) for approximately $410 million.</w:t>
      </w:r>
    </w:p>
    <w:p>
      <w:pPr>
        <w:spacing w:after="0" w:line="10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acquired Novartis AH business consisted of the research and development, manufacture, marketing, sale and distribution of veterinary products to prevent and treat diseases in pets, farm animals, and farmed fish. Under the terms of the agreement, we acquired manufacturing sites, research and development facilities, a global commercial infrastructure and portfolio of products, a pipeline of projects in development, and employees.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76"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1, 2015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298.0</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1,953.0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199.9</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held for sale (primarily the U.S. Sentinel rights)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Accrued retirement benefits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3,012.0</w:t>
            </w:r>
          </w:p>
        </w:tc>
      </w:tr>
      <w:tr>
        <w:trPr>
          <w:trHeight w:val="25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2,271.1</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5,283.1</w:t>
            </w:r>
          </w:p>
        </w:tc>
      </w:tr>
    </w:tbl>
    <w:p>
      <w:pPr>
        <w:spacing w:after="0" w:line="113" w:lineRule="exact"/>
        <w:rPr>
          <w:sz w:val="20"/>
          <w:szCs w:val="20"/>
          <w:color w:val="auto"/>
        </w:rPr>
      </w:pPr>
    </w:p>
    <w:p>
      <w:pPr>
        <w:ind w:left="180" w:right="220" w:hanging="172"/>
        <w:spacing w:after="0" w:line="225" w:lineRule="auto"/>
        <w:tabs>
          <w:tab w:leader="none" w:pos="153" w:val="left"/>
        </w:tabs>
        <w:numPr>
          <w:ilvl w:val="0"/>
          <w:numId w:val="1"/>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19 years.</w:t>
      </w:r>
    </w:p>
    <w:p>
      <w:pPr>
        <w:spacing w:after="0" w:line="97" w:lineRule="exact"/>
        <w:rPr>
          <w:rFonts w:ascii="Arial" w:cs="Arial" w:eastAsia="Arial" w:hAnsi="Arial"/>
          <w:sz w:val="17"/>
          <w:szCs w:val="17"/>
          <w:color w:val="auto"/>
          <w:vertAlign w:val="superscript"/>
        </w:rPr>
      </w:pPr>
    </w:p>
    <w:p>
      <w:pPr>
        <w:ind w:left="180" w:right="280" w:hanging="172"/>
        <w:spacing w:after="0" w:line="230" w:lineRule="auto"/>
        <w:tabs>
          <w:tab w:leader="none" w:pos="153" w:val="left"/>
        </w:tabs>
        <w:numPr>
          <w:ilvl w:val="0"/>
          <w:numId w:val="1"/>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that we believe will result from combining the operations of Novartis AH with our legacy animal health business, future unidentified projects and products, and the assembled workforce of Novartis AH. Approximately $950 million of the goodwill associated with this acquisition is estimated to be deductible for tax purposes.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Other Acquisitions</w:t>
      </w:r>
    </w:p>
    <w:p>
      <w:pPr>
        <w:spacing w:after="0" w:line="13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following table summarizes our product and other acquisitions during the three months ended March 31, 2015 which are discussed in detail below. There were no product or other acquisitions during the three months ended March 31,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ind w:left="1220"/>
              <w:spacing w:after="0"/>
              <w:rPr>
                <w:sz w:val="20"/>
                <w:szCs w:val="20"/>
                <w:color w:val="auto"/>
              </w:rPr>
            </w:pPr>
            <w:r>
              <w:rPr>
                <w:rFonts w:ascii="Arial" w:cs="Arial" w:eastAsia="Arial" w:hAnsi="Arial"/>
                <w:sz w:val="14"/>
                <w:szCs w:val="14"/>
                <w:b w:val="1"/>
                <w:bCs w:val="1"/>
                <w:color w:val="auto"/>
              </w:rPr>
              <w:t>Counterparty</w:t>
            </w:r>
          </w:p>
        </w:tc>
        <w:tc>
          <w:tcPr>
            <w:tcW w:w="3400" w:type="dxa"/>
            <w:vAlign w:val="bottom"/>
          </w:tcPr>
          <w:p>
            <w:pPr>
              <w:ind w:left="960"/>
              <w:spacing w:after="0"/>
              <w:rPr>
                <w:sz w:val="20"/>
                <w:szCs w:val="20"/>
                <w:color w:val="auto"/>
              </w:rPr>
            </w:pPr>
            <w:r>
              <w:rPr>
                <w:rFonts w:ascii="Arial" w:cs="Arial" w:eastAsia="Arial" w:hAnsi="Arial"/>
                <w:sz w:val="14"/>
                <w:szCs w:val="14"/>
                <w:b w:val="1"/>
                <w:bCs w:val="1"/>
                <w:color w:val="auto"/>
              </w:rPr>
              <w:t>Compound(s) or Therapy</w:t>
            </w:r>
          </w:p>
        </w:tc>
        <w:tc>
          <w:tcPr>
            <w:tcW w:w="1640" w:type="dxa"/>
            <w:vAlign w:val="bottom"/>
          </w:tcPr>
          <w:p>
            <w:pPr>
              <w:jc w:val="center"/>
              <w:ind w:right="59"/>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center"/>
              <w:ind w:right="102"/>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2"/>
        </w:trPr>
        <w:tc>
          <w:tcPr>
            <w:tcW w:w="30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 xml:space="preserve">Development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3400" w:type="dxa"/>
            <w:vAlign w:val="bottom"/>
          </w:tcPr>
          <w:p>
            <w:pPr>
              <w:ind w:left="300"/>
              <w:spacing w:after="0"/>
              <w:rPr>
                <w:sz w:val="20"/>
                <w:szCs w:val="20"/>
                <w:color w:val="auto"/>
              </w:rPr>
            </w:pPr>
            <w:r>
              <w:rPr>
                <w:rFonts w:ascii="Arial" w:cs="Arial" w:eastAsia="Arial" w:hAnsi="Arial"/>
                <w:sz w:val="18"/>
                <w:szCs w:val="18"/>
                <w:color w:val="auto"/>
              </w:rPr>
              <w:t>Monoclonal antibody targeting protein</w:t>
            </w: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60" w:type="dxa"/>
            <w:vAlign w:val="bottom"/>
          </w:tcPr>
          <w:p>
            <w:pPr>
              <w:spacing w:after="0"/>
              <w:rPr>
                <w:sz w:val="18"/>
                <w:szCs w:val="18"/>
                <w:color w:val="auto"/>
              </w:rPr>
            </w:pPr>
          </w:p>
        </w:tc>
        <w:tc>
          <w:tcPr>
            <w:tcW w:w="3400" w:type="dxa"/>
            <w:vAlign w:val="bottom"/>
          </w:tcPr>
          <w:p>
            <w:pPr>
              <w:ind w:left="300"/>
              <w:spacing w:after="0"/>
              <w:rPr>
                <w:sz w:val="20"/>
                <w:szCs w:val="20"/>
                <w:color w:val="auto"/>
              </w:rPr>
            </w:pPr>
            <w:r>
              <w:rPr>
                <w:rFonts w:ascii="Arial" w:cs="Arial" w:eastAsia="Arial" w:hAnsi="Arial"/>
                <w:sz w:val="18"/>
                <w:szCs w:val="18"/>
                <w:color w:val="auto"/>
              </w:rPr>
              <w:t>CD-20</w:t>
            </w: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060" w:type="dxa"/>
            <w:vAlign w:val="bottom"/>
          </w:tcPr>
          <w:p>
            <w:pPr>
              <w:ind w:left="40"/>
              <w:spacing w:after="0"/>
              <w:rPr>
                <w:sz w:val="20"/>
                <w:szCs w:val="20"/>
                <w:color w:val="auto"/>
              </w:rPr>
            </w:pPr>
            <w:r>
              <w:rPr>
                <w:rFonts w:ascii="Arial" w:cs="Arial" w:eastAsia="Arial" w:hAnsi="Arial"/>
                <w:sz w:val="18"/>
                <w:szCs w:val="18"/>
                <w:color w:val="auto"/>
              </w:rPr>
              <w:t>Innovent Biologics, Inc. (Innovent)</w:t>
            </w:r>
          </w:p>
        </w:tc>
        <w:tc>
          <w:tcPr>
            <w:tcW w:w="3400" w:type="dxa"/>
            <w:vAlign w:val="bottom"/>
            <w:vMerge w:val="restart"/>
          </w:tcPr>
          <w:p>
            <w:pPr>
              <w:ind w:left="300"/>
              <w:spacing w:after="0"/>
              <w:rPr>
                <w:sz w:val="20"/>
                <w:szCs w:val="20"/>
                <w:color w:val="auto"/>
              </w:rPr>
            </w:pPr>
            <w:r>
              <w:rPr>
                <w:rFonts w:ascii="Arial" w:cs="Arial" w:eastAsia="Arial" w:hAnsi="Arial"/>
                <w:sz w:val="18"/>
                <w:szCs w:val="18"/>
                <w:color w:val="auto"/>
              </w:rPr>
              <w:t>Immuno-oncology molecules</w:t>
            </w:r>
          </w:p>
        </w:tc>
        <w:tc>
          <w:tcPr>
            <w:tcW w:w="1640" w:type="dxa"/>
            <w:vAlign w:val="bottom"/>
          </w:tcPr>
          <w:p>
            <w:pPr>
              <w:jc w:val="center"/>
              <w:ind w:right="59"/>
              <w:spacing w:after="0"/>
              <w:rPr>
                <w:sz w:val="20"/>
                <w:szCs w:val="20"/>
                <w:color w:val="auto"/>
              </w:rPr>
            </w:pPr>
            <w:r>
              <w:rPr>
                <w:rFonts w:ascii="Arial" w:cs="Arial" w:eastAsia="Arial" w:hAnsi="Arial"/>
                <w:sz w:val="18"/>
                <w:szCs w:val="18"/>
                <w:color w:val="auto"/>
                <w:w w:val="98"/>
              </w:rPr>
              <w:t>March 2015</w:t>
            </w:r>
          </w:p>
        </w:tc>
        <w:tc>
          <w:tcPr>
            <w:tcW w:w="1540" w:type="dxa"/>
            <w:vAlign w:val="bottom"/>
          </w:tcPr>
          <w:p>
            <w:pPr>
              <w:jc w:val="center"/>
              <w:ind w:left="2"/>
              <w:spacing w:after="0"/>
              <w:rPr>
                <w:sz w:val="20"/>
                <w:szCs w:val="20"/>
                <w:color w:val="auto"/>
              </w:rPr>
            </w:pPr>
            <w:r>
              <w:rPr>
                <w:rFonts w:ascii="Arial" w:cs="Arial" w:eastAsia="Arial" w:hAnsi="Arial"/>
                <w:sz w:val="18"/>
                <w:szCs w:val="18"/>
                <w:color w:val="auto"/>
                <w:w w:val="96"/>
              </w:rPr>
              <w:t xml:space="preserve">Pre-clinical </w:t>
            </w:r>
            <w:r>
              <w:rPr>
                <w:rFonts w:ascii="Arial" w:cs="Arial" w:eastAsia="Arial" w:hAnsi="Arial"/>
                <w:sz w:val="21"/>
                <w:szCs w:val="21"/>
                <w:color w:val="auto"/>
                <w:w w:val="96"/>
                <w:vertAlign w:val="superscript"/>
              </w:rPr>
              <w:t>(2)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2"/>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54"/>
        </w:trPr>
        <w:tc>
          <w:tcPr>
            <w:tcW w:w="3060" w:type="dxa"/>
            <w:vAlign w:val="bottom"/>
          </w:tcPr>
          <w:p>
            <w:pPr>
              <w:spacing w:after="0"/>
              <w:rPr>
                <w:sz w:val="4"/>
                <w:szCs w:val="4"/>
                <w:color w:val="auto"/>
              </w:rPr>
            </w:pPr>
          </w:p>
        </w:tc>
        <w:tc>
          <w:tcPr>
            <w:tcW w:w="340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14705"/>
                    </a:xfrm>
                    <a:prstGeom prst="rect">
                      <a:avLst/>
                    </a:prstGeom>
                    <a:noFill/>
                  </pic:spPr>
                </pic:pic>
              </a:graphicData>
            </a:graphic>
          </wp:anchor>
        </w:drawing>
      </w:r>
    </w:p>
    <w:p>
      <w:pPr>
        <w:spacing w:after="0" w:line="16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cMet monoclonal antibody</w:t>
      </w:r>
    </w:p>
    <w:p>
      <w:pPr>
        <w:spacing w:after="0" w:line="152"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w:t>
      </w:r>
    </w:p>
    <w:p>
      <w:pPr>
        <w:spacing w:after="0" w:line="90"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Prior to acquisition, Innovent's monoclonal antibody targeting protein CD-20 had received investigational new drug approval in China to begin Phase I development.</w:t>
      </w:r>
    </w:p>
    <w:p>
      <w:pPr>
        <w:spacing w:after="0" w:line="9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collaboration agreement with Innovent is to develop and commercialize a portfolio of cancer treatments. In China, we will be responsible for the commercialization efforts, while Innovent will lead the development and manufacturing efforts. Innovent also has co-promotion rights in China. We will be responsible for development, manufacturing, and commercialization efforts of Innovent's pre-clinical immuno-oncology molecules outside of China. Separate from the collaboration, we will continue the development of our cMet monoclonal antibody gene outside of China. Innovent may be entitled to future royalties based on sales should these products be approved for commercialization and/or milestones based on the successful progress of the drug candidate through the development process.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Revenues related to products we sell pursuant to these arrangements are included in net product revenues, while other sources of revenue (e.g., royalties and profit-sharing due from our partner) are included in collaboration and other revenue.</w:t>
      </w:r>
    </w:p>
    <w:p>
      <w:pPr>
        <w:spacing w:after="0" w:line="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our collaboration and other revenue, which is included in revenue in the consolidated condensed statements of operations:</w:t>
      </w:r>
    </w:p>
    <w:p>
      <w:pPr>
        <w:spacing w:after="0" w:line="13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p>
      <w:pPr>
        <w:ind w:left="8920"/>
        <w:spacing w:after="0"/>
        <w:tabs>
          <w:tab w:leader="none" w:pos="105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40"/>
        <w:spacing w:after="0"/>
        <w:tabs>
          <w:tab w:leader="none" w:pos="8340" w:val="left"/>
          <w:tab w:leader="none" w:pos="9240" w:val="left"/>
          <w:tab w:leader="none" w:pos="9940" w:val="left"/>
          <w:tab w:leader="none" w:pos="10840" w:val="left"/>
        </w:tabs>
        <w:rPr>
          <w:sz w:val="20"/>
          <w:szCs w:val="20"/>
          <w:color w:val="auto"/>
        </w:rPr>
      </w:pPr>
      <w:r>
        <w:rPr>
          <w:rFonts w:ascii="Arial" w:cs="Arial" w:eastAsia="Arial" w:hAnsi="Arial"/>
          <w:sz w:val="18"/>
          <w:szCs w:val="18"/>
          <w:color w:val="auto"/>
        </w:rPr>
        <w:t>Collaboration and other revenue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182.3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196.1</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76"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Boehringer Ingelheim Diabetes Collaboration</w:t>
      </w:r>
    </w:p>
    <w:p>
      <w:pPr>
        <w:spacing w:after="0" w:line="11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4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 below summarizes significant regulatory and commercialization events and milestones (received) paid for the compounds included in this collaboration: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Product Status</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Milestones</w:t>
            </w:r>
          </w:p>
        </w:tc>
        <w:tc>
          <w:tcPr>
            <w:tcW w:w="1240" w:type="dxa"/>
            <w:vAlign w:val="bottom"/>
          </w:tcPr>
          <w:p>
            <w:pPr>
              <w:spacing w:after="0"/>
              <w:rPr>
                <w:sz w:val="14"/>
                <w:szCs w:val="14"/>
                <w:color w:val="auto"/>
              </w:rPr>
            </w:pPr>
          </w:p>
        </w:tc>
      </w:tr>
      <w:tr>
        <w:trPr>
          <w:trHeight w:val="202"/>
        </w:trPr>
        <w:tc>
          <w:tcPr>
            <w:tcW w:w="254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 xml:space="preserve">(Deferred) Capitalized </w:t>
            </w:r>
            <w:r>
              <w:rPr>
                <w:rFonts w:ascii="Arial" w:cs="Arial" w:eastAsia="Arial" w:hAnsi="Arial"/>
                <w:sz w:val="17"/>
                <w:szCs w:val="17"/>
                <w:b w:val="1"/>
                <w:bCs w:val="1"/>
                <w:color w:val="auto"/>
                <w:vertAlign w:val="superscript"/>
              </w:rPr>
              <w:t>(1)</w:t>
            </w:r>
          </w:p>
        </w:tc>
      </w:tr>
      <w:tr>
        <w:trPr>
          <w:trHeight w:val="198"/>
        </w:trPr>
        <w:tc>
          <w:tcPr>
            <w:tcW w:w="2540" w:type="dxa"/>
            <w:vAlign w:val="bottom"/>
          </w:tcPr>
          <w:p>
            <w:pPr>
              <w:ind w:left="700"/>
              <w:spacing w:after="0"/>
              <w:rPr>
                <w:sz w:val="20"/>
                <w:szCs w:val="20"/>
                <w:color w:val="auto"/>
              </w:rPr>
            </w:pPr>
            <w:r>
              <w:rPr>
                <w:rFonts w:ascii="Arial" w:cs="Arial" w:eastAsia="Arial" w:hAnsi="Arial"/>
                <w:sz w:val="14"/>
                <w:szCs w:val="14"/>
                <w:b w:val="1"/>
                <w:bCs w:val="1"/>
                <w:color w:val="auto"/>
              </w:rPr>
              <w:t>Product Family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Japan</w:t>
            </w:r>
          </w:p>
        </w:tc>
        <w:tc>
          <w:tcPr>
            <w:tcW w:w="1560" w:type="dxa"/>
            <w:vAlign w:val="bottom"/>
          </w:tcPr>
          <w:p>
            <w:pPr>
              <w:jc w:val="center"/>
              <w:ind w:left="54"/>
              <w:spacing w:after="0"/>
              <w:rPr>
                <w:sz w:val="20"/>
                <w:szCs w:val="20"/>
                <w:color w:val="auto"/>
              </w:rPr>
            </w:pPr>
            <w:r>
              <w:rPr>
                <w:rFonts w:ascii="Arial" w:cs="Arial" w:eastAsia="Arial" w:hAnsi="Arial"/>
                <w:sz w:val="14"/>
                <w:szCs w:val="14"/>
                <w:b w:val="1"/>
                <w:bCs w:val="1"/>
                <w:color w:val="auto"/>
                <w:w w:val="98"/>
              </w:rPr>
              <w:t>Year</w:t>
            </w:r>
          </w:p>
        </w:tc>
        <w:tc>
          <w:tcPr>
            <w:tcW w:w="620" w:type="dxa"/>
            <w:vAlign w:val="bottom"/>
          </w:tcPr>
          <w:p>
            <w:pPr>
              <w:spacing w:after="0"/>
              <w:rPr>
                <w:sz w:val="17"/>
                <w:szCs w:val="17"/>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Amount</w:t>
            </w:r>
          </w:p>
        </w:tc>
      </w:tr>
      <w:tr>
        <w:trPr>
          <w:trHeight w:val="66"/>
        </w:trPr>
        <w:tc>
          <w:tcPr>
            <w:tcW w:w="254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50"/>
        </w:trPr>
        <w:tc>
          <w:tcPr>
            <w:tcW w:w="2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314"/>
        </w:trPr>
        <w:tc>
          <w:tcPr>
            <w:tcW w:w="2540" w:type="dxa"/>
            <w:vAlign w:val="bottom"/>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Launched 2011</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2011</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2011</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2015</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0"/>
        </w:trPr>
        <w:tc>
          <w:tcPr>
            <w:tcW w:w="2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74"/>
              <w:spacing w:after="0" w:line="240" w:lineRule="exact"/>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(5)</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446.4</w:t>
            </w:r>
          </w:p>
        </w:tc>
      </w:tr>
      <w:tr>
        <w:trPr>
          <w:trHeight w:val="250"/>
        </w:trPr>
        <w:tc>
          <w:tcPr>
            <w:tcW w:w="2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314"/>
        </w:trPr>
        <w:tc>
          <w:tcPr>
            <w:tcW w:w="254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Launched 2014</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2014</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2015</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2015</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0"/>
        </w:trPr>
        <w:tc>
          <w:tcPr>
            <w:tcW w:w="2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74"/>
              <w:spacing w:after="0" w:line="240" w:lineRule="exact"/>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(5)</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299.5</w:t>
            </w:r>
          </w:p>
        </w:tc>
      </w:tr>
      <w:tr>
        <w:trPr>
          <w:trHeight w:val="250"/>
        </w:trPr>
        <w:tc>
          <w:tcPr>
            <w:tcW w:w="2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(187.5)</w:t>
            </w:r>
          </w:p>
        </w:tc>
      </w:tr>
      <w:tr>
        <w:trPr>
          <w:trHeight w:val="314"/>
        </w:trPr>
        <w:tc>
          <w:tcPr>
            <w:tcW w:w="2540" w:type="dxa"/>
            <w:vAlign w:val="bottom"/>
          </w:tcPr>
          <w:p>
            <w:pPr>
              <w:ind w:left="40"/>
              <w:spacing w:after="0"/>
              <w:rPr>
                <w:sz w:val="20"/>
                <w:szCs w:val="20"/>
                <w:color w:val="auto"/>
              </w:rPr>
            </w:pPr>
            <w:r>
              <w:rPr>
                <w:rFonts w:ascii="Arial" w:cs="Arial" w:eastAsia="Arial" w:hAnsi="Arial"/>
                <w:sz w:val="18"/>
                <w:szCs w:val="18"/>
                <w:color w:val="auto"/>
              </w:rPr>
              <w:t>Basaglar</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 xml:space="preserve">Approved </w:t>
            </w:r>
            <w:r>
              <w:rPr>
                <w:rFonts w:ascii="Arial" w:cs="Arial" w:eastAsia="Arial" w:hAnsi="Arial"/>
                <w:sz w:val="21"/>
                <w:szCs w:val="21"/>
                <w:color w:val="auto"/>
                <w:w w:val="94"/>
                <w:vertAlign w:val="superscript"/>
              </w:rPr>
              <w:t>(4)</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2015</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2015</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2015</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0"/>
        </w:trPr>
        <w:tc>
          <w:tcPr>
            <w:tcW w:w="2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74"/>
              <w:spacing w:after="0" w:line="240" w:lineRule="exact"/>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(5)</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bl>
    <w:p>
      <w:pPr>
        <w:spacing w:after="0" w:line="113" w:lineRule="exact"/>
        <w:rPr>
          <w:sz w:val="20"/>
          <w:szCs w:val="20"/>
          <w:color w:val="auto"/>
        </w:rPr>
      </w:pPr>
    </w:p>
    <w:p>
      <w:pPr>
        <w:ind w:left="180" w:right="40" w:hanging="172"/>
        <w:spacing w:after="0" w:line="225" w:lineRule="auto"/>
        <w:tabs>
          <w:tab w:leader="none" w:pos="167"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Basaglar in Europe and Japan, milestone payments received were recorded as deferred revenue and are being amortized through the term of the collaboration (2029) to collaboration and other revenue. In connection with the regulatory approvals of Trajenta and Jardiance, milestone payments made were capitalized as intangible assets and are being amortized to cost of sales.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Jentadueto is included in the Trajenta family of product results.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Glyxambi and Synjardy are included in the Jardiance family of product results.</w:t>
      </w:r>
    </w:p>
    <w:p>
      <w:pPr>
        <w:spacing w:after="0" w:line="92" w:lineRule="exact"/>
        <w:rPr>
          <w:rFonts w:ascii="Arial" w:cs="Arial" w:eastAsia="Arial" w:hAnsi="Arial"/>
          <w:sz w:val="18"/>
          <w:szCs w:val="18"/>
          <w:color w:val="auto"/>
          <w:vertAlign w:val="superscript"/>
        </w:rPr>
      </w:pPr>
    </w:p>
    <w:p>
      <w:pPr>
        <w:ind w:left="180" w:right="80" w:hanging="172"/>
        <w:spacing w:after="0" w:line="230" w:lineRule="auto"/>
        <w:tabs>
          <w:tab w:leader="none" w:pos="167"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 September 2015, we entered into a settlement agreement to resolve patent infringement litigation filed by Sanofi-Aventis U.S. LLC, which markets Lantus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(insulin glargine). As part of the settlement agreement, the parties agreed that Basaglar can be launched in the U.S. beginning on December 15, 2016. Basaglar received U.S. Food and Drug Administration (FDA) approval in December 2015. As a result of receiving FDA approval, we received a $187.5 million milestone payment in the first quarter of 2016, which was recorded as deferred revenue and, upon product launch, will be amortized through the term of the collaboration to collaboration and other revenue.</w:t>
      </w:r>
    </w:p>
    <w:p>
      <w:pPr>
        <w:spacing w:after="0" w:line="65"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cumulative amount represents the total amounts as of the end of the reporting period that have been (deferred) or capitalized since the start of this collaboration.</w:t>
      </w:r>
    </w:p>
    <w:p>
      <w:pPr>
        <w:spacing w:after="0" w:line="9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compounds as collaboration and other revenue. We record our sales of Basaglar to third parties as net product revenues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will also be entitled to potential performance payments on sales of the molecules it contributes to the collaboration. These performance payments result in the owner of the molecule retaining a greater share of the agreed upon gross margin of that product.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94.4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82.3</w:t>
            </w: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Jardiance</w:t>
            </w:r>
          </w:p>
        </w:tc>
        <w:tc>
          <w:tcPr>
            <w:tcW w:w="1020" w:type="dxa"/>
            <w:vAlign w:val="bottom"/>
          </w:tcPr>
          <w:p>
            <w:pPr>
              <w:spacing w:after="0"/>
              <w:rPr>
                <w:sz w:val="22"/>
                <w:szCs w:val="22"/>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b w:val="1"/>
                <w:bCs w:val="1"/>
                <w:color w:val="auto"/>
              </w:rPr>
              <w:t>38.2</w:t>
            </w:r>
          </w:p>
        </w:tc>
        <w:tc>
          <w:tcPr>
            <w:tcW w:w="340" w:type="dxa"/>
            <w:vAlign w:val="bottom"/>
          </w:tcPr>
          <w:p>
            <w:pPr>
              <w:spacing w:after="0"/>
              <w:rPr>
                <w:sz w:val="22"/>
                <w:szCs w:val="22"/>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19.3</w:t>
            </w:r>
          </w:p>
        </w:tc>
      </w:tr>
      <w:tr>
        <w:trPr>
          <w:trHeight w:val="338"/>
        </w:trPr>
        <w:tc>
          <w:tcPr>
            <w:tcW w:w="8460" w:type="dxa"/>
            <w:vAlign w:val="bottom"/>
          </w:tcPr>
          <w:p>
            <w:pPr>
              <w:spacing w:after="0"/>
              <w:rPr>
                <w:sz w:val="20"/>
                <w:szCs w:val="20"/>
                <w:color w:val="auto"/>
              </w:rPr>
            </w:pPr>
            <w:r>
              <w:rPr>
                <w:rFonts w:ascii="Arial" w:cs="Arial" w:eastAsia="Arial" w:hAnsi="Arial"/>
                <w:sz w:val="18"/>
                <w:szCs w:val="18"/>
                <w:color w:val="auto"/>
              </w:rPr>
              <w:t>Our revenue related to Basaglar was not significant for the three months ended March 31, 2016.</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59"/>
        </w:trPr>
        <w:tc>
          <w:tcPr>
            <w:tcW w:w="8460" w:type="dxa"/>
            <w:vAlign w:val="bottom"/>
          </w:tcPr>
          <w:p>
            <w:pPr>
              <w:jc w:val="right"/>
              <w:ind w:right="2550"/>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76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Erbitux</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the U.S. and Canada (Bristol-Myers Squibb Company); and worldwide except North America (Merck KGaA). Certain rights to Erbitux outside North America will remain with Merck KGaA (Merck) upon expiration of that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revenues - BMS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Net product revenues - third party</w:t>
            </w:r>
          </w:p>
        </w:tc>
        <w:tc>
          <w:tcPr>
            <w:tcW w:w="240" w:type="dxa"/>
            <w:vAlign w:val="bottom"/>
          </w:tcPr>
          <w:p>
            <w:pPr>
              <w:spacing w:after="0"/>
              <w:rPr>
                <w:sz w:val="22"/>
                <w:szCs w:val="22"/>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141.5</w:t>
            </w:r>
          </w:p>
        </w:tc>
        <w:tc>
          <w:tcPr>
            <w:tcW w:w="34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26.6</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74.4</w:t>
            </w:r>
          </w:p>
        </w:tc>
      </w:tr>
      <w:tr>
        <w:trPr>
          <w:trHeight w:val="264"/>
        </w:trPr>
        <w:tc>
          <w:tcPr>
            <w:tcW w:w="924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168.1</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88.2</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Pursuant to commercial agreements with BMS, we had been co-developing Erbitux in North America with BMS exclusively. A separate agreement grants co-exclusive rights among Merck, BMS, and us in Japan and expires in 2032.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will provide consideration to BMS based upon a tiered percentage of net sales of Erbitux in North America estimated to average 38 percent through September 2018. The transfer of the commercialization rights was accounted for as an acquisition of a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October 1, 2015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602.1</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232.2</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50"/>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r>
      <w:tr>
        <w:trPr>
          <w:trHeight w:val="264"/>
        </w:trPr>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663.3</w:t>
            </w:r>
          </w:p>
        </w:tc>
      </w:tr>
      <w:tr>
        <w:trPr>
          <w:trHeight w:val="264"/>
        </w:trPr>
        <w:tc>
          <w:tcPr>
            <w:tcW w:w="10040" w:type="dxa"/>
            <w:vAlign w:val="bottom"/>
          </w:tcPr>
          <w:p>
            <w:pPr>
              <w:ind w:left="40"/>
              <w:spacing w:after="0"/>
              <w:rPr>
                <w:sz w:val="20"/>
                <w:szCs w:val="20"/>
                <w:color w:val="auto"/>
              </w:rPr>
            </w:pPr>
            <w:r>
              <w:rPr>
                <w:rFonts w:ascii="Arial" w:cs="Arial" w:eastAsia="Arial" w:hAnsi="Arial"/>
                <w:sz w:val="18"/>
                <w:szCs w:val="18"/>
                <w:color w:val="auto"/>
              </w:rPr>
              <w:t xml:space="preserve">Total consideration - contingent consideration liability </w:t>
            </w:r>
            <w:r>
              <w:rPr>
                <w:rFonts w:ascii="Arial" w:cs="Arial" w:eastAsia="Arial" w:hAnsi="Arial"/>
                <w:sz w:val="21"/>
                <w:szCs w:val="21"/>
                <w:color w:val="auto"/>
                <w:vertAlign w:val="superscript"/>
              </w:rPr>
              <w:t>(2)</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(663.3)</w:t>
            </w:r>
          </w:p>
        </w:tc>
      </w:tr>
    </w:tbl>
    <w:p>
      <w:pPr>
        <w:spacing w:after="0" w:line="113" w:lineRule="exact"/>
        <w:rPr>
          <w:sz w:val="20"/>
          <w:szCs w:val="20"/>
          <w:color w:val="auto"/>
        </w:rPr>
      </w:pPr>
    </w:p>
    <w:p>
      <w:pPr>
        <w:ind w:left="180" w:right="500" w:hanging="172"/>
        <w:spacing w:after="0" w:line="225"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are being amortized to cost of sales using the straight-line method through the co-development period in North America as set forth in the original agreement, which was scheduled to expire in September 2018.</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See Note 6 for discussion on the estimation of the contingent consideration liability.</w:t>
      </w:r>
    </w:p>
    <w:p>
      <w:pPr>
        <w:spacing w:after="0" w:line="9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final determination of these amounts will be completed as soon as possible but no later than one year from the acquisition date and may result in asset and liability fair values that differ from preliminary estimates, but it is not expected that these differences will be material to our consolidated financial statements.</w:t>
      </w:r>
    </w:p>
    <w:p>
      <w:pPr>
        <w:spacing w:after="0" w:line="9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Including the Erbitux business as if we had acquired it on January 1, 2015, our combined consolidated unaudited pro forma revenue and total Erbitux revenue would have been approximately $4.7 billion and $180 million, respectively, for the three months ended March 31, 2015. This unaudited pro forma financial information adjusts the historical consolidated revenue to give effect to pro forma events that are directly attributable to the acquisition. There would have been no material change to our historical consolidated net income. The unaudited pro forma financial information is not necessarily indicative of what our consolidated revenues would have been had we completed the acquisition at the beginning of 2015. In addition, the unaudited pro forma financial information does not attempt to project the future results of operations of our combined company.</w:t>
      </w:r>
    </w:p>
    <w:p>
      <w:pPr>
        <w:spacing w:after="0" w:line="9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Until the effective date of the transfer of the business, the arrangements between us and BMS were as set forth in this paragraph. Erbitux research and development and other costs were shared by both companies according to a predetermined ratio. Responsibilities associated with clinical and other ongoing studies were apportioned between the parties under the agreements. Collaborative reimbursements due to us for supply of clinical trial materials; for research and development; and for a portion of marketing, selling, and administrative expenses were recorded as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60" w:right="239" w:bottom="1440" w:gutter="0" w:footer="0" w:header="0"/>
        </w:sectPr>
      </w:pPr>
    </w:p>
    <w:bookmarkStart w:id="14" w:name="page15"/>
    <w:bookmarkEnd w:id="14"/>
    <w:p>
      <w:pPr>
        <w:ind w:right="80"/>
        <w:spacing w:after="0" w:line="252" w:lineRule="auto"/>
        <w:rPr>
          <w:sz w:val="20"/>
          <w:szCs w:val="20"/>
          <w:color w:val="auto"/>
        </w:rPr>
      </w:pPr>
      <w:r>
        <w:rPr>
          <w:rFonts w:ascii="Arial" w:cs="Arial" w:eastAsia="Arial" w:hAnsi="Arial"/>
          <w:sz w:val="18"/>
          <w:szCs w:val="18"/>
          <w:color w:val="auto"/>
        </w:rPr>
        <w:t>reduction to the respective expense line items on the consolidated statement of operations. We received a distribution fee in the form of a royalty from BMS, based on a percentage of net sales in North America, which was recorded in collaboration and other revenue. Royalties due to third parties were recorded as a reduction of collaboration and other revenue, net of any royalty reimbursements due from third parties. We were responsible for the manufacture and supply of all requirements of Erbitux in bulk-form active pharmaceutical ingredient (API) for clinical and commercial use in North America, and BMS purchased all of its requirements of API from us, subject to certain stipulations per the agreement. Sales of Erbitux API to BMS were reported in net product revenues.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3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94" w:lineRule="exact"/>
        <w:rPr>
          <w:sz w:val="20"/>
          <w:szCs w:val="20"/>
          <w:color w:val="auto"/>
        </w:rPr>
      </w:pPr>
    </w:p>
    <w:p>
      <w:pPr>
        <w:jc w:val="both"/>
        <w:ind w:right="74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earned. Royalties due to third parties are recorded as a reduction of collaboration and other revenue, net of any royalty reimbursements due from third parties.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p>
      <w:pPr>
        <w:spacing w:after="0" w:line="8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Territory</w:t>
            </w:r>
          </w:p>
        </w:tc>
        <w:tc>
          <w:tcPr>
            <w:tcW w:w="29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rPr>
              <w:t>Marketing Rights</w:t>
            </w:r>
          </w:p>
        </w:tc>
        <w:tc>
          <w:tcPr>
            <w:tcW w:w="5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Selling Party</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rPr>
              <w:t>U.S.</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6"/>
              </w:rPr>
              <w:t>Lilly</w:t>
            </w:r>
          </w:p>
        </w:tc>
        <w:tc>
          <w:tcPr>
            <w:tcW w:w="0" w:type="dxa"/>
            <w:vAlign w:val="bottom"/>
          </w:tcPr>
          <w:p>
            <w:pPr>
              <w:spacing w:after="0"/>
              <w:rPr>
                <w:sz w:val="1"/>
                <w:szCs w:val="1"/>
                <w:color w:val="auto"/>
              </w:rPr>
            </w:pPr>
          </w:p>
        </w:tc>
      </w:tr>
      <w:tr>
        <w:trPr>
          <w:trHeight w:val="229"/>
        </w:trPr>
        <w:tc>
          <w:tcPr>
            <w:tcW w:w="3120" w:type="dxa"/>
            <w:vAlign w:val="bottom"/>
            <w:vMerge w:val="restart"/>
          </w:tcPr>
          <w:p>
            <w:pPr>
              <w:jc w:val="center"/>
              <w:ind w:right="154"/>
              <w:spacing w:after="0"/>
              <w:rPr>
                <w:sz w:val="20"/>
                <w:szCs w:val="20"/>
                <w:color w:val="auto"/>
              </w:rPr>
            </w:pPr>
            <w:r>
              <w:rPr>
                <w:rFonts w:ascii="Arial" w:cs="Arial" w:eastAsia="Arial" w:hAnsi="Arial"/>
                <w:sz w:val="18"/>
                <w:szCs w:val="18"/>
                <w:color w:val="auto"/>
                <w:w w:val="99"/>
              </w:rPr>
              <w:t>Major European markets</w:t>
            </w:r>
          </w:p>
        </w:tc>
        <w:tc>
          <w:tcPr>
            <w:tcW w:w="2980" w:type="dxa"/>
            <w:vAlign w:val="bottom"/>
            <w:vMerge w:val="restart"/>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tcPr>
          <w:p>
            <w:pPr>
              <w:jc w:val="center"/>
              <w:ind w:right="74"/>
              <w:spacing w:after="0"/>
              <w:rPr>
                <w:sz w:val="20"/>
                <w:szCs w:val="20"/>
                <w:color w:val="auto"/>
              </w:rPr>
            </w:pPr>
            <w:r>
              <w:rPr>
                <w:rFonts w:ascii="Arial" w:cs="Arial" w:eastAsia="Arial" w:hAnsi="Arial"/>
                <w:sz w:val="18"/>
                <w:szCs w:val="18"/>
                <w:color w:val="auto"/>
                <w:w w:val="99"/>
              </w:rPr>
              <w:t>Pre-January 1, 2016, Lilly</w:t>
            </w:r>
          </w:p>
        </w:tc>
        <w:tc>
          <w:tcPr>
            <w:tcW w:w="0" w:type="dxa"/>
            <w:vAlign w:val="bottom"/>
          </w:tcPr>
          <w:p>
            <w:pPr>
              <w:spacing w:after="0"/>
              <w:rPr>
                <w:sz w:val="1"/>
                <w:szCs w:val="1"/>
                <w:color w:val="auto"/>
              </w:rPr>
            </w:pPr>
          </w:p>
        </w:tc>
      </w:tr>
      <w:tr>
        <w:trPr>
          <w:trHeight w:val="109"/>
        </w:trPr>
        <w:tc>
          <w:tcPr>
            <w:tcW w:w="3120" w:type="dxa"/>
            <w:vAlign w:val="bottom"/>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5320" w:type="dxa"/>
            <w:vAlign w:val="bottom"/>
            <w:vMerge w:val="restart"/>
          </w:tcPr>
          <w:p>
            <w:pPr>
              <w:jc w:val="center"/>
              <w:ind w:right="74"/>
              <w:spacing w:after="0"/>
              <w:rPr>
                <w:sz w:val="20"/>
                <w:szCs w:val="20"/>
                <w:color w:val="auto"/>
              </w:rPr>
            </w:pPr>
            <w:r>
              <w:rPr>
                <w:rFonts w:ascii="Arial" w:cs="Arial" w:eastAsia="Arial" w:hAnsi="Arial"/>
                <w:sz w:val="18"/>
                <w:szCs w:val="18"/>
                <w:color w:val="auto"/>
                <w:w w:val="99"/>
              </w:rPr>
              <w:t>Post-January 1, 2016, Daiichi Sankyo</w:t>
            </w:r>
          </w:p>
        </w:tc>
        <w:tc>
          <w:tcPr>
            <w:tcW w:w="0" w:type="dxa"/>
            <w:vAlign w:val="bottom"/>
          </w:tcPr>
          <w:p>
            <w:pPr>
              <w:spacing w:after="0"/>
              <w:rPr>
                <w:sz w:val="1"/>
                <w:szCs w:val="1"/>
                <w:color w:val="auto"/>
              </w:rPr>
            </w:pPr>
          </w:p>
        </w:tc>
      </w:tr>
      <w:tr>
        <w:trPr>
          <w:trHeight w:val="115"/>
        </w:trPr>
        <w:tc>
          <w:tcPr>
            <w:tcW w:w="31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7"/>
              </w:rPr>
              <w:t>Japan</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Exclusive</w:t>
            </w:r>
          </w:p>
        </w:tc>
        <w:tc>
          <w:tcPr>
            <w:tcW w:w="53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rPr>
              <w:t>Daiichi Sankyo</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Beginning January 1, 2016, while major European markets continue to be a co-promotion territory under the terms of our arrangement, Daiichi Sankyo exclusively promotes Effient in these markets. The economic results for the major European markets continue to be shared in the same proportion as they were previously.</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continue to produce the finished product for our exclusive and co-promotion territories, including the major European markets.</w:t>
      </w:r>
    </w:p>
    <w:p>
      <w:pPr>
        <w:spacing w:after="0" w:line="94"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Beginning January 1, 2016,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p>
      <w:pPr>
        <w:ind w:left="9600"/>
        <w:spacing w:after="0"/>
        <w:tabs>
          <w:tab w:leader="none" w:pos="107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40"/>
        <w:spacing w:after="0"/>
        <w:tabs>
          <w:tab w:leader="none" w:pos="9240" w:val="left"/>
          <w:tab w:leader="none" w:pos="9700" w:val="left"/>
          <w:tab w:leader="none" w:pos="10380" w:val="left"/>
          <w:tab w:leader="none" w:pos="1084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131.5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Baricitinib</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sectPr>
      </w:pPr>
    </w:p>
    <w:bookmarkStart w:id="15" w:name="page16"/>
    <w:bookmarkEnd w:id="15"/>
    <w:p>
      <w:pPr>
        <w:ind w:right="60"/>
        <w:spacing w:after="0" w:line="252" w:lineRule="auto"/>
        <w:rPr>
          <w:sz w:val="20"/>
          <w:szCs w:val="20"/>
          <w:color w:val="auto"/>
        </w:rPr>
      </w:pPr>
      <w:r>
        <w:rPr>
          <w:rFonts w:ascii="Arial" w:cs="Arial" w:eastAsia="Arial" w:hAnsi="Arial"/>
          <w:sz w:val="18"/>
          <w:szCs w:val="18"/>
          <w:color w:val="auto"/>
        </w:rPr>
        <w:t>these compounds on an indication-by-indication basis by funding 30 percent of the associated development costs from the initiation of a Phase IIb trial through regulatory approval in exchange for increased tiered royalties ranging up to percentages in the high twenties. In 2010, Incyte exercised its option to co-develop baricitinib in rheumatoid arthritis. The agreement calls for payments associated with certain development, success-based regulatory, and sales-based milestones. In the first quarter of 2016, we incurred milestone-related expenses of $55.0 million in connection with regulatory submissions in the U.S. and Europe which were recorded as research and development expenses. As of March 31, 2016, Incyte is eligible to receive up to $360.0 million of additional payments from us contingent upon certain development and success-based regulatory milestones, of which $180.0 million relates to regulatory decisions for a first indication. Incyte is also eligible to receive up to $150.0 million of potential sales-based milestones.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Solanezumab</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an agreement with an affiliate of TPG-Axon Capital (TPG) whereby TPG funded a portion of the Phase III development of solanezumab. Under the agreement, TPG’s obligation to fund solanezumab costs ended in 2011. In exchange for its funding, TPG is eligible to receive success-based sales milestones totaling approximately $70 million and mid-single digit royalties contingent upon the successful development of solanezumab. The royalties would be paid for approximately 10 years after launch of a product.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Tanezumab</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October 2013, we entered into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Following the FDA's decision in March 2015 to lift the partial clinical hold on tanezumab, certain Phase III trials resumed in July 2015. Upon the FDA's lifting of the partial clinical hold and the decision to continue the collaboration with Pfizer, we paid an upfront fee of $200.0 million, which was expensed as acquired IPR&amp;D in the first quarter of 2015. In addition to this fee, Pfizer is eligible to receive up to $350.0 million in success-based regulatory milestones and up to $1.23 billion in a series of sales-based milestones, contingent upon the commercial success of tanezumab.</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BACE Inhibitor</w:t>
      </w:r>
    </w:p>
    <w:p>
      <w:pPr>
        <w:spacing w:after="0" w:line="11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September 2014, we entered into a collaboration agreement with AstraZeneca UK Limited (AstraZeneca) for the worldwide co-development and co-commercialization of AstraZeneca’s AZD3293, an oral beta-secretase cleaving enzyme (BACE) inhibitor being investigated for the potential treatment of Alzheimer’s disease. We are responsible for leading development efforts, while AstraZeneca will be responsible for manufacturing efforts. If successful, both parties will take joint responsibility for commercialization. Under the agreement, both parties share equally in the ongoing development costs and, if successful, in gross margins and certain other costs associated with commercialization of the molecule. As a result of the molecule moving into Phase III testing in April 2016, we incurred a $100.0 million developmental milestone, which will be recorded as research and development expense in the second quarter of 2016. AstraZeneca is eligible to receive up to an additional $350.0 million contingent upon the achievement of certain development and success-based regulatory milestones.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Summary of Commission and Profit-Share Payments</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our aggregate amount of marketing, selling, and administrative expense associated with our commission and profit-sharing obligations for the collaborations and other arrangements described above:</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p>
      <w:pPr>
        <w:ind w:left="9600"/>
        <w:spacing w:after="0"/>
        <w:tabs>
          <w:tab w:leader="none" w:pos="107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40"/>
        <w:spacing w:after="0"/>
        <w:tabs>
          <w:tab w:leader="none" w:pos="9240" w:val="left"/>
          <w:tab w:leader="none" w:pos="9800" w:val="left"/>
          <w:tab w:leader="none" w:pos="10380" w:val="left"/>
          <w:tab w:leader="none" w:pos="10940" w:val="left"/>
        </w:tabs>
        <w:rPr>
          <w:sz w:val="20"/>
          <w:szCs w:val="20"/>
          <w:color w:val="auto"/>
        </w:rPr>
      </w:pPr>
      <w:r>
        <w:rPr>
          <w:rFonts w:ascii="Arial" w:cs="Arial" w:eastAsia="Arial" w:hAnsi="Arial"/>
          <w:sz w:val="18"/>
          <w:szCs w:val="18"/>
          <w:color w:val="auto"/>
        </w:rPr>
        <w:t>Marketing, selling, and administrative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49.0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49.3</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0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39"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9240" w:type="dxa"/>
            <w:vAlign w:val="bottom"/>
          </w:tcPr>
          <w:p>
            <w:pPr>
              <w:ind w:left="180"/>
              <w:spacing w:after="0"/>
              <w:rPr>
                <w:sz w:val="20"/>
                <w:szCs w:val="20"/>
                <w:color w:val="auto"/>
              </w:rPr>
            </w:pPr>
            <w:r>
              <w:rPr>
                <w:rFonts w:ascii="Arial" w:cs="Arial" w:eastAsia="Arial" w:hAnsi="Arial"/>
                <w:sz w:val="18"/>
                <w:szCs w:val="18"/>
                <w:color w:val="auto"/>
              </w:rPr>
              <w:t>Human pharmaceutical</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70"/>
        </w:trPr>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9.5</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24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9.5</w:t>
            </w:r>
          </w:p>
        </w:tc>
        <w:tc>
          <w:tcPr>
            <w:tcW w:w="34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31.0</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other special charges -- animal health</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121.9</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77.0</w:t>
            </w:r>
          </w:p>
        </w:tc>
      </w:tr>
      <w:tr>
        <w:trPr>
          <w:trHeight w:val="277"/>
        </w:trPr>
        <w:tc>
          <w:tcPr>
            <w:tcW w:w="9240" w:type="dxa"/>
            <w:vAlign w:val="bottom"/>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131.4</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108.0</w:t>
            </w:r>
          </w:p>
        </w:tc>
      </w:tr>
    </w:tbl>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Severance costs recognized during the three months ended March 31, 2016 related primarily to our decision to close an animal health manufacturing plant in Ireland as well as the integration of Novartis AH. Severance costs recognized during the three months ended March 31, 2015 related primarily to the acquisition of Novartis AH as well as actions taken to reduce our cost structure.</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Asset impairment and other special charges recognized during the three months ended March 31, 2016 resulted primarily from $87.2 million of asset impairment and other charges related to our decision to close an animal health manufacturing plant in Ireland. The manufacturing plant was written down to its estimated fair value, which was based primarily on recent sales of similar assets. The remaining asset impairment and other special charges recognized during the three months ended March 31, 2016 consisted of integration costs related to our acquisition of Novartis AH. Asset impairment and other special charges recognized during the three months ended March 31, 2015 related primarily to integration costs and intangible asset impairments due to product rationalization resulting from our acquisition of Novartis AH.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the effective portion of gains and losses is reported as a component of accumulated other comprehensive loss and reclassified into earnings in the same period the hedged transaction affects earnings. For derivative and non-derivative instruments that are designated and qualify as net investment hedges, the effective portion of foreign currency translation gains or losses due to spot rate fluctuations are reported as a component of accumulated other comprehensive loss. Hedge ineffectiveness is immediately recognized in earnings. Derivative contracts that are not designated as hedging instruments are recorded at fair value with the gain or loss recognized in current earnings during the period of change.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76" w:right="239" w:bottom="1440" w:gutter="0" w:footer="0" w:header="0"/>
        </w:sectPr>
      </w:pPr>
    </w:p>
    <w:bookmarkStart w:id="17" w:name="page18"/>
    <w:bookmarkEnd w:id="17"/>
    <w:p>
      <w:pPr>
        <w:ind w:right="6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the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March 31, 2016, we had outstanding foreign currency forward commitments to purchase 598.7 million U.S. dollars and sell 531.3 million euro, commitments to purchase 1.39 billion euro and sell 1.54 billion U.S. dollars, commitments to purchase 637.0 million U.S. dollars and sell 71.73 billion Japanese yen, commitments to purchase 237.1 million British pounds and sell 305.4 million euro, and commitments to purchase 270.9 million U.S. dollars and sell 190.8 million British pounds, which will all settle within 30 days.</w:t>
      </w:r>
    </w:p>
    <w:p>
      <w:pPr>
        <w:spacing w:after="0" w:line="1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euro-denominated notes issued in June 2015, which had carrying amounts of $2.34 billion and $ 2.27 billion as of March 31, 2016 and December 31, 2015, respectively, have been designated as, and are effective as, economic hedges of net investments in certain of our euro-denominated foreign operations. Our cross-currency interest rate swaps that convert a portion of our U.S. dollar-denominated floating rate debt to euro-denominated floating rate debt have also been designated as, and are effective as, economic hedges of net investments in certain of our euro-denominated foreign operations.</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 of cash flows. At March 31, 2016, substantially all of our total long-term debt is at a fixed rate. We have converted approximately 40 percent of our long-term fixed-rate notes to floating rates through the use of interest rate swaps.</w:t>
      </w:r>
    </w:p>
    <w:p>
      <w:pPr>
        <w:spacing w:after="0" w:line="10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2015, we issued $600.0 million of 1.25 percent fixed-rate notes due March 1, 2018, $800.0 million of 2.75 percent fixed-rate notes due June 1, 2025, and $800.0 million of 3.70 percent fixed-rate notes due March 1, 2045 with interest to be paid semi-annually. The proceeds from the issuance of the notes were used primarily to repay outstanding commercial paper issued in connection with our January 2015 acquisition of Novartis AH.</w:t>
      </w:r>
    </w:p>
    <w:p>
      <w:pPr>
        <w:spacing w:after="0" w:line="96"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We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 Upon issuance of the underlying fixed-rate notes in March 2015, we terminated forward-starting interest rate contracts in designated cash flow hedging instruments with an aggregate notional amount of $1.35 billion and paid $206.3 million in cash to the counterparties for settlement. The settlement amount represented the fair value of the forward-starting interest rate contracts at the time of termination and was recorded in other comprehensive loss.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6" w:right="239" w:bottom="1440" w:gutter="0" w:footer="0" w:header="0"/>
        </w:sectPr>
      </w:pPr>
    </w:p>
    <w:bookmarkStart w:id="18" w:name="page19"/>
    <w:bookmarkEnd w:id="18"/>
    <w:p>
      <w:pPr>
        <w:ind w:right="3200"/>
        <w:spacing w:after="0" w:line="408" w:lineRule="auto"/>
        <w:rPr>
          <w:sz w:val="20"/>
          <w:szCs w:val="20"/>
          <w:color w:val="auto"/>
        </w:rPr>
      </w:pPr>
      <w:r>
        <w:rPr>
          <w:rFonts w:ascii="Arial" w:cs="Arial" w:eastAsia="Arial" w:hAnsi="Arial"/>
          <w:sz w:val="18"/>
          <w:szCs w:val="18"/>
          <w:i w:val="1"/>
          <w:iCs w:val="1"/>
          <w:color w:val="auto"/>
        </w:rPr>
        <w:t xml:space="preserve">The Effect of Risk-Management Instruments on the Consolidated Condensed Statement of Operations </w:t>
      </w:r>
      <w:r>
        <w:rPr>
          <w:rFonts w:ascii="Arial" w:cs="Arial" w:eastAsia="Arial" w:hAnsi="Arial"/>
          <w:sz w:val="18"/>
          <w:szCs w:val="18"/>
          <w:color w:val="auto"/>
        </w:rPr>
        <w:t>The following effects of risk-management instruments were recognized in other–net, (income) expense:</w:t>
      </w:r>
    </w:p>
    <w:p>
      <w:pPr>
        <w:spacing w:after="0" w:line="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70"/>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908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b w:val="1"/>
                <w:bCs w:val="1"/>
                <w:color w:val="auto"/>
              </w:rPr>
              <w:t>75.3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58.9</w:t>
            </w:r>
          </w:p>
        </w:tc>
      </w:tr>
      <w:tr>
        <w:trPr>
          <w:trHeight w:val="277"/>
        </w:trPr>
        <w:tc>
          <w:tcPr>
            <w:tcW w:w="9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(75.3)</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63"/>
        </w:trPr>
        <w:tc>
          <w:tcPr>
            <w:tcW w:w="908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9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 other comprehensive loss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57"/>
        </w:trPr>
        <w:tc>
          <w:tcPr>
            <w:tcW w:w="9080" w:type="dxa"/>
            <w:vAlign w:val="bottom"/>
          </w:tcPr>
          <w:p>
            <w:pPr>
              <w:ind w:left="40"/>
              <w:spacing w:after="0"/>
              <w:rPr>
                <w:sz w:val="20"/>
                <w:szCs w:val="20"/>
                <w:color w:val="auto"/>
              </w:rPr>
            </w:pPr>
            <w:r>
              <w:rPr>
                <w:rFonts w:ascii="Arial" w:cs="Arial" w:eastAsia="Arial" w:hAnsi="Arial"/>
                <w:sz w:val="18"/>
                <w:szCs w:val="18"/>
                <w:color w:val="auto"/>
              </w:rPr>
              <w:t>Net losses on foreign currency exchange contracts not designated as hedging instruments</w:t>
            </w:r>
          </w:p>
        </w:tc>
        <w:tc>
          <w:tcPr>
            <w:tcW w:w="400" w:type="dxa"/>
            <w:vAlign w:val="bottom"/>
          </w:tcPr>
          <w:p>
            <w:pPr>
              <w:spacing w:after="0"/>
              <w:rPr>
                <w:sz w:val="22"/>
                <w:szCs w:val="22"/>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b w:val="1"/>
                <w:bCs w:val="1"/>
                <w:color w:val="auto"/>
              </w:rPr>
              <w:t>13.3</w:t>
            </w:r>
          </w:p>
        </w:tc>
        <w:tc>
          <w:tcPr>
            <w:tcW w:w="30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23.3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67"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70"/>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26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880" w:type="dxa"/>
            <w:vAlign w:val="bottom"/>
          </w:tcPr>
          <w:p>
            <w:pPr>
              <w:ind w:left="240"/>
              <w:spacing w:after="0"/>
              <w:rPr>
                <w:sz w:val="20"/>
                <w:szCs w:val="20"/>
                <w:color w:val="auto"/>
              </w:rPr>
            </w:pPr>
            <w:r>
              <w:rPr>
                <w:rFonts w:ascii="Arial" w:cs="Arial" w:eastAsia="Arial" w:hAnsi="Arial"/>
                <w:sz w:val="18"/>
                <w:szCs w:val="18"/>
                <w:color w:val="auto"/>
              </w:rPr>
              <w:t>Euro-denominated notes</w:t>
            </w:r>
          </w:p>
        </w:tc>
        <w:tc>
          <w:tcPr>
            <w:tcW w:w="26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(77.8)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Euro-denominated cross-currency interest rate swaps</w:t>
            </w:r>
          </w:p>
        </w:tc>
        <w:tc>
          <w:tcPr>
            <w:tcW w:w="26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688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swaps</w:t>
            </w:r>
          </w:p>
        </w:tc>
        <w:tc>
          <w:tcPr>
            <w:tcW w:w="26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bl>
    <w:p>
      <w:pPr>
        <w:spacing w:after="0" w:line="10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the next 12 months, we expect to reclassify from accumulated other comprehensive loss to earnings $14.8 million of pretax net losses on cash flow hedges of the variability in expected future interest payments on our floating rate debt.</w:t>
      </w:r>
    </w:p>
    <w:p>
      <w:pPr>
        <w:spacing w:after="0" w:line="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three months ended March 31, 2016 and 2015, net losses related to ineffectiveness, as well as net losses related to the portion of our risk-management hedging instruments, fair value hedges, and cash flow hedges that were excluded from the assessment of effectiveness, were not material.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tables summarize certain fair value information at March 31, 2016 and December 31, 2015 for assets and liabilities measured at fair value on a recurring basis, as well as the carrying amount and amortized cost of certain other investments: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Markets for</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Identical</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Observable</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2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4"/>
                <w:szCs w:val="14"/>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r>
      <w:tr>
        <w:trPr>
          <w:trHeight w:val="202"/>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2016</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650.9</w:t>
            </w:r>
          </w:p>
        </w:tc>
        <w:tc>
          <w:tcPr>
            <w:tcW w:w="2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b w:val="1"/>
                <w:bCs w:val="1"/>
                <w:color w:val="auto"/>
              </w:rPr>
              <w:t>650.9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647.9</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3.0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650.9</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104.4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104.4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104.4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104.4</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080" w:type="dxa"/>
            <w:vAlign w:val="bottom"/>
          </w:tcPr>
          <w:p>
            <w:pPr>
              <w:jc w:val="right"/>
              <w:ind w:right="160"/>
              <w:spacing w:after="0"/>
              <w:rPr>
                <w:sz w:val="20"/>
                <w:szCs w:val="20"/>
                <w:color w:val="auto"/>
              </w:rPr>
            </w:pPr>
            <w:r>
              <w:rPr>
                <w:rFonts w:ascii="Arial" w:cs="Arial" w:eastAsia="Arial" w:hAnsi="Arial"/>
                <w:sz w:val="16"/>
                <w:szCs w:val="16"/>
                <w:b w:val="1"/>
                <w:bCs w:val="1"/>
                <w:color w:val="auto"/>
              </w:rPr>
              <w:t>564.7</w:t>
            </w:r>
          </w:p>
        </w:tc>
        <w:tc>
          <w:tcPr>
            <w:tcW w:w="220" w:type="dxa"/>
            <w:vAlign w:val="bottom"/>
          </w:tcPr>
          <w:p>
            <w:pPr>
              <w:spacing w:after="0"/>
              <w:rPr>
                <w:sz w:val="22"/>
                <w:szCs w:val="22"/>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564.8</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564.7</w:t>
            </w:r>
          </w:p>
        </w:tc>
        <w:tc>
          <w:tcPr>
            <w:tcW w:w="24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564.7</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14.4</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14.4</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14.4</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14.4</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3.9</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b w:val="1"/>
                <w:bCs w:val="1"/>
                <w:color w:val="auto"/>
              </w:rPr>
              <w:t>3.9</w:t>
            </w: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3.9</w:t>
            </w:r>
          </w:p>
        </w:tc>
        <w:tc>
          <w:tcPr>
            <w:tcW w:w="2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3.9</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687.4</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60"/>
              <w:spacing w:after="0"/>
              <w:rPr>
                <w:sz w:val="20"/>
                <w:szCs w:val="20"/>
                <w:color w:val="auto"/>
              </w:rPr>
            </w:pPr>
            <w:r>
              <w:rPr>
                <w:rFonts w:ascii="Arial" w:cs="Arial" w:eastAsia="Arial" w:hAnsi="Arial"/>
                <w:sz w:val="16"/>
                <w:szCs w:val="16"/>
                <w:b w:val="1"/>
                <w:bCs w:val="1"/>
                <w:color w:val="auto"/>
              </w:rPr>
              <w:t>380.2</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379.2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379.2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380.2</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1,968.2</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1,973.0</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1,968.2</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1,968.2</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080" w:type="dxa"/>
            <w:vAlign w:val="bottom"/>
          </w:tcPr>
          <w:p>
            <w:pPr>
              <w:jc w:val="right"/>
              <w:ind w:right="160"/>
              <w:spacing w:after="0"/>
              <w:rPr>
                <w:sz w:val="20"/>
                <w:szCs w:val="20"/>
                <w:color w:val="auto"/>
              </w:rPr>
            </w:pPr>
            <w:r>
              <w:rPr>
                <w:rFonts w:ascii="Arial" w:cs="Arial" w:eastAsia="Arial" w:hAnsi="Arial"/>
                <w:sz w:val="16"/>
                <w:szCs w:val="16"/>
                <w:b w:val="1"/>
                <w:bCs w:val="1"/>
                <w:color w:val="auto"/>
              </w:rPr>
              <w:t>186.4</w:t>
            </w:r>
          </w:p>
        </w:tc>
        <w:tc>
          <w:tcPr>
            <w:tcW w:w="220" w:type="dxa"/>
            <w:vAlign w:val="bottom"/>
          </w:tcPr>
          <w:p>
            <w:pPr>
              <w:spacing w:after="0"/>
              <w:rPr>
                <w:sz w:val="22"/>
                <w:szCs w:val="22"/>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185.4</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186.4</w:t>
            </w:r>
          </w:p>
        </w:tc>
        <w:tc>
          <w:tcPr>
            <w:tcW w:w="24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186.4</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398.3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397.9</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398.3</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398.3</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080" w:type="dxa"/>
            <w:vAlign w:val="bottom"/>
          </w:tcPr>
          <w:p>
            <w:pPr>
              <w:jc w:val="right"/>
              <w:ind w:right="160"/>
              <w:spacing w:after="0"/>
              <w:rPr>
                <w:sz w:val="20"/>
                <w:szCs w:val="20"/>
                <w:color w:val="auto"/>
              </w:rPr>
            </w:pPr>
            <w:r>
              <w:rPr>
                <w:rFonts w:ascii="Arial" w:cs="Arial" w:eastAsia="Arial" w:hAnsi="Arial"/>
                <w:sz w:val="16"/>
                <w:szCs w:val="16"/>
                <w:b w:val="1"/>
                <w:bCs w:val="1"/>
                <w:color w:val="auto"/>
              </w:rPr>
              <w:t>185.5</w:t>
            </w:r>
          </w:p>
        </w:tc>
        <w:tc>
          <w:tcPr>
            <w:tcW w:w="220" w:type="dxa"/>
            <w:vAlign w:val="bottom"/>
          </w:tcPr>
          <w:p>
            <w:pPr>
              <w:spacing w:after="0"/>
              <w:rPr>
                <w:sz w:val="22"/>
                <w:szCs w:val="22"/>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100.8</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7.3</w:t>
            </w:r>
          </w:p>
        </w:tc>
        <w:tc>
          <w:tcPr>
            <w:tcW w:w="24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178.2</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185.5</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104.9</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74.8</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104.9</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104.9</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540.8</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3,764.3</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2015</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1,644.4</w:t>
            </w:r>
          </w:p>
        </w:tc>
        <w:tc>
          <w:tcPr>
            <w:tcW w:w="2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1,644.4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1,637.0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7.4</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1,644.4</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153.2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153.2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153.2</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625.8</w:t>
            </w:r>
          </w:p>
        </w:tc>
        <w:tc>
          <w:tcPr>
            <w:tcW w:w="220" w:type="dxa"/>
            <w:vAlign w:val="bottom"/>
          </w:tcPr>
          <w:p>
            <w:pPr>
              <w:spacing w:after="0"/>
              <w:rPr>
                <w:sz w:val="22"/>
                <w:szCs w:val="22"/>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626.9</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625.8</w:t>
            </w:r>
          </w:p>
        </w:tc>
        <w:tc>
          <w:tcPr>
            <w:tcW w:w="24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625.8</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3.1</w:t>
            </w: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3.1</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785.4</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284.5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286.0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283.5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284.5</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1,962.6</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1,995.8</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1,962.6</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1,962.6</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153.3</w:t>
            </w:r>
          </w:p>
        </w:tc>
        <w:tc>
          <w:tcPr>
            <w:tcW w:w="220" w:type="dxa"/>
            <w:vAlign w:val="bottom"/>
          </w:tcPr>
          <w:p>
            <w:pPr>
              <w:spacing w:after="0"/>
              <w:rPr>
                <w:sz w:val="22"/>
                <w:szCs w:val="22"/>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154.7</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153.3</w:t>
            </w:r>
          </w:p>
        </w:tc>
        <w:tc>
          <w:tcPr>
            <w:tcW w:w="24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153.3</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441.9</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443.1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441.9</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441.9</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137.1</w:t>
            </w:r>
          </w:p>
        </w:tc>
        <w:tc>
          <w:tcPr>
            <w:tcW w:w="220" w:type="dxa"/>
            <w:vAlign w:val="bottom"/>
          </w:tcPr>
          <w:p>
            <w:pPr>
              <w:spacing w:after="0"/>
              <w:rPr>
                <w:sz w:val="22"/>
                <w:szCs w:val="22"/>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97.3</w:t>
            </w: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133.0</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137.1</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128.9</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74.8</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128.9</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128.9</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538.3</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3,646.6</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bl>
    <w:p>
      <w:pPr>
        <w:spacing w:after="0" w:line="78"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For available-for-sale debt securities, amounts disclosed represent the securities' amortized cost.</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cost method and equity method investments.</w:t>
      </w:r>
    </w:p>
    <w:p>
      <w:pPr>
        <w:sectPr>
          <w:pgSz w:w="11900" w:h="16838" w:orient="portrait"/>
          <w:cols w:equalWidth="0" w:num="1">
            <w:col w:w="11400"/>
          </w:cols>
          <w:pgMar w:left="240" w:top="742" w:right="259"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742" w:right="25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5"/>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rPr>
              <w:t>Fair</w:t>
            </w:r>
          </w:p>
        </w:tc>
      </w:tr>
      <w:tr>
        <w:trPr>
          <w:trHeight w:val="196"/>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Value</w:t>
            </w: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(8,125.9)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(8,559.5)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(8,559.5)</w:t>
            </w: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(7,978.5)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(8,172.0)</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(8,172.0)</w:t>
            </w:r>
          </w:p>
        </w:tc>
      </w:tr>
      <w:tr>
        <w:trPr>
          <w:trHeight w:val="507"/>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5"/>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rPr>
              <w:t>Fair</w:t>
            </w:r>
          </w:p>
        </w:tc>
      </w:tr>
      <w:tr>
        <w:trPr>
          <w:trHeight w:val="196"/>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Value</w:t>
            </w: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2016</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12.9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12.9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12.9</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132.1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132.1</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132.1</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38.6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38.6</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38.6</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(26.8)</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(26.8)</w:t>
            </w:r>
          </w:p>
        </w:tc>
        <w:tc>
          <w:tcPr>
            <w:tcW w:w="24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(26.8)</w:t>
            </w: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liability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(241.9)</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(241.9)</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(241.9)</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(365.2)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(365.2)</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(365.2)</w:t>
            </w:r>
          </w:p>
        </w:tc>
      </w:tr>
      <w:tr>
        <w:trPr>
          <w:trHeight w:val="324"/>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70.1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70.1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70.1</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liability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(243.7)</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(243.7)</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(243.7)</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(427.2)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r>
    </w:tbl>
    <w:p>
      <w:pPr>
        <w:spacing w:after="0" w:line="78"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contingent consideration liability relates to the Erbitux arrangement with BMS discussed in Note 4.</w:t>
      </w:r>
    </w:p>
    <w:p>
      <w:pPr>
        <w:spacing w:after="0" w:line="9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2" w:right="239" w:bottom="1440" w:gutter="0" w:footer="0" w:header="0"/>
        </w:sectPr>
      </w:pPr>
    </w:p>
    <w:bookmarkStart w:id="21" w:name="page22"/>
    <w:bookmarkEnd w:id="21"/>
    <w:p>
      <w:pPr>
        <w:ind w:right="160"/>
        <w:spacing w:after="0" w:line="254"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 of cost and equity method investments is not readily available.</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fair value of the Erbitux contingent consideration liability was estimated using a discounted cash flow analysis and Level 3 inputs, including projections representative of a market participant view for net sales in North America over the period ending in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 The decrease in the fair value of the Erbitux contingent consideration liability during the three months ended March 31, 2016 was due primarily to cash payments of $57.9 million. The change in the fair value of the Erbitux contingent consideration liability recognized in earnings during the three months ended March 31, 2016 was not material.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March 31,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5"/>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5"/>
                <w:szCs w:val="15"/>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2-5</w:t>
            </w: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3,627.8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687.4</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2,533.6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196.8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210.0</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2016</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2015</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69.5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68.0</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96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b w:val="1"/>
                <w:bCs w:val="1"/>
                <w:color w:val="auto"/>
              </w:rPr>
              <w:t>42.0</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52.5</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9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2,303.1</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764.5</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96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b w:val="1"/>
                <w:bCs w:val="1"/>
                <w:color w:val="auto"/>
              </w:rPr>
              <w:t>1,369.5</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2,933.4</w:t>
            </w:r>
          </w:p>
        </w:tc>
      </w:tr>
    </w:tbl>
    <w:p>
      <w:pPr>
        <w:spacing w:after="0" w:line="121" w:lineRule="exact"/>
        <w:rPr>
          <w:sz w:val="20"/>
          <w:szCs w:val="20"/>
          <w:color w:val="auto"/>
        </w:rPr>
      </w:pPr>
    </w:p>
    <w:p>
      <w:pPr>
        <w:ind w:right="720"/>
        <w:spacing w:after="0" w:line="278" w:lineRule="auto"/>
        <w:rPr>
          <w:sz w:val="20"/>
          <w:szCs w:val="20"/>
          <w:color w:val="auto"/>
        </w:rPr>
      </w:pPr>
      <w:r>
        <w:rPr>
          <w:rFonts w:ascii="Arial" w:cs="Arial" w:eastAsia="Arial" w:hAnsi="Arial"/>
          <w:sz w:val="17"/>
          <w:szCs w:val="17"/>
          <w:color w:val="auto"/>
        </w:rPr>
        <w:t>We periodically assess our investment securities for other-than-temporary impairment losses. Other-than-temporary impairment losses recognized during the three months ended March 31, 2016 totaled $25.7 million, and related primarily to our equity method and other investments. Other-than-temporary impairment losses recognized during the three months ended March 31, 2015 totaled $3.6 million.</w:t>
      </w:r>
    </w:p>
    <w:p>
      <w:pPr>
        <w:spacing w:after="0" w:line="7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For equity securities, factors considered in assessing other-than-temporary impairment losses include the length of time and the extent to which the fair value has been less than cost, the financial condition and near term prospects of the issuer, our intent and ability to retain the securities for a period of time sufficient to allow for recovery in fair value, and general market conditions and industry specific factors.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of March 31, 2016, the securities in an unrealized loss position include primarily our marketable equity securities as well as fixed-rate debt securities of varying maturities. Marketable equity securities are sensitive to market price adjustments for general market conditions and industry or sector specific factors, and fixed-rate debt securities are sensitive to changes in the yield curve and other market conditions. Approximately 80 percent of the fixed-rate debt securities in a loss position are investment-grade debt securities. As of March 31, 2016,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0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Activity related to our investment portfolio, substantially all of which related to available-for-sale securities, was as follows:</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70"/>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726.4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969.8</w:t>
            </w:r>
          </w:p>
        </w:tc>
      </w:tr>
      <w:tr>
        <w:trPr>
          <w:trHeight w:val="263"/>
        </w:trPr>
        <w:tc>
          <w:tcPr>
            <w:tcW w:w="588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3600" w:type="dxa"/>
            <w:vAlign w:val="bottom"/>
          </w:tcPr>
          <w:p>
            <w:pPr>
              <w:spacing w:after="0"/>
              <w:rPr>
                <w:sz w:val="22"/>
                <w:szCs w:val="22"/>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54.5</w:t>
            </w:r>
          </w:p>
        </w:tc>
      </w:tr>
      <w:tr>
        <w:trPr>
          <w:trHeight w:val="277"/>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36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7.3</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bl>
    <w:p>
      <w:pPr>
        <w:spacing w:after="0" w:line="10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93"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During the three months ended March 31, 2016 and 2015, we repurchased $300.1 million and $310.6 million of shares, respectively, associated with our $5.00 billion share repurchase program announced in October 2013. As of March 31, 2016, there were $2.65 billion of shares remaining in that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U.S. examination of tax years 2010-2012 commenced during the fourth quarter of 2013. In December 2015, we executed a closing agreement with the Internal Revenue Service which effectively settled certain matters for tax years 2010-2012. Accordingly, we reduced our gross uncertain tax positions by approximately $320 million in 2015. During the first quarter of 2016, we effectively settled the remaining matters related to tax years 2010-2012. As a result of this resolution, our gross uncertain tax positions were further reduced by approximately $140 million, and our consolidated results of operations benefited from an immaterial reduction in income tax expense. We made cash payments of approximately $130 million related to tax years 2010-2012 after application of available tax credit carryforwards and carrybacks. We anticipate additional cash payments of approximately $ 30 million related to the settlement. The U.S. examination of tax years 2013-2014 commenced during the first quarter of 2016; we expect the U.S. examination of 2015 to begin in the third quarter of 2016.</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9: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13" w:lineRule="exact"/>
        <w:rPr>
          <w:sz w:val="20"/>
          <w:szCs w:val="20"/>
          <w:color w:val="auto"/>
        </w:rPr>
      </w:pPr>
    </w:p>
    <w:p>
      <w:pPr>
        <w:jc w:val="right"/>
        <w:ind w:right="380"/>
        <w:spacing w:after="0"/>
        <w:rPr>
          <w:sz w:val="20"/>
          <w:szCs w:val="20"/>
          <w:color w:val="auto"/>
        </w:rPr>
      </w:pPr>
      <w:r>
        <w:rPr>
          <w:rFonts w:ascii="Arial" w:cs="Arial" w:eastAsia="Arial" w:hAnsi="Arial"/>
          <w:sz w:val="14"/>
          <w:szCs w:val="14"/>
          <w:b w:val="1"/>
          <w:bCs w:val="1"/>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26035</wp:posOffset>
            </wp:positionV>
            <wp:extent cx="18180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9"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14605</wp:posOffset>
            </wp:positionV>
            <wp:extent cx="18180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85" w:lineRule="exact"/>
        <w:rPr>
          <w:sz w:val="20"/>
          <w:szCs w:val="20"/>
          <w:color w:val="auto"/>
        </w:rPr>
      </w:pPr>
    </w:p>
    <w:p>
      <w:pPr>
        <w:ind w:left="9080"/>
        <w:spacing w:after="0"/>
        <w:tabs>
          <w:tab w:leader="none" w:pos="105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Components of net periodic benefit cost:</w:t>
      </w:r>
    </w:p>
    <w:p>
      <w:pPr>
        <w:sectPr>
          <w:pgSz w:w="11900" w:h="16838" w:orient="portrait"/>
          <w:cols w:equalWidth="0" w:num="1">
            <w:col w:w="11420"/>
          </w:cols>
          <w:pgMar w:left="240" w:top="576" w:right="239" w:bottom="1440" w:gutter="0" w:footer="0" w:header="0"/>
        </w:sectPr>
      </w:pP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Amortization of prior service cost</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Recognized actuarial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tabs>
          <w:tab w:leader="none" w:pos="880" w:val="left"/>
          <w:tab w:leader="none" w:pos="146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77.0</w:t>
      </w:r>
    </w:p>
    <w:p>
      <w:pPr>
        <w:spacing w:after="0" w:line="63" w:lineRule="exact"/>
        <w:rPr>
          <w:sz w:val="20"/>
          <w:szCs w:val="20"/>
          <w:color w:val="auto"/>
        </w:rPr>
      </w:pPr>
    </w:p>
    <w:p>
      <w:pPr>
        <w:ind w:left="800"/>
        <w:spacing w:after="0"/>
        <w:tabs>
          <w:tab w:leader="none" w:pos="2260" w:val="left"/>
        </w:tabs>
        <w:rPr>
          <w:sz w:val="20"/>
          <w:szCs w:val="20"/>
          <w:color w:val="auto"/>
        </w:rPr>
      </w:pPr>
      <w:r>
        <w:rPr>
          <w:rFonts w:ascii="Arial" w:cs="Arial" w:eastAsia="Arial" w:hAnsi="Arial"/>
          <w:sz w:val="18"/>
          <w:szCs w:val="18"/>
          <w:b w:val="1"/>
          <w:bCs w:val="1"/>
          <w:color w:val="auto"/>
        </w:rPr>
        <w:t>105.1</w:t>
      </w:r>
      <w:r>
        <w:rPr>
          <w:sz w:val="20"/>
          <w:szCs w:val="20"/>
          <w:color w:val="auto"/>
        </w:rPr>
        <w:tab/>
      </w:r>
      <w:r>
        <w:rPr>
          <w:rFonts w:ascii="Arial" w:cs="Arial" w:eastAsia="Arial" w:hAnsi="Arial"/>
          <w:sz w:val="18"/>
          <w:szCs w:val="18"/>
          <w:color w:val="auto"/>
        </w:rPr>
        <w:t>117.1</w:t>
      </w:r>
    </w:p>
    <w:p>
      <w:pPr>
        <w:spacing w:after="0" w:line="63" w:lineRule="exact"/>
        <w:rPr>
          <w:sz w:val="20"/>
          <w:szCs w:val="20"/>
          <w:color w:val="auto"/>
        </w:rPr>
      </w:pPr>
    </w:p>
    <w:p>
      <w:pPr>
        <w:jc w:val="right"/>
        <w:ind w:right="40"/>
        <w:spacing w:after="0"/>
        <w:tabs>
          <w:tab w:leader="none" w:pos="560" w:val="left"/>
        </w:tabs>
        <w:rPr>
          <w:sz w:val="20"/>
          <w:szCs w:val="20"/>
          <w:color w:val="auto"/>
        </w:rPr>
      </w:pPr>
      <w:r>
        <w:rPr>
          <w:rFonts w:ascii="Arial" w:cs="Arial" w:eastAsia="Arial" w:hAnsi="Arial"/>
          <w:sz w:val="18"/>
          <w:szCs w:val="18"/>
          <w:b w:val="1"/>
          <w:bCs w:val="1"/>
          <w:color w:val="auto"/>
        </w:rPr>
        <w:t>(189.6)</w:t>
      </w:r>
      <w:r>
        <w:rPr>
          <w:sz w:val="20"/>
          <w:szCs w:val="20"/>
          <w:color w:val="auto"/>
        </w:rPr>
        <w:tab/>
      </w:r>
      <w:r>
        <w:rPr>
          <w:rFonts w:ascii="Arial" w:cs="Arial" w:eastAsia="Arial" w:hAnsi="Arial"/>
          <w:sz w:val="18"/>
          <w:szCs w:val="18"/>
          <w:color w:val="auto"/>
        </w:rPr>
        <w:t>(191.8)</w:t>
      </w:r>
    </w:p>
    <w:p>
      <w:pPr>
        <w:spacing w:after="0" w:line="63" w:lineRule="exact"/>
        <w:rPr>
          <w:sz w:val="20"/>
          <w:szCs w:val="20"/>
          <w:color w:val="auto"/>
        </w:rPr>
      </w:pPr>
    </w:p>
    <w:p>
      <w:pPr>
        <w:ind w:left="1000"/>
        <w:spacing w:after="0"/>
        <w:tabs>
          <w:tab w:leader="none" w:pos="246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8"/>
          <w:szCs w:val="18"/>
          <w:color w:val="auto"/>
        </w:rPr>
        <w:t>2.5</w:t>
      </w:r>
    </w:p>
    <w:p>
      <w:pPr>
        <w:spacing w:after="0" w:line="63"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b w:val="1"/>
          <w:bCs w:val="1"/>
          <w:color w:val="auto"/>
        </w:rPr>
        <w:t>68.3</w:t>
      </w:r>
      <w:r>
        <w:rPr>
          <w:sz w:val="20"/>
          <w:szCs w:val="20"/>
          <w:color w:val="auto"/>
        </w:rPr>
        <w:tab/>
      </w:r>
      <w:r>
        <w:rPr>
          <w:rFonts w:ascii="Arial" w:cs="Arial" w:eastAsia="Arial" w:hAnsi="Arial"/>
          <w:sz w:val="18"/>
          <w:szCs w:val="18"/>
          <w:color w:val="auto"/>
        </w:rPr>
        <w:t>92.4</w:t>
      </w:r>
    </w:p>
    <w:p>
      <w:pPr>
        <w:spacing w:after="0" w:line="77" w:lineRule="exact"/>
        <w:rPr>
          <w:sz w:val="20"/>
          <w:szCs w:val="20"/>
          <w:color w:val="auto"/>
        </w:rPr>
      </w:pPr>
    </w:p>
    <w:p>
      <w:pPr>
        <w:spacing w:after="0"/>
        <w:tabs>
          <w:tab w:leader="none" w:pos="880" w:val="left"/>
          <w:tab w:leader="none" w:pos="146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61.1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97.2</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Retiree Health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8180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18180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7860" w:space="720"/>
            <w:col w:w="284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8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860" w:type="dxa"/>
            <w:vAlign w:val="bottom"/>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rPr>
              <w:t>9.3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9.8</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8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12.8</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(37.5)</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8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(21.4)</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64"/>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5.2</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w:t>
            </w:r>
          </w:p>
        </w:tc>
      </w:tr>
      <w:tr>
        <w:trPr>
          <w:trHeight w:val="27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(31.6)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bl>
    <w:p>
      <w:pPr>
        <w:spacing w:after="0" w:line="10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have contributed approximately $20 million required to satisfy minimum funding requirements to our defined benefit pension and retiree health benefit plans during the three months ended March 31, 2016. Additional discretionary funding in the aggregate was not material during the three months ended March 31, 2016. During the remainder of 2016, we expect to make contributions to our defined benefit pension and retiree health benefit plans of approximately $30 million to satisfy minimum funding requirements. Additional discretionary funding for the remainder of 2016 is not expected to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9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revenues for the product in the relevant market.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6"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Drug Price Competition and Patent Term Restoration Act of 1984 (the Hatch-Waxman Act). More than ten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These companies have also alleged the patent is invalid.</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and two other defendants seeking rulings that the U.S. vitamin regimen patent is valid and infringed (the Teva/APP litigation). Teva and APP stipulated to infringement of our vitamin regimen patent, with the contingency that Teva and APP would be permitted to litigate the issue of infringement if the U.S. Supreme Court vacated an en banc decision of the U.S. Court of Appeals for the Federal Circuit that dealt with issues of liability related to infringement (</w:t>
      </w:r>
      <w:r>
        <w:rPr>
          <w:rFonts w:ascii="Arial" w:cs="Arial" w:eastAsia="Arial" w:hAnsi="Arial"/>
          <w:sz w:val="18"/>
          <w:szCs w:val="18"/>
          <w:i w:val="1"/>
          <w:iCs w:val="1"/>
          <w:color w:val="auto"/>
        </w:rPr>
        <w:t>Akamai v. Limelight Networks</w:t>
      </w:r>
      <w:r>
        <w:rPr>
          <w:rFonts w:ascii="Arial" w:cs="Arial" w:eastAsia="Arial" w:hAnsi="Arial"/>
          <w:sz w:val="18"/>
          <w:szCs w:val="18"/>
          <w:color w:val="auto"/>
        </w:rPr>
        <w:t xml:space="preserve"> ). Thus, the sole issue before the district court was to determine patent validity.</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Trial occurred in August 2013. In March 2014, the court ruled that the asserted claims of the vitamin regimen patent are valid. In June 2014, the U.S. Supreme Court vacated the </w:t>
      </w:r>
      <w:r>
        <w:rPr>
          <w:rFonts w:ascii="Arial" w:cs="Arial" w:eastAsia="Arial" w:hAnsi="Arial"/>
          <w:sz w:val="18"/>
          <w:szCs w:val="18"/>
          <w:i w:val="1"/>
          <w:iCs w:val="1"/>
          <w:color w:val="auto"/>
        </w:rPr>
        <w:t>Akamai</w:t>
      </w:r>
      <w:r>
        <w:rPr>
          <w:rFonts w:ascii="Arial" w:cs="Arial" w:eastAsia="Arial" w:hAnsi="Arial"/>
          <w:sz w:val="18"/>
          <w:szCs w:val="18"/>
          <w:color w:val="auto"/>
        </w:rPr>
        <w:t xml:space="preserve"> decision, and the U.S. District Court for the Southern District of Indiana held a hearing on the issue of infringement in May 2015. In September 2015, the district court ruled that the vitamin regimen patent would be infringed by the generic challengers' proposed products. Teva and APP appealed all of the district court’s substantive decisions. A decision from the U.S. Court of Appeals for the Federal Circuit is expected in late 2016.</w:t>
      </w:r>
    </w:p>
    <w:p>
      <w:pPr>
        <w:spacing w:after="0" w:line="9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From 2012 through 2016, we filed similar lawsuits against other ANDA defendants seeking a ruling that our patents are valid and infringed. Some of these cases have been stayed pending the outcome of the Teva/APP litigation, and these parties have agreed to be bound by the outcome of the Teva/APP litigation. In February 2016, we filed a lawsuit alleging infringement against Dr. Reddy's Laboratories in response to its recently filed ANDA.</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In 2015, Neptune Generics, LLC and Sandoz Inc. each submitted petitions to the United States Patent and Trademark Office (USPTO), seeking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of our vitamin regimen patent. The USPTO is expected to decide whether to institute an IPR by mid-2016. If an IPR is instituted, the final written decision on the merits would be issued by the USPTO by mid-2017.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Generic manufacturers filed an opposition to the European Patent Office's (EPO) decision to grant us a vitamin regimen patent. The Opposition Division of the EPO upheld the patent and the generic manufacturers lodged an appeal. In October 2015 the generic manufacturers withdrew the appeal. As a result, the original EPO decision upholding the patent is now final.</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in the United Kingdom (U.K.), Actavis Group ehf and other Actavis companies (collectively, Actavis) filed litigation asking for a declaratory judgment that commercialization of certain salt forms of pemetrexed (the active ingredient in Alimta) diluted in saline would not infringe the vitamin regimen patents in the U.K., Italy, France, and Spain. In May 2014, the trial court ruled that the vitamin regimen patents for Alimta would not be infringed by commercialization of alternative salt forms of pemetrexed, after expiration of the compound patents in December 2015. We appealed, and in June 2015, the U.K. Court of Appeal reversed the trial court, ruling that the Alimta vitamin regimen patent would be indirectly infringed by commercialization of Actavis' products as proposed prior to the patent's expiration in June 2021, and reversed the trial court's decision granting declarations of noninfringement over the Alimta vitamin regimen patents in those countries. In February 2016, the U.K. Supreme Court granted our and Actavis' requests for permission to appeal different aspects of the judgment.</w:t>
      </w:r>
    </w:p>
    <w:p>
      <w:pPr>
        <w:spacing w:after="0" w:line="9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parallel proceedings, Actavis returned to the lower court seeking a declaration of non-infringement for a different proposed product. In February 2016, the trial court ruled that Actavis’ commercialization of this product would not infringe the patent in the U.K., Italy, France, and Spain. We intend to appeal this ruling.</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commenced separate infringement proceedings against certain Actavis companies in Germany. Following a trial, in April 2014, the German trial court ruled in our favor. The defendants appealed, and after a hearing in March 2015, the appellate court overturned the trial court and ruled that our vitamin regimen patent in Germany would not be infringed by a dipotassium salt form of pemetrexed. In January 2016, the German Federal Supreme Court granted our request to appeal this matter. A hearing is scheduled for mid-2016.</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60" w:right="259" w:bottom="1440" w:gutter="0" w:footer="0" w:header="0"/>
        </w:sectPr>
      </w:pPr>
    </w:p>
    <w:bookmarkStart w:id="25" w:name="page26"/>
    <w:bookmarkEnd w:id="25"/>
    <w:p>
      <w:pPr>
        <w:ind w:right="100"/>
        <w:spacing w:after="0" w:line="253" w:lineRule="auto"/>
        <w:rPr>
          <w:sz w:val="20"/>
          <w:szCs w:val="20"/>
          <w:color w:val="auto"/>
        </w:rPr>
      </w:pPr>
      <w:r>
        <w:rPr>
          <w:rFonts w:ascii="Arial" w:cs="Arial" w:eastAsia="Arial" w:hAnsi="Arial"/>
          <w:sz w:val="18"/>
          <w:szCs w:val="18"/>
          <w:color w:val="auto"/>
        </w:rPr>
        <w:t>In separate proceedings, in December 2015 we applied for and obtained a preliminary injunction against Hexal AG (Hexal), which had stated its intention to launch a generic disodium salt product in Germany. Hexal has appealed the grant of the preliminary injunction and has separately filed a challenge to the validity of our vitamin regimen patent before the German courts. Also, in April 2016, we obtained a preliminary injunction from the German court against ratiopharm GmbH (Ratiopharm), a subsidiary of Teva, which stated its intention to launch another proposed pemetrexed product. Ratiopharm has appealed the grant of the preliminary injunction.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are aware that at least one generic pemetrexed product has launched in a major European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Three separate demands for invalidation of our two vitamin regimen patents, involving several companies, have been filed with the Japanese Patent Office (JPO). In November 2015, the JPO issued written decisions in the invalidation trial initiated by Sawai Pharmaceutical Co., Ltd. (Sawai), and joined by three other companies, upholding both vitamin regimen patents. These patents provide intellectual property protection for Alimta until June 2021. Three companies, including Sawai, have filed appeals. The remaining invalidation trials initiated by the other parties are currently suspended.</w:t>
      </w:r>
    </w:p>
    <w:p>
      <w:pPr>
        <w:spacing w:after="0" w:line="9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Notwithstanding our patents, generic versions of Alimta were approved in Japan in February 2016. We filed for preliminary injunctions against three generic competitors which received approval. We withdrew the requests for injunctions once those competitors agreed not to proceed to pricing approval. We do not anticipate generic competitors to proceed to launch prior to the completion of the Sawai invalidation trial.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 Patent Litigation and Administrative Proceedings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along with Daiichi Sankyo, Daiichi Sankyo, Inc., and Ube Industries (Ube) are engaged in U.S. patent litigation involving Effient brought pursuant to procedures set out in the Hatch-Waxman Act. More than ten different companies have submitted ANDAs seeking approval to market generic versions of Effient prior to the expiration of Daiichi Sankyo’s and Ube’s patents (expiring in 2023) covering methods of using Effient with aspirin, and alleging the patents are invalid. One of these ANDAs also alleges that the compound patent for Effient (expiring in April 2017) is invalid.</w:t>
      </w:r>
    </w:p>
    <w:p>
      <w:pPr>
        <w:spacing w:after="0" w:line="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Beginning in March 2014, we filed lawsuits in the U.S. District Court for the Southern District of Indiana against these companies, seeking a ruling that the patents are valid and infringed. These cases have been consolidated. Four generic companies have agreed to be bound by the outcome of the consolidated case.</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2015, several generic pharmaceutical companies filed petitions with the USPTO, requesting IPR of the method patents. In September 2015, the USPTO granted the generic pharmaceutical companies' request and scheduled review in mid-2016. In light of these petitions, the district court in the consolidated lawsuit stayed the case with respect to all parties.</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the Effient patents are valid and enforceable against these generic manufacturers. However, it is not possible to determine the outcome of the proceedings, and accordingly, we can provide no assurance that we will prevail. We expect a loss of exclusivity for Effient would result in a rapid and severe decline in future revenues for the product in the relevant market.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been named along with Takeda Chemical Industries, Ltd., and Takeda affiliates (collectively, Takeda) as a defendant in approximately 6,500 product liability cases in the U.S. related to the diabetes medication Actos, which we co-promoted with Takeda in the U.S. from 1999 until 2006. In general, plaintiffs in these actions allege that Actos caused or contributed to their bladder cancer. Almost all of the active cases have been consolidated in federal multi-district litigation (MDL) in the Western District of Louisiana or are pending in a coordinated state court proceeding in California or a coordinated state court proceeding in Illinois.</w:t>
      </w:r>
    </w:p>
    <w:p>
      <w:pPr>
        <w:spacing w:after="0" w:line="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In April 2015, Takeda announced they will pay approximately $2.4 billion to resolve the vast majority of the U.S. product liability lawsuits involving Actos, including the case of </w:t>
      </w:r>
      <w:r>
        <w:rPr>
          <w:rFonts w:ascii="Arial" w:cs="Arial" w:eastAsia="Arial" w:hAnsi="Arial"/>
          <w:sz w:val="18"/>
          <w:szCs w:val="18"/>
          <w:i w:val="1"/>
          <w:iCs w:val="1"/>
          <w:color w:val="auto"/>
        </w:rPr>
        <w:t>Allen, et al. v. Takeda Pharmaceuticals, et al.,</w:t>
      </w:r>
      <w:r>
        <w:rPr>
          <w:rFonts w:ascii="Arial" w:cs="Arial" w:eastAsia="Arial" w:hAnsi="Arial"/>
          <w:sz w:val="18"/>
          <w:szCs w:val="18"/>
          <w:color w:val="auto"/>
        </w:rPr>
        <w:t xml:space="preserve"> no. 6:12-md-00064, in which a judgment of approximately $28 million was entered against Takeda and a judgment of approximately $9 million was entered against us. In September 2015, Takeda announced that more than 96 percent of eligible claimants have opted into the resolution program that was announced in April 2015. As a result of the resolution program, the </w:t>
      </w:r>
      <w:r>
        <w:rPr>
          <w:rFonts w:ascii="Arial" w:cs="Arial" w:eastAsia="Arial" w:hAnsi="Arial"/>
          <w:sz w:val="18"/>
          <w:szCs w:val="18"/>
          <w:i w:val="1"/>
          <w:iCs w:val="1"/>
          <w:color w:val="auto"/>
        </w:rPr>
        <w:t>Allen</w:t>
      </w:r>
      <w:r>
        <w:rPr>
          <w:rFonts w:ascii="Arial" w:cs="Arial" w:eastAsia="Arial" w:hAnsi="Arial"/>
          <w:sz w:val="18"/>
          <w:szCs w:val="18"/>
          <w:color w:val="auto"/>
        </w:rPr>
        <w:t xml:space="preserve"> case has been fully resolved. Accordingly, the appeals filed by Allen, Takeda, and us in the U.S. Court of Appeals for the Fifth Circuit have been dismissed with prejudice.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06" w:right="259" w:bottom="1440" w:gutter="0" w:footer="0" w:header="0"/>
        </w:sectPr>
      </w:pPr>
    </w:p>
    <w:bookmarkStart w:id="26" w:name="page27"/>
    <w:bookmarkEnd w:id="26"/>
    <w:p>
      <w:pPr>
        <w:ind w:right="40"/>
        <w:spacing w:after="0" w:line="253" w:lineRule="auto"/>
        <w:rPr>
          <w:sz w:val="20"/>
          <w:szCs w:val="20"/>
          <w:color w:val="auto"/>
        </w:rPr>
      </w:pPr>
      <w:r>
        <w:rPr>
          <w:rFonts w:ascii="Arial" w:cs="Arial" w:eastAsia="Arial" w:hAnsi="Arial"/>
          <w:sz w:val="18"/>
          <w:szCs w:val="18"/>
          <w:color w:val="auto"/>
        </w:rPr>
        <w:t>Although most U.S. product liability lawsuits involving Actos are included in the resolution program, there may be additional cases pending against Takeda and us following its completion. Our agreement with Takeda calls for Takeda to defend and indemnify us against our losses and expenses with respect to the U.S. litigation arising out of the manufacture, use, or sale of Actos and other related expenses in accordance with the terms of the agreement. We believe we are entitled to full indemnification of our losses and expenses in the U.S. cases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there can be no guarantee we will ultimately be successful in obtaining full indemnification.</w:t>
      </w:r>
    </w:p>
    <w:p>
      <w:pPr>
        <w:spacing w:after="0" w:line="9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are also named along with Takeda as a defendant in four purported product liability class actions in Canada related to Actos, including two in Ontario (</w:t>
      </w:r>
      <w:r>
        <w:rPr>
          <w:rFonts w:ascii="Arial" w:cs="Arial" w:eastAsia="Arial" w:hAnsi="Arial"/>
          <w:sz w:val="18"/>
          <w:szCs w:val="18"/>
          <w:i w:val="1"/>
          <w:iCs w:val="1"/>
          <w:color w:val="auto"/>
        </w:rPr>
        <w:t>Casseres et al. v. Takeda Pharmaceutical North America, Inc., et al. and Carrier et al. v. Eli Lilly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w:t>
      </w:r>
      <w:r>
        <w:rPr>
          <w:rFonts w:ascii="Arial" w:cs="Arial" w:eastAsia="Arial" w:hAnsi="Arial"/>
          <w:sz w:val="18"/>
          <w:szCs w:val="18"/>
          <w:color w:val="auto"/>
        </w:rPr>
        <w:t xml:space="preserve"> </w:t>
      </w:r>
      <w:r>
        <w:rPr>
          <w:rFonts w:ascii="Arial" w:cs="Arial" w:eastAsia="Arial" w:hAnsi="Arial"/>
          <w:sz w:val="18"/>
          <w:szCs w:val="18"/>
          <w:i w:val="1"/>
          <w:iCs w:val="1"/>
          <w:color w:val="auto"/>
        </w:rPr>
        <w:t>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we and Takeda are prepared to defend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Byetta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are named as a defendant in approximately 525 Byetta product liability lawsuits in the U.S. involving approximately 1,055 plaintiffs. Approximately 115 of these lawsuits, covering about 630 plaintiffs, are filed in California state court and coordinated in a Los Angeles Superior Court. Approximately 405 lawsuits, covering about 410 plaintiffs, are filed in federal court, the majority of which are coordinated in a multi-district litigation in the U.S. District Court for the Southern District of California. The remaining approximately five lawsuits, representing about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 plaintiffs, are in various state courts. Approximately 460 of the lawsuits, involving approximately 710 plaintiffs, contain allegations that Byetta caused or contributed to the plaintiffs' cancer (primarily pancreatic cancer or thyroid cancer). The federal and state trial courts granted summary judgment in favor of us and co-defendants on the claims alleging pancreatic cancer; those rulings are being appealed by the plaintiffs. We are aware of approximately 10 additional claimants who have not yet filed suit. These additional claims allege damages for pancreatic cancer or thyroid cancer. We believe these lawsuits and claims are without merit and are prepared to defend against them vigorously.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In October 2012, we were named as a defendant in a purported class-action lawsuit in the U.S. District Court for the Central District of California (</w:t>
      </w:r>
      <w:r>
        <w:rPr>
          <w:rFonts w:ascii="Arial" w:cs="Arial" w:eastAsia="Arial" w:hAnsi="Arial"/>
          <w:sz w:val="18"/>
          <w:szCs w:val="18"/>
          <w:i w:val="1"/>
          <w:iCs w:val="1"/>
          <w:color w:val="auto"/>
        </w:rPr>
        <w:t>Saavedra et al v. Eli Lilly and Company</w:t>
      </w:r>
      <w:r>
        <w:rPr>
          <w:rFonts w:ascii="Arial" w:cs="Arial" w:eastAsia="Arial" w:hAnsi="Arial"/>
          <w:sz w:val="18"/>
          <w:szCs w:val="18"/>
          <w:color w:val="auto"/>
        </w:rPr>
        <w:t>) involving Cymbalta. The plaintiffs, purporting to represent a class of all persons within the U.S. who 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New York and Massachusetts. The district court denied that motion for class certification in July 2015. The district court dismissed the suit and plaintiffs are appealing to the U.S. Court of Appeals for the Ninth Circuit.</w:t>
      </w:r>
    </w:p>
    <w:p>
      <w:pPr>
        <w:spacing w:after="0" w:line="10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Additionally, we are named in approximately 140 lawsuits involving approximately 1,450 plaintiffs filed in various federal and state courts alleging injuries arising from discontinuation of treatment with Cymbalta. Counsel for plaintiffs in the federal court proceedings filed a petition seeking to have then-filed cases and an unspecified number of future cases coordinated into a federal MDL in the U.S. District Court for the Central District of California. In December 2014, the Judicial Panel on Multidistrict Litigation (JPML) denied the plaintiffs' petition for creation of an MDL. Plaintiffs’ counsel subsequently filed a second petition seeking MDL consolidation, which petition was denied by the JPML in October 2015. There have been approximately 40 individual and multi-plaintiff cases filed in California state court. Most of those cases have been centralized in a California Judicial Counsel Coordination Proceeding pending in Los Angeles. The first individual product liability cases were tried in August 2015 and resulted in defense verdicts against four plaintiffs. The plaintiff in one of those cases is appealing the verdict. The other plaintiffs in those cases will not be appealing the judgment.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and claims are without merit and are prepared to defend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Prozac</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are named as a defendant in approximately 10 U.S. lawsuits primarily related to allegations that the antidepressant Prozac caused or contributed to birth defects in the children of women who ingested the drug during pregnancy. We are aware of approximately 385 additional claims related to birth defects, which have not yet been filed. We believe these lawsuits and claims are without merit and are prepared to defend against them vigorously.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0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Brazil–Employee Litigation</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15th Region in the Labor Court of Paulinia, State of Sao Paulo, Brazil, alleging possible harm to employees and former employees caused by exposure to heavy metals at a former Lilly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We cannot currently estimate the range of reasonably possible financial losses that could arise if we do not ultimately prevail in the litigation. The judge has estimated the total financial impact of the ruling to be approximately 1.0 billion Brazilian real (approximately $280 million as of March 31, 2016) plus interest. We strongly disagree with the decision and filed an appeal in May 2014.</w:t>
      </w:r>
    </w:p>
    <w:p>
      <w:pPr>
        <w:spacing w:after="0" w:line="10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are also named in approximately 30 lawsuits filed in labor courts by individual former employees making similar claims. We believe these lawsuits are without merit and are prepared to defend against them vigorously.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80"/>
              <w:spacing w:after="0"/>
              <w:rPr>
                <w:sz w:val="20"/>
                <w:szCs w:val="20"/>
                <w:color w:val="auto"/>
              </w:rPr>
            </w:pPr>
            <w:r>
              <w:rPr>
                <w:rFonts w:ascii="Arial" w:cs="Arial" w:eastAsia="Arial" w:hAnsi="Arial"/>
                <w:sz w:val="13"/>
                <w:szCs w:val="13"/>
                <w:b w:val="1"/>
                <w:bCs w:val="1"/>
                <w:color w:val="auto"/>
                <w:w w:val="98"/>
              </w:rPr>
              <w:t>Defined Benefit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1560" w:type="dxa"/>
            <w:vAlign w:val="bottom"/>
            <w:gridSpan w:val="2"/>
          </w:tcPr>
          <w:p>
            <w:pPr>
              <w:jc w:val="center"/>
              <w:ind w:left="22"/>
              <w:spacing w:after="0" w:line="135" w:lineRule="exact"/>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11"/>
                <w:szCs w:val="11"/>
                <w:color w:val="auto"/>
              </w:rPr>
            </w:pPr>
          </w:p>
        </w:tc>
        <w:tc>
          <w:tcPr>
            <w:tcW w:w="128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20" w:type="dxa"/>
            <w:vAlign w:val="bottom"/>
          </w:tcPr>
          <w:p>
            <w:pPr>
              <w:spacing w:after="0"/>
              <w:rPr>
                <w:sz w:val="11"/>
                <w:szCs w:val="11"/>
                <w:color w:val="auto"/>
              </w:rPr>
            </w:pPr>
          </w:p>
        </w:tc>
        <w:tc>
          <w:tcPr>
            <w:tcW w:w="1240" w:type="dxa"/>
            <w:vAlign w:val="bottom"/>
          </w:tcPr>
          <w:p>
            <w:pPr>
              <w:jc w:val="center"/>
              <w:ind w:right="154"/>
              <w:spacing w:after="0" w:line="135" w:lineRule="exact"/>
              <w:rPr>
                <w:sz w:val="20"/>
                <w:szCs w:val="20"/>
                <w:color w:val="auto"/>
              </w:rPr>
            </w:pPr>
            <w:r>
              <w:rPr>
                <w:rFonts w:ascii="Arial" w:cs="Arial" w:eastAsia="Arial" w:hAnsi="Arial"/>
                <w:sz w:val="13"/>
                <w:szCs w:val="13"/>
                <w:b w:val="1"/>
                <w:bCs w:val="1"/>
                <w:color w:val="auto"/>
                <w:w w:val="97"/>
              </w:rPr>
              <w:t>(Losses)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Gains (Losses)</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97"/>
              </w:rPr>
              <w:t>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(1,360.2)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10.1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(3,012.1)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(218.5)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(4,580.7)</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200.3</w:t>
            </w:r>
          </w:p>
        </w:tc>
        <w:tc>
          <w:tcPr>
            <w:tcW w:w="32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4.2</w:t>
            </w:r>
          </w:p>
        </w:tc>
        <w:tc>
          <w:tcPr>
            <w:tcW w:w="2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w:t>
            </w:r>
          </w:p>
        </w:tc>
        <w:tc>
          <w:tcPr>
            <w:tcW w:w="22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restart"/>
          </w:tcPr>
          <w:p>
            <w:pPr>
              <w:jc w:val="right"/>
              <w:ind w:right="100"/>
              <w:spacing w:after="0"/>
              <w:rPr>
                <w:sz w:val="20"/>
                <w:szCs w:val="20"/>
                <w:color w:val="auto"/>
              </w:rPr>
            </w:pPr>
            <w:r>
              <w:rPr>
                <w:rFonts w:ascii="Arial" w:cs="Arial" w:eastAsia="Arial" w:hAnsi="Arial"/>
                <w:sz w:val="18"/>
                <w:szCs w:val="18"/>
                <w:b w:val="1"/>
                <w:bCs w:val="1"/>
                <w:color w:val="auto"/>
              </w:rPr>
              <w:t>74.5</w:t>
            </w:r>
          </w:p>
        </w:tc>
        <w:tc>
          <w:tcPr>
            <w:tcW w:w="320" w:type="dxa"/>
            <w:vAlign w:val="bottom"/>
          </w:tcPr>
          <w:p>
            <w:pPr>
              <w:spacing w:after="0"/>
              <w:rPr>
                <w:sz w:val="19"/>
                <w:szCs w:val="19"/>
                <w:color w:val="auto"/>
              </w:rPr>
            </w:pPr>
          </w:p>
        </w:tc>
        <w:tc>
          <w:tcPr>
            <w:tcW w:w="124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3.6</w:t>
            </w:r>
          </w:p>
        </w:tc>
        <w:tc>
          <w:tcPr>
            <w:tcW w:w="260" w:type="dxa"/>
            <w:vAlign w:val="bottom"/>
          </w:tcPr>
          <w:p>
            <w:pPr>
              <w:spacing w:after="0"/>
              <w:rPr>
                <w:sz w:val="19"/>
                <w:szCs w:val="19"/>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35.1</w:t>
            </w:r>
          </w:p>
        </w:tc>
        <w:tc>
          <w:tcPr>
            <w:tcW w:w="220" w:type="dxa"/>
            <w:vAlign w:val="bottom"/>
          </w:tcPr>
          <w:p>
            <w:pPr>
              <w:spacing w:after="0"/>
              <w:rPr>
                <w:sz w:val="19"/>
                <w:szCs w:val="19"/>
                <w:color w:val="auto"/>
              </w:rPr>
            </w:pPr>
          </w:p>
        </w:tc>
        <w:tc>
          <w:tcPr>
            <w:tcW w:w="13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9"/>
                <w:szCs w:val="19"/>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115.6</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274.8</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7.8</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31.0</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316.0</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(1,085.4)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17.9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(2,981.1)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(216.1)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(4,264.7)</w:t>
            </w:r>
          </w:p>
        </w:tc>
        <w:tc>
          <w:tcPr>
            <w:tcW w:w="0" w:type="dxa"/>
            <w:vAlign w:val="bottom"/>
          </w:tcPr>
          <w:p>
            <w:pPr>
              <w:spacing w:after="0"/>
              <w:rPr>
                <w:sz w:val="1"/>
                <w:szCs w:val="1"/>
                <w:color w:val="auto"/>
              </w:rPr>
            </w:pPr>
          </w:p>
        </w:tc>
      </w:tr>
      <w:tr>
        <w:trPr>
          <w:trHeight w:val="383"/>
        </w:trPr>
        <w:tc>
          <w:tcPr>
            <w:tcW w:w="37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20" w:type="dxa"/>
            <w:vAlign w:val="bottom"/>
          </w:tcPr>
          <w:p>
            <w:pPr>
              <w:spacing w:after="0"/>
              <w:rPr>
                <w:sz w:val="11"/>
                <w:szCs w:val="11"/>
                <w:color w:val="auto"/>
              </w:rPr>
            </w:pPr>
          </w:p>
        </w:tc>
        <w:tc>
          <w:tcPr>
            <w:tcW w:w="130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8"/>
              </w:rPr>
              <w:t>Gains (Losses)</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(498.4)</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(3,402.0)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(3,991.8)</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(796.0)</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67.8</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53.7</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(796.0)</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108.9</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(1,294.4)</w:t>
            </w:r>
          </w:p>
        </w:tc>
        <w:tc>
          <w:tcPr>
            <w:tcW w:w="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155.6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(3,293.1)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(225.6)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(4,657.5)</w:t>
            </w:r>
          </w:p>
        </w:tc>
        <w:tc>
          <w:tcPr>
            <w:tcW w:w="0" w:type="dxa"/>
            <w:vAlign w:val="bottom"/>
          </w:tcPr>
          <w:p>
            <w:pPr>
              <w:spacing w:after="0"/>
              <w:rPr>
                <w:sz w:val="1"/>
                <w:szCs w:val="1"/>
                <w:color w:val="auto"/>
              </w:rPr>
            </w:pPr>
          </w:p>
        </w:tc>
      </w:tr>
      <w:tr>
        <w:trPr>
          <w:trHeight w:val="459"/>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894"/>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264"/>
        </w:trPr>
        <w:tc>
          <w:tcPr>
            <w:tcW w:w="8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r>
      <w:tr>
        <w:trPr>
          <w:trHeight w:val="270"/>
        </w:trPr>
        <w:tc>
          <w:tcPr>
            <w:tcW w:w="8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 (losses)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27.7</w:t>
            </w: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63"/>
        </w:trPr>
        <w:tc>
          <w:tcPr>
            <w:tcW w:w="8720" w:type="dxa"/>
            <w:vAlign w:val="bottom"/>
          </w:tcPr>
          <w:p>
            <w:pPr>
              <w:ind w:left="40"/>
              <w:spacing w:after="0"/>
              <w:rPr>
                <w:sz w:val="20"/>
                <w:szCs w:val="20"/>
                <w:color w:val="auto"/>
              </w:rPr>
            </w:pPr>
            <w:r>
              <w:rPr>
                <w:rFonts w:ascii="Arial" w:cs="Arial" w:eastAsia="Arial" w:hAnsi="Arial"/>
                <w:sz w:val="18"/>
                <w:szCs w:val="18"/>
                <w:color w:val="auto"/>
              </w:rPr>
              <w:t>Unrealized net gains (losses) on securities</w:t>
            </w:r>
          </w:p>
        </w:tc>
        <w:tc>
          <w:tcPr>
            <w:tcW w:w="300" w:type="dxa"/>
            <w:vAlign w:val="bottom"/>
          </w:tcPr>
          <w:p>
            <w:pPr>
              <w:spacing w:after="0"/>
              <w:rPr>
                <w:sz w:val="22"/>
                <w:szCs w:val="22"/>
                <w:color w:val="auto"/>
              </w:rPr>
            </w:pPr>
          </w:p>
        </w:tc>
        <w:tc>
          <w:tcPr>
            <w:tcW w:w="980" w:type="dxa"/>
            <w:vAlign w:val="bottom"/>
          </w:tcPr>
          <w:p>
            <w:pPr>
              <w:jc w:val="right"/>
              <w:ind w:right="117"/>
              <w:spacing w:after="0"/>
              <w:rPr>
                <w:sz w:val="20"/>
                <w:szCs w:val="20"/>
                <w:color w:val="auto"/>
              </w:rPr>
            </w:pPr>
            <w:r>
              <w:rPr>
                <w:rFonts w:ascii="Arial" w:cs="Arial" w:eastAsia="Arial" w:hAnsi="Arial"/>
                <w:sz w:val="18"/>
                <w:szCs w:val="18"/>
                <w:b w:val="1"/>
                <w:bCs w:val="1"/>
                <w:color w:val="auto"/>
              </w:rPr>
              <w:t>(4.2)</w:t>
            </w:r>
          </w:p>
        </w:tc>
        <w:tc>
          <w:tcPr>
            <w:tcW w:w="520" w:type="dxa"/>
            <w:vAlign w:val="bottom"/>
          </w:tcPr>
          <w:p>
            <w:pPr>
              <w:spacing w:after="0"/>
              <w:rPr>
                <w:sz w:val="22"/>
                <w:szCs w:val="22"/>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(30.0)</w:t>
            </w:r>
          </w:p>
        </w:tc>
      </w:tr>
      <w:tr>
        <w:trPr>
          <w:trHeight w:val="277"/>
        </w:trPr>
        <w:tc>
          <w:tcPr>
            <w:tcW w:w="8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(25.7)</w:t>
            </w: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(42.5)</w:t>
            </w:r>
          </w:p>
        </w:tc>
      </w:tr>
      <w:tr>
        <w:trPr>
          <w:trHeight w:val="264"/>
        </w:trPr>
        <w:tc>
          <w:tcPr>
            <w:tcW w:w="8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(1.3)</w:t>
            </w: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18.5</w:t>
            </w:r>
          </w:p>
        </w:tc>
      </w:tr>
      <w:tr>
        <w:trPr>
          <w:trHeight w:val="264"/>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allocated to other comprehensive income (loss) items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(3.5)</w:t>
            </w:r>
          </w:p>
        </w:tc>
        <w:tc>
          <w:tcPr>
            <w:tcW w:w="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(54.0)</w:t>
            </w:r>
          </w:p>
        </w:tc>
      </w:tr>
    </w:tbl>
    <w:p>
      <w:pPr>
        <w:spacing w:after="0" w:line="10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Except for the tax effects of foreign currency translation losses related to our euro-denominated notes and cross-currency interest rate swaps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67" w:lineRule="exact"/>
        <w:rPr>
          <w:sz w:val="20"/>
          <w:szCs w:val="20"/>
          <w:color w:val="auto"/>
        </w:rPr>
      </w:pPr>
    </w:p>
    <w:p>
      <w:pPr>
        <w:jc w:val="center"/>
        <w:ind w:left="860"/>
        <w:spacing w:after="0"/>
        <w:rPr>
          <w:sz w:val="20"/>
          <w:szCs w:val="20"/>
          <w:color w:val="auto"/>
        </w:rPr>
      </w:pPr>
      <w:r>
        <w:rPr>
          <w:rFonts w:ascii="Arial" w:cs="Arial" w:eastAsia="Arial" w:hAnsi="Arial"/>
          <w:sz w:val="14"/>
          <w:szCs w:val="14"/>
          <w:b w:val="1"/>
          <w:bCs w:val="1"/>
          <w:color w:val="auto"/>
        </w:rPr>
        <w:t>Reclassifications Out of Accumulated Other</w:t>
      </w:r>
    </w:p>
    <w:p>
      <w:pPr>
        <w:spacing w:after="0" w:line="19" w:lineRule="exact"/>
        <w:rPr>
          <w:sz w:val="20"/>
          <w:szCs w:val="20"/>
          <w:color w:val="auto"/>
        </w:rPr>
      </w:pPr>
    </w:p>
    <w:p>
      <w:pPr>
        <w:jc w:val="center"/>
        <w:ind w:left="860"/>
        <w:spacing w:after="0"/>
        <w:rPr>
          <w:sz w:val="20"/>
          <w:szCs w:val="20"/>
          <w:color w:val="auto"/>
        </w:rPr>
      </w:pPr>
      <w:r>
        <w:rPr>
          <w:rFonts w:ascii="Arial" w:cs="Arial" w:eastAsia="Arial" w:hAnsi="Arial"/>
          <w:sz w:val="14"/>
          <w:szCs w:val="14"/>
          <w:b w:val="1"/>
          <w:bCs w:val="1"/>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14605</wp:posOffset>
            </wp:positionV>
            <wp:extent cx="22466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4"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00" w:type="dxa"/>
            <w:vAlign w:val="bottom"/>
          </w:tcPr>
          <w:p>
            <w:pPr>
              <w:jc w:val="center"/>
              <w:ind w:right="988"/>
              <w:spacing w:after="0"/>
              <w:rPr>
                <w:sz w:val="20"/>
                <w:szCs w:val="20"/>
                <w:color w:val="auto"/>
              </w:rPr>
            </w:pPr>
            <w:r>
              <w:rPr>
                <w:rFonts w:ascii="Arial" w:cs="Arial" w:eastAsia="Arial" w:hAnsi="Arial"/>
                <w:sz w:val="14"/>
                <w:szCs w:val="14"/>
                <w:b w:val="1"/>
                <w:bCs w:val="1"/>
                <w:color w:val="auto"/>
              </w:rPr>
              <w:t>Three Months Ended</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8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1040" w:type="dxa"/>
            <w:vAlign w:val="bottom"/>
          </w:tcPr>
          <w:p>
            <w:pPr>
              <w:spacing w:after="0"/>
              <w:rPr>
                <w:sz w:val="16"/>
                <w:szCs w:val="16"/>
                <w:color w:val="auto"/>
              </w:rPr>
            </w:pPr>
          </w:p>
        </w:tc>
        <w:tc>
          <w:tcPr>
            <w:tcW w:w="2500" w:type="dxa"/>
            <w:vAlign w:val="bottom"/>
          </w:tcPr>
          <w:p>
            <w:pPr>
              <w:jc w:val="center"/>
              <w:ind w:right="948"/>
              <w:spacing w:after="0"/>
              <w:rPr>
                <w:sz w:val="20"/>
                <w:szCs w:val="20"/>
                <w:color w:val="auto"/>
              </w:rPr>
            </w:pPr>
            <w:r>
              <w:rPr>
                <w:rFonts w:ascii="Arial" w:cs="Arial" w:eastAsia="Arial" w:hAnsi="Arial"/>
                <w:sz w:val="14"/>
                <w:szCs w:val="14"/>
                <w:b w:val="1"/>
                <w:bCs w:val="1"/>
                <w:color w:val="auto"/>
              </w:rPr>
              <w:t>March 31,</w:t>
            </w:r>
          </w:p>
        </w:tc>
        <w:tc>
          <w:tcPr>
            <w:tcW w:w="3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 in the Consolidated Condensed</w:t>
            </w:r>
          </w:p>
        </w:tc>
        <w:tc>
          <w:tcPr>
            <w:tcW w:w="0" w:type="dxa"/>
            <w:vAlign w:val="bottom"/>
          </w:tcPr>
          <w:p>
            <w:pPr>
              <w:spacing w:after="0"/>
              <w:rPr>
                <w:sz w:val="1"/>
                <w:szCs w:val="1"/>
                <w:color w:val="auto"/>
              </w:rPr>
            </w:pPr>
          </w:p>
        </w:tc>
      </w:tr>
      <w:tr>
        <w:trPr>
          <w:trHeight w:val="39"/>
        </w:trPr>
        <w:tc>
          <w:tcPr>
            <w:tcW w:w="4080" w:type="dxa"/>
            <w:vAlign w:val="bottom"/>
            <w:vMerge w:val="continue"/>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4080" w:type="dxa"/>
            <w:vAlign w:val="bottom"/>
            <w:vMerge w:val="continue"/>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2500" w:type="dxa"/>
            <w:vAlign w:val="bottom"/>
          </w:tcPr>
          <w:p>
            <w:pPr>
              <w:spacing w:after="0"/>
              <w:rPr>
                <w:sz w:val="5"/>
                <w:szCs w:val="5"/>
                <w:color w:val="auto"/>
              </w:rPr>
            </w:pPr>
          </w:p>
        </w:tc>
        <w:tc>
          <w:tcPr>
            <w:tcW w:w="3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80" w:type="dxa"/>
            <w:vAlign w:val="bottom"/>
          </w:tcPr>
          <w:p>
            <w:pPr>
              <w:jc w:val="center"/>
              <w:ind w:right="248"/>
              <w:spacing w:after="0"/>
              <w:rPr>
                <w:sz w:val="20"/>
                <w:szCs w:val="20"/>
                <w:color w:val="auto"/>
              </w:rPr>
            </w:pPr>
            <w:r>
              <w:rPr>
                <w:rFonts w:ascii="Arial" w:cs="Arial" w:eastAsia="Arial" w:hAnsi="Arial"/>
                <w:sz w:val="14"/>
                <w:szCs w:val="14"/>
                <w:b w:val="1"/>
                <w:bCs w:val="1"/>
                <w:color w:val="auto"/>
              </w:rPr>
              <w:t>Components</w:t>
            </w:r>
          </w:p>
        </w:tc>
        <w:tc>
          <w:tcPr>
            <w:tcW w:w="1040" w:type="dxa"/>
            <w:vAlign w:val="bottom"/>
            <w:vMerge w:val="continue"/>
          </w:tcPr>
          <w:p>
            <w:pPr>
              <w:spacing w:after="0"/>
              <w:rPr>
                <w:sz w:val="16"/>
                <w:szCs w:val="16"/>
                <w:color w:val="auto"/>
              </w:rPr>
            </w:pPr>
          </w:p>
        </w:tc>
        <w:tc>
          <w:tcPr>
            <w:tcW w:w="25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721233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4300" w:type="dxa"/>
            <w:vAlign w:val="bottom"/>
            <w:vMerge w:val="restart"/>
          </w:tcPr>
          <w:p>
            <w:pPr>
              <w:ind w:left="200"/>
              <w:spacing w:after="0"/>
              <w:rPr>
                <w:sz w:val="20"/>
                <w:szCs w:val="20"/>
                <w:color w:val="auto"/>
              </w:rPr>
            </w:pPr>
            <w:r>
              <w:rPr>
                <w:rFonts w:ascii="Arial" w:cs="Arial" w:eastAsia="Arial" w:hAnsi="Arial"/>
                <w:sz w:val="18"/>
                <w:szCs w:val="18"/>
                <w:color w:val="auto"/>
              </w:rPr>
              <w:t>Prior service benefits, net</w:t>
            </w:r>
          </w:p>
        </w:tc>
        <w:tc>
          <w:tcPr>
            <w:tcW w:w="6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(15.4)</w:t>
            </w:r>
          </w:p>
        </w:tc>
        <w:tc>
          <w:tcPr>
            <w:tcW w:w="700" w:type="dxa"/>
            <w:vAlign w:val="bottom"/>
            <w:vMerge w:val="restart"/>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3520" w:type="dxa"/>
            <w:vAlign w:val="bottom"/>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6"/>
        </w:trPr>
        <w:tc>
          <w:tcPr>
            <w:tcW w:w="43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3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3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Actuarial losses</w:t>
            </w:r>
          </w:p>
        </w:tc>
        <w:tc>
          <w:tcPr>
            <w:tcW w:w="6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73.5</w:t>
            </w:r>
          </w:p>
        </w:tc>
        <w:tc>
          <w:tcPr>
            <w:tcW w:w="7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101.8</w:t>
            </w:r>
          </w:p>
        </w:tc>
        <w:tc>
          <w:tcPr>
            <w:tcW w:w="3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4300" w:type="dxa"/>
            <w:vAlign w:val="bottom"/>
            <w:vMerge w:val="continue"/>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120" w:type="dxa"/>
            <w:vAlign w:val="bottom"/>
            <w:tcBorders>
              <w:bottom w:val="single" w:sz="8" w:color="auto"/>
            </w:tcBorders>
            <w:vMerge w:val="continue"/>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vMerge w:val="continue"/>
            <w:shd w:val="clear" w:color="auto" w:fill="CCEEFF"/>
          </w:tcPr>
          <w:p>
            <w:pPr>
              <w:spacing w:after="0"/>
              <w:rPr>
                <w:sz w:val="8"/>
                <w:szCs w:val="8"/>
                <w:color w:val="auto"/>
              </w:rPr>
            </w:pPr>
          </w:p>
        </w:tc>
        <w:tc>
          <w:tcPr>
            <w:tcW w:w="3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300" w:type="dxa"/>
            <w:vAlign w:val="bottom"/>
          </w:tcPr>
          <w:p>
            <w:pPr>
              <w:jc w:val="right"/>
              <w:ind w:right="50"/>
              <w:spacing w:after="0"/>
              <w:rPr>
                <w:sz w:val="20"/>
                <w:szCs w:val="20"/>
                <w:color w:val="auto"/>
              </w:rPr>
            </w:pPr>
            <w:r>
              <w:rPr>
                <w:rFonts w:ascii="Arial" w:cs="Arial" w:eastAsia="Arial" w:hAnsi="Arial"/>
                <w:sz w:val="18"/>
                <w:szCs w:val="18"/>
                <w:color w:val="auto"/>
              </w:rPr>
              <w:t>Total before tax</w:t>
            </w:r>
          </w:p>
        </w:tc>
        <w:tc>
          <w:tcPr>
            <w:tcW w:w="64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58.1</w:t>
            </w:r>
          </w:p>
        </w:tc>
        <w:tc>
          <w:tcPr>
            <w:tcW w:w="7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82.7</w:t>
            </w: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Tax benefit</w:t>
            </w:r>
          </w:p>
        </w:tc>
        <w:tc>
          <w:tcPr>
            <w:tcW w:w="6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(23.0)</w:t>
            </w:r>
          </w:p>
        </w:tc>
        <w:tc>
          <w:tcPr>
            <w:tcW w:w="7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4300" w:type="dxa"/>
            <w:vAlign w:val="bottom"/>
          </w:tcPr>
          <w:p>
            <w:pPr>
              <w:jc w:val="right"/>
              <w:ind w:right="50"/>
              <w:spacing w:after="0"/>
              <w:rPr>
                <w:sz w:val="20"/>
                <w:szCs w:val="20"/>
                <w:color w:val="auto"/>
              </w:rPr>
            </w:pPr>
            <w:r>
              <w:rPr>
                <w:rFonts w:ascii="Arial" w:cs="Arial" w:eastAsia="Arial" w:hAnsi="Arial"/>
                <w:sz w:val="18"/>
                <w:szCs w:val="18"/>
                <w:color w:val="auto"/>
              </w:rPr>
              <w:t>Net of tax</w:t>
            </w:r>
          </w:p>
        </w:tc>
        <w:tc>
          <w:tcPr>
            <w:tcW w:w="64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35.1</w:t>
            </w:r>
          </w:p>
        </w:tc>
        <w:tc>
          <w:tcPr>
            <w:tcW w:w="7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4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Unrealized gains/losses on available-for-sale</w:t>
            </w: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Realized (gains) losses, net before tax</w:t>
            </w:r>
          </w:p>
        </w:tc>
        <w:tc>
          <w:tcPr>
            <w:tcW w:w="6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5.5</w:t>
            </w:r>
          </w:p>
        </w:tc>
        <w:tc>
          <w:tcPr>
            <w:tcW w:w="7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Tax (benefit) expense</w:t>
            </w:r>
          </w:p>
        </w:tc>
        <w:tc>
          <w:tcPr>
            <w:tcW w:w="6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w:t>
            </w:r>
          </w:p>
        </w:tc>
        <w:tc>
          <w:tcPr>
            <w:tcW w:w="7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c>
          <w:tcPr>
            <w:tcW w:w="3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Net of tax</w:t>
            </w:r>
          </w:p>
        </w:tc>
        <w:tc>
          <w:tcPr>
            <w:tcW w:w="6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w:t>
            </w:r>
          </w:p>
        </w:tc>
        <w:tc>
          <w:tcPr>
            <w:tcW w:w="7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net of tax </w:t>
            </w:r>
            <w:r>
              <w:rPr>
                <w:rFonts w:ascii="Arial" w:cs="Arial" w:eastAsia="Arial" w:hAnsi="Arial"/>
                <w:sz w:val="21"/>
                <w:szCs w:val="21"/>
                <w:color w:val="auto"/>
                <w:vertAlign w:val="superscript"/>
              </w:rPr>
              <w:t>(2)</w:t>
            </w:r>
          </w:p>
        </w:tc>
        <w:tc>
          <w:tcPr>
            <w:tcW w:w="6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76.9</w:t>
            </w:r>
          </w:p>
        </w:tc>
        <w:tc>
          <w:tcPr>
            <w:tcW w:w="7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3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115.6</w:t>
            </w:r>
          </w:p>
        </w:tc>
        <w:tc>
          <w:tcPr>
            <w:tcW w:w="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3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These accumulated other comprehensive loss components are included in the computation of net periodic benefit (income) cost (see Note 9).</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Amount for the three months ended March 31, 2016 included primarily $74.5 million of foreign currency translation losses.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12: Other–Net, (Income)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59" w:lineRule="exact"/>
        <w:rPr>
          <w:sz w:val="20"/>
          <w:szCs w:val="20"/>
          <w:color w:val="auto"/>
        </w:rPr>
      </w:pPr>
    </w:p>
    <w:p>
      <w:pPr>
        <w:jc w:val="right"/>
        <w:ind w:right="2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14605</wp:posOffset>
            </wp:positionV>
            <wp:extent cx="12350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Venezuela charge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Other–net, (income) expense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280"/>
        <w:spacing w:after="0"/>
        <w:tabs>
          <w:tab w:leader="none" w:pos="12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72" w:lineRule="exact"/>
        <w:rPr>
          <w:sz w:val="20"/>
          <w:szCs w:val="20"/>
          <w:color w:val="auto"/>
        </w:rPr>
      </w:pPr>
    </w:p>
    <w:p>
      <w:pPr>
        <w:ind w:left="440" w:hanging="438"/>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43.4   </w:t>
      </w:r>
      <w:r>
        <w:rPr>
          <w:rFonts w:ascii="Arial" w:cs="Arial" w:eastAsia="Arial" w:hAnsi="Arial"/>
          <w:sz w:val="18"/>
          <w:szCs w:val="18"/>
          <w:color w:val="auto"/>
        </w:rPr>
        <w:t>$    40.9</w:t>
      </w:r>
    </w:p>
    <w:p>
      <w:pPr>
        <w:spacing w:after="0" w:line="63"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(24.2)</w:t>
      </w:r>
      <w:r>
        <w:rPr>
          <w:rFonts w:ascii="Arial" w:cs="Arial" w:eastAsia="Arial" w:hAnsi="Arial"/>
          <w:sz w:val="18"/>
          <w:szCs w:val="18"/>
          <w:color w:val="auto"/>
        </w:rPr>
        <w:t>(21.4)</w:t>
      </w:r>
    </w:p>
    <w:p>
      <w:pPr>
        <w:spacing w:after="0" w:line="63"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8"/>
          <w:szCs w:val="18"/>
          <w:b w:val="1"/>
          <w:bCs w:val="1"/>
          <w:color w:val="auto"/>
        </w:rPr>
        <w:t>203.9</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right"/>
        <w:spacing w:after="0"/>
        <w:tabs>
          <w:tab w:leader="none" w:pos="560" w:val="left"/>
        </w:tabs>
        <w:rPr>
          <w:sz w:val="20"/>
          <w:szCs w:val="20"/>
          <w:color w:val="auto"/>
        </w:rPr>
      </w:pPr>
      <w:r>
        <w:rPr>
          <w:rFonts w:ascii="Arial" w:cs="Arial" w:eastAsia="Arial" w:hAnsi="Arial"/>
          <w:sz w:val="18"/>
          <w:szCs w:val="18"/>
          <w:b w:val="1"/>
          <w:bCs w:val="1"/>
          <w:color w:val="auto"/>
        </w:rPr>
        <w:t>(74.1)</w:t>
      </w:r>
      <w:r>
        <w:rPr>
          <w:sz w:val="20"/>
          <w:szCs w:val="20"/>
          <w:color w:val="auto"/>
        </w:rPr>
        <w:tab/>
      </w:r>
      <w:r>
        <w:rPr>
          <w:rFonts w:ascii="Arial" w:cs="Arial" w:eastAsia="Arial" w:hAnsi="Arial"/>
          <w:sz w:val="18"/>
          <w:szCs w:val="18"/>
          <w:color w:val="auto"/>
        </w:rPr>
        <w:t>(112.2)</w:t>
      </w:r>
    </w:p>
    <w:p>
      <w:pPr>
        <w:spacing w:after="0" w:line="63" w:lineRule="exact"/>
        <w:rPr>
          <w:sz w:val="20"/>
          <w:szCs w:val="20"/>
          <w:color w:val="auto"/>
        </w:rPr>
      </w:pPr>
    </w:p>
    <w:p>
      <w:pPr>
        <w:spacing w:after="0"/>
        <w:tabs>
          <w:tab w:leader="none" w:pos="320" w:val="left"/>
          <w:tab w:leader="none" w:pos="1000" w:val="left"/>
          <w:tab w:leader="none" w:pos="1380" w:val="left"/>
        </w:tabs>
        <w:rPr>
          <w:sz w:val="20"/>
          <w:szCs w:val="20"/>
          <w:color w:val="auto"/>
        </w:rPr>
      </w:pPr>
      <w:r>
        <w:rPr>
          <w:rFonts w:ascii="Arial" w:cs="Arial" w:eastAsia="Arial" w:hAnsi="Arial"/>
          <w:sz w:val="18"/>
          <w:szCs w:val="18"/>
          <w:b w:val="1"/>
          <w:bCs w:val="1"/>
          <w:color w:val="auto"/>
        </w:rPr>
        <w:t>$</w:t>
        <w:tab/>
        <w:t>149.0</w:t>
      </w:r>
      <w:r>
        <w:rPr>
          <w:sz w:val="20"/>
          <w:szCs w:val="20"/>
          <w:color w:val="auto"/>
        </w:rPr>
        <w:tab/>
      </w:r>
      <w:r>
        <w:rPr>
          <w:rFonts w:ascii="Arial" w:cs="Arial" w:eastAsia="Arial" w:hAnsi="Arial"/>
          <w:sz w:val="18"/>
          <w:szCs w:val="18"/>
          <w:color w:val="auto"/>
        </w:rPr>
        <w:t>$</w:t>
        <w:tab/>
        <w:t>(92.7)</w:t>
      </w:r>
    </w:p>
    <w:p>
      <w:pPr>
        <w:spacing w:after="0" w:line="179" w:lineRule="exact"/>
        <w:rPr>
          <w:sz w:val="20"/>
          <w:szCs w:val="20"/>
          <w:color w:val="auto"/>
        </w:rPr>
      </w:pPr>
    </w:p>
    <w:p>
      <w:pPr>
        <w:sectPr>
          <w:pgSz w:w="11900" w:h="16838" w:orient="portrait"/>
          <w:cols w:equalWidth="0" w:num="2">
            <w:col w:w="8780" w:space="720"/>
            <w:col w:w="1880"/>
          </w:cols>
          <w:pgMar w:left="240" w:top="576" w:right="279" w:bottom="1440" w:gutter="0" w:footer="0" w:header="0"/>
          <w:type w:val="continuous"/>
        </w:sectPr>
      </w:pPr>
    </w:p>
    <w:p>
      <w:pPr>
        <w:ind w:right="100"/>
        <w:spacing w:after="0" w:line="252" w:lineRule="auto"/>
        <w:rPr>
          <w:sz w:val="20"/>
          <w:szCs w:val="20"/>
          <w:color w:val="auto"/>
        </w:rPr>
      </w:pPr>
      <w:r>
        <w:rPr>
          <w:rFonts w:ascii="Arial" w:cs="Arial" w:eastAsia="Arial" w:hAnsi="Arial"/>
          <w:sz w:val="18"/>
          <w:szCs w:val="18"/>
          <w:color w:val="auto"/>
        </w:rPr>
        <w:t>Due to the financial crisis in Venezuela and the significant deterioration of the bolívar, we changed the exchange rate used to translate the assets and liabilities of our subsidiaries in Venezuela which resulted in a charge of $ 203.9 million. Until recently, we used the Supplementary Foreign Currency Administration System (SICAD) rate of approximately 13.5 bolívar per dollar; however, this official rate was discontinued in the first quarter of 2016. After considering several factors, including the future uncertainty of the Venezuelan economy, published exchange rates, and the limited amount of foreign currency exchanged, we changed to the Divisa Complementaria (DICOM) rate of approximately 275.0 bolívar per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76" w:right="27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13: Segment Information</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have two operating segments—human pharmaceutical products and animal health. Our operating segments are distinguished by the ultimate end user of the product—humans or animals. Performance is evaluated based on profit or loss from operations before income taxes.</w:t>
      </w:r>
    </w:p>
    <w:p>
      <w:pPr>
        <w:spacing w:after="0" w:line="130"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4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462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Endocrinology:</w:t>
            </w:r>
          </w:p>
        </w:tc>
        <w:tc>
          <w:tcPr>
            <w:tcW w:w="4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4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606.3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684.0</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4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356.4</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315.7</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4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318.6</w:t>
            </w: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293.0</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tc>
        <w:tc>
          <w:tcPr>
            <w:tcW w:w="4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143.6</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Trajenta</w:t>
            </w:r>
          </w:p>
        </w:tc>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94.4</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82.3</w:t>
            </w: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Evista</w:t>
            </w:r>
            <w:r>
              <w:rPr>
                <w:rFonts w:ascii="Arial" w:cs="Arial" w:eastAsia="Arial" w:hAnsi="Arial"/>
                <w:sz w:val="21"/>
                <w:szCs w:val="21"/>
                <w:i w:val="1"/>
                <w:iCs w:val="1"/>
                <w:color w:val="auto"/>
                <w:vertAlign w:val="superscript"/>
              </w:rPr>
              <w:t>®</w:t>
            </w:r>
          </w:p>
        </w:tc>
        <w:tc>
          <w:tcPr>
            <w:tcW w:w="4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33.4</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4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204.0</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166.2</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Endocrinology</w:t>
            </w:r>
          </w:p>
        </w:tc>
        <w:tc>
          <w:tcPr>
            <w:tcW w:w="4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1,756.7</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1,626.3</w:t>
            </w:r>
          </w:p>
        </w:tc>
      </w:tr>
      <w:tr>
        <w:trPr>
          <w:trHeight w:val="122"/>
        </w:trPr>
        <w:tc>
          <w:tcPr>
            <w:tcW w:w="46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4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Alimta</w:t>
            </w:r>
          </w:p>
        </w:tc>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564.2</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573.0</w:t>
            </w: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Erbitux</w:t>
            </w:r>
          </w:p>
        </w:tc>
        <w:tc>
          <w:tcPr>
            <w:tcW w:w="4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168.1</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88.2</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4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131.0</w:t>
            </w: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67.5</w:t>
            </w:r>
          </w:p>
        </w:tc>
      </w:tr>
      <w:tr>
        <w:trPr>
          <w:trHeight w:val="264"/>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Oncology</w:t>
            </w:r>
          </w:p>
        </w:tc>
        <w:tc>
          <w:tcPr>
            <w:tcW w:w="44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31.2</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Oncology</w:t>
            </w:r>
          </w:p>
        </w:tc>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894.5</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759.0</w:t>
            </w:r>
          </w:p>
        </w:tc>
      </w:tr>
      <w:tr>
        <w:trPr>
          <w:trHeight w:val="128"/>
        </w:trPr>
        <w:tc>
          <w:tcPr>
            <w:tcW w:w="462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Cardiovascular:</w:t>
            </w:r>
          </w:p>
        </w:tc>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4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576.7</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538.3</w:t>
            </w: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Effient</w:t>
            </w:r>
          </w:p>
        </w:tc>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131.5</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121.8</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44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46.0</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Cardiovascular</w:t>
            </w:r>
          </w:p>
        </w:tc>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754.2</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715.2</w:t>
            </w:r>
          </w:p>
        </w:tc>
      </w:tr>
      <w:tr>
        <w:trPr>
          <w:trHeight w:val="128"/>
        </w:trPr>
        <w:tc>
          <w:tcPr>
            <w:tcW w:w="462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63"/>
        </w:trPr>
        <w:tc>
          <w:tcPr>
            <w:tcW w:w="4620" w:type="dxa"/>
            <w:vAlign w:val="bottom"/>
          </w:tcPr>
          <w:p>
            <w:pPr>
              <w:ind w:left="380"/>
              <w:spacing w:after="0"/>
              <w:rPr>
                <w:sz w:val="20"/>
                <w:szCs w:val="20"/>
                <w:color w:val="auto"/>
              </w:rPr>
            </w:pPr>
            <w:r>
              <w:rPr>
                <w:rFonts w:ascii="Arial" w:cs="Arial" w:eastAsia="Arial" w:hAnsi="Arial"/>
                <w:sz w:val="18"/>
                <w:szCs w:val="18"/>
                <w:color w:val="auto"/>
              </w:rPr>
              <w:t>Neuroscience:</w:t>
            </w:r>
          </w:p>
        </w:tc>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4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212.8</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219.5</w:t>
            </w: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Cymbalta</w:t>
            </w:r>
          </w:p>
        </w:tc>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198.7</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287.0</w:t>
            </w: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4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188.1</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173.7</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4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44.1</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45.1</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4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643.7</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725.3</w:t>
            </w:r>
          </w:p>
        </w:tc>
      </w:tr>
      <w:tr>
        <w:trPr>
          <w:trHeight w:val="122"/>
        </w:trPr>
        <w:tc>
          <w:tcPr>
            <w:tcW w:w="46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64"/>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pharmaceuticals</w:t>
            </w:r>
          </w:p>
        </w:tc>
        <w:tc>
          <w:tcPr>
            <w:tcW w:w="44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61.4</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r>
      <w:tr>
        <w:trPr>
          <w:trHeight w:val="263"/>
        </w:trPr>
        <w:tc>
          <w:tcPr>
            <w:tcW w:w="4620" w:type="dxa"/>
            <w:vAlign w:val="bottom"/>
          </w:tcPr>
          <w:p>
            <w:pPr>
              <w:ind w:left="180"/>
              <w:spacing w:after="0"/>
              <w:rPr>
                <w:sz w:val="20"/>
                <w:szCs w:val="20"/>
                <w:color w:val="auto"/>
              </w:rPr>
            </w:pPr>
            <w:r>
              <w:rPr>
                <w:rFonts w:ascii="Arial" w:cs="Arial" w:eastAsia="Arial" w:hAnsi="Arial"/>
                <w:sz w:val="18"/>
                <w:szCs w:val="18"/>
                <w:color w:val="auto"/>
              </w:rPr>
              <w:t>Total human pharmaceutical products</w:t>
            </w:r>
          </w:p>
        </w:tc>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4,110.5</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3,894.9</w:t>
            </w: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44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754.6</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749.8</w:t>
            </w:r>
          </w:p>
        </w:tc>
      </w:tr>
      <w:tr>
        <w:trPr>
          <w:trHeight w:val="277"/>
        </w:trPr>
        <w:tc>
          <w:tcPr>
            <w:tcW w:w="4620" w:type="dxa"/>
            <w:vAlign w:val="bottom"/>
          </w:tcPr>
          <w:p>
            <w:pPr>
              <w:ind w:left="40"/>
              <w:spacing w:after="0"/>
              <w:rPr>
                <w:sz w:val="20"/>
                <w:szCs w:val="20"/>
                <w:color w:val="auto"/>
              </w:rPr>
            </w:pPr>
            <w:r>
              <w:rPr>
                <w:rFonts w:ascii="Arial" w:cs="Arial" w:eastAsia="Arial" w:hAnsi="Arial"/>
                <w:sz w:val="18"/>
                <w:szCs w:val="18"/>
                <w:color w:val="auto"/>
              </w:rPr>
              <w:t>Revenue</w:t>
            </w:r>
          </w:p>
        </w:tc>
        <w:tc>
          <w:tcPr>
            <w:tcW w:w="4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4,865.1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4,644.7</w:t>
            </w: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459"/>
        </w:trPr>
        <w:tc>
          <w:tcPr>
            <w:tcW w:w="4620" w:type="dxa"/>
            <w:vAlign w:val="bottom"/>
          </w:tcPr>
          <w:p>
            <w:pPr>
              <w:spacing w:after="0"/>
              <w:rPr>
                <w:sz w:val="24"/>
                <w:szCs w:val="24"/>
                <w:color w:val="auto"/>
              </w:rPr>
            </w:pPr>
          </w:p>
        </w:tc>
        <w:tc>
          <w:tcPr>
            <w:tcW w:w="4400" w:type="dxa"/>
            <w:vAlign w:val="bottom"/>
          </w:tcPr>
          <w:p>
            <w:pPr>
              <w:jc w:val="right"/>
              <w:ind w:right="311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1" w:name="page32"/>
    <w:bookmarkEnd w:id="31"/>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Segment profits: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Human pharmaceutical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927.0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1,083.1</w:t>
            </w:r>
          </w:p>
        </w:tc>
      </w:tr>
      <w:tr>
        <w:trPr>
          <w:trHeight w:val="264"/>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147.6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115.0</w:t>
            </w:r>
          </w:p>
        </w:tc>
      </w:tr>
      <w:tr>
        <w:trPr>
          <w:trHeight w:val="27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1,074.6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1,198.1</w:t>
            </w:r>
          </w:p>
        </w:tc>
      </w:tr>
      <w:tr>
        <w:trPr>
          <w:trHeight w:val="122"/>
        </w:trPr>
        <w:tc>
          <w:tcPr>
            <w:tcW w:w="9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9020" w:type="dxa"/>
            <w:vAlign w:val="bottom"/>
          </w:tcPr>
          <w:p>
            <w:pPr>
              <w:ind w:left="180"/>
              <w:spacing w:after="0"/>
              <w:rPr>
                <w:sz w:val="20"/>
                <w:szCs w:val="20"/>
                <w:color w:val="auto"/>
              </w:rPr>
            </w:pPr>
            <w:r>
              <w:rPr>
                <w:rFonts w:ascii="Arial" w:cs="Arial" w:eastAsia="Arial" w:hAnsi="Arial"/>
                <w:sz w:val="18"/>
                <w:szCs w:val="18"/>
                <w:color w:val="auto"/>
              </w:rPr>
              <w:t>Segment profits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1,074.6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1,198.1</w:t>
            </w:r>
          </w:p>
        </w:tc>
      </w:tr>
      <w:tr>
        <w:trPr>
          <w:trHeight w:val="277"/>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profits (losses):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9020" w:type="dxa"/>
            <w:vAlign w:val="bottom"/>
          </w:tcPr>
          <w:p>
            <w:pPr>
              <w:ind w:left="280"/>
              <w:spacing w:after="0"/>
              <w:rPr>
                <w:sz w:val="20"/>
                <w:szCs w:val="20"/>
                <w:color w:val="auto"/>
              </w:rPr>
            </w:pPr>
            <w:r>
              <w:rPr>
                <w:rFonts w:ascii="Arial" w:cs="Arial" w:eastAsia="Arial" w:hAnsi="Arial"/>
                <w:sz w:val="18"/>
                <w:szCs w:val="18"/>
                <w:color w:val="auto"/>
              </w:rPr>
              <w:t>Acquired in-process research and development (Note 3)</w:t>
            </w:r>
          </w:p>
        </w:tc>
        <w:tc>
          <w:tcPr>
            <w:tcW w:w="26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77"/>
        </w:trPr>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(172.5)</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63"/>
        </w:trPr>
        <w:tc>
          <w:tcPr>
            <w:tcW w:w="9020" w:type="dxa"/>
            <w:vAlign w:val="bottom"/>
          </w:tcPr>
          <w:p>
            <w:pPr>
              <w:ind w:left="280"/>
              <w:spacing w:after="0"/>
              <w:rPr>
                <w:sz w:val="20"/>
                <w:szCs w:val="20"/>
                <w:color w:val="auto"/>
              </w:rPr>
            </w:pPr>
            <w:r>
              <w:rPr>
                <w:rFonts w:ascii="Arial" w:cs="Arial" w:eastAsia="Arial" w:hAnsi="Arial"/>
                <w:sz w:val="18"/>
                <w:szCs w:val="18"/>
                <w:color w:val="auto"/>
              </w:rPr>
              <w:t>Asset impairment, restructuring, and other special charges (Note 5)</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(131.4)</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77"/>
        </w:trPr>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Venezuela charge (Note 12)</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(203.9)</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Inventory fair value adjustment related to Novartis AH (Note 3)</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7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income before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566.8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617.9</w:t>
            </w:r>
          </w:p>
        </w:tc>
      </w:tr>
    </w:tbl>
    <w:p>
      <w:pPr>
        <w:spacing w:after="0" w:line="107"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jc w:val="right"/>
              <w:ind w:right="55"/>
              <w:spacing w:after="0"/>
              <w:rPr>
                <w:sz w:val="20"/>
                <w:szCs w:val="20"/>
                <w:color w:val="auto"/>
              </w:rPr>
            </w:pPr>
            <w:r>
              <w:rPr>
                <w:rFonts w:ascii="Arial" w:cs="Arial" w:eastAsia="Arial" w:hAnsi="Arial"/>
                <w:sz w:val="14"/>
                <w:szCs w:val="14"/>
                <w:b w:val="1"/>
                <w:bCs w:val="1"/>
                <w:color w:val="auto"/>
              </w:rPr>
              <w:t>Percent Change</w:t>
            </w:r>
          </w:p>
        </w:tc>
      </w:tr>
      <w:tr>
        <w:trPr>
          <w:trHeight w:val="196"/>
        </w:trPr>
        <w:tc>
          <w:tcPr>
            <w:tcW w:w="7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480" w:type="dxa"/>
            <w:vAlign w:val="bottom"/>
          </w:tcPr>
          <w:p>
            <w:pPr>
              <w:jc w:val="right"/>
              <w:ind w:right="435"/>
              <w:spacing w:after="0"/>
              <w:rPr>
                <w:sz w:val="20"/>
                <w:szCs w:val="20"/>
                <w:color w:val="auto"/>
              </w:rPr>
            </w:pPr>
            <w:r>
              <w:rPr>
                <w:rFonts w:ascii="Arial" w:cs="Arial" w:eastAsia="Arial" w:hAnsi="Arial"/>
                <w:sz w:val="14"/>
                <w:szCs w:val="14"/>
                <w:b w:val="1"/>
                <w:bCs w:val="1"/>
                <w:color w:val="auto"/>
              </w:rPr>
              <w:t>from</w:t>
            </w:r>
          </w:p>
        </w:tc>
      </w:tr>
      <w:tr>
        <w:trPr>
          <w:trHeight w:val="264"/>
        </w:trPr>
        <w:tc>
          <w:tcPr>
            <w:tcW w:w="71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2015</w:t>
            </w:r>
          </w:p>
        </w:tc>
      </w:tr>
      <w:tr>
        <w:trPr>
          <w:trHeight w:val="270"/>
        </w:trPr>
        <w:tc>
          <w:tcPr>
            <w:tcW w:w="7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4,865.1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4,644.7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63"/>
        </w:trPr>
        <w:tc>
          <w:tcPr>
            <w:tcW w:w="7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2"/>
                <w:szCs w:val="22"/>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3,542.1</w:t>
            </w:r>
          </w:p>
        </w:tc>
        <w:tc>
          <w:tcPr>
            <w:tcW w:w="46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3,452.0</w:t>
            </w:r>
          </w:p>
        </w:tc>
        <w:tc>
          <w:tcPr>
            <w:tcW w:w="14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7"/>
        </w:trPr>
        <w:tc>
          <w:tcPr>
            <w:tcW w:w="7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480" w:type="dxa"/>
            <w:vAlign w:val="bottom"/>
            <w:shd w:val="clear" w:color="auto" w:fill="CCEEFF"/>
          </w:tcPr>
          <w:p>
            <w:pPr>
              <w:spacing w:after="0"/>
              <w:rPr>
                <w:sz w:val="24"/>
                <w:szCs w:val="24"/>
                <w:color w:val="auto"/>
              </w:rPr>
            </w:pPr>
          </w:p>
        </w:tc>
      </w:tr>
      <w:tr>
        <w:trPr>
          <w:trHeight w:val="270"/>
        </w:trPr>
        <w:tc>
          <w:tcPr>
            <w:tcW w:w="716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2,694.9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2,562.8</w:t>
            </w:r>
          </w:p>
        </w:tc>
        <w:tc>
          <w:tcPr>
            <w:tcW w:w="14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0"/>
        </w:trPr>
        <w:tc>
          <w:tcPr>
            <w:tcW w:w="7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256.0</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NM</w:t>
            </w:r>
          </w:p>
        </w:tc>
      </w:tr>
      <w:tr>
        <w:trPr>
          <w:trHeight w:val="263"/>
        </w:trPr>
        <w:tc>
          <w:tcPr>
            <w:tcW w:w="716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tcPr>
          <w:p>
            <w:pPr>
              <w:spacing w:after="0"/>
              <w:rPr>
                <w:sz w:val="22"/>
                <w:szCs w:val="22"/>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131.4</w:t>
            </w:r>
          </w:p>
        </w:tc>
        <w:tc>
          <w:tcPr>
            <w:tcW w:w="46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108.0</w:t>
            </w:r>
          </w:p>
        </w:tc>
        <w:tc>
          <w:tcPr>
            <w:tcW w:w="14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7"/>
        </w:trPr>
        <w:tc>
          <w:tcPr>
            <w:tcW w:w="7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440.1</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529.5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71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2"/>
                <w:szCs w:val="22"/>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0.41</w:t>
            </w:r>
          </w:p>
        </w:tc>
        <w:tc>
          <w:tcPr>
            <w:tcW w:w="46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0.50</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26" w:lineRule="exact"/>
        <w:rPr>
          <w:sz w:val="20"/>
          <w:szCs w:val="20"/>
          <w:color w:val="auto"/>
        </w:rPr>
      </w:pPr>
    </w:p>
    <w:p>
      <w:pPr>
        <w:ind w:right="4220" w:firstLine="8"/>
        <w:spacing w:after="0" w:line="307" w:lineRule="auto"/>
        <w:tabs>
          <w:tab w:leader="none" w:pos="135"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31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Revenue and gross margin increased for the three months ended March 31, 2016. The increase in operating expense was due to an increase in research and development expense, partially offset by a decrease in marketing, selling, and administrative expense. The decrease in net income and EPS for the three months ended March 31, 2016 was driven by the charge related to the impact of the Venezuelan financial crisis, including the significant deterioration of the bolívar, higher operating expenses, and higher income taxes, partially offset by decreased acquired in-process research and development (IPR&amp;D) charges and a higher gross margin.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highlighted items affect comparisons of our financial results for the three months ended March 31, 2016 and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117" w:lineRule="exact"/>
        <w:rPr>
          <w:sz w:val="20"/>
          <w:szCs w:val="20"/>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recognized charges of $131.4 million (pretax), or $0.11 per share, related to the closure of an animal health manufacturing facility in Ireland and integration costs related to our acquisition of Novartis Animal Health (Novartis AH).</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12)</w:t>
      </w:r>
    </w:p>
    <w:p>
      <w:pPr>
        <w:spacing w:after="0" w:line="117" w:lineRule="exact"/>
        <w:rPr>
          <w:sz w:val="20"/>
          <w:szCs w:val="20"/>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recognized charges of $203.9 million (pretax), or $0.19 per share, related to the impact of the Venezuelan financial crisis, including the significant deterioration of the bolívar.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(Note 3)</w:t>
      </w:r>
    </w:p>
    <w:p>
      <w:pPr>
        <w:spacing w:after="0" w:line="117" w:lineRule="exact"/>
        <w:rPr>
          <w:sz w:val="20"/>
          <w:szCs w:val="20"/>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recognized expense of $63.5 million (pretax), or $0.04 per share, related to the fair value adjustments to Novartis AH acquisition date inventory that has been sold.</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&amp; Development (Notes 3 and 4)</w:t>
      </w:r>
    </w:p>
    <w:p>
      <w:pPr>
        <w:spacing w:after="0" w:line="117" w:lineRule="exact"/>
        <w:rPr>
          <w:sz w:val="20"/>
          <w:szCs w:val="20"/>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recognized acquired IPR&amp;D charges of $256.0 million (pretax), or $0.15 per share, related to acquired IPR&amp;D from the collaboration agreements with Pfizer, Inc. (Pfizer) and Innovent Biologics, Inc. (Innovent).</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117" w:lineRule="exact"/>
        <w:rPr>
          <w:sz w:val="20"/>
          <w:szCs w:val="20"/>
          <w:color w:val="auto"/>
        </w:rPr>
      </w:pPr>
    </w:p>
    <w:p>
      <w:pPr>
        <w:jc w:val="both"/>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charges of $108.0 million (pretax), or $0.07 per share, primarily attributable to our animal health business segment and related primarily to integration costs, intangible asset impairments due to product rationalization, and severance costs resulting from our acquisition of Novartis AH.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0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45 potential new drugs in human testing or under regulatory review, and a larger number of projects in preclinical research.</w:t>
      </w:r>
    </w:p>
    <w:p>
      <w:pPr>
        <w:spacing w:after="0" w:line="9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new molecular entities (NMEs) were approved by regulatory authorities in at least one of the major geographies for use in the diseases described. The quarter in which each NME initially was approved in any major geography is shown in parentheses:</w:t>
      </w:r>
    </w:p>
    <w:p>
      <w:pPr>
        <w:spacing w:after="0" w:line="66" w:lineRule="exact"/>
        <w:rPr>
          <w:sz w:val="20"/>
          <w:szCs w:val="20"/>
          <w:color w:val="auto"/>
        </w:rPr>
      </w:pPr>
    </w:p>
    <w:p>
      <w:pPr>
        <w:ind w:left="660" w:right="20"/>
        <w:spacing w:after="0" w:line="247" w:lineRule="auto"/>
        <w:rPr>
          <w:sz w:val="20"/>
          <w:szCs w:val="20"/>
          <w:color w:val="auto"/>
        </w:rPr>
      </w:pPr>
      <w:r>
        <w:rPr>
          <w:rFonts w:ascii="Arial" w:cs="Arial" w:eastAsia="Arial" w:hAnsi="Arial"/>
          <w:sz w:val="18"/>
          <w:szCs w:val="18"/>
          <w:b w:val="1"/>
          <w:bCs w:val="1"/>
          <w:color w:val="auto"/>
        </w:rPr>
        <w:t>Ixekizumab* (Taltz</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2016)</w:t>
      </w:r>
      <w:r>
        <w:rPr>
          <w:rFonts w:ascii="Arial" w:cs="Arial" w:eastAsia="Arial" w:hAnsi="Arial"/>
          <w:sz w:val="18"/>
          <w:szCs w:val="18"/>
          <w:color w:val="auto"/>
        </w:rPr>
        <w:t>—a neutralizing monoclonal antibody to interleukin-17A for the treatment of moderate-to-severe plaque</w:t>
      </w:r>
      <w:r>
        <w:rPr>
          <w:rFonts w:ascii="Arial" w:cs="Arial" w:eastAsia="Arial" w:hAnsi="Arial"/>
          <w:sz w:val="18"/>
          <w:szCs w:val="18"/>
          <w:b w:val="1"/>
          <w:bCs w:val="1"/>
          <w:color w:val="auto"/>
        </w:rPr>
        <w:t xml:space="preserve"> </w:t>
      </w:r>
      <w:r>
        <w:rPr>
          <w:rFonts w:ascii="Arial" w:cs="Arial" w:eastAsia="Arial" w:hAnsi="Arial"/>
          <w:sz w:val="18"/>
          <w:szCs w:val="18"/>
          <w:color w:val="auto"/>
        </w:rPr>
        <w:t>psoriasis.</w:t>
      </w:r>
    </w:p>
    <w:p>
      <w:pPr>
        <w:spacing w:after="0" w:line="79" w:lineRule="exact"/>
        <w:rPr>
          <w:sz w:val="20"/>
          <w:szCs w:val="20"/>
          <w:color w:val="auto"/>
        </w:rPr>
      </w:pPr>
    </w:p>
    <w:p>
      <w:pPr>
        <w:ind w:left="660" w:right="40"/>
        <w:spacing w:after="0" w:line="247" w:lineRule="auto"/>
        <w:rPr>
          <w:sz w:val="20"/>
          <w:szCs w:val="20"/>
          <w:color w:val="auto"/>
        </w:rPr>
      </w:pPr>
      <w:r>
        <w:rPr>
          <w:rFonts w:ascii="Arial" w:cs="Arial" w:eastAsia="Arial" w:hAnsi="Arial"/>
          <w:sz w:val="18"/>
          <w:szCs w:val="18"/>
          <w:b w:val="1"/>
          <w:bCs w:val="1"/>
          <w:color w:val="auto"/>
        </w:rPr>
        <w:t>Necitumumab* (Portrazza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2015)</w:t>
      </w:r>
      <w:r>
        <w:rPr>
          <w:rFonts w:ascii="Arial" w:cs="Arial" w:eastAsia="Arial" w:hAnsi="Arial"/>
          <w:sz w:val="18"/>
          <w:szCs w:val="18"/>
          <w:color w:val="auto"/>
        </w:rPr>
        <w:t>—an anti-epidermal growth factor receptor monoclonal antibody for the treatment of metastatic</w:t>
      </w:r>
      <w:r>
        <w:rPr>
          <w:rFonts w:ascii="Arial" w:cs="Arial" w:eastAsia="Arial" w:hAnsi="Arial"/>
          <w:sz w:val="18"/>
          <w:szCs w:val="18"/>
          <w:b w:val="1"/>
          <w:bCs w:val="1"/>
          <w:color w:val="auto"/>
        </w:rPr>
        <w:t xml:space="preserve"> </w:t>
      </w:r>
      <w:r>
        <w:rPr>
          <w:rFonts w:ascii="Arial" w:cs="Arial" w:eastAsia="Arial" w:hAnsi="Arial"/>
          <w:sz w:val="18"/>
          <w:szCs w:val="18"/>
          <w:color w:val="auto"/>
        </w:rPr>
        <w:t>squamous non-small cell lung cancer (NSCLC).</w:t>
      </w:r>
    </w:p>
    <w:p>
      <w:pPr>
        <w:spacing w:after="0" w:line="10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following NMEs have been submitted for regulatory review in at least one of the major geographies for potential use in the diseases described. The quarter in which each NME initially was submitted for any indication is shown in parentheses:</w:t>
      </w:r>
    </w:p>
    <w:p>
      <w:pPr>
        <w:spacing w:after="0" w:line="66" w:lineRule="exact"/>
        <w:rPr>
          <w:sz w:val="20"/>
          <w:szCs w:val="20"/>
          <w:color w:val="auto"/>
        </w:rPr>
      </w:pPr>
    </w:p>
    <w:p>
      <w:pPr>
        <w:ind w:left="660" w:right="440"/>
        <w:spacing w:after="0" w:line="287" w:lineRule="auto"/>
        <w:rPr>
          <w:sz w:val="20"/>
          <w:szCs w:val="20"/>
          <w:color w:val="auto"/>
        </w:rPr>
      </w:pPr>
      <w:r>
        <w:rPr>
          <w:rFonts w:ascii="Arial" w:cs="Arial" w:eastAsia="Arial" w:hAnsi="Arial"/>
          <w:sz w:val="18"/>
          <w:szCs w:val="18"/>
          <w:b w:val="1"/>
          <w:bCs w:val="1"/>
          <w:color w:val="auto"/>
        </w:rPr>
        <w:t>Baricitinib (Q1 2016)</w:t>
      </w:r>
      <w:r>
        <w:rPr>
          <w:rFonts w:ascii="Arial" w:cs="Arial" w:eastAsia="Arial" w:hAnsi="Arial"/>
          <w:sz w:val="18"/>
          <w:szCs w:val="18"/>
          <w:color w:val="auto"/>
        </w:rPr>
        <w:t>—a Janus tyrosine kinase inhibitor for the treatment of moderately-to-severely active rheumatoid arthritis (in</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with Incyte Corporation).</w:t>
      </w:r>
    </w:p>
    <w:p>
      <w:pPr>
        <w:spacing w:after="0" w:line="45" w:lineRule="exact"/>
        <w:rPr>
          <w:sz w:val="20"/>
          <w:szCs w:val="20"/>
          <w:color w:val="auto"/>
        </w:rPr>
      </w:pPr>
    </w:p>
    <w:p>
      <w:pPr>
        <w:ind w:left="660" w:right="460"/>
        <w:spacing w:after="0" w:line="287" w:lineRule="auto"/>
        <w:rPr>
          <w:sz w:val="20"/>
          <w:szCs w:val="20"/>
          <w:color w:val="auto"/>
        </w:rPr>
      </w:pPr>
      <w:r>
        <w:rPr>
          <w:rFonts w:ascii="Arial" w:cs="Arial" w:eastAsia="Arial" w:hAnsi="Arial"/>
          <w:sz w:val="18"/>
          <w:szCs w:val="18"/>
          <w:b w:val="1"/>
          <w:bCs w:val="1"/>
          <w:color w:val="auto"/>
        </w:rPr>
        <w:t>Olaratumab* (Q1 2016)</w:t>
      </w:r>
      <w:r>
        <w:rPr>
          <w:rFonts w:ascii="Arial" w:cs="Arial" w:eastAsia="Arial" w:hAnsi="Arial"/>
          <w:sz w:val="18"/>
          <w:szCs w:val="18"/>
          <w:color w:val="auto"/>
        </w:rPr>
        <w:t>—a human lgG1 monoclonal antibody for the treatment of advanced soft tissue sarcoma. Olaratumab is</w:t>
      </w:r>
      <w:r>
        <w:rPr>
          <w:rFonts w:ascii="Arial" w:cs="Arial" w:eastAsia="Arial" w:hAnsi="Arial"/>
          <w:sz w:val="18"/>
          <w:szCs w:val="18"/>
          <w:b w:val="1"/>
          <w:bCs w:val="1"/>
          <w:color w:val="auto"/>
        </w:rPr>
        <w:t xml:space="preserve"> </w:t>
      </w:r>
      <w:r>
        <w:rPr>
          <w:rFonts w:ascii="Arial" w:cs="Arial" w:eastAsia="Arial" w:hAnsi="Arial"/>
          <w:sz w:val="18"/>
          <w:szCs w:val="18"/>
          <w:color w:val="auto"/>
        </w:rPr>
        <w:t>protected by a compound patent (2027 not including possible patent extension), and by biologics data package protection (2028).</w:t>
      </w:r>
    </w:p>
    <w:p>
      <w:pPr>
        <w:spacing w:after="0" w:line="6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The quarter in which each NME and diagnostic agent initially entered Phase III for any indication is shown in parentheses:</w:t>
      </w:r>
    </w:p>
    <w:p>
      <w:pPr>
        <w:spacing w:after="0" w:line="66" w:lineRule="exact"/>
        <w:rPr>
          <w:sz w:val="20"/>
          <w:szCs w:val="20"/>
          <w:color w:val="auto"/>
        </w:rPr>
      </w:pPr>
    </w:p>
    <w:p>
      <w:pPr>
        <w:ind w:left="660" w:right="480"/>
        <w:spacing w:after="0" w:line="287" w:lineRule="auto"/>
        <w:rPr>
          <w:sz w:val="20"/>
          <w:szCs w:val="20"/>
          <w:color w:val="auto"/>
        </w:rPr>
      </w:pPr>
      <w:r>
        <w:rPr>
          <w:rFonts w:ascii="Arial" w:cs="Arial" w:eastAsia="Arial" w:hAnsi="Arial"/>
          <w:sz w:val="18"/>
          <w:szCs w:val="18"/>
          <w:b w:val="1"/>
          <w:bCs w:val="1"/>
          <w:color w:val="auto"/>
        </w:rPr>
        <w:t>Abemaciclib (Q3 2014)</w:t>
      </w:r>
      <w:r>
        <w:rPr>
          <w:rFonts w:ascii="Arial" w:cs="Arial" w:eastAsia="Arial" w:hAnsi="Arial"/>
          <w:sz w:val="18"/>
          <w:szCs w:val="18"/>
          <w:color w:val="auto"/>
        </w:rPr>
        <w:t>—a small molecule cell-cycle inhibitor, selective for cyclin-dependent kinases 4 and 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breast cancer and NSCLC.</w:t>
      </w:r>
    </w:p>
    <w:p>
      <w:pPr>
        <w:spacing w:after="0" w:line="4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b w:val="1"/>
          <w:bCs w:val="1"/>
          <w:color w:val="auto"/>
        </w:rPr>
        <w:t>BACE inhibitor (Q2 2016)</w:t>
      </w:r>
      <w:r>
        <w:rPr>
          <w:rFonts w:ascii="Arial" w:cs="Arial" w:eastAsia="Arial" w:hAnsi="Arial"/>
          <w:sz w:val="18"/>
          <w:szCs w:val="18"/>
          <w:color w:val="auto"/>
        </w:rPr>
        <w:t>—an oral beta-secretase cleaving enzyme (BACE) inhibitor for the treatment of early Alzheimer's disease (in</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with AstraZeneca UK Limited).</w:t>
      </w:r>
    </w:p>
    <w:p>
      <w:pPr>
        <w:spacing w:after="0" w:line="45"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b w:val="1"/>
          <w:bCs w:val="1"/>
          <w:color w:val="auto"/>
        </w:rPr>
        <w:t>CGRP monoclonal antibody* (Q2 2015)</w:t>
      </w:r>
      <w:r>
        <w:rPr>
          <w:rFonts w:ascii="Arial" w:cs="Arial" w:eastAsia="Arial" w:hAnsi="Arial"/>
          <w:sz w:val="18"/>
          <w:szCs w:val="18"/>
          <w:color w:val="auto"/>
        </w:rPr>
        <w:t>—a once-monthly subcutaneously injected calcitonin gene-related peptide (CGRP)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cluster headache and migraine prevention.</w:t>
      </w:r>
    </w:p>
    <w:p>
      <w:pPr>
        <w:spacing w:after="0" w:line="45" w:lineRule="exact"/>
        <w:rPr>
          <w:sz w:val="20"/>
          <w:szCs w:val="20"/>
          <w:color w:val="auto"/>
        </w:rPr>
      </w:pPr>
    </w:p>
    <w:p>
      <w:pPr>
        <w:ind w:left="660" w:right="80"/>
        <w:spacing w:after="0" w:line="287" w:lineRule="auto"/>
        <w:rPr>
          <w:sz w:val="20"/>
          <w:szCs w:val="20"/>
          <w:color w:val="auto"/>
        </w:rPr>
      </w:pPr>
      <w:r>
        <w:rPr>
          <w:rFonts w:ascii="Arial" w:cs="Arial" w:eastAsia="Arial" w:hAnsi="Arial"/>
          <w:sz w:val="18"/>
          <w:szCs w:val="18"/>
          <w:b w:val="1"/>
          <w:bCs w:val="1"/>
          <w:color w:val="auto"/>
        </w:rPr>
        <w:t>Nasal glucagon* (Q3 2013)</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and mild Alzheimer’s disease.</w:t>
      </w:r>
    </w:p>
    <w:p>
      <w:pPr>
        <w:spacing w:after="0" w:line="117" w:lineRule="exact"/>
        <w:rPr>
          <w:sz w:val="20"/>
          <w:szCs w:val="20"/>
          <w:color w:val="auto"/>
        </w:rPr>
      </w:pPr>
    </w:p>
    <w:p>
      <w:pPr>
        <w:ind w:left="660" w:right="340"/>
        <w:spacing w:after="0" w:line="287"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w:t>
      </w:r>
    </w:p>
    <w:p>
      <w:pPr>
        <w:spacing w:after="0" w:line="45"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b w:val="1"/>
          <w:bCs w:val="1"/>
          <w:color w:val="auto"/>
        </w:rPr>
        <w:t>Tau Imaging Agent** (Q3 2015)</w:t>
      </w:r>
      <w:r>
        <w:rPr>
          <w:rFonts w:ascii="Arial" w:cs="Arial" w:eastAsia="Arial" w:hAnsi="Arial"/>
          <w:sz w:val="18"/>
          <w:szCs w:val="18"/>
          <w:color w:val="auto"/>
        </w:rPr>
        <w:t>—a positron emission tomography (PET) tracer intended to image tau (or neurofibrillary) tangles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brain, which are an indicator of Alzheimer's disease.</w:t>
      </w:r>
    </w:p>
    <w:p>
      <w:pPr>
        <w:spacing w:after="0" w:line="67" w:lineRule="exact"/>
        <w:rPr>
          <w:sz w:val="20"/>
          <w:szCs w:val="20"/>
          <w:color w:val="auto"/>
        </w:rPr>
      </w:pPr>
    </w:p>
    <w:p>
      <w:pPr>
        <w:ind w:left="340" w:right="2780" w:hanging="8"/>
        <w:spacing w:after="0" w:line="387"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Biologic molecule subject to the United States (U.S.) Biologics Price Competition and Innovation Act ** Diagnostic agent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42" w:right="259" w:bottom="1440" w:gutter="0" w:footer="0" w:header="0"/>
        </w:sectPr>
      </w:pPr>
    </w:p>
    <w:bookmarkStart w:id="35" w:name="page36"/>
    <w:bookmarkEnd w:id="35"/>
    <w:p>
      <w:pPr>
        <w:ind w:right="760"/>
        <w:spacing w:after="0" w:line="262" w:lineRule="auto"/>
        <w:rPr>
          <w:sz w:val="20"/>
          <w:szCs w:val="20"/>
          <w:color w:val="auto"/>
        </w:rPr>
      </w:pPr>
      <w:r>
        <w:rPr>
          <w:rFonts w:ascii="Arial" w:cs="Arial" w:eastAsia="Arial" w:hAnsi="Arial"/>
          <w:sz w:val="18"/>
          <w:szCs w:val="18"/>
          <w:color w:val="auto"/>
        </w:rPr>
        <w:t>The following table reflects the status of each NME and diagnostic agent within our late-stage pipeline and recently approved products including developments since January 1, 2016:</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1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1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6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Nasal glucagon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Severe</w:t>
            </w:r>
          </w:p>
        </w:tc>
        <w:tc>
          <w:tcPr>
            <w:tcW w:w="116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Development of commercial manufacturing process is</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1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Baricitinib</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Rheumatoid</w:t>
            </w:r>
          </w:p>
        </w:tc>
        <w:tc>
          <w:tcPr>
            <w:tcW w:w="116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regulatory authorities in the U.S., Europe,</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arthritis</w:t>
            </w:r>
          </w:p>
        </w:tc>
        <w:tc>
          <w:tcPr>
            <w:tcW w:w="1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Japan in first quarter of 2016.</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and launched in the U.S. in first and second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Taltz</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Psoriasis</w:t>
            </w:r>
          </w:p>
        </w:tc>
        <w:tc>
          <w:tcPr>
            <w:tcW w:w="116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Launched</w:t>
            </w:r>
          </w:p>
        </w:tc>
        <w:tc>
          <w:tcPr>
            <w:tcW w:w="112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Approved</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Submitted</w:t>
            </w: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quarters of 2016, respectively. Approved in Europe in</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 quarter of 2016.</w:t>
            </w:r>
          </w:p>
        </w:tc>
        <w:tc>
          <w:tcPr>
            <w:tcW w:w="0" w:type="dxa"/>
            <w:vAlign w:val="bottom"/>
          </w:tcPr>
          <w:p>
            <w:pPr>
              <w:spacing w:after="0"/>
              <w:rPr>
                <w:sz w:val="1"/>
                <w:szCs w:val="1"/>
                <w:color w:val="auto"/>
              </w:rPr>
            </w:pPr>
          </w:p>
        </w:tc>
      </w:tr>
      <w:tr>
        <w:trPr>
          <w:trHeight w:val="75"/>
        </w:trPr>
        <w:tc>
          <w:tcPr>
            <w:tcW w:w="1640" w:type="dxa"/>
            <w:vAlign w:val="bottom"/>
            <w:tcBorders>
              <w:left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46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Psoriatic arthritis</w:t>
            </w: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Submitted</w:t>
            </w: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BACE inhibitor</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Early Alzheimer's</w:t>
            </w:r>
          </w:p>
        </w:tc>
        <w:tc>
          <w:tcPr>
            <w:tcW w:w="116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Moved into the Phase III portion of the Phase II/III</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seamless study in April 2016.</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CGRP monoclonal</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Cluster headache</w:t>
            </w:r>
          </w:p>
        </w:tc>
        <w:tc>
          <w:tcPr>
            <w:tcW w:w="1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89"/>
        </w:trPr>
        <w:tc>
          <w:tcPr>
            <w:tcW w:w="1640" w:type="dxa"/>
            <w:vAlign w:val="bottom"/>
            <w:tcBorders>
              <w:left w:val="single" w:sz="8" w:color="auto"/>
              <w:right w:val="single" w:sz="8" w:color="auto"/>
            </w:tcBorders>
            <w:vMerge w:val="continue"/>
          </w:tcPr>
          <w:p>
            <w:pPr>
              <w:spacing w:after="0"/>
              <w:rPr>
                <w:sz w:val="16"/>
                <w:szCs w:val="16"/>
                <w:color w:val="auto"/>
              </w:rPr>
            </w:pPr>
          </w:p>
        </w:tc>
        <w:tc>
          <w:tcPr>
            <w:tcW w:w="160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Migraine</w:t>
            </w:r>
          </w:p>
        </w:tc>
        <w:tc>
          <w:tcPr>
            <w:tcW w:w="116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6"/>
                <w:szCs w:val="16"/>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Initiated first Phase III study in January 2016.</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antibody</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1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1600" w:type="dxa"/>
            <w:vAlign w:val="bottom"/>
            <w:tcBorders>
              <w:bottom w:val="single" w:sz="8" w:color="auto"/>
              <w:right w:val="single" w:sz="8" w:color="auto"/>
            </w:tcBorders>
            <w:vMerge w:val="continue"/>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4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w:t>
            </w: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Solanezumab</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Mild Alzheimer's</w:t>
            </w:r>
          </w:p>
        </w:tc>
        <w:tc>
          <w:tcPr>
            <w:tcW w:w="116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change in primary endpoint for Phase III</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study in March 2016.</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1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low back</w:t>
            </w:r>
          </w:p>
        </w:tc>
        <w:tc>
          <w:tcPr>
            <w:tcW w:w="116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1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Tau imaging agent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Alzheimer's</w:t>
            </w:r>
          </w:p>
        </w:tc>
        <w:tc>
          <w:tcPr>
            <w:tcW w:w="1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disease</w:t>
            </w:r>
          </w:p>
        </w:tc>
        <w:tc>
          <w:tcPr>
            <w:tcW w:w="1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46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Metastatic breast</w:t>
            </w:r>
          </w:p>
        </w:tc>
        <w:tc>
          <w:tcPr>
            <w:tcW w:w="116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NSCLC</w:t>
            </w:r>
          </w:p>
        </w:tc>
        <w:tc>
          <w:tcPr>
            <w:tcW w:w="1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226"/>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Received Breakthrough Therapy</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Designation</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from the U.S. Food and Drug</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w:t>
            </w:r>
          </w:p>
        </w:tc>
        <w:tc>
          <w:tcPr>
            <w:tcW w:w="11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Administration (FDA) in 2015. Based on Phase II data,</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Olaratumab</w:t>
            </w:r>
          </w:p>
        </w:tc>
        <w:tc>
          <w:tcPr>
            <w:tcW w:w="160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gridSpan w:val="2"/>
            <w:vMerge w:val="restart"/>
          </w:tcPr>
          <w:p>
            <w:pPr>
              <w:jc w:val="center"/>
              <w:spacing w:after="0" w:line="202" w:lineRule="exact"/>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46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submitted to European regulatory authorities and</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sarcoma</w:t>
            </w:r>
          </w:p>
        </w:tc>
        <w:tc>
          <w:tcPr>
            <w:tcW w:w="2280" w:type="dxa"/>
            <w:vAlign w:val="bottom"/>
            <w:tcBorders>
              <w:right w:val="single" w:sz="8" w:color="auto"/>
            </w:tcBorders>
            <w:gridSpan w:val="2"/>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restart"/>
          </w:tcPr>
          <w:p>
            <w:pPr>
              <w:ind w:left="20"/>
              <w:spacing w:after="0" w:line="201" w:lineRule="exact"/>
              <w:rPr>
                <w:sz w:val="20"/>
                <w:szCs w:val="20"/>
                <w:color w:val="auto"/>
              </w:rPr>
            </w:pPr>
            <w:r>
              <w:rPr>
                <w:rFonts w:ascii="Arial" w:cs="Arial" w:eastAsia="Arial" w:hAnsi="Arial"/>
                <w:sz w:val="18"/>
                <w:szCs w:val="18"/>
                <w:color w:val="auto"/>
              </w:rPr>
              <w:t>completed rolling submission in the U.S. in first quarter of</w:t>
            </w:r>
          </w:p>
        </w:tc>
        <w:tc>
          <w:tcPr>
            <w:tcW w:w="0" w:type="dxa"/>
            <w:vAlign w:val="bottom"/>
          </w:tcPr>
          <w:p>
            <w:pPr>
              <w:spacing w:after="0"/>
              <w:rPr>
                <w:sz w:val="1"/>
                <w:szCs w:val="1"/>
                <w:color w:val="auto"/>
              </w:rPr>
            </w:pPr>
          </w:p>
        </w:tc>
      </w:tr>
      <w:tr>
        <w:trPr>
          <w:trHeight w:val="91"/>
        </w:trPr>
        <w:tc>
          <w:tcPr>
            <w:tcW w:w="1640" w:type="dxa"/>
            <w:vAlign w:val="bottom"/>
            <w:tcBorders>
              <w:left w:val="single" w:sz="8" w:color="auto"/>
              <w:right w:val="single" w:sz="8" w:color="auto"/>
            </w:tcBorders>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4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2016. Granted Priority Review</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from FDA in second</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quarter of 2016. Phase III study is ongoing.</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Metastatic</w:t>
            </w:r>
          </w:p>
        </w:tc>
        <w:tc>
          <w:tcPr>
            <w:tcW w:w="116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 and launched in Europe in first and second</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Portrazza</w:t>
            </w:r>
          </w:p>
        </w:tc>
        <w:tc>
          <w:tcPr>
            <w:tcW w:w="16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squamous NSCLC</w:t>
            </w:r>
          </w:p>
        </w:tc>
        <w:tc>
          <w:tcPr>
            <w:tcW w:w="2280" w:type="dxa"/>
            <w:vAlign w:val="bottom"/>
            <w:tcBorders>
              <w:right w:val="single" w:sz="8" w:color="auto"/>
            </w:tcBorders>
            <w:gridSpan w:val="2"/>
            <w:vMerge w:val="restart"/>
          </w:tcPr>
          <w:p>
            <w:pPr>
              <w:jc w:val="center"/>
              <w:spacing w:after="0" w:line="202" w:lineRule="exact"/>
              <w:rPr>
                <w:sz w:val="20"/>
                <w:szCs w:val="20"/>
                <w:color w:val="auto"/>
              </w:rPr>
            </w:pPr>
            <w:r>
              <w:rPr>
                <w:rFonts w:ascii="Arial" w:cs="Arial" w:eastAsia="Arial" w:hAnsi="Arial"/>
                <w:sz w:val="18"/>
                <w:szCs w:val="18"/>
                <w:color w:val="auto"/>
                <w:w w:val="98"/>
              </w:rPr>
              <w:t>Launched</w:t>
            </w:r>
          </w:p>
        </w:tc>
        <w:tc>
          <w:tcPr>
            <w:tcW w:w="12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Phase Ib/II</w:t>
            </w:r>
          </w:p>
        </w:tc>
        <w:tc>
          <w:tcPr>
            <w:tcW w:w="4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gridSpan w:val="2"/>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quarters of 2016, respectively.</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(first-line)</w:t>
            </w:r>
          </w:p>
        </w:tc>
        <w:tc>
          <w:tcPr>
            <w:tcW w:w="116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80" w:right="720" w:hanging="172"/>
        <w:spacing w:after="0" w:line="225" w:lineRule="auto"/>
        <w:tabs>
          <w:tab w:leader="none" w:pos="153"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The 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97" w:lineRule="exact"/>
        <w:rPr>
          <w:rFonts w:ascii="Arial" w:cs="Arial" w:eastAsia="Arial" w:hAnsi="Arial"/>
          <w:sz w:val="17"/>
          <w:szCs w:val="17"/>
          <w:color w:val="auto"/>
          <w:vertAlign w:val="superscript"/>
        </w:rPr>
      </w:pPr>
    </w:p>
    <w:p>
      <w:pPr>
        <w:ind w:left="180" w:right="400" w:hanging="172"/>
        <w:spacing w:after="0" w:line="225" w:lineRule="auto"/>
        <w:tabs>
          <w:tab w:leader="none" w:pos="153"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Priority Review is designed to expedite the review of potential medicines that, if approved, would be significant improvements in the safety or effectiveness of the treatment, diagnosis, or prevention of serious conditions when compared to standard applications.</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40"/>
          </w:cols>
          <w:pgMar w:left="240" w:top="706"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depend on patents or other forms of intellectual-property protection for most of our revenues, cash flows, and earnings. We lost our data package protection for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major European countries in 2014. In 2015, we saw the entry of generic competition in all major European markets. The loss of exclusivity for Cymbalta in the European markets has caused a rapid and severe decline in revenue for the product, which over time will, in the aggregate, have a material adverse effect on our consolidated results of operations and cash flows. We also lost patent exclusivity for the schizophrenia and bipolar mania indications in December 2015 and April 2016, respectively,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Generic versions of Zyprexa were approved in Japan in February 2016, and we anticipate generic competition in mid-2016.</w:t>
      </w:r>
    </w:p>
    <w:p>
      <w:pPr>
        <w:spacing w:after="0" w:line="10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Additionally, as described in Note 10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provides us with patent protection for Alimta through June 2021 in Japan and major European countries, and through May 2022 in the U.S., has been challenged in each of these jurisdictions. Our compound patent for Alimta will expire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We are aware that at least one generic pemetrexed product has launched in a major European market. Notwithstanding our patents, generic versions of Alimta were also approved in Japan in February 2016. We filed preliminary injunctions against three generic competitors which received approval. As described in Note 10 to the consolidated condensed financial statements, we withdrew the requests for injunctions once those competitors agreed not to proceed to pricing approval. We do not anticipate generic competitors to proceed to launch prior to the completion of the Sawai Pharmaceutical Co., Ltd. invalidation trial.</w:t>
      </w:r>
    </w:p>
    <w:p>
      <w:pPr>
        <w:spacing w:after="0" w:line="10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will lose our patent protection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major European markets in November 2017. We expect that the entry of generic competition into these markets following the loss of effective patent protection will cause a rapid and severe decline in revenue for the affected products, which will, in the aggregate, have a material adverse effect on our consolidated results of operations and cash flows.</w:t>
      </w:r>
    </w:p>
    <w:p>
      <w:pPr>
        <w:spacing w:after="0" w:line="10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U.S.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2013. Thus far, the loss of compound patent protection for Humalog has not resulted in a rapid and severe decline in revenue. Global regulators have different legal pathways to approve similar versions of Humalog and to date none have been approved in the U.S. or Europe. We are aware that other manufacturers have efforts underway to develop a similar version of Humalog, and it is difficult to predict the timing and impact of these products entering the market.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and British pound,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 Over the past two years, we have seen significant foreign currency rate fluctuations as the U.S. dollar strengthened compared to several other foreign currencies, including the euro, British pound, and Japanese yen. While there is uncertainty in the future movements in foreign exchange rates, these fluctuations could negatively impact our future consolidated results of operations.</w:t>
      </w:r>
    </w:p>
    <w:p>
      <w:pPr>
        <w:spacing w:after="0" w:line="9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The impact of the Venezuelan financial crisis, including the significant deterioration of the bolívar, resulted in a charge of $203.9 million in the three months ended March 31, 2016. See Note 12 to the consolidated condensed financial statements for additional information related to the charge. We anticipate that the revenue from Venezuela for the remainder of 2016 will be </w:t>
      </w:r>
      <w:r>
        <w:rPr>
          <w:rFonts w:ascii="Arial" w:cs="Arial" w:eastAsia="Arial" w:hAnsi="Arial"/>
          <w:sz w:val="18"/>
          <w:szCs w:val="18"/>
          <w:i w:val="1"/>
          <w:iCs w:val="1"/>
          <w:color w:val="auto"/>
        </w:rPr>
        <w:t>de minimis</w:t>
      </w:r>
      <w:r>
        <w:rPr>
          <w:rFonts w:ascii="Arial" w:cs="Arial" w:eastAsia="Arial" w:hAnsi="Arial"/>
          <w:sz w:val="18"/>
          <w:szCs w:val="18"/>
          <w:color w:val="auto"/>
        </w:rPr>
        <w:t>. As of March 31, 2016, our Venezuelan subsidiaries represented less than 0.3 percent of our consolidated assets and liabilities. We continue to monitor Venezuela’s economy and other deteriorating economies. It is possible that additional charges may be recorded in the future. Any additional charges are not expected to have a material adverse effect on our future consolidated results of operations.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38"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U.S., public concern over prices for specialty and brand name pharmaceuticals continues to drive the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language that would allow the Department of Health and Human Services to negotiate prices for biologics and drugs on the specialty tier in Part D, and state-level proposals to reduce the cost of pharmaceuticals purchased by government health care programs. Savings projected under these proposals are targeted as a means to fund both health care expenditures and non-health care initiatives, or to manage federal and state budgets.</w:t>
      </w:r>
    </w:p>
    <w:p>
      <w:pPr>
        <w:spacing w:after="0" w:line="10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the U.S. private sector, consolidation and integration among U.S. healthcare providers is also a major factor in the competitive marketplace for human pharmaceuticals. Health plans and pharmaceutical benefit managers have been consolidating into fewer, larger entities,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w:t>
      </w:r>
    </w:p>
    <w:p>
      <w:pPr>
        <w:spacing w:after="0" w:line="1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main coverage expansion provisions of the Affordable Care Act (ACA) are now in effect through both the launch of state-based exchanges and the expansion of Medicaid. An emerging trend has been the prevalence of benefit designs containing high out-of-pocket costs for patients, particularly for pharmaceuticals. In addition to the coverage expansions, many employers in the commercial market, driven in part by ACA changes such as the 2020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At the same time, the broader paradigm shift towards quality-based reimbursement and the launch of several value-based purchasing initiatives have placed demands on the pharmaceutical industry to offer products with proven real-world outcomes data and a favorable economic profile.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only and reduce current and future access to human pharmaceutical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For example, the Obama administration proposed changes to the manner in which the U.S. would tax the international income of U.S.-based companies, including unremitted earnings of foreign subsidiaries. Other tax proposals under discussion or introduced in the U.S. Congress could change the tax rate and manner in which U.S. companies would be taxed. Additionally, the Organisation for Economic Co-operation and Development issued its final recommendations of international tax reform proposals to influence international tax policy in major countries in which we operate. While outcomes of these initiatives continue to develop and remain uncertain, changes to key elements of the U.S. or international tax framework could have a material adverse effect on our consolidated operating results and cash flows.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88"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Information regarding contingencies relating to certain legal proceedings can be found in Note 10 to the consolidated condensed financial statements and is incorporated here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 activity by jurisdiction: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6"/>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Change in</w:t>
            </w:r>
          </w:p>
        </w:tc>
        <w:tc>
          <w:tcPr>
            <w:tcW w:w="1380" w:type="dxa"/>
            <w:vAlign w:val="bottom"/>
            <w:tcBorders>
              <w:bottom w:val="single" w:sz="8" w:color="auto"/>
            </w:tcBorders>
          </w:tcPr>
          <w:p>
            <w:pPr>
              <w:spacing w:after="0"/>
              <w:rPr>
                <w:sz w:val="17"/>
                <w:szCs w:val="17"/>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197"/>
              <w:spacing w:after="0"/>
              <w:rPr>
                <w:sz w:val="20"/>
                <w:szCs w:val="20"/>
                <w:color w:val="auto"/>
              </w:rPr>
            </w:pPr>
            <w:r>
              <w:rPr>
                <w:rFonts w:ascii="Arial" w:cs="Arial" w:eastAsia="Arial" w:hAnsi="Arial"/>
                <w:sz w:val="14"/>
                <w:szCs w:val="14"/>
                <w:b w:val="1"/>
                <w:bCs w:val="1"/>
                <w:color w:val="auto"/>
              </w:rPr>
              <w:t>Dollars</w:t>
            </w: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Percent</w:t>
            </w: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2,555.6</w:t>
            </w:r>
          </w:p>
        </w:tc>
        <w:tc>
          <w:tcPr>
            <w:tcW w:w="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2,211.3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rPr>
              <w:t>344.0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2,309.5</w:t>
            </w:r>
          </w:p>
        </w:tc>
        <w:tc>
          <w:tcPr>
            <w:tcW w:w="7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2,433.4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rPr>
              <w:t>(123.6)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4,865.1</w:t>
            </w:r>
          </w:p>
        </w:tc>
        <w:tc>
          <w:tcPr>
            <w:tcW w:w="7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4,644.7</w:t>
            </w: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rPr>
              <w:t>220.4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first quarter of the prior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jc w:val="center"/>
              <w:ind w:right="19"/>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4"/>
                <w:szCs w:val="14"/>
                <w:color w:val="auto"/>
              </w:rPr>
            </w:pPr>
          </w:p>
        </w:tc>
      </w:tr>
      <w:tr>
        <w:trPr>
          <w:trHeight w:val="190"/>
        </w:trPr>
        <w:tc>
          <w:tcPr>
            <w:tcW w:w="7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1340" w:type="dxa"/>
            <w:vAlign w:val="bottom"/>
          </w:tcPr>
          <w:p>
            <w:pPr>
              <w:spacing w:after="0"/>
              <w:rPr>
                <w:sz w:val="16"/>
                <w:szCs w:val="16"/>
                <w:color w:val="auto"/>
              </w:rPr>
            </w:pPr>
          </w:p>
        </w:tc>
      </w:tr>
      <w:tr>
        <w:trPr>
          <w:trHeight w:val="276"/>
        </w:trPr>
        <w:tc>
          <w:tcPr>
            <w:tcW w:w="70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 vs. 2015</w:t>
            </w:r>
          </w:p>
        </w:tc>
        <w:tc>
          <w:tcPr>
            <w:tcW w:w="1340" w:type="dxa"/>
            <w:vAlign w:val="bottom"/>
            <w:tcBorders>
              <w:bottom w:val="single" w:sz="8" w:color="auto"/>
            </w:tcBorders>
          </w:tcPr>
          <w:p>
            <w:pPr>
              <w:spacing w:after="0"/>
              <w:rPr>
                <w:sz w:val="24"/>
                <w:szCs w:val="24"/>
                <w:color w:val="auto"/>
              </w:rPr>
            </w:pPr>
          </w:p>
        </w:tc>
      </w:tr>
      <w:tr>
        <w:trPr>
          <w:trHeight w:val="250"/>
        </w:trPr>
        <w:tc>
          <w:tcPr>
            <w:tcW w:w="7040" w:type="dxa"/>
            <w:vAlign w:val="bottom"/>
          </w:tcPr>
          <w:p>
            <w:pPr>
              <w:spacing w:after="0"/>
              <w:rPr>
                <w:sz w:val="21"/>
                <w:szCs w:val="21"/>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U.S.</w:t>
            </w:r>
          </w:p>
        </w:tc>
        <w:tc>
          <w:tcPr>
            <w:tcW w:w="5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Outside U.S.</w:t>
            </w: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Consolidated</w:t>
            </w:r>
          </w:p>
        </w:tc>
      </w:tr>
      <w:tr>
        <w:trPr>
          <w:trHeight w:val="249"/>
        </w:trPr>
        <w:tc>
          <w:tcPr>
            <w:tcW w:w="7960" w:type="dxa"/>
            <w:vAlign w:val="bottom"/>
            <w:gridSpan w:val="2"/>
          </w:tcPr>
          <w:p>
            <w:pPr>
              <w:ind w:left="40"/>
              <w:spacing w:after="0"/>
              <w:rPr>
                <w:sz w:val="20"/>
                <w:szCs w:val="20"/>
                <w:color w:val="auto"/>
              </w:rPr>
            </w:pPr>
            <w:r>
              <w:rPr>
                <w:rFonts w:ascii="Arial" w:cs="Arial" w:eastAsia="Arial" w:hAnsi="Arial"/>
                <w:sz w:val="18"/>
                <w:szCs w:val="18"/>
                <w:color w:val="auto"/>
              </w:rPr>
              <w:t>Volume</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620" w:type="dxa"/>
            <w:vAlign w:val="bottom"/>
          </w:tcPr>
          <w:p>
            <w:pPr>
              <w:jc w:val="right"/>
              <w:ind w:right="119"/>
              <w:spacing w:after="0"/>
              <w:rPr>
                <w:sz w:val="20"/>
                <w:szCs w:val="20"/>
                <w:color w:val="auto"/>
              </w:rPr>
            </w:pPr>
            <w:r>
              <w:rPr>
                <w:rFonts w:ascii="Arial" w:cs="Arial" w:eastAsia="Arial" w:hAnsi="Arial"/>
                <w:sz w:val="18"/>
                <w:szCs w:val="18"/>
                <w:color w:val="auto"/>
              </w:rPr>
              <w:t>2 %</w:t>
            </w:r>
          </w:p>
        </w:tc>
        <w:tc>
          <w:tcPr>
            <w:tcW w:w="13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63"/>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9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740"/>
        <w:spacing w:after="0" w:line="281" w:lineRule="auto"/>
        <w:rPr>
          <w:sz w:val="20"/>
          <w:szCs w:val="20"/>
          <w:color w:val="auto"/>
        </w:rPr>
      </w:pPr>
      <w:r>
        <w:rPr>
          <w:rFonts w:ascii="Arial" w:cs="Arial" w:eastAsia="Arial" w:hAnsi="Arial"/>
          <w:sz w:val="18"/>
          <w:szCs w:val="18"/>
          <w:color w:val="auto"/>
        </w:rPr>
        <w:t>In the U.S., for the three months ended March 31, 2016, the volume increase was driven by several pharmaceutical products including Trulicity</w:t>
      </w:r>
      <w:r>
        <w:rPr>
          <w:rFonts w:ascii="Arial" w:cs="Arial" w:eastAsia="Arial" w:hAnsi="Arial"/>
          <w:sz w:val="21"/>
          <w:szCs w:val="21"/>
          <w:color w:val="auto"/>
          <w:vertAlign w:val="superscript"/>
        </w:rPr>
        <w:t>®</w:t>
      </w:r>
      <w:r>
        <w:rPr>
          <w:rFonts w:ascii="Arial" w:cs="Arial" w:eastAsia="Arial" w:hAnsi="Arial"/>
          <w:sz w:val="18"/>
          <w:szCs w:val="18"/>
          <w:color w:val="auto"/>
        </w:rPr>
        <w:t>, Erbitux</w:t>
      </w:r>
      <w:r>
        <w:rPr>
          <w:rFonts w:ascii="Arial" w:cs="Arial" w:eastAsia="Arial" w:hAnsi="Arial"/>
          <w:sz w:val="21"/>
          <w:szCs w:val="21"/>
          <w:color w:val="auto"/>
          <w:vertAlign w:val="superscript"/>
        </w:rPr>
        <w:t>®</w:t>
      </w:r>
      <w:r>
        <w:rPr>
          <w:rFonts w:ascii="Arial" w:cs="Arial" w:eastAsia="Arial" w:hAnsi="Arial"/>
          <w:sz w:val="18"/>
          <w:szCs w:val="18"/>
          <w:color w:val="auto"/>
        </w:rPr>
        <w:t>, and Humalog. The higher realized prices were primarily driven by Cialis.</w:t>
      </w:r>
    </w:p>
    <w:p>
      <w:pPr>
        <w:spacing w:after="0" w:line="15"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color w:val="auto"/>
        </w:rPr>
        <w:t>Outside the U.S., for the three months ended March 31, 2016, the volume increase was driven by several pharmaceutical products, primarily Cyramza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Trulicity, partially offset by decreased volume for Cialis, as well as Cymbalta due to the loss of exclusivity in Europe.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following table summarizes our revenue activity by product: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4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March 31, 2016</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March 31, 2015</w:t>
            </w:r>
          </w:p>
        </w:tc>
        <w:tc>
          <w:tcPr>
            <w:tcW w:w="1480" w:type="dxa"/>
            <w:vAlign w:val="bottom"/>
          </w:tcPr>
          <w:p>
            <w:pPr>
              <w:jc w:val="center"/>
              <w:ind w:left="33"/>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Outside U.S.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8"/>
        </w:trPr>
        <w:tc>
          <w:tcPr>
            <w:tcW w:w="4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244.7</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684.0</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324.0</w:t>
            </w:r>
          </w:p>
        </w:tc>
        <w:tc>
          <w:tcPr>
            <w:tcW w:w="280" w:type="dxa"/>
            <w:vAlign w:val="bottom"/>
          </w:tcPr>
          <w:p>
            <w:pPr>
              <w:spacing w:after="0"/>
              <w:rPr>
                <w:sz w:val="22"/>
                <w:szCs w:val="22"/>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252.7</w:t>
            </w:r>
          </w:p>
        </w:tc>
        <w:tc>
          <w:tcPr>
            <w:tcW w:w="3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576.7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538.3</w:t>
            </w:r>
          </w:p>
        </w:tc>
        <w:tc>
          <w:tcPr>
            <w:tcW w:w="1480" w:type="dxa"/>
            <w:vAlign w:val="bottom"/>
          </w:tcPr>
          <w:p>
            <w:pPr>
              <w:jc w:val="center"/>
              <w:ind w:left="13"/>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263.1</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301.1</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573.0</w:t>
            </w:r>
          </w:p>
        </w:tc>
        <w:tc>
          <w:tcPr>
            <w:tcW w:w="14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240.1</w:t>
            </w:r>
          </w:p>
        </w:tc>
        <w:tc>
          <w:tcPr>
            <w:tcW w:w="28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116.3</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356.4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315.7</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148.1</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170.5</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293.0</w:t>
            </w:r>
          </w:p>
        </w:tc>
        <w:tc>
          <w:tcPr>
            <w:tcW w:w="14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37.9</w:t>
            </w:r>
          </w:p>
        </w:tc>
        <w:tc>
          <w:tcPr>
            <w:tcW w:w="280" w:type="dxa"/>
            <w:vAlign w:val="bottom"/>
          </w:tcPr>
          <w:p>
            <w:pPr>
              <w:spacing w:after="0"/>
              <w:rPr>
                <w:sz w:val="22"/>
                <w:szCs w:val="22"/>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174.9</w:t>
            </w:r>
          </w:p>
        </w:tc>
        <w:tc>
          <w:tcPr>
            <w:tcW w:w="3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212.8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219.5</w:t>
            </w:r>
          </w:p>
        </w:tc>
        <w:tc>
          <w:tcPr>
            <w:tcW w:w="1480" w:type="dxa"/>
            <w:vAlign w:val="bottom"/>
          </w:tcPr>
          <w:p>
            <w:pPr>
              <w:jc w:val="center"/>
              <w:ind w:left="1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23.3</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175.4</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287.0</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116.6</w:t>
            </w:r>
          </w:p>
        </w:tc>
        <w:tc>
          <w:tcPr>
            <w:tcW w:w="280" w:type="dxa"/>
            <w:vAlign w:val="bottom"/>
          </w:tcPr>
          <w:p>
            <w:pPr>
              <w:spacing w:after="0"/>
              <w:rPr>
                <w:sz w:val="22"/>
                <w:szCs w:val="22"/>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71.5</w:t>
            </w:r>
          </w:p>
        </w:tc>
        <w:tc>
          <w:tcPr>
            <w:tcW w:w="3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188.1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173.7</w:t>
            </w:r>
          </w:p>
        </w:tc>
        <w:tc>
          <w:tcPr>
            <w:tcW w:w="1480" w:type="dxa"/>
            <w:vAlign w:val="bottom"/>
          </w:tcPr>
          <w:p>
            <w:pPr>
              <w:jc w:val="center"/>
              <w:ind w:left="13"/>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140.3</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27.8</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88.2</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119.4</w:t>
            </w:r>
          </w:p>
        </w:tc>
        <w:tc>
          <w:tcPr>
            <w:tcW w:w="280" w:type="dxa"/>
            <w:vAlign w:val="bottom"/>
          </w:tcPr>
          <w:p>
            <w:pPr>
              <w:spacing w:after="0"/>
              <w:rPr>
                <w:sz w:val="22"/>
                <w:szCs w:val="22"/>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24.2</w:t>
            </w:r>
          </w:p>
        </w:tc>
        <w:tc>
          <w:tcPr>
            <w:tcW w:w="3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143.6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109.7</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21.8</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121.8</w:t>
            </w:r>
          </w:p>
        </w:tc>
        <w:tc>
          <w:tcPr>
            <w:tcW w:w="14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71.6</w:t>
            </w:r>
          </w:p>
        </w:tc>
        <w:tc>
          <w:tcPr>
            <w:tcW w:w="280" w:type="dxa"/>
            <w:vAlign w:val="bottom"/>
          </w:tcPr>
          <w:p>
            <w:pPr>
              <w:spacing w:after="0"/>
              <w:rPr>
                <w:sz w:val="22"/>
                <w:szCs w:val="22"/>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59.4</w:t>
            </w:r>
          </w:p>
        </w:tc>
        <w:tc>
          <w:tcPr>
            <w:tcW w:w="3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131.0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67.5</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9"/>
              </w:rPr>
              <w:t>94</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207.5</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307.0</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514.9</w:t>
            </w:r>
          </w:p>
        </w:tc>
        <w:tc>
          <w:tcPr>
            <w:tcW w:w="14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392.4</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362.2</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754.6</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749.8</w:t>
            </w:r>
          </w:p>
        </w:tc>
        <w:tc>
          <w:tcPr>
            <w:tcW w:w="148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2,555.6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2,309.5</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4,865.1</w:t>
            </w: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4,644.7</w:t>
            </w:r>
          </w:p>
        </w:tc>
        <w:tc>
          <w:tcPr>
            <w:tcW w:w="1480" w:type="dxa"/>
            <w:vAlign w:val="bottom"/>
            <w:tcBorders>
              <w:bottom w:val="single" w:sz="8" w:color="auto"/>
            </w:tcBorders>
            <w:shd w:val="clear" w:color="auto" w:fill="CCEEFF"/>
          </w:tcPr>
          <w:p>
            <w:pPr>
              <w:jc w:val="center"/>
              <w:ind w:left="13"/>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8320" w:firstLine="8"/>
        <w:spacing w:after="0" w:line="359" w:lineRule="auto"/>
        <w:tabs>
          <w:tab w:leader="none" w:pos="150" w:val="left"/>
        </w:tabs>
        <w:numPr>
          <w:ilvl w:val="0"/>
          <w:numId w:val="18"/>
        </w:numPr>
        <w:rPr>
          <w:rFonts w:ascii="Arial" w:cs="Arial" w:eastAsia="Arial" w:hAnsi="Arial"/>
          <w:sz w:val="17"/>
          <w:szCs w:val="17"/>
          <w:color w:val="auto"/>
          <w:vertAlign w:val="superscript"/>
        </w:rPr>
      </w:pPr>
      <w:r>
        <w:rPr>
          <w:rFonts w:ascii="Arial" w:cs="Arial" w:eastAsia="Arial" w:hAnsi="Arial"/>
          <w:sz w:val="14"/>
          <w:szCs w:val="14"/>
          <w:color w:val="auto"/>
        </w:rPr>
        <w:t>U.S. revenue includes revenue in Puerto Rico. NM - not meaningful</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Revenues of Humalog, our injectable human insulin analog for the treatment of diabetes, decreased 14 percent in the U.S. for the first three months of 2016, driven by lower realized prices, partially offset by increased demand. The decrease in realized prices experienced during the first three months of 2016 was related to changes in estimates for rebates and discounts, resulting in the overall decrease in revenue. We do not expect this trend to continue throughout the year. Revenues outside the U.S. decreased 7 percent during the first three months of 2016, driven by the unfavorable impact of foreign exchange rates.</w:t>
      </w:r>
    </w:p>
    <w:p>
      <w:pPr>
        <w:spacing w:after="0" w:line="97"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Revenues of Cialis, a treatment for erectile dysfunction and benign prostatic hyperplasia, increased 31 percent in the U.S. for the first three months of 2016, driven primarily by higher realized prices. Revenues outside the U.S. decreased 13 percent during the first three months of 2016, driven by the unfavorable impact of foreign exchange rates and decreased volume.</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Revenues of Alimta, a treatment for various cancers, increased 4 percent in the U.S. during the first three months of 2016, driven primarily by wholesaler buying patterns. Revenues outside the U.S. decreased 6 percent during the first three months of 2016, driven by the unfavorable impact of foreign exchange rates and, to a lesser extent, lower realized prices, partially offset by increased volume. This increased volume benefited from increased clinical trial demand, which may not continue. We are also exposed to generic entry in multiple countries during 2016 that may erode revenues from current levels.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Revenues of Humulin, an injectable human insulin for the treatment of diabetes, increased 34 percent in the U.S. in the first three months of 2016, driven by higher realized prices and, to a lesser extent, increased demand. The increase in our realized prices resulted from a change in estimate of a government rebate. Revenues outside the U.S. decreased 15 percent in the first three months of 2016, driven by decreased volume, primarily due to the loss of a government contract in Brazil, and the unfavorable impact of foreign exchange rates.</w:t>
      </w:r>
    </w:p>
    <w:p>
      <w:pPr>
        <w:spacing w:after="0" w:line="9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Revenues of Forteo, an injectable treatment for osteoporosis in postmenopausal women and men at high risk for fracture and for glucocorticoid-induced osteoporosis in men and postmenopausal women, increased 21 percent in the U.S. in the first three months of 2016, driven by higher realized prices. Revenues outside the U.S. remained flat in the first three months of 2016, as lower realized prices and the unfavorable impact of foreign exchange rates were essentially offset by increased volume.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06" w:right="239" w:bottom="1440" w:gutter="0" w:footer="0" w:header="0"/>
        </w:sectPr>
      </w:pPr>
    </w:p>
    <w:bookmarkStart w:id="40" w:name="page41"/>
    <w:bookmarkEnd w:id="40"/>
    <w:p>
      <w:pPr>
        <w:ind w:right="140"/>
        <w:spacing w:after="0" w:line="253" w:lineRule="auto"/>
        <w:rPr>
          <w:sz w:val="20"/>
          <w:szCs w:val="20"/>
          <w:color w:val="auto"/>
        </w:rPr>
      </w:pPr>
      <w:r>
        <w:rPr>
          <w:rFonts w:ascii="Arial" w:cs="Arial" w:eastAsia="Arial" w:hAnsi="Arial"/>
          <w:sz w:val="18"/>
          <w:szCs w:val="18"/>
          <w:color w:val="auto"/>
        </w:rPr>
        <w:t>Revenues of Zyprexa, a treatment for schizophrenia, acute mixed or manic episodes associated with bipolar I disorder, and bipolar maintenance, decreased 9 percent outside the U.S. in the first three months of 2016, due to decreased volume, lower realized prices, and the unfavorable impact of foreign exchange rates. We lost patent exclusivity for Zyprexa in Japan in December 2015 and we anticipate generic competition in mid-2016. Zyprexa revenues in Japan were $93.6 million for the first three months of 2016, compared with $94.0 million for the first three months of 2015.</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Revenues of Cymbalta, a product for the treatment of major depressive disorder, diabetic peripheral neuropathic pain, generalized anxiety disorder, and for the treatment of chronic musculoskeletal pain and the management of fibromyalgia, decreased 25 percent outside the U.S. in the first three months of 2016, driven by the loss of exclusivity in Europe in 2014 and the unfavorable impact of foreign exchange rates.</w:t>
      </w:r>
    </w:p>
    <w:p>
      <w:pPr>
        <w:spacing w:after="0" w:line="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Revenues of Strattera, a treatment for attention-deficit hyperactivity disorder, increased 7 percent in the U.S. in the first three months of 2016, driven by higher realized prices and, to a lesser extent, increased demand. Revenues outside the U.S. increased 10 percent during the first three months of 2016, driven by increased volume, partially offset by the unfavorable impact of foreign exchange rates.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Revenues of Erbitux, a treatment for various cancers, increased 121 percent and 12 percent in the U.S. and outside the U.S., respectively, in the first three months of 2016, due to the transfer of commercialization rights in the U.S. and Canada (collectively, North America) which occurred on October 1, 2015. On a pro forma basis, which reflects the 2015 revenues of Erbitux as if the commercialization rights transferred to us on January 1, 2015 as described in Note 4 to the consolidated condensed financial statements, worldwide revenues of Erbitux would have decreased 6 percent in the first three months of 2016, driven by a labeling change in April 2015 which restricted the Erbitux eligible population.</w:t>
      </w:r>
    </w:p>
    <w:p>
      <w:pPr>
        <w:spacing w:after="0" w:line="9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Revenues of Trulicity, a treatment for type 2 diabetes, were $119.4 million in the U.S. driven by the acceleration in growth of the GLP-1 market and increased share of market for Trulicity. Revenues of Trulicity outside the U.S. were $24.2 million.</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Revenues of animal health products increased 10 percent in the U.S. in the first three months of 2016, due to increased revenues of both companion animal and food animal products. Revenues outside the U.S. decreased 8 percent in the first three months of 2016, primarily due to the unfavorable impact of foreign exchange rates.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06"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Gross margin as a percent of revenue decreased 1.5 percentage points to 72.8 percent for the first three months of 2016 compared with the first three months of 2015. The decline was primarily due to a lower benefit from foreign exchange rates on international inventories sold and, to a lesser extent, the transfer of Erbitux commercialization rights in North America, partially offset by 2015 inventory step-up costs related to the acquisition of Novartis AH.</w:t>
      </w:r>
    </w:p>
    <w:p>
      <w:pPr>
        <w:spacing w:after="0" w:line="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Research and development expenses increased 17 percent to $1.22 billion for the first three months of 2016 compared with the first three months of 2015. The increase was driven primarily by higher late-stage clinical development costs, including $55.0 million in milestone payments to Incyte Corporation for the regulatory submissions of baricitinib in the U.S. and Europe.</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Marketing, selling, and administrative expenses decreased 3 percent to $1.47 billion for the first three months of 2016 compared with the first three months of 2015. The decrease was due to the favorable impact of foreign exchange rates and lower litigation expenses, partially offset by expenses related to new products.</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There were no acquired IPR&amp;D charges recognized in the first three months of 2016, compared with charges of $256.0 million for the three months ended March 31, 2015. The charges for the first quarter of 2015 included a $200.0 million payment to Pfizer following an FDA decision allowing the resumption of Phase III clinical trials for tanezumab and a $56.0 million payment to Innovent associated with a collaboration to develop potential oncology therapies. See Notes 3 and 4 to the consolidated condensed financial statements for additional information.</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For the first three months of 2016 and 2015, we recognized asset impairment, restructuring, and other special charges of $131.4 million and $108.0 million, respectively. The 2016 charges were associated with asset impairments related to the closure of an animal health manufacturing facility in Ireland and integration costs related to the acquisition of Novartis AH. The 2015 charges primarily related to integration, severance costs, and intangible asset impairments due to product rationalization resulting from the acquisition of Novartis AH. See Note 5 to the consolidated condensed financial statements for additional information.</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Other–net, (income) expense was expense of $149.0 million for the first three months of 2016, compared with income of $92.7 million for the first three months of 2015. Other expense during the first three months of 2016 was driven by a $ 203.9 million charge related to the impact of the Venezuelan financial crisis, including the significant deterioration of the bolívar. Other income during the first three months of 2015 reflected a favorable legal judgment and net gains on investments. See Note 12 to the consolidated condensed financial statements for additional information.</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effective tax rate was 22.4 percent for the first three months of 2016, compared with 14.3 percent for the first three months of 2015. The effective tax rate for the first three months of 2016 reflects the tax effect of the non-deductible charge related to Venezuela, and certain asset impairment, restructuring, and other special charges, as well as an increased percentage of earnings in higher-tax jurisdictions, partially offset by a net discrete tax benefit of approximately $50 million and the benefit of certain U.S. tax provisions, including the research and development (R&amp;D) tax credit, reinstated for 2016. The effective tax rate for the first three months of 2015 reflects the tax impact of acquired IPR&amp;D charges and asset impairment, restructuring, and other special charges. The first quarter 2015 effective tax rate does not include the benefit of certain then-expired U.S. tax provisions, including the R&amp;D tax credit.</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76"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Financial Condition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and cash equivalents decreased to $2.31 billion as of March 31, 2016, compared with $3.67 billion as of December 31, 2015. Refer to the consolidated condensed statements of cash flows for additional details on the significant sources and uses of cash for the three months ended March 31, 2016 and 2015.</w:t>
      </w:r>
    </w:p>
    <w:p>
      <w:pPr>
        <w:spacing w:after="0" w:line="94" w:lineRule="exact"/>
        <w:rPr>
          <w:sz w:val="20"/>
          <w:szCs w:val="20"/>
          <w:color w:val="auto"/>
        </w:rPr>
      </w:pPr>
    </w:p>
    <w:p>
      <w:pPr>
        <w:ind w:right="110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$4.45 billion and $4.43 billion as of March 31, 2016 and December 31, 2015, respectively. See Note 6 to the consolidated condensed financial statements for additional details.</w:t>
      </w:r>
    </w:p>
    <w:p>
      <w:pPr>
        <w:spacing w:after="0" w:line="8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Total debt increased to $8.13 billion as of March 31, 2016, compared with $7.98 billion as of December 31, 2015. The increase was primarily due to an increase in the carrying amount of our euro denominated debt resulting from the strengthening of the euro compared to the U.S. dollar, as well as an increase in the fair value of our hedged debt. At March 31, 2016, we had approximately $1.2 billion available to us under our corporate credit facility, which is available to support our commercial paper program. We believe that amounts accessible through existing commercial paper markets should be adequate to fund short-term borrowings.</w:t>
      </w:r>
    </w:p>
    <w:p>
      <w:pPr>
        <w:spacing w:after="0" w:line="9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the three months ended March 31, 2016, we purchased $300.1 million of shares associated with our previously announced $5.00 billion share repurchase program.</w:t>
      </w:r>
    </w:p>
    <w:p>
      <w:pPr>
        <w:spacing w:after="0" w:line="8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 Various risks and uncertainties, including those discussed in "Forward-Looking Statements", may affect our operating results and cash generated from operations.</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See "Other Matters—Patent Matters" for information regarding recent and upcoming losses of patent protection for Cymbalta (Europe), Alimta (U.S., Europe, and Japan), Zyprexa (Japan), Strattera (U.S.), and Cialis (U.S. and Europe).</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"Other Matters—Foreign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76"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Financial Expectations for 2016</w:t>
      </w:r>
    </w:p>
    <w:p>
      <w:pPr>
        <w:spacing w:after="0" w:line="19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have revised certain elements of our 2016 financial guidance. Full-year 2016 EPS is now expected to be in the range of $ 2.68 to $2.78, reflecting a discrete tax benefit in the first quarter, as well as the impact of the first-quarter charge of $203.9 million due to the Venezuelan financial crisis, including the significant deterioration of the bolívar. We now expect 2016 revenue of between $20.6 billion and $21.1 billion, reflecting recent movement in foreign exchange rates. Excluding the impact of foreign exchange rates, we expect revenue growth from a number of established products including Humalog, Trajenta</w:t>
      </w:r>
      <w:r>
        <w:rPr>
          <w:rFonts w:ascii="Arial" w:cs="Arial" w:eastAsia="Arial" w:hAnsi="Arial"/>
          <w:sz w:val="21"/>
          <w:szCs w:val="21"/>
          <w:color w:val="auto"/>
          <w:vertAlign w:val="superscript"/>
        </w:rPr>
        <w:t>®</w:t>
      </w:r>
      <w:r>
        <w:rPr>
          <w:rFonts w:ascii="Arial" w:cs="Arial" w:eastAsia="Arial" w:hAnsi="Arial"/>
          <w:sz w:val="18"/>
          <w:szCs w:val="18"/>
          <w:color w:val="auto"/>
        </w:rPr>
        <w:t>, Cialis, Forteo, Strattera, Erbitux, and animal health products, as well as higher revenues from new products including Cyramza, Trulicity, Jardiance</w:t>
      </w:r>
      <w:r>
        <w:rPr>
          <w:rFonts w:ascii="Arial" w:cs="Arial" w:eastAsia="Arial" w:hAnsi="Arial"/>
          <w:sz w:val="21"/>
          <w:szCs w:val="21"/>
          <w:color w:val="auto"/>
          <w:vertAlign w:val="superscript"/>
        </w:rPr>
        <w:t>®</w:t>
      </w:r>
      <w:r>
        <w:rPr>
          <w:rFonts w:ascii="Arial" w:cs="Arial" w:eastAsia="Arial" w:hAnsi="Arial"/>
          <w:sz w:val="18"/>
          <w:szCs w:val="18"/>
          <w:color w:val="auto"/>
        </w:rPr>
        <w:t>, Portrazza, and Basaglar</w:t>
      </w:r>
      <w:r>
        <w:rPr>
          <w:rFonts w:ascii="Arial" w:cs="Arial" w:eastAsia="Arial" w:hAnsi="Arial"/>
          <w:sz w:val="21"/>
          <w:szCs w:val="21"/>
          <w:color w:val="auto"/>
          <w:vertAlign w:val="superscript"/>
        </w:rPr>
        <w:t>®</w:t>
      </w:r>
      <w:r>
        <w:rPr>
          <w:rFonts w:ascii="Arial" w:cs="Arial" w:eastAsia="Arial" w:hAnsi="Arial"/>
          <w:sz w:val="18"/>
          <w:szCs w:val="18"/>
          <w:color w:val="auto"/>
        </w:rPr>
        <w:t>. We expect this revenue growth to be partially offset by lower revenue from Alimta as a result of increased competitive pressures.</w:t>
      </w:r>
    </w:p>
    <w:p>
      <w:pPr>
        <w:spacing w:after="0" w:line="16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Gross margin as a percent of revenue is now expected to be approximately 73 percent, reflecting recent movement in foreign exchange rates. Research and development expenses are now expected to be in the range of $4.9 billion to $5.1 billion. Marketing, selling, and administrative expenses are now expected to be in the range of $ 6.1 billion to $ 6.3 billion. Other—net, (income) expense is now expected to be in a range between $125 million and $200 million of expense, reflecting the impact of the first-quarter charge related to Venezuela.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2016 tax rate is still expected to be approximately 21 percent.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still expected to be approximately $1.1 billion.</w:t>
      </w:r>
    </w:p>
    <w:p>
      <w:pPr>
        <w:spacing w:after="0" w:line="117"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Amortization associated with the transfer of Erbitux commercialization rights included in our 2016 financial guidance is subject to final acquisition accounting adjustments.</w:t>
      </w:r>
    </w:p>
    <w:p>
      <w:pPr>
        <w:spacing w:after="0" w:line="8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Various risks and uncertainties, including those discussed in "Forward-Looking Statements" may cause our actual results to differ materially from these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on our Website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right="60" w:hanging="652"/>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ind w:left="660" w:right="28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John C. Lechleiter, Ph.D., chairman, president, and chief executive officer, and Derica W. Rice, executive vice president, global services, and chief financial officer, evaluated our disclosure controls and procedures as of March 31, 2016, and concluded that they are effective.</w:t>
      </w:r>
    </w:p>
    <w:p>
      <w:pPr>
        <w:spacing w:after="0" w:line="75" w:lineRule="exact"/>
        <w:rPr>
          <w:rFonts w:ascii="Arial" w:cs="Arial" w:eastAsia="Arial" w:hAnsi="Arial"/>
          <w:sz w:val="18"/>
          <w:szCs w:val="18"/>
          <w:color w:val="auto"/>
        </w:rPr>
      </w:pPr>
    </w:p>
    <w:p>
      <w:pPr>
        <w:ind w:left="660" w:right="40" w:hanging="652"/>
        <w:spacing w:after="0" w:line="28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first quarter of 2016, there were no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76" w:right="259" w:bottom="1440" w:gutter="0" w:footer="0" w:header="0"/>
        </w:sectPr>
      </w:pPr>
    </w:p>
    <w:bookmarkStart w:id="44" w:name="page45"/>
    <w:bookmarkEnd w:id="44"/>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See "Notes to Consolidated Condensed Financial Statements—Note 10, Contingencies" for information on various legal proceedings, including but not limited to:</w:t>
      </w:r>
    </w:p>
    <w:p>
      <w:pPr>
        <w:spacing w:after="0" w:line="115"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28"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liability litigation involving Actos</w:t>
      </w:r>
      <w:r>
        <w:rPr>
          <w:rFonts w:ascii="Arial" w:cs="Arial" w:eastAsia="Arial" w:hAnsi="Arial"/>
          <w:sz w:val="21"/>
          <w:szCs w:val="21"/>
          <w:color w:val="auto"/>
          <w:vertAlign w:val="superscript"/>
        </w:rPr>
        <w:t>®</w:t>
      </w:r>
      <w:r>
        <w:rPr>
          <w:rFonts w:ascii="Arial" w:cs="Arial" w:eastAsia="Arial" w:hAnsi="Arial"/>
          <w:sz w:val="18"/>
          <w:szCs w:val="18"/>
          <w:color w:val="auto"/>
        </w:rPr>
        <w:t>, Byetta</w:t>
      </w:r>
      <w:r>
        <w:rPr>
          <w:rFonts w:ascii="Arial" w:cs="Arial" w:eastAsia="Arial" w:hAnsi="Arial"/>
          <w:sz w:val="21"/>
          <w:szCs w:val="21"/>
          <w:color w:val="auto"/>
          <w:vertAlign w:val="superscript"/>
        </w:rPr>
        <w:t>®</w:t>
      </w:r>
      <w:r>
        <w:rPr>
          <w:rFonts w:ascii="Arial" w:cs="Arial" w:eastAsia="Arial" w:hAnsi="Arial"/>
          <w:sz w:val="18"/>
          <w:szCs w:val="18"/>
          <w:color w:val="auto"/>
        </w:rPr>
        <w:t>, Cymbalta, and Prozac</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2015 (Part I, Item 3).</w:t>
      </w:r>
    </w:p>
    <w:p>
      <w:pPr>
        <w:spacing w:after="0" w:line="8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engaged in U.S. patent litigation involving Forteo brought pursuant to procedures set out in the Drug Price Competition and Patent Term Restoration Act of 1984. Teva Pharmaceuticals USA, Inc. has filed an Abbreviated New Drug Application with the FDA seeking approval to market generic versions of Forteo and has filed a notice alleging that a number of our patents covering various formulations and methods of use for Forteo are invalid and/or not infringed. In March 2016, we filed a patent infringement suit against Teva Pharmaceuticals USA, Inc. and Teva Pharmaceutical Industries Ltd. asserting six different patents with expiration dates ranging from December 2018 to August 2019 in the U.S. District Court in the Southern District of Indiana.</w:t>
      </w:r>
    </w:p>
    <w:p>
      <w:pPr>
        <w:spacing w:after="0" w:line="1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2015. There have been no material changes from the risk factors previously disclosed in our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March 31,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 Number of Shares</w:t>
            </w:r>
          </w:p>
        </w:tc>
        <w:tc>
          <w:tcPr>
            <w:tcW w:w="2180" w:type="dxa"/>
            <w:vAlign w:val="bottom"/>
          </w:tcPr>
          <w:p>
            <w:pPr>
              <w:jc w:val="center"/>
              <w:ind w:right="20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Purchased as Part of</w:t>
            </w: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4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 Number of</w:t>
            </w:r>
          </w:p>
        </w:tc>
        <w:tc>
          <w:tcPr>
            <w:tcW w:w="17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Publicly Announced</w:t>
            </w:r>
          </w:p>
        </w:tc>
        <w:tc>
          <w:tcPr>
            <w:tcW w:w="218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4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Shares Purchased</w:t>
            </w: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Plans or Programs</w:t>
            </w: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2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7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2016</w:t>
            </w:r>
          </w:p>
        </w:tc>
        <w:tc>
          <w:tcPr>
            <w:tcW w:w="21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   $</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   $</w:t>
            </w: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2,950.5</w:t>
            </w: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February 2016</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3,532.4</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74.43</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3,532.4</w:t>
            </w:r>
          </w:p>
        </w:tc>
        <w:tc>
          <w:tcPr>
            <w:tcW w:w="340" w:type="dxa"/>
            <w:vAlign w:val="bottom"/>
          </w:tcPr>
          <w:p>
            <w:pPr>
              <w:spacing w:after="0"/>
              <w:rPr>
                <w:sz w:val="22"/>
                <w:szCs w:val="22"/>
                <w:color w:val="auto"/>
              </w:rPr>
            </w:pP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2,687.5</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2016</w:t>
            </w:r>
          </w:p>
        </w:tc>
        <w:tc>
          <w:tcPr>
            <w:tcW w:w="1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74.10</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2,650.4</w:t>
            </w:r>
          </w:p>
        </w:tc>
      </w:tr>
      <w:tr>
        <w:trPr>
          <w:trHeight w:val="264"/>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4,032.4</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74.39</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4,032.4</w:t>
            </w:r>
          </w:p>
        </w:tc>
        <w:tc>
          <w:tcPr>
            <w:tcW w:w="340" w:type="dxa"/>
            <w:vAlign w:val="bottom"/>
          </w:tcPr>
          <w:p>
            <w:pPr>
              <w:spacing w:after="0"/>
              <w:rPr>
                <w:sz w:val="22"/>
                <w:szCs w:val="22"/>
                <w:color w:val="auto"/>
              </w:rPr>
            </w:pPr>
          </w:p>
        </w:tc>
        <w:tc>
          <w:tcPr>
            <w:tcW w:w="2180" w:type="dxa"/>
            <w:vAlign w:val="bottom"/>
          </w:tcPr>
          <w:p>
            <w:pPr>
              <w:spacing w:after="0"/>
              <w:rPr>
                <w:sz w:val="22"/>
                <w:szCs w:val="22"/>
                <w:color w:val="auto"/>
              </w:rPr>
            </w:pPr>
          </w:p>
        </w:tc>
      </w:tr>
    </w:tbl>
    <w:p>
      <w:pPr>
        <w:spacing w:after="0" w:line="10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October 2013, we announced a $5.00 billion share repurchase program. During the three months ended March 31, 2016, we repurchased $300.1 million of shares under the program.</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9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171"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8"/>
          <w:szCs w:val="18"/>
          <w:color w:val="auto"/>
        </w:rPr>
        <w:t>Amended Articles of Incorporation</w:t>
      </w:r>
    </w:p>
    <w:p>
      <w:pPr>
        <w:spacing w:after="0" w:line="360"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By-laws, as amended</w:t>
      </w:r>
    </w:p>
    <w:p>
      <w:pPr>
        <w:spacing w:after="0" w:line="360"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12.</w:t>
      </w:r>
      <w:r>
        <w:rPr>
          <w:sz w:val="20"/>
          <w:szCs w:val="20"/>
          <w:color w:val="auto"/>
        </w:rPr>
        <w:tab/>
      </w:r>
      <w:r>
        <w:rPr>
          <w:rFonts w:ascii="Arial" w:cs="Arial" w:eastAsia="Arial" w:hAnsi="Arial"/>
          <w:sz w:val="18"/>
          <w:szCs w:val="18"/>
          <w:color w:val="auto"/>
        </w:rPr>
        <w:t>Statement re: Computation of Ratio of Earnings to Fixed Charges</w:t>
      </w:r>
    </w:p>
    <w:p>
      <w:pPr>
        <w:spacing w:after="0" w:line="374"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7"/>
          <w:szCs w:val="17"/>
          <w:color w:val="auto"/>
        </w:rPr>
        <w:t>Rule 13a-14(a) Certification of John C. Lechleiter, Ph.D., Chairman, President, and Chief Executive Officer</w:t>
      </w:r>
    </w:p>
    <w:p>
      <w:pPr>
        <w:spacing w:after="0" w:line="369"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7"/>
          <w:szCs w:val="17"/>
          <w:color w:val="auto"/>
        </w:rPr>
        <w:t>Rule 13a-14(a) Certification of Derica W. Rice, Executive Vice President, Global Services and Chief Financial</w:t>
      </w:r>
    </w:p>
    <w:p>
      <w:pPr>
        <w:ind w:left="2660"/>
        <w:spacing w:after="0"/>
        <w:rPr>
          <w:sz w:val="20"/>
          <w:szCs w:val="20"/>
          <w:color w:val="auto"/>
        </w:rPr>
      </w:pPr>
      <w:r>
        <w:rPr>
          <w:rFonts w:ascii="Arial" w:cs="Arial" w:eastAsia="Arial" w:hAnsi="Arial"/>
          <w:sz w:val="18"/>
          <w:szCs w:val="18"/>
          <w:color w:val="auto"/>
        </w:rPr>
        <w:t>Officer</w:t>
      </w:r>
    </w:p>
    <w:p>
      <w:pPr>
        <w:spacing w:after="0" w:line="374"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8"/>
          <w:szCs w:val="18"/>
          <w:color w:val="auto"/>
        </w:rPr>
        <w:t>Section 1350 Certification</w:t>
      </w:r>
    </w:p>
    <w:p>
      <w:pPr>
        <w:spacing w:after="0" w:line="374"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7"/>
          <w:szCs w:val="17"/>
          <w:color w:val="auto"/>
        </w:rPr>
        <w:t>Interactive Data File</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576" w:right="31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60"/>
        <w:spacing w:after="0" w:line="44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1"/>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April 29, 2016</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/s/James B. Lootens</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James B. Lootens</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April 29, 2016</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576" w:right="239" w:bottom="1440" w:gutter="0" w:footer="0" w:header="0"/>
        </w:sectPr>
      </w:pPr>
    </w:p>
    <w:bookmarkStart w:id="47" w:name="page48"/>
    <w:bookmarkEnd w:id="47"/>
    <w:p>
      <w:pPr>
        <w:spacing w:after="0" w:line="211" w:lineRule="auto"/>
        <w:framePr w:w="8780" w:h="366" w:wrap="auto" w:vAnchor="page" w:hAnchor="page" w:x="2860" w:y="2408"/>
        <w:rPr>
          <w:rFonts w:ascii="Arial" w:cs="Arial" w:eastAsia="Arial" w:hAnsi="Arial"/>
          <w:sz w:val="18"/>
          <w:szCs w:val="18"/>
          <w:color w:val="auto"/>
        </w:rPr>
      </w:pPr>
      <w:r>
        <w:rPr>
          <w:rFonts w:ascii="Arial" w:cs="Arial" w:eastAsia="Arial" w:hAnsi="Arial"/>
          <w:sz w:val="18"/>
          <w:szCs w:val="18"/>
          <w:color w:val="auto"/>
        </w:rPr>
        <w:t>By-laws, as amended, are incorporated by reference to Exhibit 99 to the Company's Report on Form 8-K filed February 27, 2012.</w:t>
      </w:r>
    </w:p>
    <w:p>
      <w:pPr>
        <w:spacing w:after="0" w:line="188" w:lineRule="auto"/>
        <w:framePr w:w="5300" w:h="163" w:wrap="auto" w:vAnchor="page" w:hAnchor="page" w:x="2860" w:y="3191"/>
        <w:rPr>
          <w:rFonts w:ascii="Arial" w:cs="Arial" w:eastAsia="Arial" w:hAnsi="Arial"/>
          <w:sz w:val="18"/>
          <w:szCs w:val="18"/>
          <w:color w:val="auto"/>
        </w:rPr>
      </w:pPr>
      <w:r>
        <w:rPr>
          <w:rFonts w:ascii="Arial" w:cs="Arial" w:eastAsia="Arial" w:hAnsi="Arial"/>
          <w:sz w:val="18"/>
          <w:szCs w:val="18"/>
          <w:color w:val="auto"/>
        </w:rPr>
        <w:t>Statement re: Computation of Ratio of Earnings to Fixed Charges</w:t>
      </w:r>
    </w:p>
    <w:p>
      <w:pPr>
        <w:spacing w:after="0" w:line="200" w:lineRule="auto"/>
        <w:framePr w:w="8540" w:h="163" w:wrap="auto" w:vAnchor="page" w:hAnchor="page" w:x="2860" w:y="3772"/>
        <w:rPr>
          <w:rFonts w:ascii="Arial" w:cs="Arial" w:eastAsia="Arial" w:hAnsi="Arial"/>
          <w:sz w:val="17"/>
          <w:szCs w:val="17"/>
          <w:color w:val="auto"/>
        </w:rPr>
      </w:pPr>
      <w:r>
        <w:rPr>
          <w:rFonts w:ascii="Arial" w:cs="Arial" w:eastAsia="Arial" w:hAnsi="Arial"/>
          <w:sz w:val="17"/>
          <w:szCs w:val="17"/>
          <w:color w:val="auto"/>
        </w:rPr>
        <w:t>Rule 13a-14(a) Certification of John C. Lechleiter, Ph.D., Chairman, President, and Chief Executive Officer</w:t>
      </w:r>
    </w:p>
    <w:p>
      <w:pPr>
        <w:spacing w:after="0" w:line="211" w:lineRule="auto"/>
        <w:framePr w:w="8760" w:h="366" w:wrap="auto" w:vAnchor="page" w:hAnchor="page" w:x="2860" w:y="4353"/>
        <w:rPr>
          <w:rFonts w:ascii="Arial" w:cs="Arial" w:eastAsia="Arial" w:hAnsi="Arial"/>
          <w:sz w:val="18"/>
          <w:szCs w:val="18"/>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188" w:lineRule="auto"/>
        <w:framePr w:w="2140" w:h="163" w:wrap="auto" w:vAnchor="page" w:hAnchor="page" w:x="2860" w:y="5136"/>
        <w:rPr>
          <w:rFonts w:ascii="Arial" w:cs="Arial" w:eastAsia="Arial" w:hAnsi="Arial"/>
          <w:sz w:val="18"/>
          <w:szCs w:val="18"/>
          <w:color w:val="auto"/>
        </w:rPr>
      </w:pPr>
      <w:r>
        <w:rPr>
          <w:rFonts w:ascii="Arial" w:cs="Arial" w:eastAsia="Arial" w:hAnsi="Arial"/>
          <w:sz w:val="18"/>
          <w:szCs w:val="18"/>
          <w:color w:val="auto"/>
        </w:rPr>
        <w:t>Section 1350 Certification</w:t>
      </w:r>
    </w:p>
    <w:p>
      <w:pPr>
        <w:spacing w:after="0" w:line="200" w:lineRule="auto"/>
        <w:framePr w:w="1680" w:h="163" w:wrap="auto" w:vAnchor="page" w:hAnchor="page" w:x="2860" w:y="5717"/>
        <w:rPr>
          <w:rFonts w:ascii="Arial" w:cs="Arial" w:eastAsia="Arial" w:hAnsi="Arial"/>
          <w:sz w:val="17"/>
          <w:szCs w:val="17"/>
          <w:color w:val="auto"/>
        </w:rPr>
      </w:pPr>
      <w:r>
        <w:rPr>
          <w:rFonts w:ascii="Arial" w:cs="Arial" w:eastAsia="Arial" w:hAnsi="Arial"/>
          <w:sz w:val="17"/>
          <w:szCs w:val="17"/>
          <w:color w:val="auto"/>
        </w:rPr>
        <w:t>Interactive Data File</w:t>
      </w:r>
    </w:p>
    <w:p>
      <w:pPr>
        <w:spacing w:after="0" w:line="200" w:lineRule="auto"/>
        <w:framePr w:w="280" w:h="163" w:wrap="auto" w:vAnchor="page" w:hAnchor="page" w:x="5820" w:y="6190"/>
        <w:rPr>
          <w:rFonts w:ascii="Arial" w:cs="Arial" w:eastAsia="Arial" w:hAnsi="Arial"/>
          <w:sz w:val="17"/>
          <w:szCs w:val="17"/>
          <w:color w:val="auto"/>
        </w:rPr>
      </w:pPr>
      <w:r>
        <w:rPr>
          <w:rFonts w:ascii="Arial" w:cs="Arial" w:eastAsia="Arial" w:hAnsi="Arial"/>
          <w:sz w:val="17"/>
          <w:szCs w:val="17"/>
          <w:color w:val="auto"/>
        </w:rPr>
        <w:t>48</w:t>
      </w:r>
    </w:p>
    <w:p>
      <w:pPr>
        <w:spacing w:after="0" w:line="211" w:lineRule="auto"/>
        <w:framePr w:w="8580" w:h="366" w:wrap="auto" w:vAnchor="page" w:hAnchor="page" w:x="2860" w:y="1625"/>
        <w:rPr>
          <w:rFonts w:ascii="Arial" w:cs="Arial" w:eastAsia="Arial" w:hAnsi="Arial"/>
          <w:sz w:val="18"/>
          <w:szCs w:val="18"/>
          <w:color w:val="auto"/>
        </w:rPr>
      </w:pPr>
      <w:r>
        <w:rPr>
          <w:rFonts w:ascii="Arial" w:cs="Arial" w:eastAsia="Arial" w:hAnsi="Arial"/>
          <w:sz w:val="18"/>
          <w:szCs w:val="18"/>
          <w:color w:val="auto"/>
        </w:rPr>
        <w:t>Amended Articles of Incorporation are incorporated by reference to Exhibit 3.1 to the Company's Report on Form 10-K for the year ended December 31, 2013.</w:t>
      </w:r>
    </w:p>
    <w:p>
      <w:pPr>
        <w:spacing w:after="0"/>
        <w:rPr>
          <w:sz w:val="20"/>
          <w:szCs w:val="20"/>
          <w:color w:val="auto"/>
        </w:rPr>
      </w:pPr>
      <w:r>
        <w:rPr>
          <w:rFonts w:ascii="Arial" w:cs="Arial" w:eastAsia="Arial" w:hAnsi="Arial"/>
          <w:sz w:val="18"/>
          <w:szCs w:val="18"/>
          <w:b w:val="1"/>
          <w:bCs w:val="1"/>
          <w:color w:val="auto"/>
        </w:rPr>
        <w:t>Index to Exhibits</w:t>
      </w:r>
    </w:p>
    <w:p>
      <w:pPr>
        <w:spacing w:after="0" w:line="19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3.2</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12.</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31.1</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31.2</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32.</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101.</w:t>
      </w:r>
    </w:p>
    <w:p>
      <w:pPr>
        <w:sectPr>
          <w:pgSz w:w="11900" w:h="16838" w:orient="portrait"/>
          <w:cols w:equalWidth="0" w:num="1">
            <w:col w:w="10219"/>
          </w:cols>
          <w:pgMar w:left="240" w:top="576" w:right="1440" w:bottom="1440" w:gutter="0" w:footer="0" w:header="0"/>
        </w:sectPr>
      </w:pPr>
    </w:p>
    <w:bookmarkStart w:id="48" w:name="page49"/>
    <w:bookmarkEnd w:id="48"/>
    <w:p>
      <w:pPr>
        <w:jc w:val="center"/>
        <w:ind w:left="260" w:right="2540"/>
        <w:spacing w:after="0" w:line="428" w:lineRule="auto"/>
        <w:rPr>
          <w:sz w:val="20"/>
          <w:szCs w:val="20"/>
          <w:color w:val="auto"/>
        </w:rPr>
      </w:pPr>
      <w:r>
        <w:rPr>
          <w:rFonts w:ascii="Arial" w:cs="Arial" w:eastAsia="Arial" w:hAnsi="Arial"/>
          <w:sz w:val="18"/>
          <w:szCs w:val="18"/>
          <w:color w:val="auto"/>
        </w:rPr>
        <w:t>EXHIBIT 12. Statement Re: Computation of Ratio of Earnings to Fixed Charges ELI LILLY AND COMPANY AND SUBSIDIARIES (Dollars in millions)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64"/>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pretax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566.8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2,790.0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3,000.3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5,889.3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5,408.2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5,349.5</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56.8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216.0</w:t>
            </w:r>
          </w:p>
        </w:tc>
        <w:tc>
          <w:tcPr>
            <w:tcW w:w="34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187.1</w:t>
            </w:r>
          </w:p>
        </w:tc>
        <w:tc>
          <w:tcPr>
            <w:tcW w:w="34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184.2</w:t>
            </w:r>
          </w:p>
        </w:tc>
        <w:tc>
          <w:tcPr>
            <w:tcW w:w="38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198.8</w:t>
            </w:r>
          </w:p>
        </w:tc>
        <w:tc>
          <w:tcPr>
            <w:tcW w:w="3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211.7</w:t>
            </w:r>
          </w:p>
        </w:tc>
      </w:tr>
      <w:tr>
        <w:trPr>
          <w:trHeight w:val="264"/>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(38.3)</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w:t>
            </w: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7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610.2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2,951.2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3,149.1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6,049.4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5,586.0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5,535.5</w:t>
            </w: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56.8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216.0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187.1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184.2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198.8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211.7</w:t>
            </w:r>
          </w:p>
        </w:tc>
      </w:tr>
      <w:tr>
        <w:trPr>
          <w:trHeight w:val="277"/>
        </w:trPr>
        <w:tc>
          <w:tcPr>
            <w:tcW w:w="40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16.8</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32.8</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28.1</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w:t>
            </w:r>
          </w:p>
        </w:tc>
      </w:tr>
    </w:tbl>
    <w:p>
      <w:pPr>
        <w:spacing w:after="0" w:line="161" w:lineRule="exact"/>
        <w:rPr>
          <w:sz w:val="20"/>
          <w:szCs w:val="20"/>
          <w:color w:val="auto"/>
        </w:rPr>
      </w:pPr>
    </w:p>
    <w:p>
      <w:pPr>
        <w:ind w:left="500" w:right="180" w:hanging="465"/>
        <w:spacing w:after="0" w:line="218"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condensed statements of operations and does not include any interest related to unrecognized tax benefits, which is included in income tax expense.</w:t>
      </w:r>
    </w:p>
    <w:p>
      <w:pPr>
        <w:sectPr>
          <w:pgSz w:w="11900" w:h="16838" w:orient="portrait"/>
          <w:cols w:equalWidth="0" w:num="1">
            <w:col w:w="11420"/>
          </w:cols>
          <w:pgMar w:left="240" w:top="59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EXHIBIT 31.1 Rule 13a-14(a) Certification of John C. Lechleiter, Chairman, President, and Chief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John C. Lechleiter,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April 29, 2016</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4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April 29, 2016</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Derica W. Rice</w:t>
      </w:r>
    </w:p>
    <w:p>
      <w:pPr>
        <w:spacing w:after="0" w:line="4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Executive Vice President, Global Services,</w:t>
      </w:r>
    </w:p>
    <w:p>
      <w:pPr>
        <w:ind w:left="12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841"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Quarterly Report on Form 10-Q for the quarter ended March 31, 2016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April 29, 2016</w:t>
      </w:r>
      <w:r>
        <w:rPr>
          <w:sz w:val="20"/>
          <w:szCs w:val="20"/>
          <w:color w:val="auto"/>
        </w:rPr>
        <w:tab/>
      </w:r>
      <w:r>
        <w:rPr>
          <w:rFonts w:ascii="Arial" w:cs="Arial" w:eastAsia="Arial" w:hAnsi="Arial"/>
          <w:sz w:val="17"/>
          <w:szCs w:val="17"/>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5680" w:type="dxa"/>
            <w:vAlign w:val="bottom"/>
          </w:tcPr>
          <w:p>
            <w:pPr>
              <w:spacing w:after="0"/>
              <w:rPr>
                <w:sz w:val="20"/>
                <w:szCs w:val="20"/>
                <w:color w:val="auto"/>
              </w:rPr>
            </w:pPr>
            <w:r>
              <w:rPr>
                <w:rFonts w:ascii="Arial" w:cs="Arial" w:eastAsia="Arial" w:hAnsi="Arial"/>
                <w:sz w:val="18"/>
                <w:szCs w:val="18"/>
                <w:color w:val="auto"/>
              </w:rPr>
              <w:t>Date:   April 29, 2016</w:t>
            </w:r>
          </w:p>
        </w:tc>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/s/Derica W. Rice</w:t>
            </w:r>
          </w:p>
        </w:tc>
      </w:tr>
      <w:tr>
        <w:trPr>
          <w:trHeight w:val="243"/>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Derica W. Rice</w:t>
            </w:r>
          </w:p>
        </w:tc>
      </w:tr>
      <w:tr>
        <w:trPr>
          <w:trHeight w:val="242"/>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Executive Vice President, Global Services, and Chief   Financial</w:t>
            </w:r>
          </w:p>
        </w:tc>
      </w:tr>
      <w:tr>
        <w:trPr>
          <w:trHeight w:val="217"/>
        </w:trPr>
        <w:tc>
          <w:tcPr>
            <w:tcW w:w="56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2019-12-29T12:22:53Z</dcterms:created>
  <dcterms:modified xsi:type="dcterms:W3CDTF">2019-12-29T12:22:53Z</dcterms:modified>
</cp:coreProperties>
</file>