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599440</wp:posOffset>
            </wp:positionH>
            <wp:positionV relativeFrom="page">
              <wp:posOffset>679450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638810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Quarterly Report Pursuant to Section 13 or 15(d) of the</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Exchange Act of 1934</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001-6351</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ELI LILLY AND COMPANY</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1151" w:right="339" w:bottom="1440" w:gutter="0" w:footer="0" w:header="0"/>
        </w:sectPr>
      </w:pPr>
    </w:p>
    <w:p>
      <w:pPr>
        <w:spacing w:after="0" w:line="134"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color w:val="auto"/>
        </w:rPr>
        <w:t>35-0470950</w:t>
      </w:r>
    </w:p>
    <w:p>
      <w:pPr>
        <w:spacing w:after="0" w:line="44" w:lineRule="exact"/>
        <w:rPr>
          <w:sz w:val="24"/>
          <w:szCs w:val="24"/>
          <w:color w:val="auto"/>
        </w:rPr>
      </w:pPr>
    </w:p>
    <w:p>
      <w:pPr>
        <w:sectPr>
          <w:pgSz w:w="11900" w:h="16838" w:orient="portrait"/>
          <w:cols w:equalWidth="0" w:num="2">
            <w:col w:w="7480" w:space="720"/>
            <w:col w:w="3040"/>
          </w:cols>
          <w:pgMar w:left="320" w:top="1151" w:right="339" w:bottom="1440" w:gutter="0" w:footer="0" w:header="0"/>
          <w:type w:val="continuous"/>
        </w:sectPr>
      </w:pPr>
    </w:p>
    <w:p>
      <w:pPr>
        <w:ind w:left="190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44" w:lineRule="exact"/>
        <w:rPr>
          <w:sz w:val="24"/>
          <w:szCs w:val="24"/>
          <w:color w:val="auto"/>
        </w:rPr>
      </w:pPr>
    </w:p>
    <w:p>
      <w:pPr>
        <w:sectPr>
          <w:pgSz w:w="11900" w:h="16838" w:orient="portrait"/>
          <w:cols w:equalWidth="0" w:num="2">
            <w:col w:w="7340" w:space="720"/>
            <w:col w:w="3180"/>
          </w:cols>
          <w:pgMar w:left="320" w:top="1151" w:right="339" w:bottom="1440" w:gutter="0" w:footer="0" w:header="0"/>
          <w:type w:val="continuous"/>
        </w:sectPr>
      </w:pPr>
    </w:p>
    <w:p>
      <w:pPr>
        <w:ind w:left="18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186" w:lineRule="exact"/>
        <w:rPr>
          <w:sz w:val="24"/>
          <w:szCs w:val="24"/>
          <w:color w:val="auto"/>
        </w:rPr>
      </w:pPr>
    </w:p>
    <w:p>
      <w:pPr>
        <w:sectPr>
          <w:pgSz w:w="11900" w:h="16838" w:orient="portrait"/>
          <w:cols w:equalWidth="0" w:num="2">
            <w:col w:w="7320" w:space="720"/>
            <w:col w:w="3200"/>
          </w:cols>
          <w:pgMar w:left="320" w:top="1151" w:right="339" w:bottom="1440" w:gutter="0" w:footer="0" w:header="0"/>
          <w:type w:val="continuous"/>
        </w:sectPr>
      </w:pPr>
    </w:p>
    <w:p>
      <w:pPr>
        <w:ind w:left="4080"/>
        <w:spacing w:after="0"/>
        <w:rPr>
          <w:sz w:val="20"/>
          <w:szCs w:val="20"/>
          <w:color w:val="auto"/>
        </w:rPr>
      </w:pPr>
      <w:r>
        <w:rPr>
          <w:rFonts w:ascii="Arial" w:cs="Arial" w:eastAsia="Arial" w:hAnsi="Arial"/>
          <w:sz w:val="14"/>
          <w:szCs w:val="14"/>
          <w:color w:val="auto"/>
        </w:rPr>
        <w:t>Lilly Corporate Center, Indianapolis, Indiana 46285</w:t>
      </w:r>
    </w:p>
    <w:p>
      <w:pPr>
        <w:spacing w:after="0" w:line="6"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(Address and zip code of principal executive offices)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 (317) 276-2000</w:t>
      </w:r>
    </w:p>
    <w:p>
      <w:pPr>
        <w:sectPr>
          <w:pgSz w:w="11900" w:h="16838" w:orient="portrait"/>
          <w:cols w:equalWidth="0" w:num="1">
            <w:col w:w="11240"/>
          </w:cols>
          <w:pgMar w:left="320" w:top="1151" w:right="339" w:bottom="1440" w:gutter="0" w:footer="0" w:header="0"/>
          <w:type w:val="continuous"/>
        </w:sectPr>
      </w:pP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1080" w:type="dxa"/>
            <w:vAlign w:val="bottom"/>
          </w:tcPr>
          <w:p>
            <w:pPr>
              <w:spacing w:after="0"/>
              <w:rPr>
                <w:sz w:val="20"/>
                <w:szCs w:val="20"/>
                <w:color w:val="auto"/>
              </w:rPr>
            </w:pPr>
            <w:r>
              <w:rPr>
                <w:rFonts w:ascii="Arial" w:cs="Arial" w:eastAsia="Arial" w:hAnsi="Arial"/>
                <w:sz w:val="12"/>
                <w:szCs w:val="12"/>
                <w:b w:val="1"/>
                <w:bCs w:val="1"/>
                <w:color w:val="auto"/>
                <w:w w:val="99"/>
              </w:rPr>
              <w:t>Title of Each Class</w:t>
            </w:r>
          </w:p>
        </w:tc>
        <w:tc>
          <w:tcPr>
            <w:tcW w:w="2640" w:type="dxa"/>
            <w:vAlign w:val="bottom"/>
          </w:tcPr>
          <w:p>
            <w:pPr>
              <w:spacing w:after="0"/>
              <w:rPr>
                <w:sz w:val="12"/>
                <w:szCs w:val="12"/>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w w:val="98"/>
              </w:rPr>
              <w:t>Trading Symbols</w:t>
            </w:r>
          </w:p>
        </w:tc>
        <w:tc>
          <w:tcPr>
            <w:tcW w:w="4720" w:type="dxa"/>
            <w:vAlign w:val="bottom"/>
            <w:gridSpan w:val="2"/>
          </w:tcPr>
          <w:p>
            <w:pPr>
              <w:ind w:left="2060"/>
              <w:spacing w:after="0"/>
              <w:rPr>
                <w:sz w:val="20"/>
                <w:szCs w:val="20"/>
                <w:color w:val="auto"/>
              </w:rPr>
            </w:pPr>
            <w:r>
              <w:rPr>
                <w:rFonts w:ascii="Arial" w:cs="Arial" w:eastAsia="Arial" w:hAnsi="Arial"/>
                <w:sz w:val="12"/>
                <w:szCs w:val="12"/>
                <w:b w:val="1"/>
                <w:bCs w:val="1"/>
                <w:color w:val="auto"/>
                <w:w w:val="99"/>
              </w:rPr>
              <w:t>Name of Each Exchange On Which Registered</w:t>
            </w:r>
          </w:p>
        </w:tc>
      </w:tr>
      <w:tr>
        <w:trPr>
          <w:trHeight w:val="20"/>
        </w:trPr>
        <w:tc>
          <w:tcPr>
            <w:tcW w:w="10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173"/>
        </w:trPr>
        <w:tc>
          <w:tcPr>
            <w:tcW w:w="3720" w:type="dxa"/>
            <w:vAlign w:val="bottom"/>
            <w:gridSpan w:val="2"/>
          </w:tcPr>
          <w:p>
            <w:pPr>
              <w:spacing w:after="0"/>
              <w:rPr>
                <w:sz w:val="20"/>
                <w:szCs w:val="20"/>
                <w:color w:val="auto"/>
              </w:rPr>
            </w:pPr>
            <w:r>
              <w:rPr>
                <w:rFonts w:ascii="Arial" w:cs="Arial" w:eastAsia="Arial" w:hAnsi="Arial"/>
                <w:sz w:val="12"/>
                <w:szCs w:val="12"/>
                <w:color w:val="auto"/>
              </w:rPr>
              <w:t>Common Stock (no par value)</w:t>
            </w:r>
          </w:p>
        </w:tc>
        <w:tc>
          <w:tcPr>
            <w:tcW w:w="980" w:type="dxa"/>
            <w:vAlign w:val="bottom"/>
          </w:tcPr>
          <w:p>
            <w:pPr>
              <w:spacing w:after="0"/>
              <w:rPr>
                <w:sz w:val="20"/>
                <w:szCs w:val="20"/>
                <w:color w:val="auto"/>
              </w:rPr>
            </w:pPr>
            <w:r>
              <w:rPr>
                <w:rFonts w:ascii="Arial" w:cs="Arial" w:eastAsia="Arial" w:hAnsi="Arial"/>
                <w:sz w:val="12"/>
                <w:szCs w:val="12"/>
                <w:color w:val="auto"/>
              </w:rPr>
              <w:t>LLY</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7 1/8% Notes due 2025</w:t>
            </w:r>
          </w:p>
        </w:tc>
        <w:tc>
          <w:tcPr>
            <w:tcW w:w="980" w:type="dxa"/>
            <w:vAlign w:val="bottom"/>
          </w:tcPr>
          <w:p>
            <w:pPr>
              <w:spacing w:after="0"/>
              <w:rPr>
                <w:sz w:val="20"/>
                <w:szCs w:val="20"/>
                <w:color w:val="auto"/>
              </w:rPr>
            </w:pPr>
            <w:r>
              <w:rPr>
                <w:rFonts w:ascii="Arial" w:cs="Arial" w:eastAsia="Arial" w:hAnsi="Arial"/>
                <w:sz w:val="12"/>
                <w:szCs w:val="12"/>
                <w:color w:val="auto"/>
              </w:rPr>
              <w:t>LLY25</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1.625% Notes due 2026</w:t>
            </w:r>
          </w:p>
        </w:tc>
        <w:tc>
          <w:tcPr>
            <w:tcW w:w="980" w:type="dxa"/>
            <w:vAlign w:val="bottom"/>
          </w:tcPr>
          <w:p>
            <w:pPr>
              <w:spacing w:after="0"/>
              <w:rPr>
                <w:sz w:val="20"/>
                <w:szCs w:val="20"/>
                <w:color w:val="auto"/>
              </w:rPr>
            </w:pPr>
            <w:r>
              <w:rPr>
                <w:rFonts w:ascii="Arial" w:cs="Arial" w:eastAsia="Arial" w:hAnsi="Arial"/>
                <w:sz w:val="12"/>
                <w:szCs w:val="12"/>
                <w:color w:val="auto"/>
              </w:rPr>
              <w:t>LLY26</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2.125% Notes due 2030</w:t>
            </w:r>
          </w:p>
        </w:tc>
        <w:tc>
          <w:tcPr>
            <w:tcW w:w="980" w:type="dxa"/>
            <w:vAlign w:val="bottom"/>
          </w:tcPr>
          <w:p>
            <w:pPr>
              <w:spacing w:after="0"/>
              <w:rPr>
                <w:sz w:val="20"/>
                <w:szCs w:val="20"/>
                <w:color w:val="auto"/>
              </w:rPr>
            </w:pPr>
            <w:r>
              <w:rPr>
                <w:rFonts w:ascii="Arial" w:cs="Arial" w:eastAsia="Arial" w:hAnsi="Arial"/>
                <w:sz w:val="12"/>
                <w:szCs w:val="12"/>
                <w:color w:val="auto"/>
              </w:rPr>
              <w:t>LLY30</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0.625% Notes due 2031</w:t>
            </w:r>
          </w:p>
        </w:tc>
        <w:tc>
          <w:tcPr>
            <w:tcW w:w="980" w:type="dxa"/>
            <w:vAlign w:val="bottom"/>
          </w:tcPr>
          <w:p>
            <w:pPr>
              <w:spacing w:after="0"/>
              <w:rPr>
                <w:sz w:val="20"/>
                <w:szCs w:val="20"/>
                <w:color w:val="auto"/>
              </w:rPr>
            </w:pPr>
            <w:r>
              <w:rPr>
                <w:rFonts w:ascii="Arial" w:cs="Arial" w:eastAsia="Arial" w:hAnsi="Arial"/>
                <w:sz w:val="12"/>
                <w:szCs w:val="12"/>
                <w:color w:val="auto"/>
              </w:rPr>
              <w:t>LLY31</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0.500% Notes due 2033</w:t>
            </w:r>
          </w:p>
        </w:tc>
        <w:tc>
          <w:tcPr>
            <w:tcW w:w="980" w:type="dxa"/>
            <w:vAlign w:val="bottom"/>
          </w:tcPr>
          <w:p>
            <w:pPr>
              <w:spacing w:after="0"/>
              <w:rPr>
                <w:sz w:val="20"/>
                <w:szCs w:val="20"/>
                <w:color w:val="auto"/>
              </w:rPr>
            </w:pPr>
            <w:r>
              <w:rPr>
                <w:rFonts w:ascii="Arial" w:cs="Arial" w:eastAsia="Arial" w:hAnsi="Arial"/>
                <w:sz w:val="12"/>
                <w:szCs w:val="12"/>
                <w:color w:val="auto"/>
              </w:rPr>
              <w:t>LLY33</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6.77% Notes due 2036</w:t>
            </w:r>
          </w:p>
        </w:tc>
        <w:tc>
          <w:tcPr>
            <w:tcW w:w="980" w:type="dxa"/>
            <w:vAlign w:val="bottom"/>
          </w:tcPr>
          <w:p>
            <w:pPr>
              <w:spacing w:after="0"/>
              <w:rPr>
                <w:sz w:val="20"/>
                <w:szCs w:val="20"/>
                <w:color w:val="auto"/>
              </w:rPr>
            </w:pPr>
            <w:r>
              <w:rPr>
                <w:rFonts w:ascii="Arial" w:cs="Arial" w:eastAsia="Arial" w:hAnsi="Arial"/>
                <w:sz w:val="12"/>
                <w:szCs w:val="12"/>
                <w:color w:val="auto"/>
              </w:rPr>
              <w:t>LLY36</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1.625% Notes due 2043</w:t>
            </w:r>
          </w:p>
        </w:tc>
        <w:tc>
          <w:tcPr>
            <w:tcW w:w="980" w:type="dxa"/>
            <w:vAlign w:val="bottom"/>
          </w:tcPr>
          <w:p>
            <w:pPr>
              <w:spacing w:after="0"/>
              <w:rPr>
                <w:sz w:val="20"/>
                <w:szCs w:val="20"/>
                <w:color w:val="auto"/>
              </w:rPr>
            </w:pPr>
            <w:r>
              <w:rPr>
                <w:rFonts w:ascii="Arial" w:cs="Arial" w:eastAsia="Arial" w:hAnsi="Arial"/>
                <w:sz w:val="12"/>
                <w:szCs w:val="12"/>
                <w:color w:val="auto"/>
              </w:rPr>
              <w:t>LLY43</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1.700% Notes due 2049</w:t>
            </w:r>
          </w:p>
        </w:tc>
        <w:tc>
          <w:tcPr>
            <w:tcW w:w="980" w:type="dxa"/>
            <w:vAlign w:val="bottom"/>
          </w:tcPr>
          <w:p>
            <w:pPr>
              <w:spacing w:after="0"/>
              <w:rPr>
                <w:sz w:val="20"/>
                <w:szCs w:val="20"/>
                <w:color w:val="auto"/>
              </w:rPr>
            </w:pPr>
            <w:r>
              <w:rPr>
                <w:rFonts w:ascii="Arial" w:cs="Arial" w:eastAsia="Arial" w:hAnsi="Arial"/>
                <w:sz w:val="12"/>
                <w:szCs w:val="12"/>
                <w:color w:val="auto"/>
              </w:rPr>
              <w:t>LLY49A</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1.125% Notes due 2051</w:t>
            </w:r>
          </w:p>
        </w:tc>
        <w:tc>
          <w:tcPr>
            <w:tcW w:w="980" w:type="dxa"/>
            <w:vAlign w:val="bottom"/>
          </w:tcPr>
          <w:p>
            <w:pPr>
              <w:spacing w:after="0"/>
              <w:rPr>
                <w:sz w:val="20"/>
                <w:szCs w:val="20"/>
                <w:color w:val="auto"/>
              </w:rPr>
            </w:pPr>
            <w:r>
              <w:rPr>
                <w:rFonts w:ascii="Arial" w:cs="Arial" w:eastAsia="Arial" w:hAnsi="Arial"/>
                <w:sz w:val="12"/>
                <w:szCs w:val="12"/>
                <w:color w:val="auto"/>
              </w:rPr>
              <w:t>LLY51</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r>
        <w:trPr>
          <w:trHeight w:val="168"/>
        </w:trPr>
        <w:tc>
          <w:tcPr>
            <w:tcW w:w="3720" w:type="dxa"/>
            <w:vAlign w:val="bottom"/>
            <w:gridSpan w:val="2"/>
          </w:tcPr>
          <w:p>
            <w:pPr>
              <w:spacing w:after="0"/>
              <w:rPr>
                <w:sz w:val="20"/>
                <w:szCs w:val="20"/>
                <w:color w:val="auto"/>
              </w:rPr>
            </w:pPr>
            <w:r>
              <w:rPr>
                <w:rFonts w:ascii="Arial" w:cs="Arial" w:eastAsia="Arial" w:hAnsi="Arial"/>
                <w:sz w:val="12"/>
                <w:szCs w:val="12"/>
                <w:color w:val="auto"/>
              </w:rPr>
              <w:t>1.375% Notes due 2061</w:t>
            </w:r>
          </w:p>
        </w:tc>
        <w:tc>
          <w:tcPr>
            <w:tcW w:w="980" w:type="dxa"/>
            <w:vAlign w:val="bottom"/>
          </w:tcPr>
          <w:p>
            <w:pPr>
              <w:spacing w:after="0"/>
              <w:rPr>
                <w:sz w:val="20"/>
                <w:szCs w:val="20"/>
                <w:color w:val="auto"/>
              </w:rPr>
            </w:pPr>
            <w:r>
              <w:rPr>
                <w:rFonts w:ascii="Arial" w:cs="Arial" w:eastAsia="Arial" w:hAnsi="Arial"/>
                <w:sz w:val="12"/>
                <w:szCs w:val="12"/>
                <w:color w:val="auto"/>
              </w:rPr>
              <w:t>LLY61</w:t>
            </w:r>
          </w:p>
        </w:tc>
        <w:tc>
          <w:tcPr>
            <w:tcW w:w="4720" w:type="dxa"/>
            <w:vAlign w:val="bottom"/>
            <w:gridSpan w:val="2"/>
          </w:tcPr>
          <w:p>
            <w:pPr>
              <w:ind w:left="2060"/>
              <w:spacing w:after="0"/>
              <w:rPr>
                <w:sz w:val="20"/>
                <w:szCs w:val="20"/>
                <w:color w:val="auto"/>
              </w:rPr>
            </w:pPr>
            <w:r>
              <w:rPr>
                <w:rFonts w:ascii="Arial" w:cs="Arial" w:eastAsia="Arial" w:hAnsi="Arial"/>
                <w:sz w:val="12"/>
                <w:szCs w:val="12"/>
                <w:color w:val="auto"/>
              </w:rPr>
              <w:t>New York Stock Exchange</w:t>
            </w:r>
          </w:p>
        </w:tc>
      </w:tr>
    </w:tbl>
    <w:p>
      <w:pPr>
        <w:spacing w:after="0" w:line="97" w:lineRule="exact"/>
        <w:rPr>
          <w:sz w:val="24"/>
          <w:szCs w:val="24"/>
          <w:color w:val="auto"/>
        </w:rPr>
      </w:pPr>
    </w:p>
    <w:p>
      <w:pPr>
        <w:ind w:right="40"/>
        <w:spacing w:after="0" w:line="25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20"/>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920" w:type="dxa"/>
        <w:tblCellMar>
          <w:top w:w="0" w:type="dxa"/>
          <w:left w:w="0" w:type="dxa"/>
          <w:bottom w:w="0" w:type="dxa"/>
          <w:right w:w="0" w:type="dxa"/>
        </w:tblCellMar>
      </w:tblPr>
      <w:tr>
        <w:trPr>
          <w:trHeight w:val="194"/>
        </w:trPr>
        <w:tc>
          <w:tcPr>
            <w:tcW w:w="4920" w:type="dxa"/>
            <w:vAlign w:val="bottom"/>
          </w:tcPr>
          <w:p>
            <w:pPr>
              <w:jc w:val="right"/>
              <w:ind w:right="3331"/>
              <w:spacing w:after="0" w:line="161" w:lineRule="exact"/>
              <w:rPr>
                <w:sz w:val="20"/>
                <w:szCs w:val="20"/>
                <w:color w:val="auto"/>
              </w:rPr>
            </w:pPr>
            <w:r>
              <w:rPr>
                <w:rFonts w:ascii="Arial" w:cs="Arial" w:eastAsia="Arial" w:hAnsi="Arial"/>
                <w:sz w:val="14"/>
                <w:szCs w:val="14"/>
                <w:color w:val="auto"/>
                <w:w w:val="95"/>
              </w:rPr>
              <w:t xml:space="preserve">Large accelerated filer </w:t>
            </w:r>
            <w:r>
              <w:rPr>
                <w:rFonts w:ascii="MS PGothic" w:cs="MS PGothic" w:eastAsia="MS PGothic" w:hAnsi="MS PGothic"/>
                <w:sz w:val="14"/>
                <w:szCs w:val="14"/>
                <w:color w:val="auto"/>
                <w:w w:val="95"/>
              </w:rPr>
              <w:t>☒</w:t>
            </w:r>
          </w:p>
        </w:tc>
        <w:tc>
          <w:tcPr>
            <w:tcW w:w="5160" w:type="dxa"/>
            <w:vAlign w:val="bottom"/>
          </w:tcPr>
          <w:p>
            <w:pPr>
              <w:jc w:val="right"/>
              <w:ind w:right="31"/>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4"/>
        </w:trPr>
        <w:tc>
          <w:tcPr>
            <w:tcW w:w="4920" w:type="dxa"/>
            <w:vAlign w:val="bottom"/>
          </w:tcPr>
          <w:p>
            <w:pPr>
              <w:jc w:val="right"/>
              <w:ind w:right="3331"/>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60" w:type="dxa"/>
            <w:vAlign w:val="bottom"/>
          </w:tcPr>
          <w:p>
            <w:pPr>
              <w:jc w:val="right"/>
              <w:ind w:right="31"/>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4920" w:type="dxa"/>
            <w:vAlign w:val="bottom"/>
          </w:tcPr>
          <w:p>
            <w:pPr>
              <w:spacing w:after="0"/>
              <w:rPr>
                <w:sz w:val="18"/>
                <w:szCs w:val="18"/>
                <w:color w:val="auto"/>
              </w:rPr>
            </w:pPr>
          </w:p>
        </w:tc>
        <w:tc>
          <w:tcPr>
            <w:tcW w:w="5160" w:type="dxa"/>
            <w:vAlign w:val="bottom"/>
          </w:tcPr>
          <w:p>
            <w:pPr>
              <w:jc w:val="right"/>
              <w:ind w:right="31"/>
              <w:spacing w:after="0"/>
              <w:rPr>
                <w:sz w:val="20"/>
                <w:szCs w:val="20"/>
                <w:color w:val="auto"/>
              </w:rPr>
            </w:pPr>
            <w:r>
              <w:rPr>
                <w:rFonts w:ascii="Arial" w:cs="Arial" w:eastAsia="Arial" w:hAnsi="Arial"/>
                <w:sz w:val="14"/>
                <w:szCs w:val="14"/>
                <w:color w:val="auto"/>
              </w:rPr>
              <w:t>Emerging growth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9"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rPr>
          <w:sz w:val="20"/>
          <w:szCs w:val="20"/>
          <w:color w:val="auto"/>
        </w:rPr>
      </w:pPr>
      <w:r>
        <w:rPr>
          <w:rFonts w:ascii="Arial" w:cs="Arial" w:eastAsia="Arial" w:hAnsi="Arial"/>
          <w:sz w:val="14"/>
          <w:szCs w:val="14"/>
          <w:color w:val="auto"/>
        </w:rPr>
        <w:t>The number of shares of common stock outstanding as of August 1, 2022:</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Class</w:t>
            </w:r>
          </w:p>
        </w:tc>
        <w:tc>
          <w:tcPr>
            <w:tcW w:w="420" w:type="dxa"/>
            <w:vAlign w:val="bottom"/>
          </w:tcPr>
          <w:p>
            <w:pPr>
              <w:spacing w:after="0"/>
              <w:rPr>
                <w:sz w:val="16"/>
                <w:szCs w:val="16"/>
                <w:color w:val="auto"/>
              </w:rPr>
            </w:pPr>
          </w:p>
        </w:tc>
        <w:tc>
          <w:tcPr>
            <w:tcW w:w="5300" w:type="dxa"/>
            <w:vAlign w:val="bottom"/>
            <w:tcBorders>
              <w:bottom w:val="single" w:sz="8" w:color="auto"/>
            </w:tcBorders>
          </w:tcPr>
          <w:p>
            <w:pPr>
              <w:jc w:val="right"/>
              <w:ind w:right="1631"/>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900" w:type="dxa"/>
            <w:vAlign w:val="bottom"/>
            <w:gridSpan w:val="2"/>
          </w:tcPr>
          <w:p>
            <w:pPr>
              <w:jc w:val="center"/>
              <w:ind w:right="420"/>
              <w:spacing w:after="0"/>
              <w:rPr>
                <w:sz w:val="20"/>
                <w:szCs w:val="20"/>
                <w:color w:val="auto"/>
              </w:rPr>
            </w:pPr>
            <w:r>
              <w:rPr>
                <w:rFonts w:ascii="Arial" w:cs="Arial" w:eastAsia="Arial" w:hAnsi="Arial"/>
                <w:sz w:val="14"/>
                <w:szCs w:val="14"/>
                <w:color w:val="auto"/>
                <w:w w:val="98"/>
              </w:rPr>
              <w:t>Common</w:t>
            </w:r>
          </w:p>
        </w:tc>
        <w:tc>
          <w:tcPr>
            <w:tcW w:w="5300" w:type="dxa"/>
            <w:vAlign w:val="bottom"/>
          </w:tcPr>
          <w:p>
            <w:pPr>
              <w:jc w:val="right"/>
              <w:spacing w:after="0"/>
              <w:rPr>
                <w:sz w:val="20"/>
                <w:szCs w:val="20"/>
                <w:color w:val="auto"/>
              </w:rPr>
            </w:pPr>
            <w:r>
              <w:rPr>
                <w:rFonts w:ascii="Arial" w:cs="Arial" w:eastAsia="Arial" w:hAnsi="Arial"/>
                <w:sz w:val="14"/>
                <w:szCs w:val="14"/>
                <w:color w:val="auto"/>
              </w:rPr>
              <w:t>950,174,817</w:t>
            </w:r>
          </w:p>
        </w:tc>
        <w:tc>
          <w:tcPr>
            <w:tcW w:w="20" w:type="dxa"/>
            <w:vAlign w:val="bottom"/>
          </w:tcPr>
          <w:p>
            <w:pPr>
              <w:spacing w:after="0"/>
              <w:rPr>
                <w:sz w:val="15"/>
                <w:szCs w:val="15"/>
                <w:color w:val="auto"/>
              </w:rPr>
            </w:pPr>
          </w:p>
        </w:tc>
      </w:tr>
      <w:tr>
        <w:trPr>
          <w:trHeight w:val="111"/>
        </w:trPr>
        <w:tc>
          <w:tcPr>
            <w:tcW w:w="20" w:type="dxa"/>
            <w:vAlign w:val="bottom"/>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5"/>
        </w:trPr>
        <w:tc>
          <w:tcPr>
            <w:tcW w:w="2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936"/>
        </w:trPr>
        <w:tc>
          <w:tcPr>
            <w:tcW w:w="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 w:name="page2"/>
    <w:bookmarkEnd w:id="1"/>
    <w:p>
      <w:pPr>
        <w:ind w:left="4720"/>
        <w:spacing w:after="0"/>
        <w:rPr>
          <w:sz w:val="20"/>
          <w:szCs w:val="20"/>
          <w:color w:val="auto"/>
        </w:rPr>
      </w:pPr>
      <w:r>
        <w:rPr>
          <w:rFonts w:ascii="Arial" w:cs="Arial" w:eastAsia="Arial" w:hAnsi="Arial"/>
          <w:sz w:val="17"/>
          <w:szCs w:val="17"/>
          <w:b w:val="1"/>
          <w:bCs w:val="1"/>
          <w:color w:val="auto"/>
        </w:rPr>
        <w:t>Eli Lilly and Company</w:t>
      </w:r>
    </w:p>
    <w:p>
      <w:pPr>
        <w:spacing w:after="0" w:line="115"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Form 10-Q</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June 30, 2022</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8"/>
          </w:tcPr>
          <w:p>
            <w:pPr>
              <w:spacing w:after="0"/>
              <w:rPr>
                <w:sz w:val="20"/>
                <w:szCs w:val="20"/>
                <w:color w:val="auto"/>
              </w:rPr>
            </w:pPr>
            <w:r>
              <w:rPr>
                <w:rFonts w:ascii="Arial" w:cs="Arial" w:eastAsia="Arial" w:hAnsi="Arial"/>
                <w:sz w:val="17"/>
                <w:szCs w:val="17"/>
                <w:b w:val="1"/>
                <w:bCs w:val="1"/>
                <w:color w:val="auto"/>
              </w:rPr>
              <w:t>Page</w:t>
            </w:r>
          </w:p>
        </w:tc>
      </w:tr>
      <w:tr>
        <w:trPr>
          <w:trHeight w:val="200"/>
        </w:trPr>
        <w:tc>
          <w:tcPr>
            <w:tcW w:w="2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7"/>
                <w:szCs w:val="17"/>
                <w:color w:val="0000FF"/>
                <w:w w:val="99"/>
              </w:rPr>
              <w:t>PART I. Financial Information</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tcBorders>
            <w:gridSpan w:val="5"/>
          </w:tcPr>
          <w:p>
            <w:pPr>
              <w:jc w:val="center"/>
              <w:ind w:left="34"/>
              <w:spacing w:after="0"/>
              <w:rPr>
                <w:sz w:val="20"/>
                <w:szCs w:val="20"/>
                <w:color w:val="auto"/>
              </w:rPr>
            </w:pPr>
            <w:r>
              <w:rPr>
                <w:rFonts w:ascii="Arial" w:cs="Arial" w:eastAsia="Arial" w:hAnsi="Arial"/>
                <w:sz w:val="17"/>
                <w:szCs w:val="17"/>
                <w:color w:val="0000FF"/>
              </w:rPr>
              <w:t>5</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7"/>
                <w:szCs w:val="17"/>
                <w:color w:val="0000FF"/>
              </w:rPr>
              <w:t>Item 1.</w:t>
            </w:r>
          </w:p>
        </w:tc>
        <w:tc>
          <w:tcPr>
            <w:tcW w:w="880" w:type="dxa"/>
            <w:vAlign w:val="bottom"/>
          </w:tcPr>
          <w:p>
            <w:pPr>
              <w:spacing w:after="0"/>
              <w:rPr>
                <w:sz w:val="24"/>
                <w:szCs w:val="24"/>
                <w:color w:val="auto"/>
              </w:rPr>
            </w:pPr>
          </w:p>
        </w:tc>
        <w:tc>
          <w:tcPr>
            <w:tcW w:w="7540" w:type="dxa"/>
            <w:vAlign w:val="bottom"/>
            <w:gridSpan w:val="21"/>
          </w:tcPr>
          <w:p>
            <w:pPr>
              <w:spacing w:after="0"/>
              <w:rPr>
                <w:sz w:val="20"/>
                <w:szCs w:val="20"/>
                <w:color w:val="auto"/>
              </w:rPr>
            </w:pPr>
            <w:r>
              <w:rPr>
                <w:rFonts w:ascii="Arial" w:cs="Arial" w:eastAsia="Arial" w:hAnsi="Arial"/>
                <w:sz w:val="17"/>
                <w:szCs w:val="17"/>
                <w:color w:val="0000FF"/>
              </w:rPr>
              <w:t>Financial Statements</w:t>
            </w:r>
          </w:p>
        </w:tc>
        <w:tc>
          <w:tcPr>
            <w:tcW w:w="300" w:type="dxa"/>
            <w:vAlign w:val="bottom"/>
            <w:gridSpan w:val="5"/>
          </w:tcPr>
          <w:p>
            <w:pPr>
              <w:jc w:val="center"/>
              <w:ind w:left="34"/>
              <w:spacing w:after="0"/>
              <w:rPr>
                <w:sz w:val="20"/>
                <w:szCs w:val="20"/>
                <w:color w:val="auto"/>
              </w:rPr>
            </w:pPr>
            <w:r>
              <w:rPr>
                <w:rFonts w:ascii="Arial" w:cs="Arial" w:eastAsia="Arial" w:hAnsi="Arial"/>
                <w:sz w:val="17"/>
                <w:szCs w:val="17"/>
                <w:color w:val="0000FF"/>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15"/>
          </w:tcPr>
          <w:p>
            <w:pPr>
              <w:spacing w:after="0"/>
              <w:rPr>
                <w:sz w:val="20"/>
                <w:szCs w:val="20"/>
                <w:color w:val="auto"/>
              </w:rPr>
            </w:pPr>
            <w:r>
              <w:rPr>
                <w:rFonts w:ascii="Arial" w:cs="Arial" w:eastAsia="Arial" w:hAnsi="Arial"/>
                <w:sz w:val="17"/>
                <w:szCs w:val="17"/>
                <w:color w:val="0000FF"/>
              </w:rPr>
              <w:t>Consolidated Condensed Statements of Operations</w:t>
            </w:r>
          </w:p>
        </w:tc>
        <w:tc>
          <w:tcPr>
            <w:tcW w:w="3340" w:type="dxa"/>
            <w:vAlign w:val="bottom"/>
            <w:gridSpan w:val="5"/>
          </w:tcPr>
          <w:p>
            <w:pPr>
              <w:spacing w:after="0"/>
              <w:rPr>
                <w:sz w:val="17"/>
                <w:szCs w:val="17"/>
                <w:color w:val="auto"/>
              </w:rPr>
            </w:pPr>
          </w:p>
        </w:tc>
        <w:tc>
          <w:tcPr>
            <w:tcW w:w="300" w:type="dxa"/>
            <w:vAlign w:val="bottom"/>
            <w:gridSpan w:val="5"/>
          </w:tcPr>
          <w:p>
            <w:pPr>
              <w:jc w:val="center"/>
              <w:ind w:left="34"/>
              <w:spacing w:after="0"/>
              <w:rPr>
                <w:sz w:val="20"/>
                <w:szCs w:val="20"/>
                <w:color w:val="auto"/>
              </w:rPr>
            </w:pPr>
            <w:r>
              <w:rPr>
                <w:rFonts w:ascii="Arial" w:cs="Arial" w:eastAsia="Arial" w:hAnsi="Arial"/>
                <w:sz w:val="17"/>
                <w:szCs w:val="17"/>
                <w:color w:val="0000FF"/>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20" w:type="dxa"/>
            <w:vAlign w:val="bottom"/>
            <w:gridSpan w:val="18"/>
          </w:tcPr>
          <w:p>
            <w:pPr>
              <w:spacing w:after="0"/>
              <w:rPr>
                <w:sz w:val="20"/>
                <w:szCs w:val="20"/>
                <w:color w:val="auto"/>
              </w:rPr>
            </w:pPr>
            <w:r>
              <w:rPr>
                <w:rFonts w:ascii="Arial" w:cs="Arial" w:eastAsia="Arial" w:hAnsi="Arial"/>
                <w:sz w:val="17"/>
                <w:szCs w:val="17"/>
                <w:color w:val="0000FF"/>
              </w:rPr>
              <w:t>Consolidated Condensed Statements of Comprehensive Income</w:t>
            </w:r>
          </w:p>
        </w:tc>
        <w:tc>
          <w:tcPr>
            <w:tcW w:w="2420" w:type="dxa"/>
            <w:vAlign w:val="bottom"/>
            <w:gridSpan w:val="2"/>
          </w:tcPr>
          <w:p>
            <w:pPr>
              <w:spacing w:after="0"/>
              <w:rPr>
                <w:sz w:val="17"/>
                <w:szCs w:val="17"/>
                <w:color w:val="auto"/>
              </w:rPr>
            </w:pPr>
          </w:p>
        </w:tc>
        <w:tc>
          <w:tcPr>
            <w:tcW w:w="300" w:type="dxa"/>
            <w:vAlign w:val="bottom"/>
            <w:gridSpan w:val="5"/>
          </w:tcPr>
          <w:p>
            <w:pPr>
              <w:jc w:val="center"/>
              <w:ind w:left="34"/>
              <w:spacing w:after="0"/>
              <w:rPr>
                <w:sz w:val="20"/>
                <w:szCs w:val="20"/>
                <w:color w:val="auto"/>
              </w:rPr>
            </w:pPr>
            <w:r>
              <w:rPr>
                <w:rFonts w:ascii="Arial" w:cs="Arial" w:eastAsia="Arial" w:hAnsi="Arial"/>
                <w:sz w:val="17"/>
                <w:szCs w:val="17"/>
                <w:color w:val="0000FF"/>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20" w:type="dxa"/>
            <w:vAlign w:val="bottom"/>
            <w:gridSpan w:val="18"/>
          </w:tcPr>
          <w:p>
            <w:pPr>
              <w:spacing w:after="0"/>
              <w:rPr>
                <w:sz w:val="20"/>
                <w:szCs w:val="20"/>
                <w:color w:val="auto"/>
              </w:rPr>
            </w:pPr>
            <w:r>
              <w:rPr>
                <w:rFonts w:ascii="Arial" w:cs="Arial" w:eastAsia="Arial" w:hAnsi="Arial"/>
                <w:sz w:val="17"/>
                <w:szCs w:val="17"/>
                <w:color w:val="0000FF"/>
              </w:rPr>
              <w:t>Consolidated Condensed Balance Sheets</w:t>
            </w:r>
          </w:p>
        </w:tc>
        <w:tc>
          <w:tcPr>
            <w:tcW w:w="2420" w:type="dxa"/>
            <w:vAlign w:val="bottom"/>
            <w:gridSpan w:val="2"/>
          </w:tcPr>
          <w:p>
            <w:pPr>
              <w:spacing w:after="0"/>
              <w:rPr>
                <w:sz w:val="17"/>
                <w:szCs w:val="17"/>
                <w:color w:val="auto"/>
              </w:rPr>
            </w:pPr>
          </w:p>
        </w:tc>
        <w:tc>
          <w:tcPr>
            <w:tcW w:w="300" w:type="dxa"/>
            <w:vAlign w:val="bottom"/>
            <w:gridSpan w:val="5"/>
          </w:tcPr>
          <w:p>
            <w:pPr>
              <w:jc w:val="center"/>
              <w:ind w:left="34"/>
              <w:spacing w:after="0"/>
              <w:rPr>
                <w:sz w:val="20"/>
                <w:szCs w:val="20"/>
                <w:color w:val="auto"/>
              </w:rPr>
            </w:pPr>
            <w:r>
              <w:rPr>
                <w:rFonts w:ascii="Arial" w:cs="Arial" w:eastAsia="Arial" w:hAnsi="Arial"/>
                <w:sz w:val="17"/>
                <w:szCs w:val="17"/>
                <w:color w:val="0000FF"/>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gridSpan w:val="13"/>
          </w:tcPr>
          <w:p>
            <w:pPr>
              <w:spacing w:after="0"/>
              <w:rPr>
                <w:sz w:val="20"/>
                <w:szCs w:val="20"/>
                <w:color w:val="auto"/>
              </w:rPr>
            </w:pPr>
            <w:r>
              <w:rPr>
                <w:rFonts w:ascii="Arial" w:cs="Arial" w:eastAsia="Arial" w:hAnsi="Arial"/>
                <w:sz w:val="17"/>
                <w:szCs w:val="17"/>
                <w:color w:val="0000FF"/>
              </w:rPr>
              <w:t>Consolidated Condensed Statements of Equity</w:t>
            </w:r>
          </w:p>
        </w:tc>
        <w:tc>
          <w:tcPr>
            <w:tcW w:w="3760" w:type="dxa"/>
            <w:vAlign w:val="bottom"/>
            <w:gridSpan w:val="7"/>
          </w:tcPr>
          <w:p>
            <w:pPr>
              <w:spacing w:after="0"/>
              <w:rPr>
                <w:sz w:val="17"/>
                <w:szCs w:val="17"/>
                <w:color w:val="auto"/>
              </w:rPr>
            </w:pPr>
          </w:p>
        </w:tc>
        <w:tc>
          <w:tcPr>
            <w:tcW w:w="300" w:type="dxa"/>
            <w:vAlign w:val="bottom"/>
            <w:gridSpan w:val="5"/>
          </w:tcPr>
          <w:p>
            <w:pPr>
              <w:jc w:val="center"/>
              <w:ind w:left="34"/>
              <w:spacing w:after="0"/>
              <w:rPr>
                <w:sz w:val="20"/>
                <w:szCs w:val="20"/>
                <w:color w:val="auto"/>
              </w:rPr>
            </w:pPr>
            <w:r>
              <w:rPr>
                <w:rFonts w:ascii="Arial" w:cs="Arial" w:eastAsia="Arial" w:hAnsi="Arial"/>
                <w:sz w:val="17"/>
                <w:szCs w:val="17"/>
                <w:color w:val="0000FF"/>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Consolidated Condensed Statements of Cash Flows</w:t>
            </w:r>
          </w:p>
        </w:tc>
        <w:tc>
          <w:tcPr>
            <w:tcW w:w="334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0000FF"/>
            </w:tcBorders>
            <w:gridSpan w:val="5"/>
          </w:tcPr>
          <w:p>
            <w:pPr>
              <w:jc w:val="center"/>
              <w:ind w:right="20"/>
              <w:spacing w:after="0"/>
              <w:rPr>
                <w:sz w:val="20"/>
                <w:szCs w:val="20"/>
                <w:color w:val="auto"/>
              </w:rPr>
            </w:pPr>
            <w:r>
              <w:rPr>
                <w:rFonts w:ascii="Arial" w:cs="Arial" w:eastAsia="Arial" w:hAnsi="Arial"/>
                <w:sz w:val="17"/>
                <w:szCs w:val="17"/>
                <w:color w:val="0000FF"/>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540" w:type="dxa"/>
            <w:vAlign w:val="bottom"/>
            <w:gridSpan w:val="21"/>
          </w:tcPr>
          <w:p>
            <w:pPr>
              <w:spacing w:after="0"/>
              <w:rPr>
                <w:sz w:val="20"/>
                <w:szCs w:val="20"/>
                <w:color w:val="auto"/>
              </w:rPr>
            </w:pPr>
            <w:r>
              <w:rPr>
                <w:rFonts w:ascii="Arial" w:cs="Arial" w:eastAsia="Arial" w:hAnsi="Arial"/>
                <w:sz w:val="17"/>
                <w:szCs w:val="17"/>
                <w:color w:val="0000FF"/>
              </w:rPr>
              <w:t>Notes to Consolidated Condensed Financial Statements</w:t>
            </w:r>
          </w:p>
        </w:tc>
        <w:tc>
          <w:tcPr>
            <w:tcW w:w="320" w:type="dxa"/>
            <w:vAlign w:val="bottom"/>
            <w:gridSpan w:val="6"/>
          </w:tcPr>
          <w:p>
            <w:pPr>
              <w:jc w:val="center"/>
              <w:ind w:left="14"/>
              <w:spacing w:after="0"/>
              <w:rPr>
                <w:sz w:val="20"/>
                <w:szCs w:val="20"/>
                <w:color w:val="auto"/>
              </w:rPr>
            </w:pPr>
            <w:r>
              <w:rPr>
                <w:rFonts w:ascii="Arial" w:cs="Arial" w:eastAsia="Arial" w:hAnsi="Arial"/>
                <w:sz w:val="17"/>
                <w:szCs w:val="17"/>
                <w:color w:val="0000FF"/>
                <w:w w:val="94"/>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2.</w:t>
            </w:r>
          </w:p>
        </w:tc>
        <w:tc>
          <w:tcPr>
            <w:tcW w:w="754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Results of Operations and Financial Condition</w:t>
            </w: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36</w:t>
            </w: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5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7"/>
                <w:szCs w:val="17"/>
                <w:color w:val="0000FF"/>
              </w:rPr>
              <w:t>Executive Overview</w:t>
            </w:r>
          </w:p>
        </w:tc>
        <w:tc>
          <w:tcPr>
            <w:tcW w:w="5060" w:type="dxa"/>
            <w:vAlign w:val="bottom"/>
            <w:tcBorders>
              <w:top w:val="single" w:sz="8" w:color="0000FF"/>
            </w:tcBorders>
            <w:gridSpan w:val="13"/>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bottom w:val="single" w:sz="8" w:color="0000FF"/>
            </w:tcBorders>
            <w:gridSpan w:val="5"/>
          </w:tcPr>
          <w:p>
            <w:pPr>
              <w:jc w:val="center"/>
              <w:ind w:right="20"/>
              <w:spacing w:after="0"/>
              <w:rPr>
                <w:sz w:val="20"/>
                <w:szCs w:val="20"/>
                <w:color w:val="auto"/>
              </w:rPr>
            </w:pPr>
            <w:r>
              <w:rPr>
                <w:rFonts w:ascii="Arial" w:cs="Arial" w:eastAsia="Arial" w:hAnsi="Arial"/>
                <w:sz w:val="17"/>
                <w:szCs w:val="17"/>
                <w:color w:val="0000FF"/>
              </w:rPr>
              <w:t>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9"/>
              </w:rPr>
              <w:t>Revenue</w:t>
            </w:r>
          </w:p>
        </w:tc>
        <w:tc>
          <w:tcPr>
            <w:tcW w:w="6640" w:type="dxa"/>
            <w:vAlign w:val="bottom"/>
            <w:gridSpan w:val="18"/>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0000FF"/>
            </w:tcBorders>
            <w:gridSpan w:val="5"/>
          </w:tcPr>
          <w:p>
            <w:pPr>
              <w:jc w:val="center"/>
              <w:ind w:right="20"/>
              <w:spacing w:after="0"/>
              <w:rPr>
                <w:sz w:val="20"/>
                <w:szCs w:val="20"/>
                <w:color w:val="auto"/>
              </w:rPr>
            </w:pPr>
            <w:r>
              <w:rPr>
                <w:rFonts w:ascii="Arial" w:cs="Arial" w:eastAsia="Arial" w:hAnsi="Arial"/>
                <w:sz w:val="17"/>
                <w:szCs w:val="17"/>
                <w:color w:val="0000FF"/>
              </w:rPr>
              <w:t>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rPr>
              <w:t>Gross Margin, Costs, and Expenses</w:t>
            </w:r>
          </w:p>
        </w:tc>
        <w:tc>
          <w:tcPr>
            <w:tcW w:w="45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0000FF"/>
            </w:tcBorders>
            <w:gridSpan w:val="5"/>
          </w:tcPr>
          <w:p>
            <w:pPr>
              <w:jc w:val="center"/>
              <w:ind w:right="20"/>
              <w:spacing w:after="0"/>
              <w:rPr>
                <w:sz w:val="20"/>
                <w:szCs w:val="20"/>
                <w:color w:val="auto"/>
              </w:rPr>
            </w:pPr>
            <w:r>
              <w:rPr>
                <w:rFonts w:ascii="Arial" w:cs="Arial" w:eastAsia="Arial" w:hAnsi="Arial"/>
                <w:sz w:val="17"/>
                <w:szCs w:val="17"/>
                <w:color w:val="0000FF"/>
              </w:rPr>
              <w:t>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gridSpan w:val="20"/>
          </w:tcPr>
          <w:p>
            <w:pPr>
              <w:spacing w:after="0"/>
              <w:rPr>
                <w:sz w:val="20"/>
                <w:szCs w:val="20"/>
                <w:color w:val="auto"/>
              </w:rPr>
            </w:pPr>
            <w:r>
              <w:rPr>
                <w:rFonts w:ascii="Arial" w:cs="Arial" w:eastAsia="Arial" w:hAnsi="Arial"/>
                <w:sz w:val="17"/>
                <w:szCs w:val="17"/>
                <w:color w:val="0000FF"/>
              </w:rPr>
              <w:t>Financial Condition and Liquidity</w:t>
            </w: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49</w:t>
            </w: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7"/>
                <w:szCs w:val="17"/>
                <w:color w:val="0000FF"/>
              </w:rPr>
              <w:t>Critical Accounting Estimates</w:t>
            </w:r>
          </w:p>
        </w:tc>
        <w:tc>
          <w:tcPr>
            <w:tcW w:w="320" w:type="dxa"/>
            <w:vAlign w:val="bottom"/>
            <w:tcBorders>
              <w:bottom w:val="single" w:sz="8" w:color="0000FF"/>
            </w:tcBorders>
            <w:gridSpan w:val="2"/>
          </w:tcPr>
          <w:p>
            <w:pPr>
              <w:spacing w:after="0"/>
              <w:rPr>
                <w:sz w:val="17"/>
                <w:szCs w:val="17"/>
                <w:color w:val="auto"/>
              </w:rPr>
            </w:pPr>
          </w:p>
        </w:tc>
        <w:tc>
          <w:tcPr>
            <w:tcW w:w="45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bottom w:val="single" w:sz="8" w:color="0000FF"/>
            </w:tcBorders>
            <w:gridSpan w:val="5"/>
          </w:tcPr>
          <w:p>
            <w:pPr>
              <w:jc w:val="center"/>
              <w:ind w:right="20"/>
              <w:spacing w:after="0"/>
              <w:rPr>
                <w:sz w:val="20"/>
                <w:szCs w:val="20"/>
                <w:color w:val="auto"/>
              </w:rPr>
            </w:pPr>
            <w:r>
              <w:rPr>
                <w:rFonts w:ascii="Arial" w:cs="Arial" w:eastAsia="Arial" w:hAnsi="Arial"/>
                <w:sz w:val="17"/>
                <w:szCs w:val="17"/>
                <w:color w:val="0000FF"/>
              </w:rPr>
              <w:t>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gridSpan w:val="20"/>
          </w:tcPr>
          <w:p>
            <w:pPr>
              <w:spacing w:after="0"/>
              <w:rPr>
                <w:sz w:val="20"/>
                <w:szCs w:val="20"/>
                <w:color w:val="auto"/>
              </w:rPr>
            </w:pPr>
            <w:r>
              <w:rPr>
                <w:rFonts w:ascii="Arial" w:cs="Arial" w:eastAsia="Arial" w:hAnsi="Arial"/>
                <w:sz w:val="17"/>
                <w:szCs w:val="17"/>
                <w:color w:val="0000FF"/>
              </w:rPr>
              <w:t>Available Information on our Website</w:t>
            </w: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49</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4.</w:t>
            </w:r>
          </w:p>
        </w:tc>
        <w:tc>
          <w:tcPr>
            <w:tcW w:w="754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50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PART II. Other Information</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51</w:t>
            </w:r>
          </w:p>
        </w:tc>
        <w:tc>
          <w:tcPr>
            <w:tcW w:w="16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202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Item 1.</w:t>
            </w:r>
          </w:p>
        </w:tc>
        <w:tc>
          <w:tcPr>
            <w:tcW w:w="1100" w:type="dxa"/>
            <w:vAlign w:val="bottom"/>
            <w:gridSpan w:val="2"/>
          </w:tcPr>
          <w:p>
            <w:pPr>
              <w:spacing w:after="0"/>
              <w:rPr>
                <w:sz w:val="24"/>
                <w:szCs w:val="24"/>
                <w:color w:val="auto"/>
              </w:rPr>
            </w:pPr>
          </w:p>
        </w:tc>
        <w:tc>
          <w:tcPr>
            <w:tcW w:w="7540" w:type="dxa"/>
            <w:vAlign w:val="bottom"/>
            <w:gridSpan w:val="21"/>
          </w:tcPr>
          <w:p>
            <w:pPr>
              <w:spacing w:after="0"/>
              <w:rPr>
                <w:sz w:val="20"/>
                <w:szCs w:val="20"/>
                <w:color w:val="auto"/>
              </w:rPr>
            </w:pPr>
            <w:r>
              <w:rPr>
                <w:rFonts w:ascii="Arial" w:cs="Arial" w:eastAsia="Arial" w:hAnsi="Arial"/>
                <w:sz w:val="17"/>
                <w:szCs w:val="17"/>
                <w:color w:val="0000FF"/>
              </w:rPr>
              <w:t>Legal Proceedings</w:t>
            </w:r>
          </w:p>
        </w:tc>
        <w:tc>
          <w:tcPr>
            <w:tcW w:w="100" w:type="dxa"/>
            <w:vAlign w:val="bottom"/>
          </w:tcPr>
          <w:p>
            <w:pPr>
              <w:spacing w:after="0"/>
              <w:rPr>
                <w:sz w:val="24"/>
                <w:szCs w:val="24"/>
                <w:color w:val="auto"/>
              </w:rPr>
            </w:pPr>
          </w:p>
        </w:tc>
        <w:tc>
          <w:tcPr>
            <w:tcW w:w="220" w:type="dxa"/>
            <w:vAlign w:val="bottom"/>
            <w:tcBorders>
              <w:top w:val="single" w:sz="8" w:color="0000FF"/>
            </w:tcBorders>
            <w:gridSpan w:val="5"/>
          </w:tcPr>
          <w:p>
            <w:pPr>
              <w:jc w:val="center"/>
              <w:ind w:right="20"/>
              <w:spacing w:after="0"/>
              <w:rPr>
                <w:sz w:val="20"/>
                <w:szCs w:val="20"/>
                <w:color w:val="auto"/>
              </w:rPr>
            </w:pPr>
            <w:r>
              <w:rPr>
                <w:rFonts w:ascii="Arial" w:cs="Arial" w:eastAsia="Arial" w:hAnsi="Arial"/>
                <w:sz w:val="17"/>
                <w:szCs w:val="17"/>
                <w:color w:val="0000FF"/>
              </w:rPr>
              <w:t>51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0" w:type="dxa"/>
            <w:vAlign w:val="bottom"/>
            <w:gridSpan w:val="13"/>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1A.</w:t>
            </w:r>
          </w:p>
        </w:tc>
        <w:tc>
          <w:tcPr>
            <w:tcW w:w="754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51</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680" w:type="dxa"/>
            <w:vAlign w:val="bottom"/>
            <w:gridSpan w:val="14"/>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0000FF"/>
              </w:rPr>
              <w:t>Item 2.</w:t>
            </w:r>
          </w:p>
        </w:tc>
        <w:tc>
          <w:tcPr>
            <w:tcW w:w="2480" w:type="dxa"/>
            <w:vAlign w:val="bottom"/>
            <w:gridSpan w:val="4"/>
          </w:tcPr>
          <w:p>
            <w:pPr>
              <w:spacing w:after="0"/>
              <w:rPr>
                <w:sz w:val="17"/>
                <w:szCs w:val="17"/>
                <w:color w:val="auto"/>
              </w:rPr>
            </w:pPr>
          </w:p>
        </w:tc>
        <w:tc>
          <w:tcPr>
            <w:tcW w:w="754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51</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20" w:type="dxa"/>
            <w:vAlign w:val="bottom"/>
            <w:gridSpan w:val="16"/>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Item 6.</w:t>
            </w:r>
          </w:p>
        </w:tc>
        <w:tc>
          <w:tcPr>
            <w:tcW w:w="7540" w:type="dxa"/>
            <w:vAlign w:val="bottom"/>
            <w:gridSpan w:val="21"/>
          </w:tcPr>
          <w:p>
            <w:pPr>
              <w:spacing w:after="0"/>
              <w:rPr>
                <w:sz w:val="20"/>
                <w:szCs w:val="20"/>
                <w:color w:val="auto"/>
              </w:rPr>
            </w:pPr>
            <w:r>
              <w:rPr>
                <w:rFonts w:ascii="Arial" w:cs="Arial" w:eastAsia="Arial" w:hAnsi="Arial"/>
                <w:sz w:val="17"/>
                <w:szCs w:val="17"/>
                <w:color w:val="0000FF"/>
              </w:rPr>
              <w:t>Exhibits</w:t>
            </w: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52</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7"/>
                <w:szCs w:val="17"/>
                <w:color w:val="0000FF"/>
              </w:rPr>
              <w:t>Signatures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gridSpan w:val="7"/>
          </w:tcPr>
          <w:p>
            <w:pPr>
              <w:jc w:val="center"/>
              <w:spacing w:after="0"/>
              <w:rPr>
                <w:sz w:val="20"/>
                <w:szCs w:val="20"/>
                <w:color w:val="auto"/>
              </w:rPr>
            </w:pPr>
            <w:r>
              <w:rPr>
                <w:rFonts w:ascii="Arial" w:cs="Arial" w:eastAsia="Arial" w:hAnsi="Arial"/>
                <w:sz w:val="17"/>
                <w:szCs w:val="17"/>
                <w:color w:val="0000FF"/>
              </w:rPr>
              <w:t>52</w:t>
            </w:r>
          </w:p>
        </w:tc>
        <w:tc>
          <w:tcPr>
            <w:tcW w:w="160" w:type="dxa"/>
            <w:vAlign w:val="bottom"/>
          </w:tcPr>
          <w:p>
            <w:pPr>
              <w:spacing w:after="0"/>
              <w:rPr>
                <w:sz w:val="24"/>
                <w:szCs w:val="24"/>
                <w:color w:val="auto"/>
              </w:rPr>
            </w:pPr>
          </w:p>
        </w:tc>
      </w:tr>
      <w:tr>
        <w:trPr>
          <w:trHeight w:val="848"/>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80" w:type="dxa"/>
            <w:vAlign w:val="bottom"/>
            <w:gridSpan w:val="10"/>
          </w:tcPr>
          <w:p>
            <w:pPr>
              <w:ind w:left="2440"/>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 w:name="page3"/>
    <w:bookmarkEnd w:id="2"/>
    <w:p>
      <w:pPr>
        <w:spacing w:after="0"/>
        <w:rPr>
          <w:sz w:val="20"/>
          <w:szCs w:val="20"/>
          <w:color w:val="auto"/>
        </w:rPr>
      </w:pPr>
      <w:r>
        <w:rPr>
          <w:rFonts w:ascii="Arial" w:cs="Arial" w:eastAsia="Arial" w:hAnsi="Arial"/>
          <w:sz w:val="24"/>
          <w:szCs w:val="24"/>
          <w:i w:val="1"/>
          <w:iCs w:val="1"/>
          <w:color w:val="auto"/>
        </w:rPr>
        <w:t>Forward-Looking Statements</w:t>
      </w:r>
    </w:p>
    <w:p>
      <w:pPr>
        <w:spacing w:after="0" w:line="11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This Quarterly Report on Form 10-Q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In particular, information appearing under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17" w:lineRule="exact"/>
        <w:rPr>
          <w:sz w:val="20"/>
          <w:szCs w:val="20"/>
          <w:color w:val="auto"/>
        </w:rPr>
      </w:pPr>
    </w:p>
    <w:p>
      <w:pPr>
        <w:ind w:left="320" w:right="560" w:hanging="317"/>
        <w:spacing w:after="0" w:line="285"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the evolving COVID-19 pandemic or any future pandemic, epidemic, or similar public health threat and the global response thereto;</w:t>
      </w: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uncertainties related to our efforts to develop, manufacture, and distribute potential treatments for COVID-19;</w:t>
      </w:r>
    </w:p>
    <w:p>
      <w:pPr>
        <w:spacing w:after="0" w:line="62" w:lineRule="exact"/>
        <w:rPr>
          <w:rFonts w:ascii="Arial" w:cs="Arial" w:eastAsia="Arial" w:hAnsi="Arial"/>
          <w:sz w:val="17"/>
          <w:szCs w:val="17"/>
          <w:color w:val="auto"/>
        </w:rPr>
      </w:pPr>
    </w:p>
    <w:p>
      <w:pPr>
        <w:ind w:left="320" w:right="580" w:hanging="317"/>
        <w:spacing w:after="0" w:line="285"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significant costs and uncertainties in the pharmaceutical research and development process, including with respect to the timing and process of obtaining regulatory approvals;</w:t>
      </w: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and outcome of acquisitions and business development transactions and related integration costs;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expiration of intellectual property protection for certain of our products and competition from generic and/or biosimilar products;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protect and enforce patents and other intellectual property;</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patent law or regulations related to data package exclusivity;</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competitive developments affecting current products and our pipeline;</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market uptake of recently launched products;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information technology system inadequacies, breaches, or operating failures;</w:t>
      </w:r>
    </w:p>
    <w:p>
      <w:pPr>
        <w:spacing w:after="0" w:line="62" w:lineRule="exact"/>
        <w:rPr>
          <w:rFonts w:ascii="Arial" w:cs="Arial" w:eastAsia="Arial" w:hAnsi="Arial"/>
          <w:sz w:val="17"/>
          <w:szCs w:val="17"/>
          <w:color w:val="auto"/>
        </w:rPr>
      </w:pPr>
    </w:p>
    <w:p>
      <w:pPr>
        <w:ind w:left="320" w:right="60" w:hanging="317"/>
        <w:spacing w:after="0" w:line="285"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unauthorized access, disclosure, misappropriation, or compromise of confidential information or other data stored in our information technology systems, networks, and facilities, or those of third parties with whom we share our data;</w:t>
      </w: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unexpected safety or efficacy concerns associated with our products;</w:t>
      </w:r>
    </w:p>
    <w:p>
      <w:pPr>
        <w:spacing w:after="0" w:line="62" w:lineRule="exact"/>
        <w:rPr>
          <w:rFonts w:ascii="Arial" w:cs="Arial" w:eastAsia="Arial" w:hAnsi="Arial"/>
          <w:sz w:val="17"/>
          <w:szCs w:val="17"/>
          <w:color w:val="auto"/>
        </w:rPr>
      </w:pPr>
    </w:p>
    <w:p>
      <w:pPr>
        <w:ind w:left="320" w:right="220" w:hanging="317"/>
        <w:spacing w:after="0" w:line="285"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litigation, investigations, or other similar proceedings involving past, current, or future products or commercial activities as we are largely self-insured;</w:t>
      </w:r>
    </w:p>
    <w:p>
      <w:pPr>
        <w:ind w:left="320" w:right="60" w:hanging="317"/>
        <w:spacing w:after="0" w:line="285"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issues with product supply and regulatory approvals stemming from manufacturing difficulties, disruptions, or shortages, including as a result of demand, labor shortages, third-party performance, or regulatory actions relating to our facilities;</w:t>
      </w: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reliance on third-party relationships and outsourcing arrangements;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changes or other developments;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actions regarding currently marketed products;</w:t>
      </w:r>
    </w:p>
    <w:p>
      <w:pPr>
        <w:spacing w:after="0" w:line="62" w:lineRule="exact"/>
        <w:rPr>
          <w:rFonts w:ascii="Arial" w:cs="Arial" w:eastAsia="Arial" w:hAnsi="Arial"/>
          <w:sz w:val="17"/>
          <w:szCs w:val="17"/>
          <w:color w:val="auto"/>
        </w:rPr>
      </w:pPr>
    </w:p>
    <w:p>
      <w:pPr>
        <w:ind w:left="320" w:right="40" w:hanging="317"/>
        <w:spacing w:after="0" w:line="285"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pricing pressures and the impact of actions of governmental and private payers affecting pricing of, reimbursement for, and access to pharmaceuticals;</w:t>
      </w: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devaluations in foreign currency exchange rates, changes in interest rates, and inflation;</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tax law, tax rates, or events that differ from our assumptions related to tax positions;</w:t>
      </w:r>
    </w:p>
    <w:p>
      <w:pPr>
        <w:spacing w:after="0" w:line="62" w:lineRule="exact"/>
        <w:rPr>
          <w:rFonts w:ascii="Arial" w:cs="Arial" w:eastAsia="Arial" w:hAnsi="Arial"/>
          <w:sz w:val="17"/>
          <w:szCs w:val="17"/>
          <w:color w:val="auto"/>
        </w:rPr>
      </w:pP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asset impairments and restructuring charges;</w:t>
      </w:r>
    </w:p>
    <w:p>
      <w:pPr>
        <w:spacing w:after="0" w:line="62" w:lineRule="exact"/>
        <w:rPr>
          <w:rFonts w:ascii="Arial" w:cs="Arial" w:eastAsia="Arial" w:hAnsi="Arial"/>
          <w:sz w:val="17"/>
          <w:szCs w:val="17"/>
          <w:color w:val="auto"/>
        </w:rPr>
      </w:pPr>
    </w:p>
    <w:p>
      <w:pPr>
        <w:ind w:left="320" w:right="80" w:hanging="317"/>
        <w:spacing w:after="0" w:line="285"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global macroeconomic conditions, trade disruptions, global disputes, unrest, war, or other costs, uncertainties and risks related to engaging in business in foreign jurisdictions;</w:t>
      </w:r>
    </w:p>
    <w:p>
      <w:pPr>
        <w:ind w:left="320" w:right="280" w:hanging="317"/>
        <w:spacing w:after="0" w:line="285" w:lineRule="auto"/>
        <w:tabs>
          <w:tab w:leader="none" w:pos="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accounting and reporting standards promulgated by the Financial Accounting Standards Board and the Securities and Exchange Commission (SEC); and</w:t>
      </w:r>
    </w:p>
    <w:p>
      <w:pPr>
        <w:ind w:left="300" w:hanging="297"/>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compliance problems or government investigations.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 w:name="page4"/>
    <w:bookmarkEnd w:id="3"/>
    <w:p>
      <w:pPr>
        <w:spacing w:after="0" w:line="260" w:lineRule="auto"/>
        <w:rPr>
          <w:rFonts w:ascii="Arial" w:cs="Arial" w:eastAsia="Arial" w:hAnsi="Arial"/>
          <w:sz w:val="17"/>
          <w:szCs w:val="17"/>
          <w:color w:val="auto"/>
        </w:rPr>
      </w:pPr>
      <w:r>
        <w:rPr>
          <w:rFonts w:ascii="Arial" w:cs="Arial" w:eastAsia="Arial" w:hAnsi="Arial"/>
          <w:sz w:val="17"/>
          <w:szCs w:val="17"/>
          <w:color w:val="auto"/>
        </w:rPr>
        <w:t xml:space="preserve">More information on factors that could cause actual results or events to differ materially from those anticipated is included from time to time in our reports filed with the SEC,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particularly under the caption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be a complete statement of all potential risks and uncertainties.</w:t>
      </w:r>
    </w:p>
    <w:p>
      <w:pPr>
        <w:spacing w:after="0" w:line="7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964" w:right="499" w:bottom="1440" w:gutter="0" w:footer="0" w:header="0"/>
        </w:sectPr>
      </w:pPr>
    </w:p>
    <w:bookmarkStart w:id="4" w:name="page5"/>
    <w:bookmarkEnd w:id="4"/>
    <w:p>
      <w:pPr>
        <w:spacing w:after="0"/>
        <w:rPr>
          <w:sz w:val="20"/>
          <w:szCs w:val="20"/>
          <w:color w:val="auto"/>
        </w:rPr>
      </w:pPr>
      <w:r>
        <w:rPr>
          <w:rFonts w:ascii="Arial" w:cs="Arial" w:eastAsia="Arial" w:hAnsi="Arial"/>
          <w:sz w:val="28"/>
          <w:szCs w:val="28"/>
          <w:u w:val="single" w:color="auto"/>
          <w:color w:val="auto"/>
        </w:rPr>
        <w:t>PART I. 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Condensed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(Note 2)</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6,488.0</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6,740.1</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14,298.0</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13,545.7</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rPr>
              <w:t>Costs, expenses, and other: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sales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1,430.5</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1,953.2</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3,502.6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3,831.8</w:t>
            </w:r>
          </w:p>
        </w:tc>
        <w:tc>
          <w:tcPr>
            <w:tcW w:w="0" w:type="dxa"/>
            <w:vAlign w:val="bottom"/>
          </w:tcPr>
          <w:p>
            <w:pPr>
              <w:spacing w:after="0"/>
              <w:rPr>
                <w:sz w:val="1"/>
                <w:szCs w:val="1"/>
                <w:color w:val="auto"/>
              </w:rPr>
            </w:pPr>
          </w:p>
        </w:tc>
      </w:tr>
      <w:tr>
        <w:trPr>
          <w:trHeight w:val="220"/>
        </w:trPr>
        <w:tc>
          <w:tcPr>
            <w:tcW w:w="508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b w:val="1"/>
                <w:bCs w:val="1"/>
                <w:color w:val="auto"/>
              </w:rPr>
              <w:t>1,781.9</w:t>
            </w:r>
          </w:p>
        </w:tc>
        <w:tc>
          <w:tcPr>
            <w:tcW w:w="4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1,655.0</w:t>
            </w:r>
          </w:p>
        </w:tc>
        <w:tc>
          <w:tcPr>
            <w:tcW w:w="420" w:type="dxa"/>
            <w:vAlign w:val="bottom"/>
          </w:tcPr>
          <w:p>
            <w:pPr>
              <w:spacing w:after="0"/>
              <w:rPr>
                <w:sz w:val="19"/>
                <w:szCs w:val="19"/>
                <w:color w:val="auto"/>
              </w:rPr>
            </w:pPr>
          </w:p>
        </w:tc>
        <w:tc>
          <w:tcPr>
            <w:tcW w:w="1160" w:type="dxa"/>
            <w:vAlign w:val="bottom"/>
          </w:tcPr>
          <w:p>
            <w:pPr>
              <w:jc w:val="right"/>
              <w:ind w:right="56"/>
              <w:spacing w:after="0"/>
              <w:rPr>
                <w:sz w:val="20"/>
                <w:szCs w:val="20"/>
                <w:color w:val="auto"/>
              </w:rPr>
            </w:pPr>
            <w:r>
              <w:rPr>
                <w:rFonts w:ascii="Arial" w:cs="Arial" w:eastAsia="Arial" w:hAnsi="Arial"/>
                <w:sz w:val="17"/>
                <w:szCs w:val="17"/>
                <w:b w:val="1"/>
                <w:bCs w:val="1"/>
                <w:color w:val="auto"/>
              </w:rPr>
              <w:t>3,392.0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3,327.1</w:t>
            </w: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Marketing, selling, and administrative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1,625.1</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1,685.7</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3,183.0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3,261.7</w:t>
            </w:r>
          </w:p>
        </w:tc>
        <w:tc>
          <w:tcPr>
            <w:tcW w:w="0" w:type="dxa"/>
            <w:vAlign w:val="bottom"/>
          </w:tcPr>
          <w:p>
            <w:pPr>
              <w:spacing w:after="0"/>
              <w:rPr>
                <w:sz w:val="1"/>
                <w:szCs w:val="1"/>
                <w:color w:val="auto"/>
              </w:rPr>
            </w:pPr>
          </w:p>
        </w:tc>
      </w:tr>
      <w:tr>
        <w:trPr>
          <w:trHeight w:val="177"/>
        </w:trPr>
        <w:tc>
          <w:tcPr>
            <w:tcW w:w="5080" w:type="dxa"/>
            <w:vAlign w:val="bottom"/>
          </w:tcPr>
          <w:p>
            <w:pPr>
              <w:ind w:left="140"/>
              <w:spacing w:after="0" w:line="177" w:lineRule="exact"/>
              <w:rPr>
                <w:sz w:val="20"/>
                <w:szCs w:val="20"/>
                <w:color w:val="auto"/>
              </w:rPr>
            </w:pPr>
            <w:r>
              <w:rPr>
                <w:rFonts w:ascii="Arial" w:cs="Arial" w:eastAsia="Arial" w:hAnsi="Arial"/>
                <w:sz w:val="17"/>
                <w:szCs w:val="17"/>
                <w:color w:val="auto"/>
              </w:rPr>
              <w:t>Acquired in-process research and development and</w:t>
            </w:r>
          </w:p>
        </w:tc>
        <w:tc>
          <w:tcPr>
            <w:tcW w:w="320" w:type="dxa"/>
            <w:vAlign w:val="bottom"/>
          </w:tcPr>
          <w:p>
            <w:pPr>
              <w:spacing w:after="0"/>
              <w:rPr>
                <w:sz w:val="15"/>
                <w:szCs w:val="15"/>
                <w:color w:val="auto"/>
              </w:rPr>
            </w:pPr>
          </w:p>
        </w:tc>
        <w:tc>
          <w:tcPr>
            <w:tcW w:w="118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rPr>
              <w:t>440.4</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rPr>
              <w:t>606.0</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080" w:type="dxa"/>
            <w:vAlign w:val="bottom"/>
          </w:tcPr>
          <w:p>
            <w:pPr>
              <w:ind w:left="140"/>
              <w:spacing w:after="0"/>
              <w:rPr>
                <w:sz w:val="20"/>
                <w:szCs w:val="20"/>
                <w:color w:val="auto"/>
              </w:rPr>
            </w:pPr>
            <w:r>
              <w:rPr>
                <w:rFonts w:ascii="Arial" w:cs="Arial" w:eastAsia="Arial" w:hAnsi="Arial"/>
                <w:sz w:val="17"/>
                <w:szCs w:val="17"/>
                <w:color w:val="auto"/>
              </w:rPr>
              <w:t>development milestones (Note 3)</w:t>
            </w: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42.8</w:t>
            </w:r>
          </w:p>
        </w:tc>
        <w:tc>
          <w:tcPr>
            <w:tcW w:w="4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354.8</w:t>
            </w:r>
          </w:p>
        </w:tc>
        <w:tc>
          <w:tcPr>
            <w:tcW w:w="0" w:type="dxa"/>
            <w:vAlign w:val="bottom"/>
          </w:tcPr>
          <w:p>
            <w:pPr>
              <w:spacing w:after="0"/>
              <w:rPr>
                <w:sz w:val="1"/>
                <w:szCs w:val="1"/>
                <w:color w:val="auto"/>
              </w:rPr>
            </w:pPr>
          </w:p>
        </w:tc>
      </w:tr>
      <w:tr>
        <w:trPr>
          <w:trHeight w:val="177"/>
        </w:trPr>
        <w:tc>
          <w:tcPr>
            <w:tcW w:w="5080" w:type="dxa"/>
            <w:vAlign w:val="bottom"/>
            <w:shd w:val="clear" w:color="auto" w:fill="CCEEFF"/>
          </w:tcPr>
          <w:p>
            <w:pPr>
              <w:ind w:left="140"/>
              <w:spacing w:after="0" w:line="177" w:lineRule="exact"/>
              <w:rPr>
                <w:sz w:val="20"/>
                <w:szCs w:val="20"/>
                <w:color w:val="auto"/>
              </w:rPr>
            </w:pPr>
            <w:r>
              <w:rPr>
                <w:rFonts w:ascii="Arial" w:cs="Arial" w:eastAsia="Arial" w:hAnsi="Arial"/>
                <w:sz w:val="17"/>
                <w:szCs w:val="17"/>
                <w:color w:val="auto"/>
              </w:rPr>
              <w:t>Asset impairment, restructuring, and other special charges (Note</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0" w:type="dxa"/>
            <w:vAlign w:val="bottom"/>
          </w:tcPr>
          <w:p>
            <w:pPr>
              <w:spacing w:after="0"/>
              <w:rPr>
                <w:sz w:val="1"/>
                <w:szCs w:val="1"/>
                <w:color w:val="auto"/>
              </w:rPr>
            </w:pPr>
          </w:p>
        </w:tc>
      </w:tr>
      <w:tr>
        <w:trPr>
          <w:trHeight w:val="220"/>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Other–net, (income) expense (Note 11)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119.2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(190.5)</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469.9</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(511.6)</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5,397.1</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5,146.2</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11,153.5</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10,475.4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Pr>
          <w:p>
            <w:pPr>
              <w:spacing w:after="0"/>
              <w:rPr>
                <w:sz w:val="18"/>
                <w:szCs w:val="18"/>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b w:val="1"/>
                <w:bCs w:val="1"/>
                <w:color w:val="auto"/>
              </w:rPr>
              <w:t>1,090.9</w:t>
            </w:r>
          </w:p>
        </w:tc>
        <w:tc>
          <w:tcPr>
            <w:tcW w:w="4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1,593.9</w:t>
            </w:r>
          </w:p>
        </w:tc>
        <w:tc>
          <w:tcPr>
            <w:tcW w:w="420" w:type="dxa"/>
            <w:vAlign w:val="bottom"/>
          </w:tcPr>
          <w:p>
            <w:pPr>
              <w:spacing w:after="0"/>
              <w:rPr>
                <w:sz w:val="18"/>
                <w:szCs w:val="18"/>
                <w:color w:val="auto"/>
              </w:rPr>
            </w:pPr>
          </w:p>
        </w:tc>
        <w:tc>
          <w:tcPr>
            <w:tcW w:w="1160" w:type="dxa"/>
            <w:vAlign w:val="bottom"/>
          </w:tcPr>
          <w:p>
            <w:pPr>
              <w:jc w:val="right"/>
              <w:ind w:right="56"/>
              <w:spacing w:after="0"/>
              <w:rPr>
                <w:sz w:val="20"/>
                <w:szCs w:val="20"/>
                <w:color w:val="auto"/>
              </w:rPr>
            </w:pPr>
            <w:r>
              <w:rPr>
                <w:rFonts w:ascii="Arial" w:cs="Arial" w:eastAsia="Arial" w:hAnsi="Arial"/>
                <w:sz w:val="17"/>
                <w:szCs w:val="17"/>
                <w:b w:val="1"/>
                <w:bCs w:val="1"/>
                <w:color w:val="auto"/>
              </w:rPr>
              <w:t>3,144.5</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3,070.3</w:t>
            </w: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 (Note 7)</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138.4</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203.7</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289.1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0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952.5</w:t>
            </w:r>
          </w:p>
        </w:tc>
        <w:tc>
          <w:tcPr>
            <w:tcW w:w="4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1,390.2</w:t>
            </w: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2,855.4</w:t>
            </w:r>
          </w:p>
        </w:tc>
        <w:tc>
          <w:tcPr>
            <w:tcW w:w="4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2,745.5</w:t>
            </w:r>
          </w:p>
        </w:tc>
        <w:tc>
          <w:tcPr>
            <w:tcW w:w="0" w:type="dxa"/>
            <w:vAlign w:val="bottom"/>
          </w:tcPr>
          <w:p>
            <w:pPr>
              <w:spacing w:after="0"/>
              <w:rPr>
                <w:sz w:val="1"/>
                <w:szCs w:val="1"/>
                <w:color w:val="auto"/>
              </w:rPr>
            </w:pPr>
          </w:p>
        </w:tc>
      </w:tr>
      <w:tr>
        <w:trPr>
          <w:trHeight w:val="233"/>
        </w:trPr>
        <w:tc>
          <w:tcPr>
            <w:tcW w:w="5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rPr>
              <w:t>Earnings per share:</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1.06</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1.53</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3.17</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198"/>
        </w:trPr>
        <w:tc>
          <w:tcPr>
            <w:tcW w:w="5080" w:type="dxa"/>
            <w:vAlign w:val="bottom"/>
            <w:tcBorders>
              <w:bottom w:val="single" w:sz="8" w:color="CCEEFF"/>
            </w:tcBorders>
          </w:tcPr>
          <w:p>
            <w:pPr>
              <w:ind w:left="140"/>
              <w:spacing w:after="0" w:line="193" w:lineRule="exact"/>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jc w:val="right"/>
              <w:ind w:right="114"/>
              <w:spacing w:after="0" w:line="19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56"/>
              <w:spacing w:after="0" w:line="193" w:lineRule="exact"/>
              <w:rPr>
                <w:sz w:val="20"/>
                <w:szCs w:val="20"/>
                <w:color w:val="auto"/>
              </w:rPr>
            </w:pPr>
            <w:r>
              <w:rPr>
                <w:rFonts w:ascii="Arial" w:cs="Arial" w:eastAsia="Arial" w:hAnsi="Arial"/>
                <w:sz w:val="17"/>
                <w:szCs w:val="17"/>
                <w:b w:val="1"/>
                <w:bCs w:val="1"/>
                <w:color w:val="auto"/>
              </w:rPr>
              <w:t>1.05</w:t>
            </w:r>
          </w:p>
        </w:tc>
        <w:tc>
          <w:tcPr>
            <w:tcW w:w="420" w:type="dxa"/>
            <w:vAlign w:val="bottom"/>
            <w:tcBorders>
              <w:bottom w:val="single" w:sz="8" w:color="auto"/>
            </w:tcBorders>
          </w:tcPr>
          <w:p>
            <w:pPr>
              <w:jc w:val="right"/>
              <w:ind w:right="134"/>
              <w:spacing w:after="0" w:line="19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55"/>
              <w:spacing w:after="0" w:line="193" w:lineRule="exact"/>
              <w:rPr>
                <w:sz w:val="20"/>
                <w:szCs w:val="20"/>
                <w:color w:val="auto"/>
              </w:rPr>
            </w:pPr>
            <w:r>
              <w:rPr>
                <w:rFonts w:ascii="Arial" w:cs="Arial" w:eastAsia="Arial" w:hAnsi="Arial"/>
                <w:sz w:val="17"/>
                <w:szCs w:val="17"/>
                <w:color w:val="auto"/>
              </w:rPr>
              <w:t>1.53</w:t>
            </w:r>
          </w:p>
        </w:tc>
        <w:tc>
          <w:tcPr>
            <w:tcW w:w="420" w:type="dxa"/>
            <w:vAlign w:val="bottom"/>
            <w:tcBorders>
              <w:bottom w:val="single" w:sz="8" w:color="auto"/>
            </w:tcBorders>
          </w:tcPr>
          <w:p>
            <w:pPr>
              <w:jc w:val="right"/>
              <w:ind w:right="154"/>
              <w:spacing w:after="0" w:line="19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6"/>
              <w:spacing w:after="0" w:line="193" w:lineRule="exact"/>
              <w:rPr>
                <w:sz w:val="20"/>
                <w:szCs w:val="20"/>
                <w:color w:val="auto"/>
              </w:rPr>
            </w:pPr>
            <w:r>
              <w:rPr>
                <w:rFonts w:ascii="Arial" w:cs="Arial" w:eastAsia="Arial" w:hAnsi="Arial"/>
                <w:sz w:val="17"/>
                <w:szCs w:val="17"/>
                <w:b w:val="1"/>
                <w:bCs w:val="1"/>
                <w:color w:val="auto"/>
              </w:rPr>
              <w:t>3.16</w:t>
            </w:r>
          </w:p>
        </w:tc>
        <w:tc>
          <w:tcPr>
            <w:tcW w:w="400" w:type="dxa"/>
            <w:vAlign w:val="bottom"/>
            <w:tcBorders>
              <w:bottom w:val="single" w:sz="8" w:color="auto"/>
            </w:tcBorders>
          </w:tcPr>
          <w:p>
            <w:pPr>
              <w:jc w:val="right"/>
              <w:ind w:right="134"/>
              <w:spacing w:after="0" w:line="19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33"/>
        </w:trPr>
        <w:tc>
          <w:tcPr>
            <w:tcW w:w="5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rPr>
              <w:t>Shares used in calculation of earnings per share:</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900.3</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907.3</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902.0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908.2</w:t>
            </w:r>
          </w:p>
        </w:tc>
        <w:tc>
          <w:tcPr>
            <w:tcW w:w="0" w:type="dxa"/>
            <w:vAlign w:val="bottom"/>
          </w:tcPr>
          <w:p>
            <w:pPr>
              <w:spacing w:after="0"/>
              <w:rPr>
                <w:sz w:val="1"/>
                <w:szCs w:val="1"/>
                <w:color w:val="auto"/>
              </w:rPr>
            </w:pPr>
          </w:p>
        </w:tc>
      </w:tr>
      <w:tr>
        <w:trPr>
          <w:trHeight w:val="238"/>
        </w:trPr>
        <w:tc>
          <w:tcPr>
            <w:tcW w:w="5080" w:type="dxa"/>
            <w:vAlign w:val="bottom"/>
          </w:tcPr>
          <w:p>
            <w:pPr>
              <w:ind w:left="140"/>
              <w:spacing w:after="0"/>
              <w:rPr>
                <w:sz w:val="20"/>
                <w:szCs w:val="20"/>
                <w:color w:val="auto"/>
              </w:rPr>
            </w:pPr>
            <w:r>
              <w:rPr>
                <w:rFonts w:ascii="Arial" w:cs="Arial" w:eastAsia="Arial" w:hAnsi="Arial"/>
                <w:sz w:val="17"/>
                <w:szCs w:val="17"/>
                <w:color w:val="auto"/>
              </w:rPr>
              <w:t>Diluted</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902.9</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910.4</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904.4</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911.6</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Consolidated Condensed Statements of Comprehensive Income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0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r>
      <w:tr>
        <w:trPr>
          <w:trHeight w:val="213"/>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00" w:type="dxa"/>
            <w:vAlign w:val="bottom"/>
            <w:shd w:val="clear" w:color="auto" w:fill="CCEEFF"/>
          </w:tcPr>
          <w:p>
            <w:pPr>
              <w:jc w:val="right"/>
              <w:ind w:right="703"/>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952.5</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1,390.2</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2,855.4</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2,745.5</w:t>
            </w:r>
          </w:p>
        </w:tc>
      </w:tr>
      <w:tr>
        <w:trPr>
          <w:trHeight w:val="22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 net of tax (Note 10)</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(62.4)</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108.5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55.4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209.3</w:t>
            </w:r>
          </w:p>
        </w:tc>
      </w:tr>
      <w:tr>
        <w:trPr>
          <w:trHeight w:val="21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890.1</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1,498.7</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2,910.8</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2,954.8</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Consolidated Condensed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95"/>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440" w:type="dxa"/>
            <w:vAlign w:val="bottom"/>
          </w:tcPr>
          <w:p>
            <w:pPr>
              <w:ind w:left="20"/>
              <w:spacing w:after="0"/>
              <w:rPr>
                <w:sz w:val="20"/>
                <w:szCs w:val="20"/>
                <w:color w:val="auto"/>
              </w:rPr>
            </w:pPr>
            <w:r>
              <w:rPr>
                <w:rFonts w:ascii="Arial" w:cs="Arial" w:eastAsia="Arial" w:hAnsi="Arial"/>
                <w:sz w:val="17"/>
                <w:szCs w:val="17"/>
                <w:i w:val="1"/>
                <w:iCs w:val="1"/>
                <w:color w:val="auto"/>
              </w:rPr>
              <w:t>Current Assets</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 (Note 6)</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2,622.9</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3,818.5</w:t>
            </w: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Short-term investments (Note 6)</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113.8</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 xml:space="preserve">Accounts receivable, net of allowances of </w:t>
            </w:r>
            <w:r>
              <w:rPr>
                <w:rFonts w:ascii="Arial" w:cs="Arial" w:eastAsia="Arial" w:hAnsi="Arial"/>
                <w:sz w:val="17"/>
                <w:szCs w:val="17"/>
                <w:b w:val="1"/>
                <w:bCs w:val="1"/>
                <w:color w:val="auto"/>
              </w:rPr>
              <w:t>$19.2 (2022)</w:t>
            </w:r>
            <w:r>
              <w:rPr>
                <w:rFonts w:ascii="Arial" w:cs="Arial" w:eastAsia="Arial" w:hAnsi="Arial"/>
                <w:sz w:val="17"/>
                <w:szCs w:val="17"/>
                <w:color w:val="auto"/>
              </w:rPr>
              <w:t xml:space="preserve"> and $22.5 (2021)</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6,364.5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6,672.8</w:t>
            </w: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Other receivables</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1,307.9</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1,454.4</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3,899.4</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3,886.0</w:t>
            </w:r>
          </w:p>
        </w:tc>
        <w:tc>
          <w:tcPr>
            <w:tcW w:w="0" w:type="dxa"/>
            <w:vAlign w:val="bottom"/>
          </w:tcPr>
          <w:p>
            <w:pPr>
              <w:spacing w:after="0"/>
              <w:rPr>
                <w:sz w:val="1"/>
                <w:szCs w:val="1"/>
                <w:color w:val="auto"/>
              </w:rPr>
            </w:pPr>
          </w:p>
        </w:tc>
      </w:tr>
      <w:tr>
        <w:trPr>
          <w:trHeight w:val="220"/>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2,806.7</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2,530.6</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17,115.2</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18,452.4</w:t>
            </w:r>
          </w:p>
        </w:tc>
        <w:tc>
          <w:tcPr>
            <w:tcW w:w="0" w:type="dxa"/>
            <w:vAlign w:val="bottom"/>
          </w:tcPr>
          <w:p>
            <w:pPr>
              <w:spacing w:after="0"/>
              <w:rPr>
                <w:sz w:val="1"/>
                <w:szCs w:val="1"/>
                <w:color w:val="auto"/>
              </w:rPr>
            </w:pPr>
          </w:p>
        </w:tc>
      </w:tr>
      <w:tr>
        <w:trPr>
          <w:trHeight w:val="220"/>
        </w:trPr>
        <w:tc>
          <w:tcPr>
            <w:tcW w:w="7440" w:type="dxa"/>
            <w:vAlign w:val="bottom"/>
          </w:tcPr>
          <w:p>
            <w:pPr>
              <w:ind w:left="20"/>
              <w:spacing w:after="0"/>
              <w:rPr>
                <w:sz w:val="20"/>
                <w:szCs w:val="20"/>
                <w:color w:val="auto"/>
              </w:rPr>
            </w:pPr>
            <w:r>
              <w:rPr>
                <w:rFonts w:ascii="Arial" w:cs="Arial" w:eastAsia="Arial" w:hAnsi="Arial"/>
                <w:sz w:val="17"/>
                <w:szCs w:val="17"/>
                <w:color w:val="auto"/>
              </w:rPr>
              <w:t>Investments (Note 6)</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2,587.2</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3,212.6</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3,891.8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3,892.0</w:t>
            </w:r>
          </w:p>
        </w:tc>
        <w:tc>
          <w:tcPr>
            <w:tcW w:w="0" w:type="dxa"/>
            <w:vAlign w:val="bottom"/>
          </w:tcPr>
          <w:p>
            <w:pPr>
              <w:spacing w:after="0"/>
              <w:rPr>
                <w:sz w:val="1"/>
                <w:szCs w:val="1"/>
                <w:color w:val="auto"/>
              </w:rPr>
            </w:pPr>
          </w:p>
        </w:tc>
      </w:tr>
      <w:tr>
        <w:trPr>
          <w:trHeight w:val="220"/>
        </w:trPr>
        <w:tc>
          <w:tcPr>
            <w:tcW w:w="7440" w:type="dxa"/>
            <w:vAlign w:val="bottom"/>
          </w:tcPr>
          <w:p>
            <w:pPr>
              <w:ind w:left="20"/>
              <w:spacing w:after="0"/>
              <w:rPr>
                <w:sz w:val="20"/>
                <w:szCs w:val="20"/>
                <w:color w:val="auto"/>
              </w:rPr>
            </w:pPr>
            <w:r>
              <w:rPr>
                <w:rFonts w:ascii="Arial" w:cs="Arial" w:eastAsia="Arial" w:hAnsi="Arial"/>
                <w:sz w:val="17"/>
                <w:szCs w:val="17"/>
                <w:color w:val="auto"/>
              </w:rPr>
              <w:t>Other intangibles, net</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7,497.7</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7,691.9</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2,371.9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2,489.3</w:t>
            </w:r>
          </w:p>
        </w:tc>
        <w:tc>
          <w:tcPr>
            <w:tcW w:w="0" w:type="dxa"/>
            <w:vAlign w:val="bottom"/>
          </w:tcPr>
          <w:p>
            <w:pPr>
              <w:spacing w:after="0"/>
              <w:rPr>
                <w:sz w:val="1"/>
                <w:szCs w:val="1"/>
                <w:color w:val="auto"/>
              </w:rPr>
            </w:pPr>
          </w:p>
        </w:tc>
      </w:tr>
      <w:tr>
        <w:trPr>
          <w:trHeight w:val="168"/>
        </w:trPr>
        <w:tc>
          <w:tcPr>
            <w:tcW w:w="7440" w:type="dxa"/>
            <w:vAlign w:val="bottom"/>
          </w:tcPr>
          <w:p>
            <w:pPr>
              <w:ind w:left="20"/>
              <w:spacing w:after="0" w:line="168" w:lineRule="exact"/>
              <w:rPr>
                <w:sz w:val="20"/>
                <w:szCs w:val="20"/>
                <w:color w:val="auto"/>
              </w:rPr>
            </w:pPr>
            <w:r>
              <w:rPr>
                <w:rFonts w:ascii="Arial" w:cs="Arial" w:eastAsia="Arial" w:hAnsi="Arial"/>
                <w:sz w:val="17"/>
                <w:szCs w:val="17"/>
                <w:color w:val="auto"/>
              </w:rPr>
              <w:t xml:space="preserve">Property and equipment, net of accumulated depreciation of </w:t>
            </w:r>
            <w:r>
              <w:rPr>
                <w:rFonts w:ascii="Arial" w:cs="Arial" w:eastAsia="Arial" w:hAnsi="Arial"/>
                <w:sz w:val="17"/>
                <w:szCs w:val="17"/>
                <w:b w:val="1"/>
                <w:bCs w:val="1"/>
                <w:color w:val="auto"/>
              </w:rPr>
              <w:t>$10,119.7 (2022)</w:t>
            </w:r>
            <w:r>
              <w:rPr>
                <w:rFonts w:ascii="Arial" w:cs="Arial" w:eastAsia="Arial" w:hAnsi="Arial"/>
                <w:sz w:val="17"/>
                <w:szCs w:val="17"/>
                <w:color w:val="auto"/>
              </w:rPr>
              <w:t xml:space="preserve"> and $9,976.7</w:t>
            </w:r>
          </w:p>
        </w:tc>
        <w:tc>
          <w:tcPr>
            <w:tcW w:w="300" w:type="dxa"/>
            <w:vAlign w:val="bottom"/>
          </w:tcPr>
          <w:p>
            <w:pPr>
              <w:spacing w:after="0"/>
              <w:rPr>
                <w:sz w:val="14"/>
                <w:szCs w:val="14"/>
                <w:color w:val="auto"/>
              </w:rPr>
            </w:pPr>
          </w:p>
        </w:tc>
        <w:tc>
          <w:tcPr>
            <w:tcW w:w="16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9,128.2</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7"/>
                <w:szCs w:val="17"/>
                <w:color w:val="auto"/>
              </w:rPr>
              <w:t>(2021)</w:t>
            </w:r>
          </w:p>
        </w:tc>
        <w:tc>
          <w:tcPr>
            <w:tcW w:w="3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8,985.1</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4,471.6</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4,082.7</w:t>
            </w:r>
          </w:p>
        </w:tc>
        <w:tc>
          <w:tcPr>
            <w:tcW w:w="0" w:type="dxa"/>
            <w:vAlign w:val="bottom"/>
          </w:tcPr>
          <w:p>
            <w:pPr>
              <w:spacing w:after="0"/>
              <w:rPr>
                <w:sz w:val="1"/>
                <w:szCs w:val="1"/>
                <w:color w:val="auto"/>
              </w:rPr>
            </w:pPr>
          </w:p>
        </w:tc>
      </w:tr>
      <w:tr>
        <w:trPr>
          <w:trHeight w:val="21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47,063.6</w:t>
            </w:r>
          </w:p>
        </w:tc>
        <w:tc>
          <w:tcPr>
            <w:tcW w:w="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48,806.0</w:t>
            </w: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440" w:type="dxa"/>
            <w:vAlign w:val="bottom"/>
          </w:tcPr>
          <w:p>
            <w:pPr>
              <w:ind w:left="20"/>
              <w:spacing w:after="0"/>
              <w:rPr>
                <w:sz w:val="20"/>
                <w:szCs w:val="20"/>
                <w:color w:val="auto"/>
              </w:rPr>
            </w:pPr>
            <w:r>
              <w:rPr>
                <w:rFonts w:ascii="Arial" w:cs="Arial" w:eastAsia="Arial" w:hAnsi="Arial"/>
                <w:sz w:val="17"/>
                <w:szCs w:val="17"/>
                <w:i w:val="1"/>
                <w:iCs w:val="1"/>
                <w:color w:val="auto"/>
              </w:rPr>
              <w:t>Current Liabilities</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borrowings and current maturities of long-term debt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2,121.8</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1,538.3</w:t>
            </w: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1,659.3</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1,670.6</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compensation</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835.8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958.1</w:t>
            </w: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Sales rebates and discounts</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7,991.4</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6,845.8</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payable</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882.2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885.5</w:t>
            </w: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Income taxes payable</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126.6</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2,003.5</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3,027.5</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Pr>
          <w:p>
            <w:pPr>
              <w:spacing w:after="0"/>
              <w:rPr>
                <w:sz w:val="18"/>
                <w:szCs w:val="18"/>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15,620.6</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15,052.7</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Other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Long-term debt</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14,692.0</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15,346.4</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retirement benefits (Note 8)</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1,888.6</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1,954.1</w:t>
            </w: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Long-term income taxes payable</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3,557.6</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3,920.0</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862.5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1,733.7</w:t>
            </w:r>
          </w:p>
        </w:tc>
        <w:tc>
          <w:tcPr>
            <w:tcW w:w="0" w:type="dxa"/>
            <w:vAlign w:val="bottom"/>
          </w:tcPr>
          <w:p>
            <w:pPr>
              <w:spacing w:after="0"/>
              <w:rPr>
                <w:sz w:val="1"/>
                <w:szCs w:val="1"/>
                <w:color w:val="auto"/>
              </w:rPr>
            </w:pPr>
          </w:p>
        </w:tc>
      </w:tr>
      <w:tr>
        <w:trPr>
          <w:trHeight w:val="220"/>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1,783.1</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1,644.3</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liabilities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22,783.8</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24,598.5</w:t>
            </w:r>
          </w:p>
        </w:tc>
        <w:tc>
          <w:tcPr>
            <w:tcW w:w="0" w:type="dxa"/>
            <w:vAlign w:val="bottom"/>
          </w:tcPr>
          <w:p>
            <w:pPr>
              <w:spacing w:after="0"/>
              <w:rPr>
                <w:sz w:val="1"/>
                <w:szCs w:val="1"/>
                <w:color w:val="auto"/>
              </w:rPr>
            </w:pPr>
          </w:p>
        </w:tc>
      </w:tr>
      <w:tr>
        <w:trPr>
          <w:trHeight w:val="220"/>
        </w:trPr>
        <w:tc>
          <w:tcPr>
            <w:tcW w:w="7440" w:type="dxa"/>
            <w:vAlign w:val="bottom"/>
          </w:tcPr>
          <w:p>
            <w:pPr>
              <w:ind w:left="20"/>
              <w:spacing w:after="0"/>
              <w:rPr>
                <w:sz w:val="20"/>
                <w:szCs w:val="20"/>
                <w:color w:val="auto"/>
              </w:rPr>
            </w:pPr>
            <w:r>
              <w:rPr>
                <w:rFonts w:ascii="Arial" w:cs="Arial" w:eastAsia="Arial" w:hAnsi="Arial"/>
                <w:sz w:val="17"/>
                <w:szCs w:val="17"/>
                <w:i w:val="1"/>
                <w:iCs w:val="1"/>
                <w:color w:val="auto"/>
              </w:rPr>
              <w:t>Commitments and Contingencies (Note 9)</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Eli Lilly and Company Shareholders' Equity</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594.1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596.3</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6,746.0</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6,833.4</w:t>
            </w: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300" w:type="dxa"/>
            <w:vAlign w:val="bottom"/>
          </w:tcPr>
          <w:p>
            <w:pPr>
              <w:spacing w:after="0"/>
              <w:rPr>
                <w:sz w:val="19"/>
                <w:szCs w:val="19"/>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8,556.0</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8,958.5</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benefit trust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(3,013.2)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(3,013.2)</w:t>
            </w:r>
          </w:p>
        </w:tc>
        <w:tc>
          <w:tcPr>
            <w:tcW w:w="0" w:type="dxa"/>
            <w:vAlign w:val="bottom"/>
          </w:tcPr>
          <w:p>
            <w:pPr>
              <w:spacing w:after="0"/>
              <w:rPr>
                <w:sz w:val="1"/>
                <w:szCs w:val="1"/>
                <w:color w:val="auto"/>
              </w:rPr>
            </w:pPr>
          </w:p>
        </w:tc>
      </w:tr>
      <w:tr>
        <w:trPr>
          <w:trHeight w:val="220"/>
        </w:trPr>
        <w:tc>
          <w:tcPr>
            <w:tcW w:w="7440" w:type="dxa"/>
            <w:vAlign w:val="bottom"/>
          </w:tcPr>
          <w:p>
            <w:pPr>
              <w:ind w:left="140"/>
              <w:spacing w:after="0"/>
              <w:rPr>
                <w:sz w:val="20"/>
                <w:szCs w:val="20"/>
                <w:color w:val="auto"/>
              </w:rPr>
            </w:pPr>
            <w:r>
              <w:rPr>
                <w:rFonts w:ascii="Arial" w:cs="Arial" w:eastAsia="Arial" w:hAnsi="Arial"/>
                <w:sz w:val="17"/>
                <w:szCs w:val="17"/>
                <w:color w:val="auto"/>
              </w:rPr>
              <w:t>Accumulated other comprehensive loss (Note 10)</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(4,287.7)</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(4,343.1)</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common stock in treasury</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(50.5)</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7"/>
                <w:szCs w:val="17"/>
                <w:color w:val="auto"/>
              </w:rPr>
              <w:t>Total Eli Lilly and Company shareholders' equity</w:t>
            </w:r>
          </w:p>
        </w:tc>
        <w:tc>
          <w:tcPr>
            <w:tcW w:w="300" w:type="dxa"/>
            <w:vAlign w:val="bottom"/>
          </w:tcPr>
          <w:p>
            <w:pPr>
              <w:spacing w:after="0"/>
              <w:rPr>
                <w:sz w:val="18"/>
                <w:szCs w:val="18"/>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b w:val="1"/>
                <w:bCs w:val="1"/>
                <w:color w:val="auto"/>
              </w:rPr>
              <w:t>8,544.7</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8,979.2</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114.5</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175.6</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equity</w:t>
            </w: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8,659.2</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9,154.8</w:t>
            </w:r>
          </w:p>
        </w:tc>
        <w:tc>
          <w:tcPr>
            <w:tcW w:w="0" w:type="dxa"/>
            <w:vAlign w:val="bottom"/>
          </w:tcPr>
          <w:p>
            <w:pPr>
              <w:spacing w:after="0"/>
              <w:rPr>
                <w:sz w:val="1"/>
                <w:szCs w:val="1"/>
                <w:color w:val="auto"/>
              </w:rPr>
            </w:pPr>
          </w:p>
        </w:tc>
      </w:tr>
      <w:tr>
        <w:trPr>
          <w:trHeight w:val="21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equity</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47,063.6</w:t>
            </w:r>
          </w:p>
        </w:tc>
        <w:tc>
          <w:tcPr>
            <w:tcW w:w="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48,806.0</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Consolidated Condensed Statements of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7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Equity of Eli Lilly and Company Shareholders</w:t>
            </w:r>
          </w:p>
        </w:tc>
        <w:tc>
          <w:tcPr>
            <w:tcW w:w="7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45"/>
        </w:trPr>
        <w:tc>
          <w:tcPr>
            <w:tcW w:w="2760" w:type="dxa"/>
            <w:vAlign w:val="bottom"/>
          </w:tcPr>
          <w:p>
            <w:pPr>
              <w:spacing w:after="0"/>
              <w:rPr>
                <w:sz w:val="21"/>
                <w:szCs w:val="21"/>
                <w:color w:val="auto"/>
              </w:rPr>
            </w:pPr>
          </w:p>
        </w:tc>
        <w:tc>
          <w:tcPr>
            <w:tcW w:w="1660" w:type="dxa"/>
            <w:vAlign w:val="bottom"/>
            <w:gridSpan w:val="3"/>
          </w:tcPr>
          <w:p>
            <w:pPr>
              <w:jc w:val="right"/>
              <w:ind w:right="381"/>
              <w:spacing w:after="0"/>
              <w:rPr>
                <w:sz w:val="20"/>
                <w:szCs w:val="20"/>
                <w:color w:val="auto"/>
              </w:rPr>
            </w:pPr>
            <w:r>
              <w:rPr>
                <w:rFonts w:ascii="Arial" w:cs="Arial" w:eastAsia="Arial" w:hAnsi="Arial"/>
                <w:sz w:val="10"/>
                <w:szCs w:val="10"/>
                <w:b w:val="1"/>
                <w:bCs w:val="1"/>
                <w:color w:val="auto"/>
              </w:rPr>
              <w:t>Common Stock</w:t>
            </w:r>
          </w:p>
        </w:tc>
        <w:tc>
          <w:tcPr>
            <w:tcW w:w="220" w:type="dxa"/>
            <w:vAlign w:val="bottom"/>
          </w:tcPr>
          <w:p>
            <w:pPr>
              <w:spacing w:after="0"/>
              <w:rPr>
                <w:sz w:val="21"/>
                <w:szCs w:val="21"/>
                <w:color w:val="auto"/>
              </w:rPr>
            </w:pPr>
          </w:p>
        </w:tc>
        <w:tc>
          <w:tcPr>
            <w:tcW w:w="660" w:type="dxa"/>
            <w:vAlign w:val="bottom"/>
          </w:tcPr>
          <w:p>
            <w:pPr>
              <w:jc w:val="right"/>
              <w:ind w:right="64"/>
              <w:spacing w:after="0"/>
              <w:rPr>
                <w:sz w:val="20"/>
                <w:szCs w:val="20"/>
                <w:color w:val="auto"/>
              </w:rPr>
            </w:pPr>
            <w:r>
              <w:rPr>
                <w:rFonts w:ascii="Arial" w:cs="Arial" w:eastAsia="Arial" w:hAnsi="Arial"/>
                <w:sz w:val="10"/>
                <w:szCs w:val="10"/>
                <w:b w:val="1"/>
                <w:bCs w:val="1"/>
                <w:color w:val="auto"/>
              </w:rPr>
              <w:t>Additional</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80" w:type="dxa"/>
            <w:vAlign w:val="bottom"/>
            <w:gridSpan w:val="3"/>
          </w:tcPr>
          <w:p>
            <w:pPr>
              <w:jc w:val="right"/>
              <w:ind w:right="61"/>
              <w:spacing w:after="0"/>
              <w:rPr>
                <w:sz w:val="20"/>
                <w:szCs w:val="20"/>
                <w:color w:val="auto"/>
              </w:rPr>
            </w:pPr>
            <w:r>
              <w:rPr>
                <w:rFonts w:ascii="Arial" w:cs="Arial" w:eastAsia="Arial" w:hAnsi="Arial"/>
                <w:sz w:val="10"/>
                <w:szCs w:val="10"/>
                <w:b w:val="1"/>
                <w:bCs w:val="1"/>
                <w:color w:val="auto"/>
              </w:rPr>
              <w:t>Common Stock in Treasury</w:t>
            </w:r>
            <w:r>
              <w:rPr>
                <w:rFonts w:ascii="Arial" w:cs="Arial" w:eastAsia="Arial" w:hAnsi="Arial"/>
                <w:sz w:val="15"/>
                <w:szCs w:val="15"/>
                <w:b w:val="1"/>
                <w:bCs w:val="1"/>
                <w:color w:val="auto"/>
                <w:vertAlign w:val="superscript"/>
              </w:rPr>
              <w:t>(1)</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52"/>
        </w:trPr>
        <w:tc>
          <w:tcPr>
            <w:tcW w:w="2760" w:type="dxa"/>
            <w:vAlign w:val="bottom"/>
          </w:tcPr>
          <w:p>
            <w:pPr>
              <w:ind w:left="20"/>
              <w:spacing w:after="0" w:line="52" w:lineRule="exact"/>
              <w:rPr>
                <w:sz w:val="20"/>
                <w:szCs w:val="20"/>
                <w:color w:val="auto"/>
              </w:rPr>
            </w:pPr>
            <w:r>
              <w:rPr>
                <w:rFonts w:ascii="Arial" w:cs="Arial" w:eastAsia="Arial" w:hAnsi="Arial"/>
                <w:sz w:val="5"/>
                <w:szCs w:val="5"/>
                <w:b w:val="1"/>
                <w:bCs w:val="1"/>
                <w:color w:val="auto"/>
              </w:rPr>
              <w:t>(Dollars in millions, except per-share data, and shares</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jc w:val="right"/>
              <w:ind w:right="144"/>
              <w:spacing w:after="0" w:line="52" w:lineRule="exact"/>
              <w:rPr>
                <w:sz w:val="20"/>
                <w:szCs w:val="20"/>
                <w:color w:val="auto"/>
              </w:rPr>
            </w:pPr>
            <w:r>
              <w:rPr>
                <w:rFonts w:ascii="Arial" w:cs="Arial" w:eastAsia="Arial" w:hAnsi="Arial"/>
                <w:sz w:val="5"/>
                <w:szCs w:val="5"/>
                <w:b w:val="1"/>
                <w:bCs w:val="1"/>
                <w:color w:val="auto"/>
              </w:rPr>
              <w:t>Paid-in</w:t>
            </w:r>
          </w:p>
        </w:tc>
        <w:tc>
          <w:tcPr>
            <w:tcW w:w="240" w:type="dxa"/>
            <w:vAlign w:val="bottom"/>
          </w:tcPr>
          <w:p>
            <w:pPr>
              <w:spacing w:after="0"/>
              <w:rPr>
                <w:sz w:val="4"/>
                <w:szCs w:val="4"/>
                <w:color w:val="auto"/>
              </w:rPr>
            </w:pPr>
          </w:p>
        </w:tc>
        <w:tc>
          <w:tcPr>
            <w:tcW w:w="720" w:type="dxa"/>
            <w:vAlign w:val="bottom"/>
          </w:tcPr>
          <w:p>
            <w:pPr>
              <w:jc w:val="right"/>
              <w:ind w:right="184"/>
              <w:spacing w:after="0" w:line="52" w:lineRule="exact"/>
              <w:rPr>
                <w:sz w:val="20"/>
                <w:szCs w:val="20"/>
                <w:color w:val="auto"/>
              </w:rPr>
            </w:pPr>
            <w:r>
              <w:rPr>
                <w:rFonts w:ascii="Arial" w:cs="Arial" w:eastAsia="Arial" w:hAnsi="Arial"/>
                <w:sz w:val="5"/>
                <w:szCs w:val="5"/>
                <w:b w:val="1"/>
                <w:bCs w:val="1"/>
                <w:color w:val="auto"/>
              </w:rPr>
              <w:t>Retained</w:t>
            </w:r>
          </w:p>
        </w:tc>
        <w:tc>
          <w:tcPr>
            <w:tcW w:w="160" w:type="dxa"/>
            <w:vAlign w:val="bottom"/>
          </w:tcPr>
          <w:p>
            <w:pPr>
              <w:spacing w:after="0"/>
              <w:rPr>
                <w:sz w:val="4"/>
                <w:szCs w:val="4"/>
                <w:color w:val="auto"/>
              </w:rPr>
            </w:pPr>
          </w:p>
        </w:tc>
        <w:tc>
          <w:tcPr>
            <w:tcW w:w="720" w:type="dxa"/>
            <w:vAlign w:val="bottom"/>
          </w:tcPr>
          <w:p>
            <w:pPr>
              <w:jc w:val="right"/>
              <w:ind w:right="147"/>
              <w:spacing w:after="0" w:line="52" w:lineRule="exact"/>
              <w:rPr>
                <w:sz w:val="20"/>
                <w:szCs w:val="20"/>
                <w:color w:val="auto"/>
              </w:rPr>
            </w:pPr>
            <w:r>
              <w:rPr>
                <w:rFonts w:ascii="Arial" w:cs="Arial" w:eastAsia="Arial" w:hAnsi="Arial"/>
                <w:sz w:val="5"/>
                <w:szCs w:val="5"/>
                <w:b w:val="1"/>
                <w:bCs w:val="1"/>
                <w:color w:val="auto"/>
              </w:rPr>
              <w:t>Employee</w:t>
            </w:r>
          </w:p>
        </w:tc>
        <w:tc>
          <w:tcPr>
            <w:tcW w:w="1280" w:type="dxa"/>
            <w:vAlign w:val="bottom"/>
            <w:gridSpan w:val="2"/>
          </w:tcPr>
          <w:p>
            <w:pPr>
              <w:jc w:val="right"/>
              <w:ind w:right="120"/>
              <w:spacing w:after="0" w:line="52" w:lineRule="exact"/>
              <w:rPr>
                <w:sz w:val="20"/>
                <w:szCs w:val="20"/>
                <w:color w:val="auto"/>
              </w:rPr>
            </w:pPr>
            <w:r>
              <w:rPr>
                <w:rFonts w:ascii="Arial" w:cs="Arial" w:eastAsia="Arial" w:hAnsi="Arial"/>
                <w:sz w:val="5"/>
                <w:szCs w:val="5"/>
                <w:b w:val="1"/>
                <w:bCs w:val="1"/>
                <w:color w:val="auto"/>
              </w:rPr>
              <w:t>Accumulated Other</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jc w:val="right"/>
              <w:ind w:right="104"/>
              <w:spacing w:after="0" w:line="52" w:lineRule="exact"/>
              <w:rPr>
                <w:sz w:val="20"/>
                <w:szCs w:val="20"/>
                <w:color w:val="auto"/>
              </w:rPr>
            </w:pPr>
            <w:r>
              <w:rPr>
                <w:rFonts w:ascii="Arial" w:cs="Arial" w:eastAsia="Arial" w:hAnsi="Arial"/>
                <w:sz w:val="5"/>
                <w:szCs w:val="5"/>
                <w:b w:val="1"/>
                <w:bCs w:val="1"/>
                <w:color w:val="auto"/>
              </w:rPr>
              <w:t>Noncontrolling</w:t>
            </w:r>
          </w:p>
        </w:tc>
      </w:tr>
      <w:tr>
        <w:trPr>
          <w:trHeight w:val="16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Capital</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Earnings</w:t>
            </w:r>
          </w:p>
        </w:tc>
        <w:tc>
          <w:tcPr>
            <w:tcW w:w="8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0"/>
                <w:szCs w:val="10"/>
                <w:b w:val="1"/>
                <w:bCs w:val="1"/>
                <w:color w:val="auto"/>
              </w:rPr>
              <w:t>Benefit Trust</w:t>
            </w: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Comprehensive Loss</w:t>
            </w: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4"/>
              <w:spacing w:after="0"/>
              <w:rPr>
                <w:sz w:val="20"/>
                <w:szCs w:val="20"/>
                <w:color w:val="auto"/>
              </w:rPr>
            </w:pPr>
            <w:r>
              <w:rPr>
                <w:rFonts w:ascii="Arial" w:cs="Arial" w:eastAsia="Arial" w:hAnsi="Arial"/>
                <w:sz w:val="10"/>
                <w:szCs w:val="10"/>
                <w:b w:val="1"/>
                <w:bCs w:val="1"/>
                <w:color w:val="auto"/>
              </w:rPr>
              <w:t>Interests</w:t>
            </w: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April 1, 2021</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959,482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599.7</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6,579.2</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9,181.3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7"/>
              <w:spacing w:after="0"/>
              <w:rPr>
                <w:sz w:val="20"/>
                <w:szCs w:val="20"/>
                <w:color w:val="auto"/>
              </w:rPr>
            </w:pPr>
            <w:r>
              <w:rPr>
                <w:rFonts w:ascii="Arial" w:cs="Arial" w:eastAsia="Arial" w:hAnsi="Arial"/>
                <w:sz w:val="12"/>
                <w:szCs w:val="12"/>
                <w:color w:val="auto"/>
              </w:rPr>
              <w:t>(3,013.2)</w:t>
            </w:r>
          </w:p>
        </w:tc>
        <w:tc>
          <w:tcPr>
            <w:tcW w:w="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(6,395.6)</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463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200.6</w:t>
            </w:r>
          </w:p>
        </w:tc>
      </w:tr>
      <w:tr>
        <w:trPr>
          <w:trHeight w:val="164"/>
        </w:trPr>
        <w:tc>
          <w:tcPr>
            <w:tcW w:w="27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2"/>
                <w:szCs w:val="12"/>
                <w:color w:val="auto"/>
              </w:rPr>
              <w:t>1,390.2</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
              <w:spacing w:after="0"/>
              <w:rPr>
                <w:sz w:val="20"/>
                <w:szCs w:val="20"/>
                <w:color w:val="auto"/>
              </w:rPr>
            </w:pPr>
            <w:r>
              <w:rPr>
                <w:rFonts w:ascii="Arial" w:cs="Arial" w:eastAsia="Arial" w:hAnsi="Arial"/>
                <w:sz w:val="12"/>
                <w:szCs w:val="12"/>
                <w:color w:val="auto"/>
              </w:rPr>
              <w:t>31.4</w:t>
            </w:r>
          </w:p>
        </w:tc>
      </w:tr>
      <w:tr>
        <w:trPr>
          <w:trHeight w:val="172"/>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net of tax</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108.5</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4"/>
        </w:trPr>
        <w:tc>
          <w:tcPr>
            <w:tcW w:w="2760" w:type="dxa"/>
            <w:vAlign w:val="bottom"/>
          </w:tcPr>
          <w:p>
            <w:pPr>
              <w:ind w:left="20"/>
              <w:spacing w:after="0"/>
              <w:rPr>
                <w:sz w:val="20"/>
                <w:szCs w:val="20"/>
                <w:color w:val="auto"/>
              </w:rPr>
            </w:pPr>
            <w:r>
              <w:rPr>
                <w:rFonts w:ascii="Arial" w:cs="Arial" w:eastAsia="Arial" w:hAnsi="Arial"/>
                <w:sz w:val="12"/>
                <w:szCs w:val="12"/>
                <w:color w:val="auto"/>
              </w:rPr>
              <w:t>Cash dividends declared per share: $1.70</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2"/>
                <w:szCs w:val="12"/>
                <w:color w:val="auto"/>
              </w:rPr>
              <w:t>(1,542.9)</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Retirement of treasury shares</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(2,467)</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(498.5)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(2,467)</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500.0</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4"/>
        </w:trPr>
        <w:tc>
          <w:tcPr>
            <w:tcW w:w="2760" w:type="dxa"/>
            <w:vAlign w:val="bottom"/>
          </w:tcPr>
          <w:p>
            <w:pPr>
              <w:ind w:left="20"/>
              <w:spacing w:after="0"/>
              <w:rPr>
                <w:sz w:val="20"/>
                <w:szCs w:val="20"/>
                <w:color w:val="auto"/>
              </w:rPr>
            </w:pPr>
            <w:r>
              <w:rPr>
                <w:rFonts w:ascii="Arial" w:cs="Arial" w:eastAsia="Arial" w:hAnsi="Arial"/>
                <w:sz w:val="12"/>
                <w:szCs w:val="12"/>
                <w:color w:val="auto"/>
              </w:rPr>
              <w:t>Purchase of 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2,467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stock under employee stock plans, net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23</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4"/>
        </w:trPr>
        <w:tc>
          <w:tcPr>
            <w:tcW w:w="27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91.9</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w:t>
            </w:r>
          </w:p>
        </w:tc>
      </w:tr>
      <w:tr>
        <w:trPr>
          <w:trHeight w:val="171"/>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Balance at June 30, 2021</w:t>
            </w: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957,038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598.1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8,530.1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color w:val="auto"/>
              </w:rPr>
              <w:t>(3,013.2)</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(6,287.1)</w:t>
            </w: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219.1</w:t>
            </w:r>
          </w:p>
        </w:tc>
      </w:tr>
      <w:tr>
        <w:trPr>
          <w:trHeight w:val="194"/>
        </w:trPr>
        <w:tc>
          <w:tcPr>
            <w:tcW w:w="2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67"/>
        </w:trPr>
        <w:tc>
          <w:tcPr>
            <w:tcW w:w="2760" w:type="dxa"/>
            <w:vAlign w:val="bottom"/>
          </w:tcPr>
          <w:p>
            <w:pPr>
              <w:ind w:left="20"/>
              <w:spacing w:after="0"/>
              <w:rPr>
                <w:sz w:val="20"/>
                <w:szCs w:val="20"/>
                <w:color w:val="auto"/>
              </w:rPr>
            </w:pPr>
            <w:r>
              <w:rPr>
                <w:rFonts w:ascii="Arial" w:cs="Arial" w:eastAsia="Arial" w:hAnsi="Arial"/>
                <w:sz w:val="12"/>
                <w:szCs w:val="12"/>
                <w:color w:val="auto"/>
              </w:rPr>
              <w:t>Balance at April 1, 2022</w:t>
            </w:r>
          </w:p>
        </w:tc>
        <w:tc>
          <w:tcPr>
            <w:tcW w:w="840" w:type="dxa"/>
            <w:vAlign w:val="bottom"/>
          </w:tcPr>
          <w:p>
            <w:pPr>
              <w:jc w:val="right"/>
              <w:ind w:right="62"/>
              <w:spacing w:after="0"/>
              <w:rPr>
                <w:sz w:val="20"/>
                <w:szCs w:val="20"/>
                <w:color w:val="auto"/>
              </w:rPr>
            </w:pPr>
            <w:r>
              <w:rPr>
                <w:rFonts w:ascii="Arial" w:cs="Arial" w:eastAsia="Arial" w:hAnsi="Arial"/>
                <w:sz w:val="12"/>
                <w:szCs w:val="12"/>
                <w:b w:val="1"/>
                <w:bCs w:val="1"/>
                <w:color w:val="auto"/>
              </w:rPr>
              <w:t>950,605</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1"/>
              <w:spacing w:after="0"/>
              <w:rPr>
                <w:sz w:val="20"/>
                <w:szCs w:val="20"/>
                <w:color w:val="auto"/>
              </w:rPr>
            </w:pPr>
            <w:r>
              <w:rPr>
                <w:rFonts w:ascii="Arial" w:cs="Arial" w:eastAsia="Arial" w:hAnsi="Arial"/>
                <w:sz w:val="12"/>
                <w:szCs w:val="12"/>
                <w:b w:val="1"/>
                <w:bCs w:val="1"/>
                <w:color w:val="auto"/>
              </w:rPr>
              <w:t>594.1</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6,656.3</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64"/>
              <w:spacing w:after="0"/>
              <w:rPr>
                <w:sz w:val="20"/>
                <w:szCs w:val="20"/>
                <w:color w:val="auto"/>
              </w:rPr>
            </w:pPr>
            <w:r>
              <w:rPr>
                <w:rFonts w:ascii="Arial" w:cs="Arial" w:eastAsia="Arial" w:hAnsi="Arial"/>
                <w:sz w:val="12"/>
                <w:szCs w:val="12"/>
                <w:b w:val="1"/>
                <w:bCs w:val="1"/>
                <w:color w:val="auto"/>
              </w:rPr>
              <w:t>9,369.4</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7"/>
              <w:spacing w:after="0"/>
              <w:rPr>
                <w:sz w:val="20"/>
                <w:szCs w:val="20"/>
                <w:color w:val="auto"/>
              </w:rPr>
            </w:pPr>
            <w:r>
              <w:rPr>
                <w:rFonts w:ascii="Arial" w:cs="Arial" w:eastAsia="Arial" w:hAnsi="Arial"/>
                <w:sz w:val="12"/>
                <w:szCs w:val="12"/>
                <w:b w:val="1"/>
                <w:bCs w:val="1"/>
                <w:color w:val="auto"/>
              </w:rPr>
              <w:t>(3,013.2)</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b w:val="1"/>
                <w:bCs w:val="1"/>
                <w:color w:val="auto"/>
              </w:rPr>
              <w:t>(4,225.3)</w:t>
            </w:r>
          </w:p>
        </w:tc>
        <w:tc>
          <w:tcPr>
            <w:tcW w:w="840" w:type="dxa"/>
            <w:vAlign w:val="bottom"/>
          </w:tcPr>
          <w:p>
            <w:pPr>
              <w:jc w:val="right"/>
              <w:ind w:right="62"/>
              <w:spacing w:after="0"/>
              <w:rPr>
                <w:sz w:val="20"/>
                <w:szCs w:val="20"/>
                <w:color w:val="auto"/>
              </w:rPr>
            </w:pPr>
            <w:r>
              <w:rPr>
                <w:rFonts w:ascii="Arial" w:cs="Arial" w:eastAsia="Arial" w:hAnsi="Arial"/>
                <w:sz w:val="12"/>
                <w:szCs w:val="12"/>
                <w:b w:val="1"/>
                <w:bCs w:val="1"/>
                <w:color w:val="auto"/>
              </w:rPr>
              <w:t>450</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(50.5)</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4"/>
              <w:spacing w:after="0"/>
              <w:rPr>
                <w:sz w:val="20"/>
                <w:szCs w:val="20"/>
                <w:color w:val="auto"/>
              </w:rPr>
            </w:pPr>
            <w:r>
              <w:rPr>
                <w:rFonts w:ascii="Arial" w:cs="Arial" w:eastAsia="Arial" w:hAnsi="Arial"/>
                <w:sz w:val="12"/>
                <w:szCs w:val="12"/>
                <w:b w:val="1"/>
                <w:bCs w:val="1"/>
                <w:color w:val="auto"/>
              </w:rPr>
              <w:t>131.2</w:t>
            </w:r>
          </w:p>
        </w:tc>
      </w:tr>
      <w:tr>
        <w:trPr>
          <w:trHeight w:val="169"/>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2"/>
                <w:szCs w:val="12"/>
                <w:b w:val="1"/>
                <w:bCs w:val="1"/>
                <w:color w:val="auto"/>
              </w:rPr>
              <w:t>952.5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(11.4)</w:t>
            </w:r>
          </w:p>
        </w:tc>
      </w:tr>
      <w:tr>
        <w:trPr>
          <w:trHeight w:val="167"/>
        </w:trPr>
        <w:tc>
          <w:tcPr>
            <w:tcW w:w="2760" w:type="dxa"/>
            <w:vAlign w:val="bottom"/>
          </w:tcPr>
          <w:p>
            <w:pPr>
              <w:ind w:left="20"/>
              <w:spacing w:after="0"/>
              <w:rPr>
                <w:sz w:val="20"/>
                <w:szCs w:val="20"/>
                <w:color w:val="auto"/>
              </w:rPr>
            </w:pPr>
            <w:r>
              <w:rPr>
                <w:rFonts w:ascii="Arial" w:cs="Arial" w:eastAsia="Arial" w:hAnsi="Arial"/>
                <w:sz w:val="12"/>
                <w:szCs w:val="12"/>
                <w:color w:val="auto"/>
              </w:rPr>
              <w:t>Other comprehensive loss, net of tax</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b w:val="1"/>
                <w:bCs w:val="1"/>
                <w:color w:val="auto"/>
              </w:rPr>
              <w:t>(62.4)</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dividends declared per share: $1.96</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2"/>
                <w:szCs w:val="12"/>
                <w:b w:val="1"/>
                <w:bCs w:val="1"/>
                <w:color w:val="auto"/>
              </w:rPr>
              <w:t>(1,765.9)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2760" w:type="dxa"/>
            <w:vAlign w:val="bottom"/>
          </w:tcPr>
          <w:p>
            <w:pPr>
              <w:ind w:left="20"/>
              <w:spacing w:after="0"/>
              <w:rPr>
                <w:sz w:val="20"/>
                <w:szCs w:val="20"/>
                <w:color w:val="auto"/>
              </w:rPr>
            </w:pPr>
            <w:r>
              <w:rPr>
                <w:rFonts w:ascii="Arial" w:cs="Arial" w:eastAsia="Arial" w:hAnsi="Arial"/>
                <w:sz w:val="12"/>
                <w:szCs w:val="12"/>
                <w:color w:val="auto"/>
              </w:rPr>
              <w:t>Issuance of stock under employee stock plans, net</w:t>
            </w:r>
          </w:p>
        </w:tc>
        <w:tc>
          <w:tcPr>
            <w:tcW w:w="840" w:type="dxa"/>
            <w:vAlign w:val="bottom"/>
          </w:tcPr>
          <w:p>
            <w:pPr>
              <w:jc w:val="right"/>
              <w:ind w:right="62"/>
              <w:spacing w:after="0"/>
              <w:rPr>
                <w:sz w:val="20"/>
                <w:szCs w:val="20"/>
                <w:color w:val="auto"/>
              </w:rPr>
            </w:pPr>
            <w:r>
              <w:rPr>
                <w:rFonts w:ascii="Arial" w:cs="Arial" w:eastAsia="Arial" w:hAnsi="Arial"/>
                <w:sz w:val="12"/>
                <w:szCs w:val="12"/>
                <w:b w:val="1"/>
                <w:bCs w:val="1"/>
                <w:color w:val="auto"/>
              </w:rPr>
              <w:t>14</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(2.4)</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2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92.1</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w:t>
            </w:r>
          </w:p>
        </w:tc>
      </w:tr>
      <w:tr>
        <w:trPr>
          <w:trHeight w:val="16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June 30, 2022</w:t>
            </w:r>
          </w:p>
        </w:tc>
        <w:tc>
          <w:tcPr>
            <w:tcW w:w="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950,619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594.1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6,746.0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b w:val="1"/>
                <w:bCs w:val="1"/>
                <w:color w:val="auto"/>
              </w:rPr>
              <w:t>8,556.0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2"/>
                <w:szCs w:val="12"/>
                <w:b w:val="1"/>
                <w:bCs w:val="1"/>
                <w:color w:val="auto"/>
              </w:rPr>
              <w:t>(3,013.2)</w:t>
            </w:r>
          </w:p>
        </w:tc>
        <w:tc>
          <w:tcPr>
            <w:tcW w:w="5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(4,287.7)</w:t>
            </w:r>
          </w:p>
        </w:tc>
        <w:tc>
          <w:tcPr>
            <w:tcW w:w="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450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114.5</w:t>
            </w:r>
          </w:p>
        </w:tc>
      </w:tr>
    </w:tbl>
    <w:p>
      <w:pPr>
        <w:spacing w:after="0" w:line="112" w:lineRule="exact"/>
        <w:rPr>
          <w:sz w:val="20"/>
          <w:szCs w:val="20"/>
          <w:color w:val="auto"/>
        </w:rPr>
      </w:pPr>
    </w:p>
    <w:p>
      <w:pPr>
        <w:ind w:left="140" w:hanging="137"/>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As of June 30, 2022, there was $3.25 billion remaining under our $5.00 billion share repurchase program authorized in May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8"/>
        </w:trPr>
        <w:tc>
          <w:tcPr>
            <w:tcW w:w="26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6"/>
          </w:tcPr>
          <w:p>
            <w:pPr>
              <w:jc w:val="right"/>
              <w:ind w:right="885"/>
              <w:spacing w:after="0"/>
              <w:rPr>
                <w:sz w:val="20"/>
                <w:szCs w:val="20"/>
                <w:color w:val="auto"/>
              </w:rPr>
            </w:pPr>
            <w:r>
              <w:rPr>
                <w:rFonts w:ascii="Arial" w:cs="Arial" w:eastAsia="Arial" w:hAnsi="Arial"/>
                <w:sz w:val="10"/>
                <w:szCs w:val="10"/>
                <w:b w:val="1"/>
                <w:bCs w:val="1"/>
                <w:color w:val="auto"/>
              </w:rPr>
              <w:t>Equity of Eli Lilly and Company Shareholders</w:t>
            </w: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660" w:type="dxa"/>
            <w:vAlign w:val="bottom"/>
          </w:tcPr>
          <w:p>
            <w:pPr>
              <w:spacing w:after="0"/>
              <w:rPr>
                <w:sz w:val="20"/>
                <w:szCs w:val="20"/>
                <w:color w:val="auto"/>
              </w:rPr>
            </w:pPr>
          </w:p>
        </w:tc>
        <w:tc>
          <w:tcPr>
            <w:tcW w:w="1600" w:type="dxa"/>
            <w:vAlign w:val="bottom"/>
            <w:gridSpan w:val="3"/>
          </w:tcPr>
          <w:p>
            <w:pPr>
              <w:jc w:val="right"/>
              <w:ind w:right="361"/>
              <w:spacing w:after="0"/>
              <w:rPr>
                <w:sz w:val="20"/>
                <w:szCs w:val="20"/>
                <w:color w:val="auto"/>
              </w:rPr>
            </w:pPr>
            <w:r>
              <w:rPr>
                <w:rFonts w:ascii="Arial" w:cs="Arial" w:eastAsia="Arial" w:hAnsi="Arial"/>
                <w:sz w:val="10"/>
                <w:szCs w:val="10"/>
                <w:b w:val="1"/>
                <w:bCs w:val="1"/>
                <w:color w:val="auto"/>
              </w:rPr>
              <w:t>Common Stock</w:t>
            </w:r>
          </w:p>
        </w:tc>
        <w:tc>
          <w:tcPr>
            <w:tcW w:w="220" w:type="dxa"/>
            <w:vAlign w:val="bottom"/>
          </w:tcPr>
          <w:p>
            <w:pPr>
              <w:spacing w:after="0"/>
              <w:rPr>
                <w:sz w:val="20"/>
                <w:szCs w:val="20"/>
                <w:color w:val="auto"/>
              </w:rPr>
            </w:pPr>
          </w:p>
        </w:tc>
        <w:tc>
          <w:tcPr>
            <w:tcW w:w="700" w:type="dxa"/>
            <w:vAlign w:val="bottom"/>
          </w:tcPr>
          <w:p>
            <w:pPr>
              <w:jc w:val="right"/>
              <w:ind w:right="124"/>
              <w:spacing w:after="0"/>
              <w:rPr>
                <w:sz w:val="20"/>
                <w:szCs w:val="20"/>
                <w:color w:val="auto"/>
              </w:rPr>
            </w:pPr>
            <w:r>
              <w:rPr>
                <w:rFonts w:ascii="Arial" w:cs="Arial" w:eastAsia="Arial" w:hAnsi="Arial"/>
                <w:sz w:val="10"/>
                <w:szCs w:val="10"/>
                <w:b w:val="1"/>
                <w:bCs w:val="1"/>
                <w:color w:val="auto"/>
              </w:rPr>
              <w:t>Additional</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40" w:type="dxa"/>
            <w:vAlign w:val="bottom"/>
            <w:gridSpan w:val="3"/>
          </w:tcPr>
          <w:p>
            <w:pPr>
              <w:jc w:val="right"/>
              <w:ind w:right="41"/>
              <w:spacing w:after="0"/>
              <w:rPr>
                <w:sz w:val="20"/>
                <w:szCs w:val="20"/>
                <w:color w:val="auto"/>
              </w:rPr>
            </w:pPr>
            <w:r>
              <w:rPr>
                <w:rFonts w:ascii="Arial" w:cs="Arial" w:eastAsia="Arial" w:hAnsi="Arial"/>
                <w:sz w:val="10"/>
                <w:szCs w:val="10"/>
                <w:b w:val="1"/>
                <w:bCs w:val="1"/>
                <w:color w:val="auto"/>
              </w:rPr>
              <w:t>Common Stock in Treasury</w:t>
            </w:r>
            <w:r>
              <w:rPr>
                <w:rFonts w:ascii="Arial" w:cs="Arial" w:eastAsia="Arial" w:hAnsi="Arial"/>
                <w:sz w:val="15"/>
                <w:szCs w:val="15"/>
                <w:b w:val="1"/>
                <w:bCs w:val="1"/>
                <w:color w:val="auto"/>
                <w:vertAlign w:val="superscript"/>
              </w:rPr>
              <w:t>(1)</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2660" w:type="dxa"/>
            <w:vAlign w:val="bottom"/>
          </w:tcPr>
          <w:p>
            <w:pPr>
              <w:ind w:left="20"/>
              <w:spacing w:after="0" w:line="52" w:lineRule="exact"/>
              <w:rPr>
                <w:sz w:val="20"/>
                <w:szCs w:val="20"/>
                <w:color w:val="auto"/>
              </w:rPr>
            </w:pPr>
            <w:r>
              <w:rPr>
                <w:rFonts w:ascii="Arial" w:cs="Arial" w:eastAsia="Arial" w:hAnsi="Arial"/>
                <w:sz w:val="5"/>
                <w:szCs w:val="5"/>
                <w:b w:val="1"/>
                <w:bCs w:val="1"/>
                <w:color w:val="auto"/>
              </w:rPr>
              <w:t>(Dollars in millions, except per-share data, and</w:t>
            </w: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jc w:val="right"/>
              <w:ind w:right="204"/>
              <w:spacing w:after="0" w:line="52" w:lineRule="exact"/>
              <w:rPr>
                <w:sz w:val="20"/>
                <w:szCs w:val="20"/>
                <w:color w:val="auto"/>
              </w:rPr>
            </w:pPr>
            <w:r>
              <w:rPr>
                <w:rFonts w:ascii="Arial" w:cs="Arial" w:eastAsia="Arial" w:hAnsi="Arial"/>
                <w:sz w:val="5"/>
                <w:szCs w:val="5"/>
                <w:b w:val="1"/>
                <w:bCs w:val="1"/>
                <w:color w:val="auto"/>
              </w:rPr>
              <w:t>Paid-in</w:t>
            </w:r>
          </w:p>
        </w:tc>
        <w:tc>
          <w:tcPr>
            <w:tcW w:w="220" w:type="dxa"/>
            <w:vAlign w:val="bottom"/>
          </w:tcPr>
          <w:p>
            <w:pPr>
              <w:spacing w:after="0"/>
              <w:rPr>
                <w:sz w:val="4"/>
                <w:szCs w:val="4"/>
                <w:color w:val="auto"/>
              </w:rPr>
            </w:pPr>
          </w:p>
        </w:tc>
        <w:tc>
          <w:tcPr>
            <w:tcW w:w="740" w:type="dxa"/>
            <w:vAlign w:val="bottom"/>
          </w:tcPr>
          <w:p>
            <w:pPr>
              <w:jc w:val="right"/>
              <w:ind w:right="203"/>
              <w:spacing w:after="0" w:line="52" w:lineRule="exact"/>
              <w:rPr>
                <w:sz w:val="20"/>
                <w:szCs w:val="20"/>
                <w:color w:val="auto"/>
              </w:rPr>
            </w:pPr>
            <w:r>
              <w:rPr>
                <w:rFonts w:ascii="Arial" w:cs="Arial" w:eastAsia="Arial" w:hAnsi="Arial"/>
                <w:sz w:val="5"/>
                <w:szCs w:val="5"/>
                <w:b w:val="1"/>
                <w:bCs w:val="1"/>
                <w:color w:val="auto"/>
              </w:rPr>
              <w:t>Retained</w:t>
            </w:r>
          </w:p>
        </w:tc>
        <w:tc>
          <w:tcPr>
            <w:tcW w:w="160" w:type="dxa"/>
            <w:vAlign w:val="bottom"/>
          </w:tcPr>
          <w:p>
            <w:pPr>
              <w:spacing w:after="0"/>
              <w:rPr>
                <w:sz w:val="4"/>
                <w:szCs w:val="4"/>
                <w:color w:val="auto"/>
              </w:rPr>
            </w:pPr>
          </w:p>
        </w:tc>
        <w:tc>
          <w:tcPr>
            <w:tcW w:w="840" w:type="dxa"/>
            <w:vAlign w:val="bottom"/>
          </w:tcPr>
          <w:p>
            <w:pPr>
              <w:jc w:val="right"/>
              <w:ind w:right="207"/>
              <w:spacing w:after="0" w:line="52" w:lineRule="exact"/>
              <w:rPr>
                <w:sz w:val="20"/>
                <w:szCs w:val="20"/>
                <w:color w:val="auto"/>
              </w:rPr>
            </w:pPr>
            <w:r>
              <w:rPr>
                <w:rFonts w:ascii="Arial" w:cs="Arial" w:eastAsia="Arial" w:hAnsi="Arial"/>
                <w:sz w:val="5"/>
                <w:szCs w:val="5"/>
                <w:b w:val="1"/>
                <w:bCs w:val="1"/>
                <w:color w:val="auto"/>
              </w:rPr>
              <w:t>Employee</w:t>
            </w:r>
          </w:p>
        </w:tc>
        <w:tc>
          <w:tcPr>
            <w:tcW w:w="140" w:type="dxa"/>
            <w:vAlign w:val="bottom"/>
          </w:tcPr>
          <w:p>
            <w:pPr>
              <w:spacing w:after="0"/>
              <w:rPr>
                <w:sz w:val="4"/>
                <w:szCs w:val="4"/>
                <w:color w:val="auto"/>
              </w:rPr>
            </w:pPr>
          </w:p>
        </w:tc>
        <w:tc>
          <w:tcPr>
            <w:tcW w:w="1140" w:type="dxa"/>
            <w:vAlign w:val="bottom"/>
          </w:tcPr>
          <w:p>
            <w:pPr>
              <w:jc w:val="right"/>
              <w:ind w:right="125"/>
              <w:spacing w:after="0" w:line="52" w:lineRule="exact"/>
              <w:rPr>
                <w:sz w:val="20"/>
                <w:szCs w:val="20"/>
                <w:color w:val="auto"/>
              </w:rPr>
            </w:pPr>
            <w:r>
              <w:rPr>
                <w:rFonts w:ascii="Arial" w:cs="Arial" w:eastAsia="Arial" w:hAnsi="Arial"/>
                <w:sz w:val="5"/>
                <w:szCs w:val="5"/>
                <w:b w:val="1"/>
                <w:bCs w:val="1"/>
                <w:color w:val="auto"/>
              </w:rPr>
              <w:t>Accumulated Other</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jc w:val="right"/>
              <w:ind w:right="104"/>
              <w:spacing w:after="0" w:line="52" w:lineRule="exact"/>
              <w:rPr>
                <w:sz w:val="20"/>
                <w:szCs w:val="20"/>
                <w:color w:val="auto"/>
              </w:rPr>
            </w:pPr>
            <w:r>
              <w:rPr>
                <w:rFonts w:ascii="Arial" w:cs="Arial" w:eastAsia="Arial" w:hAnsi="Arial"/>
                <w:sz w:val="5"/>
                <w:szCs w:val="5"/>
                <w:b w:val="1"/>
                <w:bCs w:val="1"/>
                <w:color w:val="auto"/>
              </w:rPr>
              <w:t>Noncontrolling</w:t>
            </w:r>
          </w:p>
        </w:tc>
        <w:tc>
          <w:tcPr>
            <w:tcW w:w="0" w:type="dxa"/>
            <w:vAlign w:val="bottom"/>
          </w:tcPr>
          <w:p>
            <w:pPr>
              <w:spacing w:after="0"/>
              <w:rPr>
                <w:sz w:val="1"/>
                <w:szCs w:val="1"/>
                <w:color w:val="auto"/>
              </w:rPr>
            </w:pPr>
          </w:p>
        </w:tc>
      </w:tr>
      <w:tr>
        <w:trPr>
          <w:trHeight w:val="167"/>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shares in thousands)</w:t>
            </w: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Shares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Capital</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Earnings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0"/>
                <w:szCs w:val="10"/>
                <w:b w:val="1"/>
                <w:bCs w:val="1"/>
                <w:color w:val="auto"/>
              </w:rPr>
              <w:t>Benefit Trust</w:t>
            </w:r>
          </w:p>
        </w:tc>
        <w:tc>
          <w:tcPr>
            <w:tcW w:w="128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0"/>
                <w:szCs w:val="10"/>
                <w:b w:val="1"/>
                <w:bCs w:val="1"/>
                <w:color w:val="auto"/>
              </w:rPr>
              <w:t>Comprehensive Loss</w:t>
            </w: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Interests</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January 1, 2021</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957,077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598.2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6,778.5</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7,830.2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2"/>
                <w:szCs w:val="12"/>
                <w:color w:val="auto"/>
              </w:rPr>
              <w:t>(3,013.2)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(6,496.4)</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487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183.6</w:t>
            </w:r>
          </w:p>
        </w:tc>
        <w:tc>
          <w:tcPr>
            <w:tcW w:w="0" w:type="dxa"/>
            <w:vAlign w:val="bottom"/>
          </w:tcPr>
          <w:p>
            <w:pPr>
              <w:spacing w:after="0"/>
              <w:rPr>
                <w:sz w:val="1"/>
                <w:szCs w:val="1"/>
                <w:color w:val="auto"/>
              </w:rPr>
            </w:pPr>
          </w:p>
        </w:tc>
      </w:tr>
      <w:tr>
        <w:trPr>
          <w:trHeight w:val="164"/>
        </w:trPr>
        <w:tc>
          <w:tcPr>
            <w:tcW w:w="26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3"/>
              <w:spacing w:after="0"/>
              <w:rPr>
                <w:sz w:val="20"/>
                <w:szCs w:val="20"/>
                <w:color w:val="auto"/>
              </w:rPr>
            </w:pPr>
            <w:r>
              <w:rPr>
                <w:rFonts w:ascii="Arial" w:cs="Arial" w:eastAsia="Arial" w:hAnsi="Arial"/>
                <w:sz w:val="12"/>
                <w:szCs w:val="12"/>
                <w:color w:val="auto"/>
              </w:rPr>
              <w:t>2,745.5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
              <w:spacing w:after="0"/>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net of tax</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5"/>
              <w:spacing w:after="0"/>
              <w:rPr>
                <w:sz w:val="20"/>
                <w:szCs w:val="20"/>
                <w:color w:val="auto"/>
              </w:rPr>
            </w:pPr>
            <w:r>
              <w:rPr>
                <w:rFonts w:ascii="Arial" w:cs="Arial" w:eastAsia="Arial" w:hAnsi="Arial"/>
                <w:sz w:val="12"/>
                <w:szCs w:val="12"/>
                <w:color w:val="auto"/>
              </w:rPr>
              <w:t>209.3</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60" w:type="dxa"/>
            <w:vAlign w:val="bottom"/>
          </w:tcPr>
          <w:p>
            <w:pPr>
              <w:ind w:left="20"/>
              <w:spacing w:after="0"/>
              <w:rPr>
                <w:sz w:val="20"/>
                <w:szCs w:val="20"/>
                <w:color w:val="auto"/>
              </w:rPr>
            </w:pPr>
            <w:r>
              <w:rPr>
                <w:rFonts w:ascii="Arial" w:cs="Arial" w:eastAsia="Arial" w:hAnsi="Arial"/>
                <w:sz w:val="12"/>
                <w:szCs w:val="12"/>
                <w:color w:val="auto"/>
              </w:rPr>
              <w:t>Cash dividends declared per share: $1.70</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(1,542.9)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Retirement of treasury shares</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(2,467)</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(498.5)</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(2,467)</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500.0</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60" w:type="dxa"/>
            <w:vAlign w:val="bottom"/>
          </w:tcPr>
          <w:p>
            <w:pPr>
              <w:ind w:left="20"/>
              <w:spacing w:after="0"/>
              <w:rPr>
                <w:sz w:val="20"/>
                <w:szCs w:val="20"/>
                <w:color w:val="auto"/>
              </w:rPr>
            </w:pPr>
            <w:r>
              <w:rPr>
                <w:rFonts w:ascii="Arial" w:cs="Arial" w:eastAsia="Arial" w:hAnsi="Arial"/>
                <w:sz w:val="12"/>
                <w:szCs w:val="12"/>
                <w:color w:val="auto"/>
              </w:rPr>
              <w:t>Purchase of treasury shares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2,467</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6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Issuance of stock under employee stock plans,</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2,428</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(285.8)</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(24)</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4"/>
              <w:spacing w:after="0"/>
              <w:rPr>
                <w:sz w:val="20"/>
                <w:szCs w:val="20"/>
                <w:color w:val="auto"/>
              </w:rPr>
            </w:pPr>
            <w:r>
              <w:rPr>
                <w:rFonts w:ascii="Arial" w:cs="Arial" w:eastAsia="Arial" w:hAnsi="Arial"/>
                <w:sz w:val="12"/>
                <w:szCs w:val="12"/>
                <w:color w:val="auto"/>
              </w:rPr>
              <w:t>177.4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(0.9)</w:t>
            </w: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(4.2)</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Balance at June 30, 2021</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957,038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598.1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6,669.2</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8,530.1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color w:val="auto"/>
              </w:rPr>
              <w:t>(3,013.2)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(6,287.1)</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219.1</w:t>
            </w:r>
          </w:p>
        </w:tc>
        <w:tc>
          <w:tcPr>
            <w:tcW w:w="0" w:type="dxa"/>
            <w:vAlign w:val="bottom"/>
          </w:tcPr>
          <w:p>
            <w:pPr>
              <w:spacing w:after="0"/>
              <w:rPr>
                <w:sz w:val="1"/>
                <w:szCs w:val="1"/>
                <w:color w:val="auto"/>
              </w:rPr>
            </w:pPr>
          </w:p>
        </w:tc>
      </w:tr>
      <w:tr>
        <w:trPr>
          <w:trHeight w:val="194"/>
        </w:trPr>
        <w:tc>
          <w:tcPr>
            <w:tcW w:w="2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Balance at January 1, 2022</w:t>
            </w: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954,116</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b w:val="1"/>
                <w:bCs w:val="1"/>
                <w:color w:val="auto"/>
              </w:rPr>
              <w:t>596.3</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44"/>
              <w:spacing w:after="0"/>
              <w:rPr>
                <w:sz w:val="20"/>
                <w:szCs w:val="20"/>
                <w:color w:val="auto"/>
              </w:rPr>
            </w:pPr>
            <w:r>
              <w:rPr>
                <w:rFonts w:ascii="Arial" w:cs="Arial" w:eastAsia="Arial" w:hAnsi="Arial"/>
                <w:sz w:val="12"/>
                <w:szCs w:val="12"/>
                <w:b w:val="1"/>
                <w:bCs w:val="1"/>
                <w:color w:val="auto"/>
              </w:rPr>
              <w:t>6,833.4</w:t>
            </w:r>
          </w:p>
        </w:tc>
        <w:tc>
          <w:tcPr>
            <w:tcW w:w="2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right"/>
              <w:ind w:right="43"/>
              <w:spacing w:after="0"/>
              <w:rPr>
                <w:sz w:val="20"/>
                <w:szCs w:val="20"/>
                <w:color w:val="auto"/>
              </w:rPr>
            </w:pPr>
            <w:r>
              <w:rPr>
                <w:rFonts w:ascii="Arial" w:cs="Arial" w:eastAsia="Arial" w:hAnsi="Arial"/>
                <w:sz w:val="12"/>
                <w:szCs w:val="12"/>
                <w:b w:val="1"/>
                <w:bCs w:val="1"/>
                <w:color w:val="auto"/>
              </w:rPr>
              <w:t>8,958.5</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40" w:type="dxa"/>
            <w:vAlign w:val="bottom"/>
          </w:tcPr>
          <w:p>
            <w:pPr>
              <w:jc w:val="right"/>
              <w:ind w:right="65"/>
              <w:spacing w:after="0"/>
              <w:rPr>
                <w:sz w:val="20"/>
                <w:szCs w:val="20"/>
                <w:color w:val="auto"/>
              </w:rPr>
            </w:pPr>
            <w:r>
              <w:rPr>
                <w:rFonts w:ascii="Arial" w:cs="Arial" w:eastAsia="Arial" w:hAnsi="Arial"/>
                <w:sz w:val="12"/>
                <w:szCs w:val="12"/>
                <w:b w:val="1"/>
                <w:bCs w:val="1"/>
                <w:color w:val="auto"/>
              </w:rPr>
              <w:t>(4,343.1)</w:t>
            </w:r>
          </w:p>
        </w:tc>
        <w:tc>
          <w:tcPr>
            <w:tcW w:w="820" w:type="dxa"/>
            <w:vAlign w:val="bottom"/>
          </w:tcPr>
          <w:p>
            <w:pPr>
              <w:jc w:val="right"/>
              <w:ind w:right="41"/>
              <w:spacing w:after="0"/>
              <w:rPr>
                <w:sz w:val="20"/>
                <w:szCs w:val="20"/>
                <w:color w:val="auto"/>
              </w:rPr>
            </w:pPr>
            <w:r>
              <w:rPr>
                <w:rFonts w:ascii="Arial" w:cs="Arial" w:eastAsia="Arial" w:hAnsi="Arial"/>
                <w:sz w:val="12"/>
                <w:szCs w:val="12"/>
                <w:b w:val="1"/>
                <w:bCs w:val="1"/>
                <w:color w:val="auto"/>
              </w:rPr>
              <w:t>463</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(52.7)</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jc w:val="right"/>
              <w:ind w:right="4"/>
              <w:spacing w:after="0"/>
              <w:rPr>
                <w:sz w:val="20"/>
                <w:szCs w:val="20"/>
                <w:color w:val="auto"/>
              </w:rPr>
            </w:pPr>
            <w:r>
              <w:rPr>
                <w:rFonts w:ascii="Arial" w:cs="Arial" w:eastAsia="Arial" w:hAnsi="Arial"/>
                <w:sz w:val="12"/>
                <w:szCs w:val="12"/>
                <w:b w:val="1"/>
                <w:bCs w:val="1"/>
                <w:color w:val="auto"/>
              </w:rPr>
              <w:t>175.6</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2,855.4</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(48.0)</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Other comprehensive income, net of tax</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05"/>
              <w:spacing w:after="0"/>
              <w:rPr>
                <w:sz w:val="20"/>
                <w:szCs w:val="20"/>
                <w:color w:val="auto"/>
              </w:rPr>
            </w:pPr>
            <w:r>
              <w:rPr>
                <w:rFonts w:ascii="Arial" w:cs="Arial" w:eastAsia="Arial" w:hAnsi="Arial"/>
                <w:sz w:val="12"/>
                <w:szCs w:val="12"/>
                <w:b w:val="1"/>
                <w:bCs w:val="1"/>
                <w:color w:val="auto"/>
              </w:rPr>
              <w:t>55.4</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dividends declared per share: $1.96</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2"/>
                <w:szCs w:val="12"/>
                <w:b w:val="1"/>
                <w:bCs w:val="1"/>
                <w:color w:val="auto"/>
              </w:rPr>
              <w:t>(1,765.9)</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Retirement of treasury shares</w:t>
            </w:r>
          </w:p>
        </w:tc>
        <w:tc>
          <w:tcPr>
            <w:tcW w:w="880" w:type="dxa"/>
            <w:vAlign w:val="bottom"/>
          </w:tcPr>
          <w:p>
            <w:pPr>
              <w:jc w:val="right"/>
              <w:ind w:right="21"/>
              <w:spacing w:after="0"/>
              <w:rPr>
                <w:sz w:val="20"/>
                <w:szCs w:val="20"/>
                <w:color w:val="auto"/>
              </w:rPr>
            </w:pPr>
            <w:r>
              <w:rPr>
                <w:rFonts w:ascii="Arial" w:cs="Arial" w:eastAsia="Arial" w:hAnsi="Arial"/>
                <w:sz w:val="12"/>
                <w:szCs w:val="12"/>
                <w:b w:val="1"/>
                <w:bCs w:val="1"/>
                <w:color w:val="auto"/>
              </w:rPr>
              <w:t>(5,607)</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(3.5)</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2"/>
                <w:szCs w:val="12"/>
                <w:b w:val="1"/>
                <w:bCs w:val="1"/>
                <w:color w:val="auto"/>
              </w:rPr>
              <w:t>(1,496.5)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b w:val="1"/>
                <w:bCs w:val="1"/>
                <w:color w:val="auto"/>
              </w:rPr>
              <w:t>(5,607)</w:t>
            </w:r>
          </w:p>
        </w:tc>
        <w:tc>
          <w:tcPr>
            <w:tcW w:w="200" w:type="dxa"/>
            <w:vAlign w:val="bottom"/>
          </w:tcPr>
          <w:p>
            <w:pPr>
              <w:spacing w:after="0"/>
              <w:rPr>
                <w:sz w:val="14"/>
                <w:szCs w:val="14"/>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b w:val="1"/>
                <w:bCs w:val="1"/>
                <w:color w:val="auto"/>
              </w:rPr>
              <w:t>1,500.0</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treasury shares</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5,607</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(1,500.0)</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60" w:type="dxa"/>
            <w:vAlign w:val="bottom"/>
          </w:tcPr>
          <w:p>
            <w:pPr>
              <w:ind w:left="20"/>
              <w:spacing w:after="0" w:line="117" w:lineRule="exact"/>
              <w:rPr>
                <w:sz w:val="20"/>
                <w:szCs w:val="20"/>
                <w:color w:val="auto"/>
              </w:rPr>
            </w:pPr>
            <w:r>
              <w:rPr>
                <w:rFonts w:ascii="Arial" w:cs="Arial" w:eastAsia="Arial" w:hAnsi="Arial"/>
                <w:sz w:val="12"/>
                <w:szCs w:val="12"/>
                <w:color w:val="auto"/>
              </w:rPr>
              <w:t>Issuance of stock under employee stock plans,</w:t>
            </w:r>
          </w:p>
        </w:tc>
        <w:tc>
          <w:tcPr>
            <w:tcW w:w="880" w:type="dxa"/>
            <w:vAlign w:val="bottom"/>
            <w:vMerge w:val="restart"/>
          </w:tcPr>
          <w:p>
            <w:pPr>
              <w:jc w:val="right"/>
              <w:ind w:right="41"/>
              <w:spacing w:after="0"/>
              <w:rPr>
                <w:sz w:val="20"/>
                <w:szCs w:val="20"/>
                <w:color w:val="auto"/>
              </w:rPr>
            </w:pPr>
            <w:r>
              <w:rPr>
                <w:rFonts w:ascii="Arial" w:cs="Arial" w:eastAsia="Arial" w:hAnsi="Arial"/>
                <w:sz w:val="12"/>
                <w:szCs w:val="12"/>
                <w:b w:val="1"/>
                <w:bCs w:val="1"/>
                <w:color w:val="auto"/>
              </w:rPr>
              <w:t>2,110</w:t>
            </w:r>
          </w:p>
        </w:tc>
        <w:tc>
          <w:tcPr>
            <w:tcW w:w="160" w:type="dxa"/>
            <w:vAlign w:val="bottom"/>
          </w:tcPr>
          <w:p>
            <w:pPr>
              <w:spacing w:after="0"/>
              <w:rPr>
                <w:sz w:val="10"/>
                <w:szCs w:val="10"/>
                <w:color w:val="auto"/>
              </w:rPr>
            </w:pPr>
          </w:p>
        </w:tc>
        <w:tc>
          <w:tcPr>
            <w:tcW w:w="56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1.3</w:t>
            </w:r>
          </w:p>
        </w:tc>
        <w:tc>
          <w:tcPr>
            <w:tcW w:w="220" w:type="dxa"/>
            <w:vAlign w:val="bottom"/>
          </w:tcPr>
          <w:p>
            <w:pPr>
              <w:spacing w:after="0"/>
              <w:rPr>
                <w:sz w:val="10"/>
                <w:szCs w:val="10"/>
                <w:color w:val="auto"/>
              </w:rPr>
            </w:pPr>
          </w:p>
        </w:tc>
        <w:tc>
          <w:tcPr>
            <w:tcW w:w="700" w:type="dxa"/>
            <w:vAlign w:val="bottom"/>
            <w:vMerge w:val="restart"/>
          </w:tcPr>
          <w:p>
            <w:pPr>
              <w:jc w:val="right"/>
              <w:ind w:right="4"/>
              <w:spacing w:after="0"/>
              <w:rPr>
                <w:sz w:val="20"/>
                <w:szCs w:val="20"/>
                <w:color w:val="auto"/>
              </w:rPr>
            </w:pPr>
            <w:r>
              <w:rPr>
                <w:rFonts w:ascii="Arial" w:cs="Arial" w:eastAsia="Arial" w:hAnsi="Arial"/>
                <w:sz w:val="12"/>
                <w:szCs w:val="12"/>
                <w:b w:val="1"/>
                <w:bCs w:val="1"/>
                <w:color w:val="auto"/>
              </w:rPr>
              <w:t>(280.5)</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restart"/>
          </w:tcPr>
          <w:p>
            <w:pPr>
              <w:jc w:val="right"/>
              <w:ind w:right="21"/>
              <w:spacing w:after="0"/>
              <w:rPr>
                <w:sz w:val="20"/>
                <w:szCs w:val="20"/>
                <w:color w:val="auto"/>
              </w:rPr>
            </w:pPr>
            <w:r>
              <w:rPr>
                <w:rFonts w:ascii="Arial" w:cs="Arial" w:eastAsia="Arial" w:hAnsi="Arial"/>
                <w:sz w:val="12"/>
                <w:szCs w:val="12"/>
                <w:b w:val="1"/>
                <w:bCs w:val="1"/>
                <w:color w:val="auto"/>
              </w:rPr>
              <w:t>(13)</w:t>
            </w:r>
          </w:p>
        </w:tc>
        <w:tc>
          <w:tcPr>
            <w:tcW w:w="200" w:type="dxa"/>
            <w:vAlign w:val="bottom"/>
          </w:tcPr>
          <w:p>
            <w:pPr>
              <w:spacing w:after="0"/>
              <w:rPr>
                <w:sz w:val="10"/>
                <w:szCs w:val="10"/>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2.2</w:t>
            </w: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rPr>
                <w:sz w:val="20"/>
                <w:szCs w:val="20"/>
                <w:color w:val="auto"/>
              </w:rPr>
            </w:pPr>
            <w:r>
              <w:rPr>
                <w:rFonts w:ascii="Arial" w:cs="Arial" w:eastAsia="Arial" w:hAnsi="Arial"/>
                <w:sz w:val="12"/>
                <w:szCs w:val="12"/>
                <w:color w:val="auto"/>
              </w:rPr>
              <w:t>net</w:t>
            </w: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2"/>
                <w:szCs w:val="12"/>
                <w:b w:val="1"/>
                <w:bCs w:val="1"/>
                <w:color w:val="auto"/>
              </w:rPr>
              <w:t>193.1</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4.5</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(13.1)</w:t>
            </w:r>
          </w:p>
        </w:tc>
        <w:tc>
          <w:tcPr>
            <w:tcW w:w="0" w:type="dxa"/>
            <w:vAlign w:val="bottom"/>
          </w:tcPr>
          <w:p>
            <w:pPr>
              <w:spacing w:after="0"/>
              <w:rPr>
                <w:sz w:val="1"/>
                <w:szCs w:val="1"/>
                <w:color w:val="auto"/>
              </w:rPr>
            </w:pPr>
          </w:p>
        </w:tc>
      </w:tr>
      <w:tr>
        <w:trPr>
          <w:trHeight w:val="16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June 30, 2022</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950,619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594.1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b w:val="1"/>
                <w:bCs w:val="1"/>
                <w:color w:val="auto"/>
              </w:rPr>
              <w:t>6,746.0</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b w:val="1"/>
                <w:bCs w:val="1"/>
                <w:color w:val="auto"/>
              </w:rPr>
              <w:t>8,556.0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b w:val="1"/>
                <w:bCs w:val="1"/>
                <w:color w:val="auto"/>
              </w:rPr>
              <w:t>(3,013.2)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b w:val="1"/>
                <w:bCs w:val="1"/>
                <w:color w:val="auto"/>
              </w:rPr>
              <w:t>(4,287.7)</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450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114.5</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40" w:hanging="137"/>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As of June 30, 2022, there was $3.25 billion remaining under our $5.00 billion share repurchase program authorized in May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 LILLY AND COMPANY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03"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0"/>
        </w:trPr>
        <w:tc>
          <w:tcPr>
            <w:tcW w:w="83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2,855.4</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2,745.5</w:t>
            </w:r>
          </w:p>
        </w:tc>
        <w:tc>
          <w:tcPr>
            <w:tcW w:w="0" w:type="dxa"/>
            <w:vAlign w:val="bottom"/>
          </w:tcPr>
          <w:p>
            <w:pPr>
              <w:spacing w:after="0"/>
              <w:rPr>
                <w:sz w:val="1"/>
                <w:szCs w:val="1"/>
                <w:color w:val="auto"/>
              </w:rPr>
            </w:pPr>
          </w:p>
        </w:tc>
      </w:tr>
      <w:tr>
        <w:trPr>
          <w:trHeight w:val="220"/>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Adjustments to Reconcile Net Income to Cash Flows from Operating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784.6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719.6</w:t>
            </w: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Change in 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(1,125.0)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(413.8)</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193.1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Net investment (gains) losses</w:t>
            </w:r>
          </w:p>
        </w:tc>
        <w:tc>
          <w:tcPr>
            <w:tcW w:w="34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b w:val="1"/>
                <w:bCs w:val="1"/>
                <w:color w:val="auto"/>
              </w:rPr>
              <w:t>545.6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(518.1)</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233.0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324.3</w:t>
            </w: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Other changes in operating assets and liabilities, net of acquisitions and divestitures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(117.6)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non-cash operating activities,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319.6</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b w:val="1"/>
                <w:bCs w:val="1"/>
                <w:color w:val="auto"/>
              </w:rPr>
              <w:t>3,319.9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3,472.9</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Net purchases of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(736.4)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(681.6)</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sales and maturities of short-term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57.6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Purchases of short-term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sales of noncurrent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168.5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461.9</w:t>
            </w: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Purchases of noncurrent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(251.4)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(503.1)</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acquisitions, net of cash acquired (Note 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(747.4)</w:t>
            </w: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Purchases of in-process 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(571.8)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(341.8)</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investing activities,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(111.3)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Net Cash Used for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(1,477.7)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(1,766.8)</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Dividends paid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(1,769.2)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(1,543.1)</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change in short-term borrowings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2,117.2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w:t>
            </w:r>
          </w:p>
        </w:tc>
        <w:tc>
          <w:tcPr>
            <w:tcW w:w="0" w:type="dxa"/>
            <w:vAlign w:val="bottom"/>
          </w:tcPr>
          <w:p>
            <w:pPr>
              <w:spacing w:after="0"/>
              <w:rPr>
                <w:sz w:val="1"/>
                <w:szCs w:val="1"/>
                <w:color w:val="auto"/>
              </w:rPr>
            </w:pPr>
          </w:p>
        </w:tc>
      </w:tr>
      <w:tr>
        <w:trPr>
          <w:trHeight w:val="220"/>
        </w:trPr>
        <w:tc>
          <w:tcPr>
            <w:tcW w:w="8380" w:type="dxa"/>
            <w:vAlign w:val="bottom"/>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(1,560.0)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common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2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financing activities,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(290.0)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(294.8)</w:t>
            </w:r>
          </w:p>
        </w:tc>
        <w:tc>
          <w:tcPr>
            <w:tcW w:w="0" w:type="dxa"/>
            <w:vAlign w:val="bottom"/>
          </w:tcPr>
          <w:p>
            <w:pPr>
              <w:spacing w:after="0"/>
              <w:rPr>
                <w:sz w:val="1"/>
                <w:szCs w:val="1"/>
                <w:color w:val="auto"/>
              </w:rPr>
            </w:pPr>
          </w:p>
        </w:tc>
      </w:tr>
      <w:tr>
        <w:trPr>
          <w:trHeight w:val="21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for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(3,002.0)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(2,141.6)</w:t>
            </w:r>
          </w:p>
        </w:tc>
        <w:tc>
          <w:tcPr>
            <w:tcW w:w="0" w:type="dxa"/>
            <w:vAlign w:val="bottom"/>
          </w:tcPr>
          <w:p>
            <w:pPr>
              <w:spacing w:after="0"/>
              <w:rPr>
                <w:sz w:val="1"/>
                <w:szCs w:val="1"/>
                <w:color w:val="auto"/>
              </w:rPr>
            </w:pPr>
          </w:p>
        </w:tc>
      </w:tr>
      <w:tr>
        <w:trPr>
          <w:trHeight w:val="22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80" w:type="dxa"/>
            <w:vAlign w:val="bottom"/>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(1,195.6)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(437.1)</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January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3,818.5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3,657.1</w:t>
            </w:r>
          </w:p>
        </w:tc>
        <w:tc>
          <w:tcPr>
            <w:tcW w:w="0" w:type="dxa"/>
            <w:vAlign w:val="bottom"/>
          </w:tcPr>
          <w:p>
            <w:pPr>
              <w:spacing w:after="0"/>
              <w:rPr>
                <w:sz w:val="1"/>
                <w:szCs w:val="1"/>
                <w:color w:val="auto"/>
              </w:rPr>
            </w:pPr>
          </w:p>
        </w:tc>
      </w:tr>
      <w:tr>
        <w:trPr>
          <w:trHeight w:val="218"/>
        </w:trPr>
        <w:tc>
          <w:tcPr>
            <w:tcW w:w="838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June 30</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2,622.9</w:t>
            </w:r>
          </w:p>
        </w:tc>
        <w:tc>
          <w:tcPr>
            <w:tcW w:w="3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3,220.0</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7"/>
          <w:szCs w:val="17"/>
          <w:b w:val="1"/>
          <w:bCs w:val="1"/>
          <w:color w:val="auto"/>
        </w:rPr>
        <w:t>Notes to Consolidated Condensed Financial Statements</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Implementation of New Financial Accounting Standard</w:t>
      </w:r>
    </w:p>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68" w:lineRule="exact"/>
        <w:rPr>
          <w:sz w:val="20"/>
          <w:szCs w:val="20"/>
          <w:color w:val="auto"/>
        </w:rPr>
      </w:pPr>
    </w:p>
    <w:p>
      <w:pPr>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We issue our financial statements by filing them with the Securities and Exchange Commission and have evaluated subsequent events up to the time of the filing of this Quarterly Report on Form 10-Q.</w:t>
      </w:r>
    </w:p>
    <w:p>
      <w:pPr>
        <w:spacing w:after="0" w:line="64"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Certain reclassifications have been made to prior periods in the consolidated condensed financial statements and accompanying notes to conform with the current presentation.</w:t>
      </w:r>
    </w:p>
    <w:p>
      <w:pPr>
        <w:spacing w:after="0" w:line="4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All per-share amounts, unless otherwise noted in the footnotes, are presented on a diluted basis; that is, based on the weighted-average number of common shares outstanding plus the effect of incremental shares from our stock-based compensation programs.</w:t>
      </w:r>
    </w:p>
    <w:p>
      <w:pPr>
        <w:spacing w:after="0" w:line="4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 and Acquired In-Process Research and Development (IPR&amp;D) and Development Milestones</w:t>
      </w:r>
    </w:p>
    <w:p>
      <w:pPr>
        <w:spacing w:after="0" w:line="11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spacing w:after="0" w:line="59"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Acquired IPR&amp;D and development milestones include the initial costs of externally developed IPR&amp;D projects, acquired directly in a transaction other than a business combination, that do not have an alternative future use. Additionally, milestone payment obligations related to these transactions that are incurred prior to regulatory approval of the compound are expensed when the event triggering an obligation to pay the milestone occurs.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Implementation of New Financial Accounting Standard</w:t>
      </w:r>
    </w:p>
    <w:p>
      <w:pPr>
        <w:spacing w:after="0" w:line="117"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 xml:space="preserve">Accounting Standards Update 2021-01, </w:t>
      </w:r>
      <w:r>
        <w:rPr>
          <w:rFonts w:ascii="Arial" w:cs="Arial" w:eastAsia="Arial" w:hAnsi="Arial"/>
          <w:sz w:val="17"/>
          <w:szCs w:val="17"/>
          <w:i w:val="1"/>
          <w:iCs w:val="1"/>
          <w:color w:val="auto"/>
        </w:rPr>
        <w:t>Reference Rate Reform</w:t>
      </w:r>
      <w:r>
        <w:rPr>
          <w:rFonts w:ascii="Arial" w:cs="Arial" w:eastAsia="Arial" w:hAnsi="Arial"/>
          <w:sz w:val="17"/>
          <w:szCs w:val="17"/>
          <w:color w:val="auto"/>
        </w:rPr>
        <w:t>, provides for temporary optional expedients and exceptions in applying current GAAP to contracts, hedging relationships, and other transactions affected by the transition from the use of the London Interbank Offered Rate (LIBOR) to an alternative reference rate. The standard is currently applicable to contracts entered into before January 1, 2023. We adopted the standard in the first quarter of 2022. The adoption did not have a material impact on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recognized in our consolidated condensed statements of operations: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Six Months Ended June 30,</w:t>
            </w:r>
          </w:p>
        </w:tc>
      </w:tr>
      <w:tr>
        <w:trPr>
          <w:trHeight w:val="200"/>
        </w:trPr>
        <w:tc>
          <w:tcPr>
            <w:tcW w:w="5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product revenue</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5,870.9</w:t>
            </w:r>
          </w:p>
        </w:tc>
        <w:tc>
          <w:tcPr>
            <w:tcW w:w="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6,070.5</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13,003.8</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12,390.5</w:t>
            </w:r>
          </w:p>
        </w:tc>
      </w:tr>
      <w:tr>
        <w:trPr>
          <w:trHeight w:val="220"/>
        </w:trPr>
        <w:tc>
          <w:tcPr>
            <w:tcW w:w="508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Collaboration and other revenue</w:t>
            </w:r>
            <w:r>
              <w:rPr>
                <w:rFonts w:ascii="Arial" w:cs="Arial" w:eastAsia="Arial" w:hAnsi="Arial"/>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617.1</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669.6</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1,294.2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1,155.2</w:t>
            </w:r>
          </w:p>
        </w:tc>
      </w:tr>
      <w:tr>
        <w:trPr>
          <w:trHeight w:val="21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6,488.0</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6,740.1</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14,298.0</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13,545.7</w:t>
            </w:r>
          </w:p>
        </w:tc>
      </w:tr>
    </w:tbl>
    <w:p>
      <w:pPr>
        <w:spacing w:after="0" w:line="96" w:lineRule="exact"/>
        <w:rPr>
          <w:sz w:val="20"/>
          <w:szCs w:val="20"/>
          <w:color w:val="auto"/>
        </w:rPr>
      </w:pPr>
    </w:p>
    <w:p>
      <w:pPr>
        <w:ind w:left="160" w:right="340" w:hanging="157"/>
        <w:spacing w:after="0" w:line="263" w:lineRule="auto"/>
        <w:tabs>
          <w:tab w:leader="none" w:pos="139"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Collaboration and other revenue associated with prior period transfers of intellectual property was $34.4 million and $87.6 million during the three and six months ended June 30, 2022, respectively, and $31.0 million and $73.9 million during the three and six months ended June 30, 2021, respectively.</w:t>
      </w:r>
    </w:p>
    <w:p>
      <w:pPr>
        <w:spacing w:after="0" w:line="64"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Adjustments to Revenue</w:t>
      </w:r>
    </w:p>
    <w:p>
      <w:pPr>
        <w:spacing w:after="0" w:line="115" w:lineRule="exact"/>
        <w:rPr>
          <w:sz w:val="20"/>
          <w:szCs w:val="20"/>
          <w:color w:val="auto"/>
        </w:rPr>
      </w:pPr>
    </w:p>
    <w:p>
      <w:pPr>
        <w:jc w:val="both"/>
        <w:ind w:right="400"/>
        <w:spacing w:after="0" w:line="272" w:lineRule="auto"/>
        <w:rPr>
          <w:sz w:val="20"/>
          <w:szCs w:val="20"/>
          <w:color w:val="auto"/>
        </w:rPr>
      </w:pPr>
      <w:r>
        <w:rPr>
          <w:rFonts w:ascii="Arial" w:cs="Arial" w:eastAsia="Arial" w:hAnsi="Arial"/>
          <w:sz w:val="17"/>
          <w:szCs w:val="17"/>
          <w:color w:val="auto"/>
        </w:rPr>
        <w:t>Adjustments to revenue recognized as a result of changes in estimates for our most significant United States (U.S.) sales returns, rebates, and discounts liability balances for products shipped in previous periods were less than 1 percent of U.S. revenue during each of the three and six months ended June 30, 2022 and 2021.</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Liabilities</w:t>
      </w:r>
    </w:p>
    <w:p>
      <w:pPr>
        <w:spacing w:after="0" w:line="1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contract liability balances: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December 31, 2021</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332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7"/>
                <w:szCs w:val="17"/>
                <w:b w:val="1"/>
                <w:bCs w:val="1"/>
                <w:color w:val="auto"/>
              </w:rPr>
              <w:t>242.1</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w:t>
            </w:r>
          </w:p>
        </w:tc>
      </w:tr>
    </w:tbl>
    <w:p>
      <w:pPr>
        <w:spacing w:after="0" w:line="17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three and six months ended June 30, 2022 and 2021,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revenue by product for the three months ended June 30, 2022 and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w w:val="98"/>
              </w:rPr>
              <w:t>Three Months Ended June 30,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4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4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1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Revenue—to unaffiliated customers: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0"/>
        </w:trPr>
        <w:tc>
          <w:tcPr>
            <w:tcW w:w="4260" w:type="dxa"/>
            <w:vAlign w:val="bottom"/>
          </w:tcPr>
          <w:p>
            <w:pPr>
              <w:ind w:left="220"/>
              <w:spacing w:after="0"/>
              <w:rPr>
                <w:sz w:val="20"/>
                <w:szCs w:val="20"/>
                <w:color w:val="auto"/>
              </w:rPr>
            </w:pPr>
            <w:r>
              <w:rPr>
                <w:rFonts w:ascii="Arial" w:cs="Arial" w:eastAsia="Arial" w:hAnsi="Arial"/>
                <w:sz w:val="17"/>
                <w:szCs w:val="17"/>
                <w:color w:val="auto"/>
              </w:rPr>
              <w:t>Diabetes: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Trulicity</w:t>
            </w:r>
            <w:r>
              <w:rPr>
                <w:rFonts w:ascii="Arial" w:cs="Arial" w:eastAsia="Arial" w:hAnsi="Arial"/>
                <w:sz w:val="22"/>
                <w:szCs w:val="22"/>
                <w:color w:val="auto"/>
                <w:vertAlign w:val="superscript"/>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1,430.1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1,911.9</w:t>
            </w:r>
          </w:p>
        </w:tc>
        <w:tc>
          <w:tcPr>
            <w:tcW w:w="3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388.0</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1,535.6</w:t>
            </w: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Jardiance</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250.7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210.3</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461.0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194.4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162.1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356.5</w:t>
            </w: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Humalog</w:t>
            </w:r>
            <w:r>
              <w:rPr>
                <w:rFonts w:ascii="Arial" w:cs="Arial" w:eastAsia="Arial" w:hAnsi="Arial"/>
                <w:sz w:val="22"/>
                <w:szCs w:val="22"/>
                <w:color w:val="auto"/>
                <w:vertAlign w:val="superscript"/>
              </w:rPr>
              <w:t>® (2)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208.3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447.1</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Humulin</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202.3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71.7</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274.0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221.1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315.3</w:t>
            </w: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Basaglar</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174.2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w:t>
            </w:r>
          </w:p>
        </w:tc>
      </w:tr>
      <w:tr>
        <w:trPr>
          <w:trHeight w:val="220"/>
        </w:trPr>
        <w:tc>
          <w:tcPr>
            <w:tcW w:w="4260" w:type="dxa"/>
            <w:vAlign w:val="bottom"/>
            <w:tcBorders>
              <w:bottom w:val="single" w:sz="8" w:color="CCEEFF"/>
            </w:tcBorders>
          </w:tcPr>
          <w:p>
            <w:pPr>
              <w:ind w:left="640"/>
              <w:spacing w:after="0"/>
              <w:rPr>
                <w:sz w:val="20"/>
                <w:szCs w:val="20"/>
                <w:color w:val="auto"/>
              </w:rPr>
            </w:pPr>
            <w:r>
              <w:rPr>
                <w:rFonts w:ascii="Arial" w:cs="Arial" w:eastAsia="Arial" w:hAnsi="Arial"/>
                <w:sz w:val="17"/>
                <w:szCs w:val="17"/>
                <w:i w:val="1"/>
                <w:iCs w:val="1"/>
                <w:color w:val="auto"/>
              </w:rPr>
              <w:t>Other diabetes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95.6</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170.0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w:t>
            </w:r>
          </w:p>
        </w:tc>
      </w:tr>
      <w:tr>
        <w:trPr>
          <w:trHeight w:val="213"/>
        </w:trPr>
        <w:tc>
          <w:tcPr>
            <w:tcW w:w="4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diabetes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2,292.2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1,146.0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3,438.2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3,175.5</w:t>
            </w:r>
          </w:p>
        </w:tc>
      </w:tr>
      <w:tr>
        <w:trPr>
          <w:trHeight w:val="245"/>
        </w:trPr>
        <w:tc>
          <w:tcPr>
            <w:tcW w:w="4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0"/>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Oncology:</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Verzenio</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384.3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204.2</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588.5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209.7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131.6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341.3</w:t>
            </w: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Cyramza</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138.6</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231.3</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w:t>
            </w: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Alimta</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171.7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56.1</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227.7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353.5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257.1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610.6</w:t>
            </w: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Erbitux</w:t>
            </w:r>
            <w:r>
              <w:rPr>
                <w:rFonts w:ascii="Arial" w:cs="Arial" w:eastAsia="Arial" w:hAnsi="Arial"/>
                <w:sz w:val="22"/>
                <w:szCs w:val="22"/>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125.1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15.7</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140.8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w:t>
            </w: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Tyvyt</w:t>
            </w:r>
            <w:r>
              <w:rPr>
                <w:rFonts w:ascii="Arial" w:cs="Arial" w:eastAsia="Arial" w:hAnsi="Arial"/>
                <w:sz w:val="22"/>
                <w:szCs w:val="22"/>
                <w:i w:val="1"/>
                <w:iCs w:val="1"/>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73.6</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73.6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105.0</w:t>
            </w:r>
          </w:p>
        </w:tc>
      </w:tr>
      <w:tr>
        <w:trPr>
          <w:trHeight w:val="220"/>
        </w:trPr>
        <w:tc>
          <w:tcPr>
            <w:tcW w:w="426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45.3</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61.6</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106.8</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13"/>
        </w:trPr>
        <w:tc>
          <w:tcPr>
            <w:tcW w:w="4260" w:type="dxa"/>
            <w:vAlign w:val="bottom"/>
          </w:tcPr>
          <w:p>
            <w:pPr>
              <w:ind w:left="440"/>
              <w:spacing w:after="0"/>
              <w:rPr>
                <w:sz w:val="20"/>
                <w:szCs w:val="20"/>
                <w:color w:val="auto"/>
              </w:rPr>
            </w:pPr>
            <w:r>
              <w:rPr>
                <w:rFonts w:ascii="Arial" w:cs="Arial" w:eastAsia="Arial" w:hAnsi="Arial"/>
                <w:sz w:val="17"/>
                <w:szCs w:val="17"/>
                <w:color w:val="auto"/>
              </w:rPr>
              <w:t>Total oncology</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819.0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549.8</w:t>
            </w:r>
          </w:p>
        </w:tc>
        <w:tc>
          <w:tcPr>
            <w:tcW w:w="16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1,368.7</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828.3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725.7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1,554.0</w:t>
            </w:r>
          </w:p>
        </w:tc>
      </w:tr>
      <w:tr>
        <w:trPr>
          <w:trHeight w:val="245"/>
        </w:trPr>
        <w:tc>
          <w:tcPr>
            <w:tcW w:w="4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0"/>
        </w:trPr>
        <w:tc>
          <w:tcPr>
            <w:tcW w:w="4260" w:type="dxa"/>
            <w:vAlign w:val="bottom"/>
          </w:tcPr>
          <w:p>
            <w:pPr>
              <w:ind w:left="220"/>
              <w:spacing w:after="0"/>
              <w:rPr>
                <w:sz w:val="20"/>
                <w:szCs w:val="20"/>
                <w:color w:val="auto"/>
              </w:rPr>
            </w:pPr>
            <w:r>
              <w:rPr>
                <w:rFonts w:ascii="Arial" w:cs="Arial" w:eastAsia="Arial" w:hAnsi="Arial"/>
                <w:sz w:val="17"/>
                <w:szCs w:val="17"/>
                <w:color w:val="auto"/>
              </w:rPr>
              <w:t>Immunology:</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Taltz</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411.6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194.7</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606.2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569.1</w:t>
            </w: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Olumiant</w:t>
            </w:r>
            <w:r>
              <w:rPr>
                <w:rFonts w:ascii="Arial" w:cs="Arial" w:eastAsia="Arial" w:hAnsi="Arial"/>
                <w:sz w:val="22"/>
                <w:szCs w:val="22"/>
                <w:color w:val="auto"/>
                <w:vertAlign w:val="superscript"/>
              </w:rPr>
              <w:t>® (3)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10.4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175.8</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186.2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17.8</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190.6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208.4</w:t>
            </w:r>
          </w:p>
        </w:tc>
      </w:tr>
      <w:tr>
        <w:trPr>
          <w:trHeight w:val="220"/>
        </w:trPr>
        <w:tc>
          <w:tcPr>
            <w:tcW w:w="426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4.0</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13"/>
        </w:trPr>
        <w:tc>
          <w:tcPr>
            <w:tcW w:w="4260" w:type="dxa"/>
            <w:vAlign w:val="bottom"/>
          </w:tcPr>
          <w:p>
            <w:pPr>
              <w:ind w:left="440"/>
              <w:spacing w:after="0"/>
              <w:rPr>
                <w:sz w:val="20"/>
                <w:szCs w:val="20"/>
                <w:color w:val="auto"/>
              </w:rPr>
            </w:pPr>
            <w:r>
              <w:rPr>
                <w:rFonts w:ascii="Arial" w:cs="Arial" w:eastAsia="Arial" w:hAnsi="Arial"/>
                <w:sz w:val="17"/>
                <w:szCs w:val="17"/>
                <w:color w:val="auto"/>
              </w:rPr>
              <w:t>Total immunology</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422.0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374.5</w:t>
            </w:r>
          </w:p>
        </w:tc>
        <w:tc>
          <w:tcPr>
            <w:tcW w:w="16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796.5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422.4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363.1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785.4</w:t>
            </w:r>
          </w:p>
        </w:tc>
      </w:tr>
      <w:tr>
        <w:trPr>
          <w:trHeight w:val="245"/>
        </w:trPr>
        <w:tc>
          <w:tcPr>
            <w:tcW w:w="4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0"/>
        </w:trPr>
        <w:tc>
          <w:tcPr>
            <w:tcW w:w="4260" w:type="dxa"/>
            <w:vAlign w:val="bottom"/>
          </w:tcPr>
          <w:p>
            <w:pPr>
              <w:ind w:left="220"/>
              <w:spacing w:after="0"/>
              <w:rPr>
                <w:sz w:val="20"/>
                <w:szCs w:val="20"/>
                <w:color w:val="auto"/>
              </w:rPr>
            </w:pPr>
            <w:r>
              <w:rPr>
                <w:rFonts w:ascii="Arial" w:cs="Arial" w:eastAsia="Arial" w:hAnsi="Arial"/>
                <w:sz w:val="17"/>
                <w:szCs w:val="17"/>
                <w:color w:val="auto"/>
              </w:rPr>
              <w:t>Neuroscience: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Emgality</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157.5</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w:t>
            </w: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Zyprexa</w:t>
            </w:r>
            <w:r>
              <w:rPr>
                <w:rFonts w:ascii="Arial" w:cs="Arial" w:eastAsia="Arial" w:hAnsi="Arial"/>
                <w:sz w:val="22"/>
                <w:szCs w:val="22"/>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78.6</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87.3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95.4</w:t>
            </w: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Cymbalta</w:t>
            </w:r>
            <w:r>
              <w:rPr>
                <w:rFonts w:ascii="Arial" w:cs="Arial" w:eastAsia="Arial" w:hAnsi="Arial"/>
                <w:sz w:val="22"/>
                <w:szCs w:val="22"/>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75.5</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w:t>
            </w:r>
          </w:p>
        </w:tc>
      </w:tr>
      <w:tr>
        <w:trPr>
          <w:trHeight w:val="220"/>
        </w:trPr>
        <w:tc>
          <w:tcPr>
            <w:tcW w:w="4260" w:type="dxa"/>
            <w:vAlign w:val="bottom"/>
            <w:tcBorders>
              <w:bottom w:val="single" w:sz="8" w:color="CCEEFF"/>
            </w:tcBorders>
          </w:tcPr>
          <w:p>
            <w:pPr>
              <w:ind w:left="640"/>
              <w:spacing w:after="0"/>
              <w:rPr>
                <w:sz w:val="20"/>
                <w:szCs w:val="20"/>
                <w:color w:val="auto"/>
              </w:rPr>
            </w:pPr>
            <w:r>
              <w:rPr>
                <w:rFonts w:ascii="Arial" w:cs="Arial" w:eastAsia="Arial" w:hAnsi="Arial"/>
                <w:sz w:val="17"/>
                <w:szCs w:val="17"/>
                <w:i w:val="1"/>
                <w:iCs w:val="1"/>
                <w:color w:val="auto"/>
              </w:rPr>
              <w:t>Other neuroscience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50.3</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69.6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r>
      <w:tr>
        <w:trPr>
          <w:trHeight w:val="213"/>
        </w:trPr>
        <w:tc>
          <w:tcPr>
            <w:tcW w:w="4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neuroscience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245.2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389.9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512.2</w:t>
            </w:r>
          </w:p>
        </w:tc>
      </w:tr>
      <w:tr>
        <w:trPr>
          <w:trHeight w:val="245"/>
        </w:trPr>
        <w:tc>
          <w:tcPr>
            <w:tcW w:w="4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0"/>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Cialis</w:t>
            </w:r>
            <w:r>
              <w:rPr>
                <w:rFonts w:ascii="Arial" w:cs="Arial" w:eastAsia="Arial" w:hAnsi="Arial"/>
                <w:sz w:val="22"/>
                <w:szCs w:val="22"/>
                <w:i w:val="1"/>
                <w:iCs w:val="1"/>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10.8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136.2</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147.0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286.3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281.0</w:t>
            </w:r>
          </w:p>
        </w:tc>
      </w:tr>
      <w:tr>
        <w:trPr>
          <w:trHeight w:val="220"/>
        </w:trPr>
        <w:tc>
          <w:tcPr>
            <w:tcW w:w="42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Forteo</w:t>
            </w:r>
            <w:r>
              <w:rPr>
                <w:rFonts w:ascii="Arial" w:cs="Arial" w:eastAsia="Arial" w:hAnsi="Arial"/>
                <w:sz w:val="22"/>
                <w:szCs w:val="22"/>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138.5</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218.4</w:t>
            </w:r>
          </w:p>
        </w:tc>
      </w:tr>
      <w:tr>
        <w:trPr>
          <w:trHeight w:val="220"/>
        </w:trPr>
        <w:tc>
          <w:tcPr>
            <w:tcW w:w="426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COVID-19 antibodies</w:t>
            </w:r>
            <w:r>
              <w:rPr>
                <w:rFonts w:ascii="Arial" w:cs="Arial" w:eastAsia="Arial" w:hAnsi="Arial"/>
                <w:sz w:val="22"/>
                <w:szCs w:val="22"/>
                <w:color w:val="auto"/>
                <w:vertAlign w:val="superscript"/>
              </w:rPr>
              <w:t>(4)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129.1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129.1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83.4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148.9</w:t>
            </w:r>
          </w:p>
        </w:tc>
      </w:tr>
      <w:tr>
        <w:trPr>
          <w:trHeight w:val="220"/>
        </w:trPr>
        <w:tc>
          <w:tcPr>
            <w:tcW w:w="426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38.5</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41.7</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80.1</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w:t>
            </w:r>
          </w:p>
        </w:tc>
      </w:tr>
      <w:tr>
        <w:trPr>
          <w:trHeight w:val="213"/>
        </w:trPr>
        <w:tc>
          <w:tcPr>
            <w:tcW w:w="42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other</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256.9</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237.9</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494.7</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207.0</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712.9</w:t>
            </w:r>
          </w:p>
        </w:tc>
      </w:tr>
      <w:tr>
        <w:trPr>
          <w:trHeight w:val="21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3,934.8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2,553.3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6,488.0</w:t>
            </w:r>
          </w:p>
        </w:tc>
        <w:tc>
          <w:tcPr>
            <w:tcW w:w="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3,035.9</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6,740.1</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6" w:lineRule="exact"/>
        <w:rPr>
          <w:sz w:val="20"/>
          <w:szCs w:val="20"/>
          <w:color w:val="auto"/>
        </w:rPr>
      </w:pPr>
    </w:p>
    <w:p>
      <w:pPr>
        <w:ind w:left="140" w:hanging="137"/>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8"/>
          <w:szCs w:val="8"/>
          <w:color w:val="auto"/>
        </w:rPr>
        <w:t>®</w:t>
      </w:r>
      <w:r>
        <w:rPr>
          <w:rFonts w:ascii="Arial" w:cs="Arial" w:eastAsia="Arial" w:hAnsi="Arial"/>
          <w:sz w:val="14"/>
          <w:szCs w:val="14"/>
          <w:color w:val="auto"/>
        </w:rPr>
        <w:t>, Synjardy</w:t>
      </w:r>
      <w:r>
        <w:rPr>
          <w:rFonts w:ascii="Arial" w:cs="Arial" w:eastAsia="Arial" w:hAnsi="Arial"/>
          <w:sz w:val="8"/>
          <w:szCs w:val="8"/>
          <w:color w:val="auto"/>
        </w:rPr>
        <w:t>®</w:t>
      </w:r>
      <w:r>
        <w:rPr>
          <w:rFonts w:ascii="Arial" w:cs="Arial" w:eastAsia="Arial" w:hAnsi="Arial"/>
          <w:sz w:val="14"/>
          <w:szCs w:val="14"/>
          <w:color w:val="auto"/>
        </w:rPr>
        <w:t>, and Trijardy</w:t>
      </w:r>
      <w:r>
        <w:rPr>
          <w:rFonts w:ascii="Arial" w:cs="Arial" w:eastAsia="Arial" w:hAnsi="Arial"/>
          <w:sz w:val="8"/>
          <w:szCs w:val="8"/>
          <w:color w:val="auto"/>
        </w:rPr>
        <w:t>®</w:t>
      </w:r>
      <w:r>
        <w:rPr>
          <w:rFonts w:ascii="Arial" w:cs="Arial" w:eastAsia="Arial" w:hAnsi="Arial"/>
          <w:sz w:val="14"/>
          <w:szCs w:val="14"/>
          <w:color w:val="auto"/>
        </w:rPr>
        <w:t xml:space="preserve"> XR.</w:t>
      </w:r>
    </w:p>
    <w:p>
      <w:pPr>
        <w:spacing w:after="0" w:line="6" w:lineRule="exact"/>
        <w:rPr>
          <w:rFonts w:ascii="Arial" w:cs="Arial" w:eastAsia="Arial" w:hAnsi="Arial"/>
          <w:sz w:val="9"/>
          <w:szCs w:val="9"/>
          <w:color w:val="auto"/>
        </w:rPr>
      </w:pPr>
    </w:p>
    <w:p>
      <w:pPr>
        <w:ind w:left="140" w:hanging="137"/>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6" w:lineRule="exact"/>
        <w:rPr>
          <w:rFonts w:ascii="Arial" w:cs="Arial" w:eastAsia="Arial" w:hAnsi="Arial"/>
          <w:sz w:val="9"/>
          <w:szCs w:val="9"/>
          <w:color w:val="auto"/>
        </w:rPr>
      </w:pPr>
    </w:p>
    <w:p>
      <w:pPr>
        <w:ind w:left="140" w:hanging="137"/>
        <w:spacing w:after="0" w:line="219"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Emergency Use Authorization (EUA) or similar regulatory authorizations.</w:t>
      </w:r>
    </w:p>
    <w:p>
      <w:pPr>
        <w:ind w:left="160" w:right="100" w:hanging="157"/>
        <w:spacing w:after="0" w:line="265" w:lineRule="auto"/>
        <w:tabs>
          <w:tab w:leader="none" w:pos="139"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The following table summarizes revenue by product for the six months ended June 30, 2022 and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3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3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r>
      <w:tr>
        <w:trPr>
          <w:trHeight w:val="213"/>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Revenue—to unaffiliated customers: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0"/>
        </w:trPr>
        <w:tc>
          <w:tcPr>
            <w:tcW w:w="3980" w:type="dxa"/>
            <w:vAlign w:val="bottom"/>
          </w:tcPr>
          <w:p>
            <w:pPr>
              <w:ind w:left="220"/>
              <w:spacing w:after="0"/>
              <w:rPr>
                <w:sz w:val="20"/>
                <w:szCs w:val="20"/>
                <w:color w:val="auto"/>
              </w:rPr>
            </w:pPr>
            <w:r>
              <w:rPr>
                <w:rFonts w:ascii="Arial" w:cs="Arial" w:eastAsia="Arial" w:hAnsi="Arial"/>
                <w:sz w:val="17"/>
                <w:szCs w:val="17"/>
                <w:color w:val="auto"/>
              </w:rPr>
              <w:t>Diabetes: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Trulicity</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2,744.1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909.1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3,653.2</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2,988.1</w:t>
            </w:r>
          </w:p>
        </w:tc>
      </w:tr>
      <w:tr>
        <w:trPr>
          <w:trHeight w:val="220"/>
        </w:trPr>
        <w:tc>
          <w:tcPr>
            <w:tcW w:w="398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Humalog</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607.7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457.6</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1,065.3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661.7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562.9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1,224.6</w:t>
            </w:r>
          </w:p>
        </w:tc>
      </w:tr>
      <w:tr>
        <w:trPr>
          <w:trHeight w:val="220"/>
        </w:trPr>
        <w:tc>
          <w:tcPr>
            <w:tcW w:w="398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i w:val="1"/>
                <w:iCs w:val="1"/>
                <w:color w:val="auto"/>
              </w:rPr>
              <w:t>Jardiance</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480.4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400.0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880.4</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w:t>
            </w:r>
          </w:p>
        </w:tc>
      </w:tr>
      <w:tr>
        <w:trPr>
          <w:trHeight w:val="220"/>
        </w:trPr>
        <w:tc>
          <w:tcPr>
            <w:tcW w:w="3980" w:type="dxa"/>
            <w:vAlign w:val="bottom"/>
          </w:tcPr>
          <w:p>
            <w:pPr>
              <w:ind w:left="640"/>
              <w:spacing w:after="0"/>
              <w:rPr>
                <w:sz w:val="20"/>
                <w:szCs w:val="20"/>
                <w:color w:val="auto"/>
              </w:rPr>
            </w:pPr>
            <w:r>
              <w:rPr>
                <w:rFonts w:ascii="Arial" w:cs="Arial" w:eastAsia="Arial" w:hAnsi="Arial"/>
                <w:sz w:val="17"/>
                <w:szCs w:val="17"/>
                <w:i w:val="1"/>
                <w:iCs w:val="1"/>
                <w:color w:val="auto"/>
              </w:rPr>
              <w:t>Humulin</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392.8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154.5</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547.2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440.1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196.9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637.0</w:t>
            </w: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Basaglar</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215.1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150.6</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365.7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457.3</w:t>
            </w:r>
          </w:p>
        </w:tc>
      </w:tr>
      <w:tr>
        <w:trPr>
          <w:trHeight w:val="220"/>
        </w:trPr>
        <w:tc>
          <w:tcPr>
            <w:tcW w:w="3980" w:type="dxa"/>
            <w:vAlign w:val="bottom"/>
            <w:tcBorders>
              <w:bottom w:val="single" w:sz="8" w:color="CCEEFF"/>
            </w:tcBorders>
          </w:tcPr>
          <w:p>
            <w:pPr>
              <w:ind w:left="640"/>
              <w:spacing w:after="0"/>
              <w:rPr>
                <w:sz w:val="20"/>
                <w:szCs w:val="20"/>
                <w:color w:val="auto"/>
              </w:rPr>
            </w:pPr>
            <w:r>
              <w:rPr>
                <w:rFonts w:ascii="Arial" w:cs="Arial" w:eastAsia="Arial" w:hAnsi="Arial"/>
                <w:sz w:val="17"/>
                <w:szCs w:val="17"/>
                <w:i w:val="1"/>
                <w:iCs w:val="1"/>
                <w:color w:val="auto"/>
              </w:rPr>
              <w:t>Other diabetes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128.6</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185.8</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314.5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w:t>
            </w:r>
          </w:p>
        </w:tc>
      </w:tr>
      <w:tr>
        <w:trPr>
          <w:trHeight w:val="213"/>
        </w:trPr>
        <w:tc>
          <w:tcPr>
            <w:tcW w:w="3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diabetes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4,568.7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2,257.6</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6,826.3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4,141.0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6,286.6</w:t>
            </w:r>
          </w:p>
        </w:tc>
      </w:tr>
      <w:tr>
        <w:trPr>
          <w:trHeight w:val="245"/>
        </w:trPr>
        <w:tc>
          <w:tcPr>
            <w:tcW w:w="3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0"/>
        </w:trPr>
        <w:tc>
          <w:tcPr>
            <w:tcW w:w="3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Oncology:</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3980" w:type="dxa"/>
            <w:vAlign w:val="bottom"/>
          </w:tcPr>
          <w:p>
            <w:pPr>
              <w:ind w:left="640"/>
              <w:spacing w:after="0"/>
              <w:rPr>
                <w:sz w:val="20"/>
                <w:szCs w:val="20"/>
                <w:color w:val="auto"/>
              </w:rPr>
            </w:pPr>
            <w:r>
              <w:rPr>
                <w:rFonts w:ascii="Arial" w:cs="Arial" w:eastAsia="Arial" w:hAnsi="Arial"/>
                <w:sz w:val="17"/>
                <w:szCs w:val="17"/>
                <w:i w:val="1"/>
                <w:iCs w:val="1"/>
                <w:color w:val="auto"/>
              </w:rPr>
              <w:t>Verzenio</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685.7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372.1</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1,057.9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382.5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227.8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610.3</w:t>
            </w: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Alimta</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425.9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571.7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1,169.6</w:t>
            </w:r>
          </w:p>
        </w:tc>
      </w:tr>
      <w:tr>
        <w:trPr>
          <w:trHeight w:val="220"/>
        </w:trPr>
        <w:tc>
          <w:tcPr>
            <w:tcW w:w="3980" w:type="dxa"/>
            <w:vAlign w:val="bottom"/>
          </w:tcPr>
          <w:p>
            <w:pPr>
              <w:ind w:left="640"/>
              <w:spacing w:after="0"/>
              <w:rPr>
                <w:sz w:val="20"/>
                <w:szCs w:val="20"/>
                <w:color w:val="auto"/>
              </w:rPr>
            </w:pPr>
            <w:r>
              <w:rPr>
                <w:rFonts w:ascii="Arial" w:cs="Arial" w:eastAsia="Arial" w:hAnsi="Arial"/>
                <w:sz w:val="17"/>
                <w:szCs w:val="17"/>
                <w:i w:val="1"/>
                <w:iCs w:val="1"/>
                <w:color w:val="auto"/>
              </w:rPr>
              <w:t>Cyramza</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171.8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289.7</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461.5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181.5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327.7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509.2</w:t>
            </w: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Erbitux</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234.7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28.7</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263.4</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w:t>
            </w:r>
          </w:p>
        </w:tc>
      </w:tr>
      <w:tr>
        <w:trPr>
          <w:trHeight w:val="220"/>
        </w:trPr>
        <w:tc>
          <w:tcPr>
            <w:tcW w:w="3980" w:type="dxa"/>
            <w:vAlign w:val="bottom"/>
          </w:tcPr>
          <w:p>
            <w:pPr>
              <w:ind w:left="640"/>
              <w:spacing w:after="0"/>
              <w:rPr>
                <w:sz w:val="20"/>
                <w:szCs w:val="20"/>
                <w:color w:val="auto"/>
              </w:rPr>
            </w:pPr>
            <w:r>
              <w:rPr>
                <w:rFonts w:ascii="Arial" w:cs="Arial" w:eastAsia="Arial" w:hAnsi="Arial"/>
                <w:sz w:val="17"/>
                <w:szCs w:val="17"/>
                <w:i w:val="1"/>
                <w:iCs w:val="1"/>
                <w:color w:val="auto"/>
              </w:rPr>
              <w:t>Tyvyt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159.0</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159.0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214.6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214.6</w:t>
            </w: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Other oncology</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84.6</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123.7</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208.2</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153.2</w:t>
            </w:r>
          </w:p>
        </w:tc>
      </w:tr>
      <w:tr>
        <w:trPr>
          <w:trHeight w:val="213"/>
        </w:trPr>
        <w:tc>
          <w:tcPr>
            <w:tcW w:w="3980" w:type="dxa"/>
            <w:vAlign w:val="bottom"/>
          </w:tcPr>
          <w:p>
            <w:pPr>
              <w:ind w:left="440"/>
              <w:spacing w:after="0"/>
              <w:rPr>
                <w:sz w:val="20"/>
                <w:szCs w:val="20"/>
                <w:color w:val="auto"/>
              </w:rPr>
            </w:pPr>
            <w:r>
              <w:rPr>
                <w:rFonts w:ascii="Arial" w:cs="Arial" w:eastAsia="Arial" w:hAnsi="Arial"/>
                <w:sz w:val="17"/>
                <w:szCs w:val="17"/>
                <w:color w:val="auto"/>
              </w:rPr>
              <w:t>Total oncology</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1,602.7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1,119.0</w:t>
            </w:r>
          </w:p>
        </w:tc>
        <w:tc>
          <w:tcPr>
            <w:tcW w:w="22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2,721.7</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1,470.8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1,455.4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2,926.3</w:t>
            </w:r>
          </w:p>
        </w:tc>
      </w:tr>
      <w:tr>
        <w:trPr>
          <w:trHeight w:val="245"/>
        </w:trPr>
        <w:tc>
          <w:tcPr>
            <w:tcW w:w="3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0"/>
        </w:trPr>
        <w:tc>
          <w:tcPr>
            <w:tcW w:w="3980" w:type="dxa"/>
            <w:vAlign w:val="bottom"/>
          </w:tcPr>
          <w:p>
            <w:pPr>
              <w:ind w:left="220"/>
              <w:spacing w:after="0"/>
              <w:rPr>
                <w:sz w:val="20"/>
                <w:szCs w:val="20"/>
                <w:color w:val="auto"/>
              </w:rPr>
            </w:pPr>
            <w:r>
              <w:rPr>
                <w:rFonts w:ascii="Arial" w:cs="Arial" w:eastAsia="Arial" w:hAnsi="Arial"/>
                <w:sz w:val="17"/>
                <w:szCs w:val="17"/>
                <w:color w:val="auto"/>
              </w:rPr>
              <w:t>Immunology:</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Taltz</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718.8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375.5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1,094.3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972.4</w:t>
            </w:r>
          </w:p>
        </w:tc>
      </w:tr>
      <w:tr>
        <w:trPr>
          <w:trHeight w:val="220"/>
        </w:trPr>
        <w:tc>
          <w:tcPr>
            <w:tcW w:w="398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Olumiant</w:t>
            </w:r>
            <w:r>
              <w:rPr>
                <w:rFonts w:ascii="Arial" w:cs="Arial" w:eastAsia="Arial" w:hAnsi="Arial"/>
                <w:sz w:val="22"/>
                <w:szCs w:val="22"/>
                <w:color w:val="auto"/>
                <w:vertAlign w:val="superscript"/>
              </w:rPr>
              <w:t>(3)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81.7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360.1</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441.8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359.7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402.2</w:t>
            </w: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Other immunology</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8.5</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13"/>
        </w:trPr>
        <w:tc>
          <w:tcPr>
            <w:tcW w:w="3980" w:type="dxa"/>
            <w:vAlign w:val="bottom"/>
          </w:tcPr>
          <w:p>
            <w:pPr>
              <w:ind w:left="440"/>
              <w:spacing w:after="0"/>
              <w:rPr>
                <w:sz w:val="20"/>
                <w:szCs w:val="20"/>
                <w:color w:val="auto"/>
              </w:rPr>
            </w:pPr>
            <w:r>
              <w:rPr>
                <w:rFonts w:ascii="Arial" w:cs="Arial" w:eastAsia="Arial" w:hAnsi="Arial"/>
                <w:sz w:val="17"/>
                <w:szCs w:val="17"/>
                <w:color w:val="auto"/>
              </w:rPr>
              <w:t>Total immunology</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800.5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744.1</w:t>
            </w:r>
          </w:p>
        </w:tc>
        <w:tc>
          <w:tcPr>
            <w:tcW w:w="22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1,544.6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707.1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692.2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1,399.3</w:t>
            </w:r>
          </w:p>
        </w:tc>
      </w:tr>
      <w:tr>
        <w:trPr>
          <w:trHeight w:val="245"/>
        </w:trPr>
        <w:tc>
          <w:tcPr>
            <w:tcW w:w="3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0"/>
        </w:trPr>
        <w:tc>
          <w:tcPr>
            <w:tcW w:w="3980" w:type="dxa"/>
            <w:vAlign w:val="bottom"/>
          </w:tcPr>
          <w:p>
            <w:pPr>
              <w:ind w:left="220"/>
              <w:spacing w:after="0"/>
              <w:rPr>
                <w:sz w:val="20"/>
                <w:szCs w:val="20"/>
                <w:color w:val="auto"/>
              </w:rPr>
            </w:pPr>
            <w:r>
              <w:rPr>
                <w:rFonts w:ascii="Arial" w:cs="Arial" w:eastAsia="Arial" w:hAnsi="Arial"/>
                <w:sz w:val="17"/>
                <w:szCs w:val="17"/>
                <w:color w:val="auto"/>
              </w:rPr>
              <w:t>Neuroscience:</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Emgality</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306.7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w:t>
            </w:r>
          </w:p>
        </w:tc>
      </w:tr>
      <w:tr>
        <w:trPr>
          <w:trHeight w:val="220"/>
        </w:trPr>
        <w:tc>
          <w:tcPr>
            <w:tcW w:w="3980" w:type="dxa"/>
            <w:vAlign w:val="bottom"/>
          </w:tcPr>
          <w:p>
            <w:pPr>
              <w:ind w:left="640"/>
              <w:spacing w:after="0"/>
              <w:rPr>
                <w:sz w:val="20"/>
                <w:szCs w:val="20"/>
                <w:color w:val="auto"/>
              </w:rPr>
            </w:pPr>
            <w:r>
              <w:rPr>
                <w:rFonts w:ascii="Arial" w:cs="Arial" w:eastAsia="Arial" w:hAnsi="Arial"/>
                <w:sz w:val="17"/>
                <w:szCs w:val="17"/>
                <w:i w:val="1"/>
                <w:iCs w:val="1"/>
                <w:color w:val="auto"/>
              </w:rPr>
              <w:t>Zyprexa</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18.3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162.1</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180.4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191.1</w:t>
            </w: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Cymbalta</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139.4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156.6</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352.3</w:t>
            </w:r>
          </w:p>
        </w:tc>
      </w:tr>
      <w:tr>
        <w:trPr>
          <w:trHeight w:val="220"/>
        </w:trPr>
        <w:tc>
          <w:tcPr>
            <w:tcW w:w="3980" w:type="dxa"/>
            <w:vAlign w:val="bottom"/>
            <w:tcBorders>
              <w:bottom w:val="single" w:sz="8" w:color="CCEEFF"/>
            </w:tcBorders>
          </w:tcPr>
          <w:p>
            <w:pPr>
              <w:ind w:left="640"/>
              <w:spacing w:after="0"/>
              <w:rPr>
                <w:sz w:val="20"/>
                <w:szCs w:val="20"/>
                <w:color w:val="auto"/>
              </w:rPr>
            </w:pPr>
            <w:r>
              <w:rPr>
                <w:rFonts w:ascii="Arial" w:cs="Arial" w:eastAsia="Arial" w:hAnsi="Arial"/>
                <w:sz w:val="17"/>
                <w:szCs w:val="17"/>
                <w:i w:val="1"/>
                <w:iCs w:val="1"/>
                <w:color w:val="auto"/>
              </w:rPr>
              <w:t>Other neuroscience</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45.7</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144.0</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158.5</w:t>
            </w:r>
          </w:p>
        </w:tc>
      </w:tr>
      <w:tr>
        <w:trPr>
          <w:trHeight w:val="213"/>
        </w:trPr>
        <w:tc>
          <w:tcPr>
            <w:tcW w:w="3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neuroscience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298.1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489.5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787.7</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977.6</w:t>
            </w:r>
          </w:p>
        </w:tc>
      </w:tr>
      <w:tr>
        <w:trPr>
          <w:trHeight w:val="245"/>
        </w:trPr>
        <w:tc>
          <w:tcPr>
            <w:tcW w:w="3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0"/>
        </w:trPr>
        <w:tc>
          <w:tcPr>
            <w:tcW w:w="3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3980" w:type="dxa"/>
            <w:vAlign w:val="bottom"/>
          </w:tcPr>
          <w:p>
            <w:pPr>
              <w:ind w:left="640"/>
              <w:spacing w:after="0" w:line="220" w:lineRule="exact"/>
              <w:rPr>
                <w:sz w:val="20"/>
                <w:szCs w:val="20"/>
                <w:color w:val="auto"/>
              </w:rPr>
            </w:pPr>
            <w:r>
              <w:rPr>
                <w:rFonts w:ascii="Arial" w:cs="Arial" w:eastAsia="Arial" w:hAnsi="Arial"/>
                <w:sz w:val="17"/>
                <w:szCs w:val="17"/>
                <w:i w:val="1"/>
                <w:iCs w:val="1"/>
                <w:color w:val="auto"/>
              </w:rPr>
              <w:t>COVID-19 antibodies</w:t>
            </w:r>
            <w:r>
              <w:rPr>
                <w:rFonts w:ascii="Arial" w:cs="Arial" w:eastAsia="Arial" w:hAnsi="Arial"/>
                <w:sz w:val="22"/>
                <w:szCs w:val="22"/>
                <w:color w:val="auto"/>
                <w:vertAlign w:val="superscript"/>
              </w:rPr>
              <w:t>(4)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1,584.3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14.7</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1,598.9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734.0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225.1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959.1</w:t>
            </w: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Cialis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347.0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364.7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407.8</w:t>
            </w:r>
          </w:p>
        </w:tc>
      </w:tr>
      <w:tr>
        <w:trPr>
          <w:trHeight w:val="220"/>
        </w:trPr>
        <w:tc>
          <w:tcPr>
            <w:tcW w:w="3980" w:type="dxa"/>
            <w:vAlign w:val="bottom"/>
          </w:tcPr>
          <w:p>
            <w:pPr>
              <w:ind w:left="640"/>
              <w:spacing w:after="0"/>
              <w:rPr>
                <w:sz w:val="20"/>
                <w:szCs w:val="20"/>
                <w:color w:val="auto"/>
              </w:rPr>
            </w:pPr>
            <w:r>
              <w:rPr>
                <w:rFonts w:ascii="Arial" w:cs="Arial" w:eastAsia="Arial" w:hAnsi="Arial"/>
                <w:sz w:val="17"/>
                <w:szCs w:val="17"/>
                <w:i w:val="1"/>
                <w:iCs w:val="1"/>
                <w:color w:val="auto"/>
              </w:rPr>
              <w:t>Forteo</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148.7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127.2</w:t>
            </w:r>
          </w:p>
        </w:tc>
        <w:tc>
          <w:tcPr>
            <w:tcW w:w="2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275.9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220.5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196.4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416.9</w:t>
            </w:r>
          </w:p>
        </w:tc>
      </w:tr>
      <w:tr>
        <w:trPr>
          <w:trHeight w:val="220"/>
        </w:trPr>
        <w:tc>
          <w:tcPr>
            <w:tcW w:w="398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88.5</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89.6</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178.2</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111.9</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172.1</w:t>
            </w:r>
          </w:p>
        </w:tc>
      </w:tr>
      <w:tr>
        <w:trPr>
          <w:trHeight w:val="213"/>
        </w:trPr>
        <w:tc>
          <w:tcPr>
            <w:tcW w:w="39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other</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1,839.2</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578.5</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2,417.7</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1,018.1</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937.8</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1,955.9</w:t>
            </w:r>
          </w:p>
        </w:tc>
      </w:tr>
      <w:tr>
        <w:trPr>
          <w:trHeight w:val="21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9,109.4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5,188.7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14,298.0</w:t>
            </w:r>
          </w:p>
        </w:tc>
        <w:tc>
          <w:tcPr>
            <w:tcW w:w="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5,900.2</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13,545.7</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6" w:lineRule="exact"/>
        <w:rPr>
          <w:sz w:val="20"/>
          <w:szCs w:val="20"/>
          <w:color w:val="auto"/>
        </w:rPr>
      </w:pPr>
    </w:p>
    <w:p>
      <w:pPr>
        <w:ind w:left="140" w:hanging="137"/>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6" w:lineRule="exact"/>
        <w:rPr>
          <w:rFonts w:ascii="Arial" w:cs="Arial" w:eastAsia="Arial" w:hAnsi="Arial"/>
          <w:sz w:val="9"/>
          <w:szCs w:val="9"/>
          <w:color w:val="auto"/>
        </w:rPr>
      </w:pPr>
    </w:p>
    <w:p>
      <w:pPr>
        <w:ind w:left="140" w:hanging="137"/>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6" w:lineRule="exact"/>
        <w:rPr>
          <w:rFonts w:ascii="Arial" w:cs="Arial" w:eastAsia="Arial" w:hAnsi="Arial"/>
          <w:sz w:val="9"/>
          <w:szCs w:val="9"/>
          <w:color w:val="auto"/>
        </w:rPr>
      </w:pPr>
    </w:p>
    <w:p>
      <w:pPr>
        <w:ind w:left="140" w:hanging="137"/>
        <w:spacing w:after="0" w:line="219"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EUA or similar regulatory authorizations.</w:t>
      </w:r>
    </w:p>
    <w:p>
      <w:pPr>
        <w:ind w:left="160" w:right="100" w:hanging="157"/>
        <w:spacing w:after="0" w:line="265" w:lineRule="auto"/>
        <w:tabs>
          <w:tab w:leader="none" w:pos="139"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 summarizes revenue by geographical area: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13"/>
        </w:trPr>
        <w:tc>
          <w:tcPr>
            <w:tcW w:w="508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rPr>
              <w:t>Revenue—to unaffiliated customers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0"/>
        </w:trPr>
        <w:tc>
          <w:tcPr>
            <w:tcW w:w="5080" w:type="dxa"/>
            <w:vAlign w:val="bottom"/>
          </w:tcPr>
          <w:p>
            <w:pPr>
              <w:ind w:left="140"/>
              <w:spacing w:after="0"/>
              <w:rPr>
                <w:sz w:val="20"/>
                <w:szCs w:val="20"/>
                <w:color w:val="auto"/>
              </w:rPr>
            </w:pPr>
            <w:r>
              <w:rPr>
                <w:rFonts w:ascii="Arial" w:cs="Arial" w:eastAsia="Arial" w:hAnsi="Arial"/>
                <w:sz w:val="17"/>
                <w:szCs w:val="17"/>
                <w:color w:val="auto"/>
              </w:rPr>
              <w:t>U.S.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b w:val="1"/>
                <w:bCs w:val="1"/>
                <w:color w:val="auto"/>
              </w:rPr>
              <w:t>3,934.8</w:t>
            </w:r>
          </w:p>
        </w:tc>
        <w:tc>
          <w:tcPr>
            <w:tcW w:w="4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3,704.2</w:t>
            </w:r>
          </w:p>
        </w:tc>
        <w:tc>
          <w:tcPr>
            <w:tcW w:w="44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b w:val="1"/>
                <w:bCs w:val="1"/>
                <w:color w:val="auto"/>
              </w:rPr>
              <w:t>9,109.4</w:t>
            </w:r>
          </w:p>
        </w:tc>
        <w:tc>
          <w:tcPr>
            <w:tcW w:w="4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7,645.5</w:t>
            </w:r>
          </w:p>
        </w:tc>
      </w:tr>
      <w:tr>
        <w:trPr>
          <w:trHeight w:val="220"/>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Europe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1,101.1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1,209.8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2,168.4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2,531.0</w:t>
            </w:r>
          </w:p>
        </w:tc>
      </w:tr>
      <w:tr>
        <w:trPr>
          <w:trHeight w:val="220"/>
        </w:trPr>
        <w:tc>
          <w:tcPr>
            <w:tcW w:w="5080" w:type="dxa"/>
            <w:vAlign w:val="bottom"/>
          </w:tcPr>
          <w:p>
            <w:pPr>
              <w:ind w:left="140"/>
              <w:spacing w:after="0"/>
              <w:rPr>
                <w:sz w:val="20"/>
                <w:szCs w:val="20"/>
                <w:color w:val="auto"/>
              </w:rPr>
            </w:pPr>
            <w:r>
              <w:rPr>
                <w:rFonts w:ascii="Arial" w:cs="Arial" w:eastAsia="Arial" w:hAnsi="Arial"/>
                <w:sz w:val="17"/>
                <w:szCs w:val="17"/>
                <w:color w:val="auto"/>
              </w:rPr>
              <w:t>Japan</w:t>
            </w:r>
          </w:p>
        </w:tc>
        <w:tc>
          <w:tcPr>
            <w:tcW w:w="32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7"/>
                <w:szCs w:val="17"/>
                <w:b w:val="1"/>
                <w:bCs w:val="1"/>
                <w:color w:val="auto"/>
              </w:rPr>
              <w:t>454.4</w:t>
            </w:r>
          </w:p>
        </w:tc>
        <w:tc>
          <w:tcPr>
            <w:tcW w:w="4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665.4</w:t>
            </w:r>
          </w:p>
        </w:tc>
        <w:tc>
          <w:tcPr>
            <w:tcW w:w="4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b w:val="1"/>
                <w:bCs w:val="1"/>
                <w:color w:val="auto"/>
              </w:rPr>
              <w:t>864.6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1,237.2</w:t>
            </w:r>
          </w:p>
        </w:tc>
      </w:tr>
      <w:tr>
        <w:trPr>
          <w:trHeight w:val="220"/>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352.1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522.5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758.5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884.7</w:t>
            </w:r>
          </w:p>
        </w:tc>
      </w:tr>
      <w:tr>
        <w:trPr>
          <w:trHeight w:val="220"/>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foreign countries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645.7</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638.1</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1,397.2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1,247.3</w:t>
            </w:r>
          </w:p>
        </w:tc>
      </w:tr>
      <w:tr>
        <w:trPr>
          <w:trHeight w:val="21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6,488.0</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6,740.1</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14,298.0</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13,545.7</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6" w:lineRule="exact"/>
        <w:rPr>
          <w:sz w:val="20"/>
          <w:szCs w:val="20"/>
          <w:color w:val="auto"/>
        </w:rPr>
      </w:pPr>
    </w:p>
    <w:p>
      <w:pPr>
        <w:ind w:left="140" w:hanging="137"/>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Acquisitions</w:t>
      </w:r>
    </w:p>
    <w:p>
      <w:pPr>
        <w:spacing w:after="0" w:line="117"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We engage in various forms of business development activities to enhance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January 2021, we completed the acquisition of Prevail Therapeutics Inc. (Prevail). This transaction, as further discussed below in Acquisition of a Business, was accounted for as a business combination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is included in our consolidated condensed financial statements from the date of acquisition.</w:t>
      </w:r>
    </w:p>
    <w:p>
      <w:pPr>
        <w:spacing w:after="0" w:line="6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also acquired assets in development which are further discussed below in Asset Acquisitions. Upon each acquisition, the cost allocated to acquired IPR&amp;D is immediately expensed if the compound has no alternative future use. Milestone payment obligations incurred prior to regulatory approval of the compound are expensed when the event triggering an obligation to pay the milestone occurs. We recognized acquired IPR&amp;D and development milestone charges of $440.4 million and $606.0 million for the three and six months ended June 30, 2022, respectively, and $42.8 million and $354.8 million for the three and six months ended June 30, 2021,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a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Prevail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of Transaction</w:t>
      </w:r>
    </w:p>
    <w:p>
      <w:pPr>
        <w:spacing w:after="0" w:line="11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January 2021, we acquired all shares of Prevail for a purchase price that included $22.50 per share in cash (or an aggregate of $ 747.4 million, net of cash acquired) plus one non-tradable contingent value right (CVR) per share. The CVR entitles Prevail stockholders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 without payment.</w:t>
      </w:r>
    </w:p>
    <w:p>
      <w:pPr>
        <w:spacing w:after="0" w:line="280"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Under the terms of the agreement, we acquired potentially disease-modifying AAV9-based gene therapies for patients with neurodegenerative diseases. The acquisition established a new modality for drug discovery and development, extending our research efforts through the creation of a gene therapy program that is being anchored by Prevail's portfolio of assets. The lead gene therapies in clinical development that we acquired were PR001 for patients with Parkinson's disease with GBA1 mutations and neuronopathic Gaucher disease and PR006 for patients with frontotemporal dementia with GRN mutations. Both PR001 and PR006 were granted Fast Track designation from the U.S. Food and Drug Administration (FDA).</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amounts recognized for assets acquired and liabilities assumed as of the acquisition date: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January 22,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w:t>
            </w:r>
          </w:p>
        </w:tc>
      </w:tr>
      <w:tr>
        <w:trPr>
          <w:trHeight w:val="220"/>
        </w:trPr>
        <w:tc>
          <w:tcPr>
            <w:tcW w:w="9000" w:type="dxa"/>
            <w:vAlign w:val="bottom"/>
          </w:tcPr>
          <w:p>
            <w:pPr>
              <w:ind w:left="20"/>
              <w:spacing w:after="0" w:line="220" w:lineRule="exact"/>
              <w:rPr>
                <w:sz w:val="20"/>
                <w:szCs w:val="20"/>
                <w:color w:val="auto"/>
              </w:rPr>
            </w:pPr>
            <w:r>
              <w:rPr>
                <w:rFonts w:ascii="Arial" w:cs="Arial" w:eastAsia="Arial" w:hAnsi="Arial"/>
                <w:sz w:val="17"/>
                <w:szCs w:val="17"/>
                <w:color w:val="auto"/>
              </w:rPr>
              <w:t>Acquired IPR&amp;D</w:t>
            </w:r>
            <w:r>
              <w:rPr>
                <w:rFonts w:ascii="Arial" w:cs="Arial" w:eastAsia="Arial" w:hAnsi="Arial"/>
                <w:sz w:val="22"/>
                <w:szCs w:val="22"/>
                <w:color w:val="auto"/>
                <w:vertAlign w:val="superscript"/>
              </w:rPr>
              <w:t>(1)</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824.0</w:t>
            </w:r>
          </w:p>
        </w:tc>
      </w:tr>
      <w:tr>
        <w:trPr>
          <w:trHeight w:val="220"/>
        </w:trPr>
        <w:tc>
          <w:tcPr>
            <w:tcW w:w="90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w:t>
            </w:r>
          </w:p>
        </w:tc>
      </w:tr>
      <w:tr>
        <w:trPr>
          <w:trHeight w:val="220"/>
        </w:trPr>
        <w:tc>
          <w:tcPr>
            <w:tcW w:w="90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(106.0)</w:t>
            </w:r>
          </w:p>
        </w:tc>
      </w:tr>
      <w:tr>
        <w:trPr>
          <w:trHeight w:val="220"/>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and liabilities, net</w:t>
            </w:r>
          </w:p>
        </w:tc>
        <w:tc>
          <w:tcPr>
            <w:tcW w:w="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13"/>
        </w:trPr>
        <w:tc>
          <w:tcPr>
            <w:tcW w:w="9000" w:type="dxa"/>
            <w:vAlign w:val="bottom"/>
          </w:tcPr>
          <w:p>
            <w:pPr>
              <w:ind w:left="20"/>
              <w:spacing w:after="0"/>
              <w:rPr>
                <w:sz w:val="20"/>
                <w:szCs w:val="20"/>
                <w:color w:val="auto"/>
              </w:rPr>
            </w:pPr>
            <w:r>
              <w:rPr>
                <w:rFonts w:ascii="Arial" w:cs="Arial" w:eastAsia="Arial" w:hAnsi="Arial"/>
                <w:sz w:val="17"/>
                <w:szCs w:val="17"/>
                <w:color w:val="auto"/>
              </w:rPr>
              <w:t>Acquisition date fair value of consideration transferred</w:t>
            </w:r>
          </w:p>
        </w:tc>
        <w:tc>
          <w:tcPr>
            <w:tcW w:w="9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903.8</w:t>
            </w:r>
          </w:p>
        </w:tc>
      </w:tr>
      <w:tr>
        <w:trPr>
          <w:trHeight w:val="220"/>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0"/>
        </w:trPr>
        <w:tc>
          <w:tcPr>
            <w:tcW w:w="9000" w:type="dxa"/>
            <w:vAlign w:val="bottom"/>
          </w:tcPr>
          <w:p>
            <w:pPr>
              <w:ind w:left="260"/>
              <w:spacing w:after="0"/>
              <w:rPr>
                <w:sz w:val="20"/>
                <w:szCs w:val="20"/>
                <w:color w:val="auto"/>
              </w:rPr>
            </w:pPr>
            <w:r>
              <w:rPr>
                <w:rFonts w:ascii="Arial" w:cs="Arial" w:eastAsia="Arial" w:hAnsi="Arial"/>
                <w:sz w:val="17"/>
                <w:szCs w:val="17"/>
                <w:color w:val="auto"/>
              </w:rPr>
              <w:t>Cash acquired</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(90.5)</w:t>
            </w:r>
          </w:p>
        </w:tc>
      </w:tr>
      <w:tr>
        <w:trPr>
          <w:trHeight w:val="220"/>
        </w:trPr>
        <w:tc>
          <w:tcPr>
            <w:tcW w:w="9000" w:type="dxa"/>
            <w:vAlign w:val="bottom"/>
            <w:shd w:val="clear" w:color="auto" w:fill="CCEEFF"/>
          </w:tcPr>
          <w:p>
            <w:pPr>
              <w:ind w:left="260"/>
              <w:spacing w:after="0" w:line="220" w:lineRule="exact"/>
              <w:rPr>
                <w:sz w:val="20"/>
                <w:szCs w:val="20"/>
                <w:color w:val="auto"/>
              </w:rPr>
            </w:pPr>
            <w:r>
              <w:rPr>
                <w:rFonts w:ascii="Arial" w:cs="Arial" w:eastAsia="Arial" w:hAnsi="Arial"/>
                <w:sz w:val="17"/>
                <w:szCs w:val="17"/>
                <w:color w:val="auto"/>
              </w:rPr>
              <w:t>Fair value of CVR liability</w:t>
            </w:r>
            <w:r>
              <w:rPr>
                <w:rFonts w:ascii="Arial" w:cs="Arial" w:eastAsia="Arial" w:hAnsi="Arial"/>
                <w:sz w:val="22"/>
                <w:szCs w:val="22"/>
                <w:color w:val="auto"/>
                <w:vertAlign w:val="superscript"/>
              </w:rPr>
              <w:t>(3)</w:t>
            </w:r>
          </w:p>
        </w:tc>
        <w:tc>
          <w:tcPr>
            <w:tcW w:w="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w:t>
            </w:r>
          </w:p>
        </w:tc>
      </w:tr>
      <w:tr>
        <w:trPr>
          <w:trHeight w:val="218"/>
        </w:trPr>
        <w:tc>
          <w:tcPr>
            <w:tcW w:w="9000" w:type="dxa"/>
            <w:vAlign w:val="bottom"/>
          </w:tcPr>
          <w:p>
            <w:pPr>
              <w:ind w:left="20"/>
              <w:spacing w:after="0"/>
              <w:rPr>
                <w:sz w:val="20"/>
                <w:szCs w:val="20"/>
                <w:color w:val="auto"/>
              </w:rPr>
            </w:pPr>
            <w:r>
              <w:rPr>
                <w:rFonts w:ascii="Arial" w:cs="Arial" w:eastAsia="Arial" w:hAnsi="Arial"/>
                <w:sz w:val="17"/>
                <w:szCs w:val="17"/>
                <w:color w:val="auto"/>
              </w:rPr>
              <w:t>Cash paid, net of cash acquired</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747.4</w:t>
            </w:r>
          </w:p>
        </w:tc>
      </w:tr>
    </w:tbl>
    <w:p>
      <w:pPr>
        <w:spacing w:after="0" w:line="66" w:lineRule="exact"/>
        <w:rPr>
          <w:sz w:val="20"/>
          <w:szCs w:val="20"/>
          <w:color w:val="auto"/>
        </w:rPr>
      </w:pPr>
    </w:p>
    <w:p>
      <w:pPr>
        <w:ind w:left="140" w:hanging="137"/>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PR001.</w:t>
      </w:r>
    </w:p>
    <w:p>
      <w:pPr>
        <w:ind w:left="140" w:hanging="137"/>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goodwill recognized from this acquisition is not deductible for tax purposes.</w:t>
      </w:r>
    </w:p>
    <w:p>
      <w:pPr>
        <w:spacing w:after="0" w:line="6" w:lineRule="exact"/>
        <w:rPr>
          <w:rFonts w:ascii="Arial" w:cs="Arial" w:eastAsia="Arial" w:hAnsi="Arial"/>
          <w:sz w:val="9"/>
          <w:szCs w:val="9"/>
          <w:color w:val="auto"/>
        </w:rPr>
      </w:pPr>
    </w:p>
    <w:p>
      <w:pPr>
        <w:ind w:left="140" w:hanging="137"/>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See Note 6 for a discussion on the estimation of the CVR liability.</w:t>
      </w:r>
    </w:p>
    <w:p>
      <w:pPr>
        <w:spacing w:after="0" w:line="89"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We are unable to provide the results of operations for the three and six months ended June 30, 2022 and 2021 attributable to Prevail as those operations were substantially integrated into our legacy business.</w:t>
      </w:r>
    </w:p>
    <w:p>
      <w:pPr>
        <w:spacing w:after="0" w:line="43"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Pro forma information has not been included as this acquisition did not have a material impact on our consolidated condensed statements of operations for the three and six months ended June 30, 2021.</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significant asset acquisitions during the six months ended June 30,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Counterparty</w:t>
            </w:r>
          </w:p>
        </w:tc>
        <w:tc>
          <w:tcPr>
            <w:tcW w:w="37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Compound(s), Therapy or Asset</w:t>
            </w:r>
          </w:p>
        </w:tc>
        <w:tc>
          <w:tcPr>
            <w:tcW w:w="164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8"/>
              </w:rPr>
              <w:t>Acquisition Month</w:t>
            </w:r>
          </w:p>
        </w:tc>
        <w:tc>
          <w:tcPr>
            <w:tcW w:w="15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Phase of</w:t>
            </w:r>
          </w:p>
        </w:tc>
        <w:tc>
          <w:tcPr>
            <w:tcW w:w="340" w:type="dxa"/>
            <w:vAlign w:val="bottom"/>
          </w:tcPr>
          <w:p>
            <w:pPr>
              <w:spacing w:after="0"/>
              <w:rPr>
                <w:sz w:val="13"/>
                <w:szCs w:val="13"/>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9"/>
              </w:rPr>
              <w:t>Acquired IPR&amp;D</w:t>
            </w:r>
          </w:p>
        </w:tc>
        <w:tc>
          <w:tcPr>
            <w:tcW w:w="0" w:type="dxa"/>
            <w:vAlign w:val="bottom"/>
          </w:tcPr>
          <w:p>
            <w:pPr>
              <w:spacing w:after="0"/>
              <w:rPr>
                <w:sz w:val="1"/>
                <w:szCs w:val="1"/>
                <w:color w:val="auto"/>
              </w:rPr>
            </w:pPr>
          </w:p>
        </w:tc>
      </w:tr>
      <w:tr>
        <w:trPr>
          <w:trHeight w:val="181"/>
        </w:trPr>
        <w:tc>
          <w:tcPr>
            <w:tcW w:w="2680" w:type="dxa"/>
            <w:vAlign w:val="bottom"/>
            <w:tcBorders>
              <w:bottom w:val="single" w:sz="8" w:color="auto"/>
            </w:tcBorders>
            <w:vMerge w:val="continue"/>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jc w:val="center"/>
              <w:ind w:left="41"/>
              <w:spacing w:after="0" w:line="181" w:lineRule="exact"/>
              <w:rPr>
                <w:sz w:val="20"/>
                <w:szCs w:val="20"/>
                <w:color w:val="auto"/>
              </w:rPr>
            </w:pPr>
            <w:r>
              <w:rPr>
                <w:rFonts w:ascii="Arial" w:cs="Arial" w:eastAsia="Arial" w:hAnsi="Arial"/>
                <w:sz w:val="14"/>
                <w:szCs w:val="14"/>
                <w:b w:val="1"/>
                <w:bCs w:val="1"/>
                <w:color w:val="auto"/>
                <w:w w:val="94"/>
              </w:rPr>
              <w:t>Development</w:t>
            </w:r>
            <w:r>
              <w:rPr>
                <w:rFonts w:ascii="Arial" w:cs="Arial" w:eastAsia="Arial" w:hAnsi="Arial"/>
                <w:sz w:val="17"/>
                <w:szCs w:val="17"/>
                <w:b w:val="1"/>
                <w:bCs w:val="1"/>
                <w:color w:val="auto"/>
                <w:w w:val="94"/>
                <w:vertAlign w:val="superscript"/>
              </w:rPr>
              <w:t>(1)</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BioMarin Pharmaceutical Inc.</w:t>
            </w:r>
          </w:p>
        </w:tc>
        <w:tc>
          <w:tcPr>
            <w:tcW w:w="3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Priority Review Voucher</w:t>
            </w:r>
          </w:p>
        </w:tc>
        <w:tc>
          <w:tcPr>
            <w:tcW w:w="1640" w:type="dxa"/>
            <w:vAlign w:val="bottom"/>
            <w:tcBorders>
              <w:bottom w:val="single" w:sz="8" w:color="auto"/>
            </w:tcBorders>
            <w:shd w:val="clear" w:color="auto" w:fill="CCEEFF"/>
          </w:tcPr>
          <w:p>
            <w:pPr>
              <w:jc w:val="center"/>
              <w:ind w:right="78"/>
              <w:spacing w:after="0"/>
              <w:rPr>
                <w:sz w:val="20"/>
                <w:szCs w:val="20"/>
                <w:color w:val="auto"/>
              </w:rPr>
            </w:pPr>
            <w:r>
              <w:rPr>
                <w:rFonts w:ascii="Arial" w:cs="Arial" w:eastAsia="Arial" w:hAnsi="Arial"/>
                <w:sz w:val="17"/>
                <w:szCs w:val="17"/>
                <w:color w:val="auto"/>
              </w:rPr>
              <w:t>February 2022</w:t>
            </w:r>
          </w:p>
        </w:tc>
        <w:tc>
          <w:tcPr>
            <w:tcW w:w="1560" w:type="dxa"/>
            <w:vAlign w:val="bottom"/>
            <w:tcBorders>
              <w:bottom w:val="single" w:sz="8" w:color="auto"/>
            </w:tcBorders>
            <w:shd w:val="clear" w:color="auto" w:fill="CCEEFF"/>
          </w:tcPr>
          <w:p>
            <w:pPr>
              <w:jc w:val="center"/>
              <w:ind w:left="41"/>
              <w:spacing w:after="0"/>
              <w:rPr>
                <w:sz w:val="20"/>
                <w:szCs w:val="20"/>
                <w:color w:val="auto"/>
              </w:rPr>
            </w:pPr>
            <w:r>
              <w:rPr>
                <w:rFonts w:ascii="Arial" w:cs="Arial" w:eastAsia="Arial" w:hAnsi="Arial"/>
                <w:sz w:val="17"/>
                <w:szCs w:val="17"/>
                <w:color w:val="auto"/>
              </w:rPr>
              <w:t>Not applicable</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110.0</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680" w:type="dxa"/>
            <w:vAlign w:val="bottom"/>
            <w:shd w:val="clear" w:color="auto" w:fill="CCEEFF"/>
          </w:tcPr>
          <w:p>
            <w:pPr>
              <w:spacing w:after="0"/>
              <w:rPr>
                <w:sz w:val="13"/>
                <w:szCs w:val="13"/>
                <w:color w:val="auto"/>
              </w:rPr>
            </w:pPr>
          </w:p>
        </w:tc>
        <w:tc>
          <w:tcPr>
            <w:tcW w:w="3720" w:type="dxa"/>
            <w:vAlign w:val="bottom"/>
            <w:shd w:val="clear" w:color="auto" w:fill="CCEEFF"/>
          </w:tcPr>
          <w:p>
            <w:pPr>
              <w:ind w:left="420"/>
              <w:spacing w:after="0" w:line="161" w:lineRule="exact"/>
              <w:rPr>
                <w:sz w:val="20"/>
                <w:szCs w:val="20"/>
                <w:color w:val="auto"/>
              </w:rPr>
            </w:pPr>
            <w:r>
              <w:rPr>
                <w:rFonts w:ascii="Arial" w:cs="Arial" w:eastAsia="Arial" w:hAnsi="Arial"/>
                <w:sz w:val="17"/>
                <w:szCs w:val="17"/>
                <w:color w:val="auto"/>
              </w:rPr>
              <w:t>R552, a receptor-interacting</w:t>
            </w:r>
          </w:p>
        </w:tc>
        <w:tc>
          <w:tcPr>
            <w:tcW w:w="16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Rigel Pharmaceuticals, Inc.</w:t>
            </w:r>
          </w:p>
        </w:tc>
        <w:tc>
          <w:tcPr>
            <w:tcW w:w="3720" w:type="dxa"/>
            <w:vAlign w:val="bottom"/>
            <w:shd w:val="clear" w:color="auto" w:fill="CCEEFF"/>
          </w:tcPr>
          <w:p>
            <w:pPr>
              <w:ind w:left="420"/>
              <w:spacing w:after="0" w:line="177" w:lineRule="exact"/>
              <w:rPr>
                <w:sz w:val="20"/>
                <w:szCs w:val="20"/>
                <w:color w:val="auto"/>
              </w:rPr>
            </w:pPr>
            <w:r>
              <w:rPr>
                <w:rFonts w:ascii="Arial" w:cs="Arial" w:eastAsia="Arial" w:hAnsi="Arial"/>
                <w:sz w:val="17"/>
                <w:szCs w:val="17"/>
                <w:color w:val="auto"/>
              </w:rPr>
              <w:t>serine/threonine-protein kinase 1 (RIPK1)</w:t>
            </w:r>
          </w:p>
        </w:tc>
        <w:tc>
          <w:tcPr>
            <w:tcW w:w="1640" w:type="dxa"/>
            <w:vAlign w:val="bottom"/>
            <w:vMerge w:val="restart"/>
            <w:shd w:val="clear" w:color="auto" w:fill="CCEEFF"/>
          </w:tcPr>
          <w:p>
            <w:pPr>
              <w:jc w:val="center"/>
              <w:ind w:right="78"/>
              <w:spacing w:after="0"/>
              <w:rPr>
                <w:sz w:val="20"/>
                <w:szCs w:val="20"/>
                <w:color w:val="auto"/>
              </w:rPr>
            </w:pPr>
            <w:r>
              <w:rPr>
                <w:rFonts w:ascii="Arial" w:cs="Arial" w:eastAsia="Arial" w:hAnsi="Arial"/>
                <w:sz w:val="17"/>
                <w:szCs w:val="17"/>
                <w:color w:val="auto"/>
              </w:rPr>
              <w:t>March 2021</w:t>
            </w:r>
          </w:p>
        </w:tc>
        <w:tc>
          <w:tcPr>
            <w:tcW w:w="1560" w:type="dxa"/>
            <w:vAlign w:val="bottom"/>
            <w:vMerge w:val="restart"/>
            <w:shd w:val="clear" w:color="auto" w:fill="CCEEFF"/>
          </w:tcPr>
          <w:p>
            <w:pPr>
              <w:jc w:val="center"/>
              <w:ind w:left="41"/>
              <w:spacing w:after="0"/>
              <w:rPr>
                <w:sz w:val="20"/>
                <w:szCs w:val="20"/>
                <w:color w:val="auto"/>
              </w:rPr>
            </w:pPr>
            <w:r>
              <w:rPr>
                <w:rFonts w:ascii="Arial" w:cs="Arial" w:eastAsia="Arial" w:hAnsi="Arial"/>
                <w:sz w:val="17"/>
                <w:szCs w:val="17"/>
                <w:color w:val="auto"/>
              </w:rPr>
              <w:t>Phase I</w:t>
            </w:r>
          </w:p>
        </w:tc>
        <w:tc>
          <w:tcPr>
            <w:tcW w:w="3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135"/>
        </w:trPr>
        <w:tc>
          <w:tcPr>
            <w:tcW w:w="2680" w:type="dxa"/>
            <w:vAlign w:val="bottom"/>
            <w:vMerge w:val="continue"/>
            <w:shd w:val="clear" w:color="auto" w:fill="CCEEFF"/>
          </w:tcPr>
          <w:p>
            <w:pPr>
              <w:spacing w:after="0"/>
              <w:rPr>
                <w:sz w:val="11"/>
                <w:szCs w:val="11"/>
                <w:color w:val="auto"/>
              </w:rPr>
            </w:pPr>
          </w:p>
        </w:tc>
        <w:tc>
          <w:tcPr>
            <w:tcW w:w="3720" w:type="dxa"/>
            <w:vAlign w:val="bottom"/>
            <w:vMerge w:val="restart"/>
            <w:shd w:val="clear" w:color="auto" w:fill="CCEEFF"/>
          </w:tcPr>
          <w:p>
            <w:pPr>
              <w:ind w:left="420"/>
              <w:spacing w:after="0" w:line="172" w:lineRule="exact"/>
              <w:rPr>
                <w:sz w:val="20"/>
                <w:szCs w:val="20"/>
                <w:color w:val="auto"/>
              </w:rPr>
            </w:pPr>
            <w:r>
              <w:rPr>
                <w:rFonts w:ascii="Arial" w:cs="Arial" w:eastAsia="Arial" w:hAnsi="Arial"/>
                <w:sz w:val="17"/>
                <w:szCs w:val="17"/>
                <w:color w:val="auto"/>
              </w:rPr>
              <w:t>inhibitor, for the potential treatment of</w:t>
            </w:r>
          </w:p>
        </w:tc>
        <w:tc>
          <w:tcPr>
            <w:tcW w:w="1640" w:type="dxa"/>
            <w:vAlign w:val="bottom"/>
            <w:vMerge w:val="continue"/>
            <w:shd w:val="clear" w:color="auto" w:fill="CCEEFF"/>
          </w:tcPr>
          <w:p>
            <w:pPr>
              <w:spacing w:after="0"/>
              <w:rPr>
                <w:sz w:val="11"/>
                <w:szCs w:val="11"/>
                <w:color w:val="auto"/>
              </w:rPr>
            </w:pPr>
          </w:p>
        </w:tc>
        <w:tc>
          <w:tcPr>
            <w:tcW w:w="156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680" w:type="dxa"/>
            <w:vAlign w:val="bottom"/>
            <w:shd w:val="clear" w:color="auto" w:fill="CCEEFF"/>
          </w:tcPr>
          <w:p>
            <w:pPr>
              <w:spacing w:after="0"/>
              <w:rPr>
                <w:sz w:val="3"/>
                <w:szCs w:val="3"/>
                <w:color w:val="auto"/>
              </w:rPr>
            </w:pPr>
          </w:p>
        </w:tc>
        <w:tc>
          <w:tcPr>
            <w:tcW w:w="3720" w:type="dxa"/>
            <w:vAlign w:val="bottom"/>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680" w:type="dxa"/>
            <w:vAlign w:val="bottom"/>
            <w:tcBorders>
              <w:bottom w:val="single" w:sz="8" w:color="auto"/>
            </w:tcBorders>
            <w:shd w:val="clear" w:color="auto" w:fill="CCEEFF"/>
          </w:tcPr>
          <w:p>
            <w:pPr>
              <w:spacing w:after="0"/>
              <w:rPr>
                <w:sz w:val="19"/>
                <w:szCs w:val="19"/>
                <w:color w:val="auto"/>
              </w:rPr>
            </w:pPr>
          </w:p>
        </w:tc>
        <w:tc>
          <w:tcPr>
            <w:tcW w:w="3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autoimmune and inflammatory diseases</w:t>
            </w:r>
          </w:p>
        </w:tc>
        <w:tc>
          <w:tcPr>
            <w:tcW w:w="16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680" w:type="dxa"/>
            <w:vAlign w:val="bottom"/>
            <w:vMerge w:val="restart"/>
          </w:tcPr>
          <w:p>
            <w:pPr>
              <w:ind w:left="20"/>
              <w:spacing w:after="0"/>
              <w:rPr>
                <w:sz w:val="20"/>
                <w:szCs w:val="20"/>
                <w:color w:val="auto"/>
              </w:rPr>
            </w:pPr>
            <w:r>
              <w:rPr>
                <w:rFonts w:ascii="Arial" w:cs="Arial" w:eastAsia="Arial" w:hAnsi="Arial"/>
                <w:sz w:val="17"/>
                <w:szCs w:val="17"/>
                <w:color w:val="auto"/>
              </w:rPr>
              <w:t>Precision Biosciences, Inc.</w:t>
            </w:r>
          </w:p>
        </w:tc>
        <w:tc>
          <w:tcPr>
            <w:tcW w:w="3720" w:type="dxa"/>
            <w:vAlign w:val="bottom"/>
          </w:tcPr>
          <w:p>
            <w:pPr>
              <w:ind w:left="420"/>
              <w:spacing w:after="0" w:line="161" w:lineRule="exact"/>
              <w:rPr>
                <w:sz w:val="20"/>
                <w:szCs w:val="20"/>
                <w:color w:val="auto"/>
              </w:rPr>
            </w:pPr>
            <w:r>
              <w:rPr>
                <w:rFonts w:ascii="Arial" w:cs="Arial" w:eastAsia="Arial" w:hAnsi="Arial"/>
                <w:sz w:val="17"/>
                <w:szCs w:val="17"/>
                <w:color w:val="auto"/>
              </w:rPr>
              <w:t>Potential in vivo therapies for genetic</w:t>
            </w:r>
          </w:p>
        </w:tc>
        <w:tc>
          <w:tcPr>
            <w:tcW w:w="1640" w:type="dxa"/>
            <w:vAlign w:val="bottom"/>
            <w:vMerge w:val="restart"/>
          </w:tcPr>
          <w:p>
            <w:pPr>
              <w:jc w:val="center"/>
              <w:ind w:right="78"/>
              <w:spacing w:after="0"/>
              <w:rPr>
                <w:sz w:val="20"/>
                <w:szCs w:val="20"/>
                <w:color w:val="auto"/>
              </w:rPr>
            </w:pPr>
            <w:r>
              <w:rPr>
                <w:rFonts w:ascii="Arial" w:cs="Arial" w:eastAsia="Arial" w:hAnsi="Arial"/>
                <w:sz w:val="17"/>
                <w:szCs w:val="17"/>
                <w:color w:val="auto"/>
              </w:rPr>
              <w:t>January 2021</w:t>
            </w:r>
          </w:p>
        </w:tc>
        <w:tc>
          <w:tcPr>
            <w:tcW w:w="1560" w:type="dxa"/>
            <w:vAlign w:val="bottom"/>
            <w:vMerge w:val="restart"/>
          </w:tcPr>
          <w:p>
            <w:pPr>
              <w:jc w:val="center"/>
              <w:ind w:left="41"/>
              <w:spacing w:after="0"/>
              <w:rPr>
                <w:sz w:val="20"/>
                <w:szCs w:val="20"/>
                <w:color w:val="auto"/>
              </w:rPr>
            </w:pPr>
            <w:r>
              <w:rPr>
                <w:rFonts w:ascii="Arial" w:cs="Arial" w:eastAsia="Arial" w:hAnsi="Arial"/>
                <w:sz w:val="17"/>
                <w:szCs w:val="17"/>
                <w:color w:val="auto"/>
              </w:rPr>
              <w:t>Pre-clinical</w:t>
            </w:r>
          </w:p>
        </w:tc>
        <w:tc>
          <w:tcPr>
            <w:tcW w:w="3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144"/>
        </w:trPr>
        <w:tc>
          <w:tcPr>
            <w:tcW w:w="2680" w:type="dxa"/>
            <w:vAlign w:val="bottom"/>
            <w:vMerge w:val="continue"/>
          </w:tcPr>
          <w:p>
            <w:pPr>
              <w:spacing w:after="0"/>
              <w:rPr>
                <w:sz w:val="12"/>
                <w:szCs w:val="12"/>
                <w:color w:val="auto"/>
              </w:rPr>
            </w:pPr>
          </w:p>
        </w:tc>
        <w:tc>
          <w:tcPr>
            <w:tcW w:w="3720" w:type="dxa"/>
            <w:vAlign w:val="bottom"/>
            <w:vMerge w:val="restart"/>
          </w:tcPr>
          <w:p>
            <w:pPr>
              <w:ind w:left="420"/>
              <w:spacing w:after="0"/>
              <w:rPr>
                <w:sz w:val="20"/>
                <w:szCs w:val="20"/>
                <w:color w:val="auto"/>
              </w:rPr>
            </w:pPr>
            <w:r>
              <w:rPr>
                <w:rFonts w:ascii="Arial" w:cs="Arial" w:eastAsia="Arial" w:hAnsi="Arial"/>
                <w:sz w:val="17"/>
                <w:szCs w:val="17"/>
                <w:color w:val="auto"/>
              </w:rPr>
              <w:t>disorders</w:t>
            </w:r>
          </w:p>
        </w:tc>
        <w:tc>
          <w:tcPr>
            <w:tcW w:w="164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68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vMerge w:val="continue"/>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0" w:hanging="137"/>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The phase of development presented is as of the date of the arrangement and represents the phase of development of the most advanced asset acquired, where applicable.</w:t>
      </w:r>
    </w:p>
    <w:p>
      <w:pPr>
        <w:spacing w:after="0" w:line="31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connection with our acquisition of Petra Pharma Corporation (Petra), we were required to make milestone payments to Petra shareholders contingent upon the occurrence of certain future events linked to the success of the mutant-selective PI3Kα inhibitor. In the second quarter of 2022, we entered into agreements with substantially all Petra shareholders to acquire their rights to receive any future milestone payments in exchange for a one-time payment. As a result of these agreements, we recognized a charge of $ 333.8 million as a development milestone during the three and six months ended June 30, 2022. Any remaining contingent milestones payments linked to the success of the mutant-selective PI3Kα are not expected to be material. We recognized no other significant development milestones during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4: Collaborations and Other Arrangements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66"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Boehringer Ingelheim Diabetes Collaboration</w:t>
      </w:r>
    </w:p>
    <w:p>
      <w:pPr>
        <w:spacing w:after="0" w:line="117"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 well as our basal insulin, Basaglar. Glyxambi, Synjardy, and Trijardy XR are included in the Jardiance product family. Jentadueto is included in the Trajenta product family.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The milestones pertaining to Jardiance and Trajenta are being amortized through their respective term under the collaboration, which, depending on country or region, is determined based on the latest to occur of (a) a defined number of years following launch date, (b) the expiration of the compound patent, or (c) the expiration of marketing authorization exclusivity. The milestones pertaining to Basaglar are being amortized through 2029. The table below summarizes the net milestones capitalized with respect to the Jardiance and Trajenta families of products and the net milestones deferred with respect to Basaglar at June 30, 2022 and December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4"/>
                <w:szCs w:val="14"/>
                <w:b w:val="1"/>
                <w:bCs w:val="1"/>
                <w:color w:val="auto"/>
              </w:rPr>
              <w:t>Net Milestones Capitalized (Deferred)</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as of:</w:t>
            </w:r>
          </w:p>
        </w:tc>
      </w:tr>
      <w:tr>
        <w:trPr>
          <w:trHeight w:val="186"/>
        </w:trPr>
        <w:tc>
          <w:tcPr>
            <w:tcW w:w="7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December 31, 2021</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Jardiance</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126.1</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r>
      <w:tr>
        <w:trPr>
          <w:trHeight w:val="220"/>
        </w:trPr>
        <w:tc>
          <w:tcPr>
            <w:tcW w:w="7160" w:type="dxa"/>
            <w:vAlign w:val="bottom"/>
          </w:tcPr>
          <w:p>
            <w:pPr>
              <w:ind w:left="20"/>
              <w:spacing w:after="0"/>
              <w:rPr>
                <w:sz w:val="20"/>
                <w:szCs w:val="20"/>
                <w:color w:val="auto"/>
              </w:rPr>
            </w:pPr>
            <w:r>
              <w:rPr>
                <w:rFonts w:ascii="Arial" w:cs="Arial" w:eastAsia="Arial" w:hAnsi="Arial"/>
                <w:sz w:val="17"/>
                <w:szCs w:val="17"/>
                <w:color w:val="auto"/>
              </w:rPr>
              <w:t>Trajenta</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auto"/>
              </w:rPr>
              <w:t>75.8</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88.5</w:t>
            </w:r>
          </w:p>
        </w:tc>
      </w:tr>
      <w:tr>
        <w:trPr>
          <w:trHeight w:val="22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Basaglar</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(140.0)</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r>
    </w:tbl>
    <w:p>
      <w:pPr>
        <w:spacing w:after="0" w:line="80" w:lineRule="exact"/>
        <w:rPr>
          <w:sz w:val="20"/>
          <w:szCs w:val="20"/>
          <w:color w:val="auto"/>
        </w:rPr>
      </w:pPr>
    </w:p>
    <w:p>
      <w:pPr>
        <w:ind w:left="140" w:hanging="137"/>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This represents the amounts that have been capitalized (deferred) from the start of this collaboration through the end of the reporting period, net of amount amortized.</w:t>
      </w:r>
    </w:p>
    <w:p>
      <w:pPr>
        <w:spacing w:after="0" w:line="30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For the Jardiance product family, we and Boehringer Ingelheim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Basaglar in the U.S. We record our sales of Basaglar to third parties as net product revenue with the royalty payments made to Boehringer Ingelheim recorded as cost of sales.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7" w:name="page18"/>
    <w:bookmarkEnd w:id="17"/>
    <w:p>
      <w:pPr>
        <w:ind w:right="60"/>
        <w:spacing w:after="0" w:line="291" w:lineRule="auto"/>
        <w:rPr>
          <w:sz w:val="20"/>
          <w:szCs w:val="20"/>
          <w:color w:val="auto"/>
        </w:rPr>
      </w:pPr>
      <w:r>
        <w:rPr>
          <w:rFonts w:ascii="Arial" w:cs="Arial" w:eastAsia="Arial" w:hAnsi="Arial"/>
          <w:sz w:val="17"/>
          <w:szCs w:val="17"/>
          <w:color w:val="auto"/>
        </w:rPr>
        <w:t>The following table summarizes our collaboration and other revenue recognized with respect to the Jardiance and Trajenta families of products and net product revenue recognized with respect to Basaglar: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87"/>
        </w:trPr>
        <w:tc>
          <w:tcPr>
            <w:tcW w:w="5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Jardiance</w:t>
            </w:r>
          </w:p>
        </w:tc>
        <w:tc>
          <w:tcPr>
            <w:tcW w:w="900" w:type="dxa"/>
            <w:vAlign w:val="bottom"/>
            <w:shd w:val="clear" w:color="auto" w:fill="CCEEFF"/>
          </w:tcPr>
          <w:p>
            <w:pPr>
              <w:jc w:val="right"/>
              <w:ind w:right="70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461.0</w:t>
            </w:r>
          </w:p>
        </w:tc>
        <w:tc>
          <w:tcPr>
            <w:tcW w:w="102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8"/>
              </w:rPr>
              <w:t>356.5</w:t>
            </w:r>
          </w:p>
        </w:tc>
        <w:tc>
          <w:tcPr>
            <w:tcW w:w="1000" w:type="dxa"/>
            <w:vAlign w:val="bottom"/>
            <w:shd w:val="clear" w:color="auto" w:fill="CCEEFF"/>
          </w:tcPr>
          <w:p>
            <w:pPr>
              <w:jc w:val="right"/>
              <w:ind w:right="72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880.4</w:t>
            </w:r>
          </w:p>
        </w:tc>
        <w:tc>
          <w:tcPr>
            <w:tcW w:w="100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w:t>
            </w: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rPr>
              <w:t>Basaglar</w:t>
            </w:r>
          </w:p>
        </w:tc>
        <w:tc>
          <w:tcPr>
            <w:tcW w:w="90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174.2</w:t>
            </w:r>
          </w:p>
        </w:tc>
        <w:tc>
          <w:tcPr>
            <w:tcW w:w="102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7"/>
                <w:szCs w:val="17"/>
                <w:color w:val="auto"/>
                <w:w w:val="98"/>
              </w:rPr>
              <w:t>210.7</w:t>
            </w:r>
          </w:p>
        </w:tc>
        <w:tc>
          <w:tcPr>
            <w:tcW w:w="100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365.7</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457.3</w:t>
            </w: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Trajenta</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97.1</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89.2</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189.2</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Olumiant</w:t>
      </w:r>
    </w:p>
    <w:p>
      <w:pPr>
        <w:spacing w:after="0" w:line="117"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We have a worldwide license and collaboration agreement with Incyte Corporation (Incyte), which provides us the development and commercialization rights to its Janus tyrosine kinase (JAK) inhibitor compound, now known as Olumiant (baricitinib), and certain follow-on compounds, for the treatment of inflammatory and autoimmune diseases.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6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connection with the regulatory approvals of Olumiant in the U.S., Europe, and Japan, as well as achievement of a sales-based milestone, milestone payments of $330.0 million and $260.0 million were capitalized as intangible assets as of June 30, 2022 and December 31, 2021, respectively, and are being amortized to cost of sales through the term of the collaboration. This represents the cumulative amounts that have been capitalized from the start of this collaboration through the end of each reporting period.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Incyte is eligible to receive up to $100.0 million of additional payments from us in potential sales-based milestones.</w:t>
      </w:r>
    </w:p>
    <w:p>
      <w:pPr>
        <w:spacing w:after="0" w:line="11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record our sales of Olumiant, including sales of baricitinib that were made pursuant to EUA or similar regulatory authorizations, to third parties as net product revenue with the royalty payments made to Incyte recorded as cost of sales. The following table summarizes our net product revenue recognized with respect to Olumiant: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Olumiant</w:t>
            </w:r>
          </w:p>
        </w:tc>
        <w:tc>
          <w:tcPr>
            <w:tcW w:w="900" w:type="dxa"/>
            <w:vAlign w:val="bottom"/>
            <w:shd w:val="clear" w:color="auto" w:fill="CCEEFF"/>
          </w:tcPr>
          <w:p>
            <w:pPr>
              <w:jc w:val="right"/>
              <w:ind w:right="70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186.2</w:t>
            </w:r>
          </w:p>
        </w:tc>
        <w:tc>
          <w:tcPr>
            <w:tcW w:w="102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8"/>
              </w:rPr>
              <w:t>208.4</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441.8</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402.2</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Antibodies</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have a worldwide license and collaboration agreement with AbCellera Biologics Inc. (AbCellera) to co-develop therapeutic antibodies for the potential prevention and treatment of COVID-19, including bamlanivimab and bebtelovimab, for which we hold development and commercialization rights. AbCellera has the right to receive tiered royalty payments on worldwide net sales of bamlanivimab and bebtelovimab with percentages ranging in the mid-teens to mid-twenties. Royalty payments made to AbCellera are recorded as cost of sales.</w:t>
      </w:r>
    </w:p>
    <w:p>
      <w:pPr>
        <w:spacing w:after="0" w:line="64"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We have a license and collaboration agreement with Shanghai Junshi Biosciences Co., Ltd. (Junshi Biosciences) to co-develop therapeutic antibodies for the potential prevention and treatment of COVID-19, including etesevimab, for which we hold development and commercialization rights outside of mainland China and the Special Administrative Regions of Hong Kong and Macau, and for which Junshi Biosciences currently maintains all rights in mainland China and the Special Administrative Regions of Hong Kong and Macau. Junshi Biosciences has the right to receive royalty payments in the mid-teens on our net sales of etesevimab. Junshi Biosciences received certain development, success-based regulatory and sales-based milestones. Capitalized regulatory and sales-based milestones were fully amortized to cost of sales as of June 30, 2022.</w:t>
      </w:r>
    </w:p>
    <w:p>
      <w:pPr>
        <w:spacing w:after="0" w:line="68"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Pursuant to EUAs or similar regulatory authorizations, we recognized net product revenue associated with our sales of our COVID-19 antibodies of $129.1 million and $1.60 billion for the three and six months ended June 30, 2022, respectively, and $148.9 million and $959.1 million for the three and six months ended June 30, 2021,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Sintilimab Injection</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have a collaboration agreement with Innovent Biologics, Inc. (Innovent) to jointly develop and commercialize sintilimab injection in China, where it is branded and trademarked as Tyvyt. In 2020, we obtained an exclusive license for sintilimab injection from Innovent for geographies outside of China. Innovent, with collaboration from us, filed the initial registration of sintilimab injection in the U.S. that the FDA did not approve in its current form and recommended an additional multiregional clinical study be performed. Lilly does not plan to further pursue submission.</w:t>
      </w:r>
    </w:p>
    <w:p>
      <w:pPr>
        <w:spacing w:after="0" w:line="64"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In connection with regulatory approvals for Tyvyt in China, milestone payments of $120.0 million and $40.0 million were capitalized as intangible assets as of June 30, 2022 and December 31, 2021, respectively, and are being amortized to cost of sales through the term of the collaboration. This represents the cumulative amounts that have been capitalized from the start of this collaboration through the end of each reporting period.</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of June 30, 2022, Innovent is eligible to receive up to $825.0 million for geographies outside of China and up to $115.0 million in China in success-based regulatory and sales-based milestones. Innovent is also eligible to receive tiered double digit royalties on net sales for geographies outside of China.</w:t>
      </w:r>
    </w:p>
    <w:p>
      <w:pPr>
        <w:spacing w:after="0" w:line="5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 in China with respect to Tyvyt: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Tyvyt</w:t>
            </w:r>
          </w:p>
        </w:tc>
        <w:tc>
          <w:tcPr>
            <w:tcW w:w="940" w:type="dxa"/>
            <w:vAlign w:val="bottom"/>
            <w:shd w:val="clear" w:color="auto" w:fill="CCEEFF"/>
          </w:tcPr>
          <w:p>
            <w:pPr>
              <w:jc w:val="right"/>
              <w:ind w:right="745"/>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73.6</w:t>
            </w:r>
          </w:p>
        </w:tc>
        <w:tc>
          <w:tcPr>
            <w:tcW w:w="102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8"/>
              </w:rPr>
              <w:t>105.0</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159.0</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Lebrikizumab</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have a worldwide license agreement with F. Hoffmann-La Roche Ltd and Genentech, Inc. (collectively, Roche), which provides us the worldwide development and commercialization rights to lebrikizumab. Roche has the right to receive tiered royalty payments on future worldwide net sales ranging in percentages from high single digits to high teens if the product is successfully commercialized. As of June 30, 2022,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6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June 30, 2022, we are eligible to receive additional payments of $85.0 million from Almirall contingent upon the achievement of success-based regulatory milestones and up to $1.25 billion in a series of sales-based milestones, contingent upon the commercial success of lebrikizumab. As of June 30, 2022 and December 31, 2021, contract liabilities were not material. During the three and six months ended June 30, 2022 and 2021, collaboration and other revenue recognized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Note 5: Asset Impairment, Restructuring, and Other Special Charges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components of the charges included in asset impairment, restructuring, and other special charges in our consolidated condensed statements of operations are described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Six Months Ended June 30,</w:t>
            </w:r>
          </w:p>
        </w:tc>
        <w:tc>
          <w:tcPr>
            <w:tcW w:w="1160" w:type="dxa"/>
            <w:vAlign w:val="bottom"/>
            <w:tcBorders>
              <w:bottom w:val="single" w:sz="8" w:color="auto"/>
            </w:tcBorders>
          </w:tcPr>
          <w:p>
            <w:pPr>
              <w:spacing w:after="0"/>
              <w:rPr>
                <w:sz w:val="16"/>
                <w:szCs w:val="16"/>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w w:val="96"/>
              </w:rPr>
              <w:t>2021</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140" w:type="dxa"/>
            <w:vAlign w:val="bottom"/>
            <w:shd w:val="clear" w:color="auto" w:fill="CCEEFF"/>
          </w:tcPr>
          <w:p>
            <w:pPr>
              <w:jc w:val="right"/>
              <w:ind w:right="960"/>
              <w:spacing w:after="0"/>
              <w:rPr>
                <w:sz w:val="20"/>
                <w:szCs w:val="20"/>
                <w:color w:val="auto"/>
              </w:rPr>
            </w:pPr>
            <w:r>
              <w:rPr>
                <w:rFonts w:ascii="Arial" w:cs="Arial" w:eastAsia="Arial" w:hAnsi="Arial"/>
                <w:sz w:val="17"/>
                <w:szCs w:val="17"/>
                <w:b w:val="1"/>
                <w:bCs w:val="1"/>
                <w:color w:val="auto"/>
                <w:w w:val="84"/>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2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 impairment and other special charges</w:t>
            </w:r>
          </w:p>
        </w:tc>
        <w:tc>
          <w:tcPr>
            <w:tcW w:w="1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200.1</w:t>
            </w:r>
          </w:p>
        </w:tc>
      </w:tr>
      <w:tr>
        <w:trPr>
          <w:trHeight w:val="21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impairment, restructuring, and other special charges</w:t>
            </w:r>
          </w:p>
        </w:tc>
        <w:tc>
          <w:tcPr>
            <w:tcW w:w="1140" w:type="dxa"/>
            <w:vAlign w:val="bottom"/>
            <w:tcBorders>
              <w:bottom w:val="single" w:sz="8" w:color="auto"/>
            </w:tcBorders>
            <w:shd w:val="clear" w:color="auto" w:fill="CCEEFF"/>
          </w:tcPr>
          <w:p>
            <w:pPr>
              <w:jc w:val="right"/>
              <w:ind w:right="960"/>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211.6</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asset impairment, restructuring, and other special charges recognized during the three months ended June 30, 2022 and 2021.</w:t>
      </w:r>
    </w:p>
    <w:p>
      <w:pPr>
        <w:spacing w:after="0" w:line="115"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Asset impairment, restructuring, and other special charges recognized during the six months ended June 30, 2021 were primarily related to an intangible asset impairment of $108.1 million resulting from the sale of the rights to Qbrexza</w:t>
      </w:r>
      <w:r>
        <w:rPr>
          <w:rFonts w:ascii="Arial" w:cs="Arial" w:eastAsia="Arial" w:hAnsi="Arial"/>
          <w:sz w:val="22"/>
          <w:szCs w:val="22"/>
          <w:color w:val="auto"/>
          <w:vertAlign w:val="superscript"/>
        </w:rPr>
        <w:t>®</w:t>
      </w:r>
      <w:r>
        <w:rPr>
          <w:rFonts w:ascii="Arial" w:cs="Arial" w:eastAsia="Arial" w:hAnsi="Arial"/>
          <w:sz w:val="17"/>
          <w:szCs w:val="17"/>
          <w:color w:val="auto"/>
        </w:rPr>
        <w:t>, as well as acquisition and integration costs associated with the acquisition of Prevail.</w:t>
      </w:r>
    </w:p>
    <w:p>
      <w:pPr>
        <w:spacing w:after="0" w:line="13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recognized inventory impairment charges related to our COVID-19 antibodies of $423.0 million and $ 504.5 million during the three and six months ended June 30, 2021, respectively, in cost of sales in our consolidated condensed statements of operations. As part of our response to the COVID-19 pandemic, and at the request of the U.S. and international governments, we invested in large-scale manufacturing of COVID-19 antibodies at risk, in order to ensure rapid access to patients around the world. As the COVID-19 pandemic evolved during 2021, we incurred inventory impairment charges primarily due to the combination of changes to demand from U.S. and international governments, including changes to our agreement with the U.S. government, and near-term expiry dates of COVID-19 antibodies.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Financial Instruments</w:t>
      </w:r>
    </w:p>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investment grade credit ratings.</w:t>
      </w:r>
    </w:p>
    <w:p>
      <w:pPr>
        <w:spacing w:after="0" w:line="68"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We consider all highly liquid investments with a maturity of three months or less from the date of purchase to be cash equivalents. The cost of these investments approximates fair value.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equity investments are accounted for using three different methods depending on the type of equity investment:</w:t>
      </w:r>
    </w:p>
    <w:p>
      <w:pPr>
        <w:spacing w:after="0" w:line="115" w:lineRule="exact"/>
        <w:rPr>
          <w:sz w:val="20"/>
          <w:szCs w:val="20"/>
          <w:color w:val="auto"/>
        </w:rPr>
      </w:pPr>
    </w:p>
    <w:p>
      <w:pPr>
        <w:ind w:left="620" w:right="40" w:hanging="307"/>
        <w:spacing w:after="0" w:line="291"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Investments in companies over which we have significant influence but not a controlling interest are accounted for using the equity method, with our share of earnings or losses reported in other-net, (income) expense.</w:t>
      </w:r>
    </w:p>
    <w:p>
      <w:pPr>
        <w:spacing w:after="0" w:line="42" w:lineRule="exact"/>
        <w:rPr>
          <w:rFonts w:ascii="Arial" w:cs="Arial" w:eastAsia="Arial" w:hAnsi="Arial"/>
          <w:sz w:val="17"/>
          <w:szCs w:val="17"/>
          <w:color w:val="auto"/>
        </w:rPr>
      </w:pPr>
    </w:p>
    <w:p>
      <w:pPr>
        <w:jc w:val="both"/>
        <w:ind w:left="620" w:right="80" w:hanging="307"/>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58" w:lineRule="exact"/>
        <w:rPr>
          <w:rFonts w:ascii="Arial" w:cs="Arial" w:eastAsia="Arial" w:hAnsi="Arial"/>
          <w:sz w:val="17"/>
          <w:szCs w:val="17"/>
          <w:color w:val="auto"/>
        </w:rPr>
      </w:pPr>
    </w:p>
    <w:p>
      <w:pPr>
        <w:ind w:left="620" w:right="720" w:hanging="307"/>
        <w:spacing w:after="0" w:line="291"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public equity investments are measured and carried at fair value. Any change in fair value is recognized in other-net, (income) expense.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We review equity investments other than public equity investments for indications of impairment and observable price changes on a regular basis.</w:t>
      </w:r>
    </w:p>
    <w:p>
      <w:pPr>
        <w:spacing w:after="0" w:line="11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0" w:name="page21"/>
    <w:bookmarkEnd w:id="20"/>
    <w:p>
      <w:pPr>
        <w:spacing w:after="0" w:line="260" w:lineRule="auto"/>
        <w:rPr>
          <w:sz w:val="20"/>
          <w:szCs w:val="20"/>
          <w:color w:val="auto"/>
        </w:rPr>
      </w:pPr>
      <w:r>
        <w:rPr>
          <w:rFonts w:ascii="Arial" w:cs="Arial" w:eastAsia="Arial" w:hAnsi="Arial"/>
          <w:sz w:val="17"/>
          <w:szCs w:val="17"/>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may enter into foreign currency forward or option contracts to reduce the effect of fluctuating currency exchange rates (principally the euro, British pound, Chinese yuan,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June 30, 2022, we had outstanding foreign currency forward commitments, including foreign currency forward contracts designated as economic hedges of net investments, to purchase 2.19 billion U.S. dollars and sell 2.05 billion euro; commitments to purchase 2.56 billion euro and sell 2.68 billion U.S. dollars; commitments to purchase 273.9 million U.S. dollars and sell 1.85 billion Chinese yuan; commitments to purchase 145.6 million U.S. dollars and sell 19.64 billion Japanese yen; and commitments to purchase 186.2 million British pounds and sell 228.8 million U.S. dollars, which all have settlement dates within 180 days.</w:t>
      </w:r>
    </w:p>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Foreign currency exchange risk is also managed through the use of foreign currency debt, cross-currency interest rate swaps, and foreign currency forward contracts. Our foreign currency-denominated notes had carrying amounts of $6.72 billion and $7.90 billion as of June 30, 2022 and December 31, 2021, respectively, of which $5.38 billion and $5.79 billion have been designated as, and are effective as, economic hedges of net investments in certain of our foreign operations as of June 30, 2022 and December 31, 2021, respectively. At June 30, 2022, we had outstanding cross-currency swaps with notional amounts of $1.56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fixed-rate debt, have also been designated as, and are effective as, economic hedges of net investments. At June 30, 2022, we had outstanding foreign currency forward contracts to sell 1.01 billion euro with settlement dates ranging through 2022, which have been designated as, and are effective as, economic hedges of net investments.</w:t>
      </w:r>
    </w:p>
    <w:p>
      <w:pPr>
        <w:spacing w:after="0" w:line="7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6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2022, substantially all of our total long-term debt is at a fixed rate. We have converted approximately 10 percent of our long-term fixed-rate notes to floating rates through the use of interest rate swaps.</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and upon completion of a debt issuance and termination of the swap, is amortized to interest expense over the life of the underlying debt. As of June 30, 2022, the total notional amounts of forward-starting interest rate contracts in designated cash flow hedging instruments were $1.75 billion, which have settlement dates ranging between 2023 and 2025.</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effects of risk-management instruments were recognized in other–net, (income)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hedges: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180"/>
              <w:spacing w:after="0"/>
              <w:rPr>
                <w:sz w:val="20"/>
                <w:szCs w:val="20"/>
                <w:color w:val="auto"/>
              </w:rPr>
            </w:pPr>
            <w:r>
              <w:rPr>
                <w:rFonts w:ascii="Arial" w:cs="Arial" w:eastAsia="Arial" w:hAnsi="Arial"/>
                <w:sz w:val="17"/>
                <w:szCs w:val="17"/>
                <w:color w:val="auto"/>
              </w:rPr>
              <w:t>Effect from hedged fixed-rate debt</w:t>
            </w:r>
          </w:p>
        </w:tc>
        <w:tc>
          <w:tcPr>
            <w:tcW w:w="24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b w:val="1"/>
                <w:bCs w:val="1"/>
                <w:color w:val="auto"/>
              </w:rPr>
              <w:t>(58.2)</w:t>
            </w:r>
          </w:p>
        </w:tc>
        <w:tc>
          <w:tcPr>
            <w:tcW w:w="3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6"/>
              <w:spacing w:after="0"/>
              <w:rPr>
                <w:sz w:val="20"/>
                <w:szCs w:val="20"/>
                <w:color w:val="auto"/>
              </w:rPr>
            </w:pPr>
            <w:r>
              <w:rPr>
                <w:rFonts w:ascii="Arial" w:cs="Arial" w:eastAsia="Arial" w:hAnsi="Arial"/>
                <w:sz w:val="17"/>
                <w:szCs w:val="17"/>
                <w:color w:val="auto"/>
              </w:rPr>
              <w:t>31.1</w:t>
            </w:r>
          </w:p>
        </w:tc>
        <w:tc>
          <w:tcPr>
            <w:tcW w:w="38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8"/>
              <w:spacing w:after="0"/>
              <w:rPr>
                <w:sz w:val="20"/>
                <w:szCs w:val="20"/>
                <w:color w:val="auto"/>
              </w:rPr>
            </w:pPr>
            <w:r>
              <w:rPr>
                <w:rFonts w:ascii="Arial" w:cs="Arial" w:eastAsia="Arial" w:hAnsi="Arial"/>
                <w:sz w:val="17"/>
                <w:szCs w:val="17"/>
                <w:b w:val="1"/>
                <w:bCs w:val="1"/>
                <w:color w:val="auto"/>
              </w:rPr>
              <w:t>(152.8)</w:t>
            </w:r>
          </w:p>
        </w:tc>
        <w:tc>
          <w:tcPr>
            <w:tcW w:w="36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from interest rate contracts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58.2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152.8</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Arial" w:cs="Arial" w:eastAsia="Arial" w:hAnsi="Arial"/>
                <w:sz w:val="17"/>
                <w:szCs w:val="17"/>
                <w:color w:val="auto"/>
              </w:rPr>
              <w:t>Cash flow hedges: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7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Effective portion of losses on interest rate contracts reclassified from</w:t>
            </w:r>
          </w:p>
        </w:tc>
        <w:tc>
          <w:tcPr>
            <w:tcW w:w="2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4.1</w:t>
            </w: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8.2</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4.2</w:t>
            </w:r>
          </w:p>
        </w:tc>
        <w:tc>
          <w:tcPr>
            <w:tcW w:w="3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0"/>
        </w:trPr>
        <w:tc>
          <w:tcPr>
            <w:tcW w:w="5720" w:type="dxa"/>
            <w:vAlign w:val="bottom"/>
          </w:tcPr>
          <w:p>
            <w:pPr>
              <w:ind w:left="180"/>
              <w:spacing w:after="0"/>
              <w:rPr>
                <w:sz w:val="20"/>
                <w:szCs w:val="20"/>
                <w:color w:val="auto"/>
              </w:rPr>
            </w:pPr>
            <w:r>
              <w:rPr>
                <w:rFonts w:ascii="Arial" w:cs="Arial" w:eastAsia="Arial" w:hAnsi="Arial"/>
                <w:sz w:val="17"/>
                <w:szCs w:val="17"/>
                <w:color w:val="auto"/>
              </w:rPr>
              <w:t>Cross-currency interest rate swaps</w:t>
            </w:r>
          </w:p>
        </w:tc>
        <w:tc>
          <w:tcPr>
            <w:tcW w:w="240" w:type="dxa"/>
            <w:vAlign w:val="bottom"/>
          </w:tcPr>
          <w:p>
            <w:pPr>
              <w:spacing w:after="0"/>
              <w:rPr>
                <w:sz w:val="19"/>
                <w:szCs w:val="19"/>
                <w:color w:val="auto"/>
              </w:rPr>
            </w:pPr>
          </w:p>
        </w:tc>
        <w:tc>
          <w:tcPr>
            <w:tcW w:w="1100" w:type="dxa"/>
            <w:vAlign w:val="bottom"/>
          </w:tcPr>
          <w:p>
            <w:pPr>
              <w:jc w:val="right"/>
              <w:ind w:right="58"/>
              <w:spacing w:after="0"/>
              <w:rPr>
                <w:sz w:val="20"/>
                <w:szCs w:val="20"/>
                <w:color w:val="auto"/>
              </w:rPr>
            </w:pPr>
            <w:r>
              <w:rPr>
                <w:rFonts w:ascii="Arial" w:cs="Arial" w:eastAsia="Arial" w:hAnsi="Arial"/>
                <w:sz w:val="17"/>
                <w:szCs w:val="17"/>
                <w:b w:val="1"/>
                <w:bCs w:val="1"/>
                <w:color w:val="auto"/>
              </w:rPr>
              <w:t>33.6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(23.4)</w:t>
            </w:r>
          </w:p>
        </w:tc>
        <w:tc>
          <w:tcPr>
            <w:tcW w:w="380" w:type="dxa"/>
            <w:vAlign w:val="bottom"/>
          </w:tcPr>
          <w:p>
            <w:pPr>
              <w:spacing w:after="0"/>
              <w:rPr>
                <w:sz w:val="19"/>
                <w:szCs w:val="19"/>
                <w:color w:val="auto"/>
              </w:rPr>
            </w:pPr>
          </w:p>
        </w:tc>
        <w:tc>
          <w:tcPr>
            <w:tcW w:w="1060" w:type="dxa"/>
            <w:vAlign w:val="bottom"/>
          </w:tcPr>
          <w:p>
            <w:pPr>
              <w:jc w:val="right"/>
              <w:ind w:right="78"/>
              <w:spacing w:after="0"/>
              <w:rPr>
                <w:sz w:val="20"/>
                <w:szCs w:val="20"/>
                <w:color w:val="auto"/>
              </w:rPr>
            </w:pPr>
            <w:r>
              <w:rPr>
                <w:rFonts w:ascii="Arial" w:cs="Arial" w:eastAsia="Arial" w:hAnsi="Arial"/>
                <w:sz w:val="17"/>
                <w:szCs w:val="17"/>
                <w:b w:val="1"/>
                <w:bCs w:val="1"/>
                <w:color w:val="auto"/>
              </w:rPr>
              <w:t>41.9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168"/>
        </w:trPr>
        <w:tc>
          <w:tcPr>
            <w:tcW w:w="57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Net (gains) losses on foreign currency exchange contracts not designated</w:t>
            </w:r>
          </w:p>
        </w:tc>
        <w:tc>
          <w:tcPr>
            <w:tcW w:w="2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151.1</w:t>
            </w: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145.0</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hedging instruments</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18"/>
        </w:trPr>
        <w:tc>
          <w:tcPr>
            <w:tcW w:w="572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188.8</w:t>
            </w:r>
          </w:p>
        </w:tc>
        <w:tc>
          <w:tcPr>
            <w:tcW w:w="3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w:t>
            </w:r>
          </w:p>
        </w:tc>
        <w:tc>
          <w:tcPr>
            <w:tcW w:w="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195.1</w:t>
            </w:r>
          </w:p>
        </w:tc>
        <w:tc>
          <w:tcPr>
            <w:tcW w:w="3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116.2</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During the three and six months ended June 30, 2022 and 2021, the amortization of losses related to the portion of our risk management hedging instruments, fair value hedges, and cash flow hedges that was excluded from the assessment of effectiveness was not material.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effective portion of risk-management instruments that was recognized in other comprehensive income (loss)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hedges: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0"/>
        </w:trPr>
        <w:tc>
          <w:tcPr>
            <w:tcW w:w="5080" w:type="dxa"/>
            <w:vAlign w:val="bottom"/>
          </w:tcPr>
          <w:p>
            <w:pPr>
              <w:ind w:left="180"/>
              <w:spacing w:after="0"/>
              <w:rPr>
                <w:sz w:val="20"/>
                <w:szCs w:val="20"/>
                <w:color w:val="auto"/>
              </w:rPr>
            </w:pPr>
            <w:r>
              <w:rPr>
                <w:rFonts w:ascii="Arial" w:cs="Arial" w:eastAsia="Arial" w:hAnsi="Arial"/>
                <w:sz w:val="17"/>
                <w:szCs w:val="17"/>
                <w:color w:val="auto"/>
              </w:rPr>
              <w:t>Foreign currency-denominated notes</w:t>
            </w:r>
          </w:p>
        </w:tc>
        <w:tc>
          <w:tcPr>
            <w:tcW w:w="900" w:type="dxa"/>
            <w:vAlign w:val="bottom"/>
          </w:tcPr>
          <w:p>
            <w:pPr>
              <w:jc w:val="right"/>
              <w:ind w:right="705"/>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333.3</w:t>
            </w:r>
          </w:p>
        </w:tc>
        <w:tc>
          <w:tcPr>
            <w:tcW w:w="4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(57.8)</w:t>
            </w:r>
          </w:p>
        </w:tc>
        <w:tc>
          <w:tcPr>
            <w:tcW w:w="4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9"/>
              <w:spacing w:after="0"/>
              <w:rPr>
                <w:sz w:val="20"/>
                <w:szCs w:val="20"/>
                <w:color w:val="auto"/>
              </w:rPr>
            </w:pPr>
            <w:r>
              <w:rPr>
                <w:rFonts w:ascii="Arial" w:cs="Arial" w:eastAsia="Arial" w:hAnsi="Arial"/>
                <w:sz w:val="17"/>
                <w:szCs w:val="17"/>
                <w:b w:val="1"/>
                <w:bCs w:val="1"/>
                <w:color w:val="auto"/>
              </w:rPr>
              <w:t>387.7</w:t>
            </w:r>
          </w:p>
        </w:tc>
        <w:tc>
          <w:tcPr>
            <w:tcW w:w="4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149.9</w:t>
            </w:r>
          </w:p>
        </w:tc>
      </w:tr>
      <w:tr>
        <w:trPr>
          <w:trHeight w:val="220"/>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Cross-currency interest rate swaps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68.5</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(46.5)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79.3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w:t>
            </w:r>
          </w:p>
        </w:tc>
      </w:tr>
      <w:tr>
        <w:trPr>
          <w:trHeight w:val="220"/>
        </w:trPr>
        <w:tc>
          <w:tcPr>
            <w:tcW w:w="5080" w:type="dxa"/>
            <w:vAlign w:val="bottom"/>
          </w:tcPr>
          <w:p>
            <w:pPr>
              <w:ind w:left="180"/>
              <w:spacing w:after="0"/>
              <w:rPr>
                <w:sz w:val="20"/>
                <w:szCs w:val="20"/>
                <w:color w:val="auto"/>
              </w:rPr>
            </w:pPr>
            <w:r>
              <w:rPr>
                <w:rFonts w:ascii="Arial" w:cs="Arial" w:eastAsia="Arial" w:hAnsi="Arial"/>
                <w:sz w:val="17"/>
                <w:szCs w:val="17"/>
                <w:color w:val="auto"/>
              </w:rPr>
              <w:t>Foreign currency forward contracts</w:t>
            </w:r>
          </w:p>
        </w:tc>
        <w:tc>
          <w:tcPr>
            <w:tcW w:w="90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13.6</w:t>
            </w:r>
          </w:p>
        </w:tc>
        <w:tc>
          <w:tcPr>
            <w:tcW w:w="4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b w:val="1"/>
                <w:bCs w:val="1"/>
                <w:color w:val="auto"/>
              </w:rPr>
              <w:t>13.6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hedges: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5080" w:type="dxa"/>
            <w:vAlign w:val="bottom"/>
          </w:tcPr>
          <w:p>
            <w:pPr>
              <w:ind w:left="180"/>
              <w:spacing w:after="0"/>
              <w:rPr>
                <w:sz w:val="20"/>
                <w:szCs w:val="20"/>
                <w:color w:val="auto"/>
              </w:rPr>
            </w:pPr>
            <w:r>
              <w:rPr>
                <w:rFonts w:ascii="Arial" w:cs="Arial" w:eastAsia="Arial" w:hAnsi="Arial"/>
                <w:sz w:val="17"/>
                <w:szCs w:val="17"/>
                <w:color w:val="auto"/>
              </w:rPr>
              <w:t>Forward-starting interest rate swaps</w:t>
            </w:r>
          </w:p>
        </w:tc>
        <w:tc>
          <w:tcPr>
            <w:tcW w:w="90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b w:val="1"/>
                <w:bCs w:val="1"/>
                <w:color w:val="auto"/>
              </w:rPr>
              <w:t>157.7</w:t>
            </w:r>
          </w:p>
        </w:tc>
        <w:tc>
          <w:tcPr>
            <w:tcW w:w="44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(165.2)</w:t>
            </w:r>
          </w:p>
        </w:tc>
        <w:tc>
          <w:tcPr>
            <w:tcW w:w="4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b w:val="1"/>
                <w:bCs w:val="1"/>
                <w:color w:val="auto"/>
              </w:rPr>
              <w:t>280.2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129.9</w:t>
            </w:r>
          </w:p>
        </w:tc>
      </w:tr>
      <w:tr>
        <w:trPr>
          <w:trHeight w:val="220"/>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Cross-currency interest rate swaps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1.4</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18.5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bl>
    <w:p>
      <w:pPr>
        <w:spacing w:after="0" w:line="164"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During the next 12 months, we expect to reclassify $16.6 million of pretax net losses on cash flow hedges from accumulated other comprehensive loss to other–net, (income) expense. During the three and six months ended June 30, 2022 and 2021, the amounts excluded from the assessment of hedge effectiveness recognized in other comprehensive income (loss)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Fair Value of Financial Instruments</w:t>
      </w:r>
    </w:p>
    <w:p>
      <w:pPr>
        <w:spacing w:after="0" w:line="115"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following tables summarize certain fair value information at June 30, 2022 and December 31, 2021 for assets and liabilities measured at fair value on a recurring basis, as well as the carrying amount and amortized cost of certain other investments: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5"/>
          </w:tcPr>
          <w:p>
            <w:pPr>
              <w:jc w:val="right"/>
              <w:ind w:right="744"/>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8"/>
              </w:rPr>
              <w:t>Quoted Prices</w:t>
            </w:r>
          </w:p>
        </w:tc>
        <w:tc>
          <w:tcPr>
            <w:tcW w:w="200" w:type="dxa"/>
            <w:vAlign w:val="bottom"/>
          </w:tcPr>
          <w:p>
            <w:pPr>
              <w:spacing w:after="0"/>
              <w:rPr>
                <w:sz w:val="12"/>
                <w:szCs w:val="12"/>
                <w:color w:val="auto"/>
              </w:rPr>
            </w:pPr>
          </w:p>
        </w:tc>
        <w:tc>
          <w:tcPr>
            <w:tcW w:w="100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97"/>
              </w:rPr>
              <w:t>Significant</w:t>
            </w:r>
          </w:p>
        </w:tc>
        <w:tc>
          <w:tcPr>
            <w:tcW w:w="220" w:type="dxa"/>
            <w:vAlign w:val="bottom"/>
          </w:tcPr>
          <w:p>
            <w:pPr>
              <w:spacing w:after="0"/>
              <w:rPr>
                <w:sz w:val="12"/>
                <w:szCs w:val="12"/>
                <w:color w:val="auto"/>
              </w:rPr>
            </w:pPr>
          </w:p>
        </w:tc>
        <w:tc>
          <w:tcPr>
            <w:tcW w:w="116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7"/>
              </w:rPr>
              <w:t>Significant</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99"/>
              </w:rPr>
              <w:t>in Active</w:t>
            </w:r>
          </w:p>
        </w:tc>
        <w:tc>
          <w:tcPr>
            <w:tcW w:w="200" w:type="dxa"/>
            <w:vAlign w:val="bottom"/>
          </w:tcPr>
          <w:p>
            <w:pPr>
              <w:spacing w:after="0"/>
              <w:rPr>
                <w:sz w:val="12"/>
                <w:szCs w:val="12"/>
                <w:color w:val="auto"/>
              </w:rPr>
            </w:pPr>
          </w:p>
        </w:tc>
        <w:tc>
          <w:tcPr>
            <w:tcW w:w="100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1"/>
                <w:szCs w:val="11"/>
                <w:color w:val="auto"/>
              </w:rPr>
            </w:pPr>
          </w:p>
        </w:tc>
        <w:tc>
          <w:tcPr>
            <w:tcW w:w="100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w w:val="96"/>
              </w:rPr>
              <w:t>Observable</w:t>
            </w:r>
          </w:p>
        </w:tc>
        <w:tc>
          <w:tcPr>
            <w:tcW w:w="220" w:type="dxa"/>
            <w:vAlign w:val="bottom"/>
          </w:tcPr>
          <w:p>
            <w:pPr>
              <w:spacing w:after="0"/>
              <w:rPr>
                <w:sz w:val="11"/>
                <w:szCs w:val="11"/>
                <w:color w:val="auto"/>
              </w:rPr>
            </w:pPr>
          </w:p>
        </w:tc>
        <w:tc>
          <w:tcPr>
            <w:tcW w:w="116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99"/>
              </w:rPr>
              <w:t>Unobservable</w:t>
            </w:r>
          </w:p>
        </w:tc>
        <w:tc>
          <w:tcPr>
            <w:tcW w:w="340" w:type="dxa"/>
            <w:vAlign w:val="bottom"/>
          </w:tcPr>
          <w:p>
            <w:pPr>
              <w:spacing w:after="0"/>
              <w:rPr>
                <w:sz w:val="11"/>
                <w:szCs w:val="11"/>
                <w:color w:val="auto"/>
              </w:rPr>
            </w:pPr>
          </w:p>
        </w:tc>
        <w:tc>
          <w:tcPr>
            <w:tcW w:w="86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7"/>
                <w:szCs w:val="17"/>
                <w:b w:val="1"/>
                <w:bCs w:val="1"/>
                <w:color w:val="auto"/>
                <w:vertAlign w:val="superscript"/>
              </w:rPr>
              <w:t>(1)</w:t>
            </w: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Identical Assets</w:t>
            </w:r>
          </w:p>
        </w:tc>
        <w:tc>
          <w:tcPr>
            <w:tcW w:w="200" w:type="dxa"/>
            <w:vAlign w:val="bottom"/>
          </w:tcPr>
          <w:p>
            <w:pPr>
              <w:spacing w:after="0"/>
              <w:rPr>
                <w:sz w:val="12"/>
                <w:szCs w:val="12"/>
                <w:color w:val="auto"/>
              </w:rPr>
            </w:pPr>
          </w:p>
        </w:tc>
        <w:tc>
          <w:tcPr>
            <w:tcW w:w="1000" w:type="dxa"/>
            <w:vAlign w:val="bottom"/>
          </w:tcPr>
          <w:p>
            <w:pPr>
              <w:jc w:val="center"/>
              <w:ind w:right="104"/>
              <w:spacing w:after="0" w:line="142"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4"/>
              <w:spacing w:after="0" w:line="142"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8"/>
              </w:rPr>
              <w:t>(Level 1)</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(Level 3)</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1,047.9</w:t>
            </w:r>
          </w:p>
        </w:tc>
        <w:tc>
          <w:tcPr>
            <w:tcW w:w="32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tcPr>
          <w:p>
            <w:pPr>
              <w:jc w:val="right"/>
              <w:ind w:right="103"/>
              <w:spacing w:after="0"/>
              <w:rPr>
                <w:sz w:val="20"/>
                <w:szCs w:val="20"/>
                <w:color w:val="auto"/>
              </w:rPr>
            </w:pPr>
            <w:r>
              <w:rPr>
                <w:rFonts w:ascii="Arial" w:cs="Arial" w:eastAsia="Arial" w:hAnsi="Arial"/>
                <w:sz w:val="16"/>
                <w:szCs w:val="16"/>
                <w:b w:val="1"/>
                <w:bCs w:val="1"/>
                <w:color w:val="auto"/>
              </w:rPr>
              <w:t>1,047.9</w:t>
            </w:r>
          </w:p>
        </w:tc>
        <w:tc>
          <w:tcPr>
            <w:tcW w:w="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b w:val="1"/>
                <w:bCs w:val="1"/>
                <w:color w:val="auto"/>
              </w:rPr>
              <w:t>1,041.8</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4"/>
              <w:spacing w:after="0"/>
              <w:rPr>
                <w:sz w:val="20"/>
                <w:szCs w:val="20"/>
                <w:color w:val="auto"/>
              </w:rPr>
            </w:pPr>
            <w:r>
              <w:rPr>
                <w:rFonts w:ascii="Arial" w:cs="Arial" w:eastAsia="Arial" w:hAnsi="Arial"/>
                <w:sz w:val="16"/>
                <w:szCs w:val="16"/>
                <w:b w:val="1"/>
                <w:bCs w:val="1"/>
                <w:color w:val="auto"/>
              </w:rPr>
              <w:t>6.1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1,047.9</w:t>
            </w: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45.6</w:t>
            </w:r>
          </w:p>
        </w:tc>
        <w:tc>
          <w:tcPr>
            <w:tcW w:w="3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46.1</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45.6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51.9</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52.0</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51.9</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51.9</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0.2</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0.2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0.2</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4.4</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4.5</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4.4</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11.7</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11.7</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11.7</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113.8</w:t>
            </w:r>
          </w:p>
        </w:tc>
        <w:tc>
          <w:tcPr>
            <w:tcW w:w="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109.5</w:t>
            </w:r>
          </w:p>
        </w:tc>
        <w:tc>
          <w:tcPr>
            <w:tcW w:w="3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120.7</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109.5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109.5</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226.2</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97.7</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105.5</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97.7</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97.7</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41.7</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43.2</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41.7</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171.2</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81.2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47.9</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123.3</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171.2</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614.9</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408.0</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b w:val="1"/>
                <w:bCs w:val="1"/>
                <w:color w:val="auto"/>
              </w:rPr>
              <w:t>614.9</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614.9</w:t>
            </w:r>
          </w:p>
        </w:tc>
        <w:tc>
          <w:tcPr>
            <w:tcW w:w="0" w:type="dxa"/>
            <w:vAlign w:val="bottom"/>
          </w:tcPr>
          <w:p>
            <w:pPr>
              <w:spacing w:after="0"/>
              <w:rPr>
                <w:sz w:val="1"/>
                <w:szCs w:val="1"/>
                <w:color w:val="auto"/>
              </w:rPr>
            </w:pPr>
          </w:p>
        </w:tc>
      </w:tr>
      <w:tr>
        <w:trPr>
          <w:trHeight w:val="156"/>
        </w:trPr>
        <w:tc>
          <w:tcPr>
            <w:tcW w:w="3900" w:type="dxa"/>
            <w:vAlign w:val="bottom"/>
            <w:shd w:val="clear" w:color="auto" w:fill="CCEEFF"/>
          </w:tcPr>
          <w:p>
            <w:pPr>
              <w:ind w:left="140"/>
              <w:spacing w:after="0" w:line="156" w:lineRule="exact"/>
              <w:rPr>
                <w:sz w:val="20"/>
                <w:szCs w:val="20"/>
                <w:color w:val="auto"/>
              </w:rPr>
            </w:pPr>
            <w:r>
              <w:rPr>
                <w:rFonts w:ascii="Arial" w:cs="Arial" w:eastAsia="Arial" w:hAnsi="Arial"/>
                <w:sz w:val="16"/>
                <w:szCs w:val="16"/>
                <w:color w:val="auto"/>
              </w:rPr>
              <w:t>Equity investments without readily determinable fair</w:t>
            </w: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614.6</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140"/>
              <w:spacing w:after="0" w:line="206" w:lineRule="exact"/>
              <w:rPr>
                <w:sz w:val="20"/>
                <w:szCs w:val="20"/>
                <w:color w:val="auto"/>
              </w:rPr>
            </w:pPr>
            <w:r>
              <w:rPr>
                <w:rFonts w:ascii="Arial" w:cs="Arial" w:eastAsia="Arial" w:hAnsi="Arial"/>
                <w:sz w:val="16"/>
                <w:szCs w:val="16"/>
                <w:color w:val="auto"/>
              </w:rPr>
              <w:t>values</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tcBorders>
              <w:bottom w:val="single" w:sz="8" w:color="CCEEFF"/>
            </w:tcBorders>
          </w:tcPr>
          <w:p>
            <w:pPr>
              <w:ind w:left="140"/>
              <w:spacing w:after="0" w:line="207"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0"/>
                <w:szCs w:val="20"/>
                <w:color w:val="auto"/>
                <w:vertAlign w:val="superscript"/>
              </w:rPr>
              <w:t>(2)</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735.2</w:t>
            </w:r>
          </w:p>
        </w:tc>
        <w:tc>
          <w:tcPr>
            <w:tcW w:w="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investments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2,587.2</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2,379.5</w:t>
            </w:r>
          </w:p>
        </w:tc>
        <w:tc>
          <w:tcPr>
            <w:tcW w:w="32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tcPr>
          <w:p>
            <w:pPr>
              <w:jc w:val="right"/>
              <w:ind w:right="103"/>
              <w:spacing w:after="0"/>
              <w:rPr>
                <w:sz w:val="20"/>
                <w:szCs w:val="20"/>
                <w:color w:val="auto"/>
              </w:rPr>
            </w:pPr>
            <w:r>
              <w:rPr>
                <w:rFonts w:ascii="Arial" w:cs="Arial" w:eastAsia="Arial" w:hAnsi="Arial"/>
                <w:sz w:val="16"/>
                <w:szCs w:val="16"/>
                <w:color w:val="auto"/>
              </w:rPr>
              <w:t>2,379.5</w:t>
            </w:r>
          </w:p>
        </w:tc>
        <w:tc>
          <w:tcPr>
            <w:tcW w:w="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color w:val="auto"/>
              </w:rPr>
              <w:t>2,361.0</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24"/>
              <w:spacing w:after="0"/>
              <w:rPr>
                <w:sz w:val="20"/>
                <w:szCs w:val="20"/>
                <w:color w:val="auto"/>
              </w:rPr>
            </w:pPr>
            <w:r>
              <w:rPr>
                <w:rFonts w:ascii="Arial" w:cs="Arial" w:eastAsia="Arial" w:hAnsi="Arial"/>
                <w:sz w:val="16"/>
                <w:szCs w:val="16"/>
                <w:color w:val="auto"/>
              </w:rPr>
              <w:t>18.5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2,379.5</w:t>
            </w: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25.7</w:t>
            </w:r>
          </w:p>
        </w:tc>
        <w:tc>
          <w:tcPr>
            <w:tcW w:w="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6"/>
        </w:trPr>
        <w:tc>
          <w:tcPr>
            <w:tcW w:w="39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43.7</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43.7</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390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14.3</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14.3</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14.3</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6"/>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90.1</w:t>
            </w:r>
          </w:p>
        </w:tc>
        <w:tc>
          <w:tcPr>
            <w:tcW w:w="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3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137.0</w:t>
            </w:r>
          </w:p>
        </w:tc>
        <w:tc>
          <w:tcPr>
            <w:tcW w:w="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136.8</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137.0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06"/>
        </w:trPr>
        <w:tc>
          <w:tcPr>
            <w:tcW w:w="39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235.3</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232.7</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235.3</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108.1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109.8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06"/>
        </w:trPr>
        <w:tc>
          <w:tcPr>
            <w:tcW w:w="390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23.1</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22.2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108.1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06"/>
        </w:trPr>
        <w:tc>
          <w:tcPr>
            <w:tcW w:w="390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1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1,279.7</w:t>
            </w:r>
          </w:p>
        </w:tc>
        <w:tc>
          <w:tcPr>
            <w:tcW w:w="320" w:type="dxa"/>
            <w:vAlign w:val="bottom"/>
          </w:tcPr>
          <w:p>
            <w:pPr>
              <w:spacing w:after="0"/>
              <w:rPr>
                <w:sz w:val="17"/>
                <w:szCs w:val="17"/>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487.0</w:t>
            </w:r>
          </w:p>
        </w:tc>
        <w:tc>
          <w:tcPr>
            <w:tcW w:w="1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1,279.7</w:t>
            </w:r>
          </w:p>
        </w:tc>
        <w:tc>
          <w:tcPr>
            <w:tcW w:w="20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1,279.7</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40"/>
              <w:spacing w:after="0" w:line="157" w:lineRule="exact"/>
              <w:rPr>
                <w:sz w:val="20"/>
                <w:szCs w:val="20"/>
                <w:color w:val="auto"/>
              </w:rPr>
            </w:pPr>
            <w:r>
              <w:rPr>
                <w:rFonts w:ascii="Arial" w:cs="Arial" w:eastAsia="Arial" w:hAnsi="Arial"/>
                <w:sz w:val="16"/>
                <w:szCs w:val="16"/>
                <w:color w:val="auto"/>
              </w:rPr>
              <w:t>Equity investments without readily determinable fair</w:t>
            </w: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548.1</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140"/>
              <w:spacing w:after="0" w:line="206" w:lineRule="exact"/>
              <w:rPr>
                <w:sz w:val="20"/>
                <w:szCs w:val="20"/>
                <w:color w:val="auto"/>
              </w:rPr>
            </w:pPr>
            <w:r>
              <w:rPr>
                <w:rFonts w:ascii="Arial" w:cs="Arial" w:eastAsia="Arial" w:hAnsi="Arial"/>
                <w:sz w:val="16"/>
                <w:szCs w:val="16"/>
                <w:color w:val="auto"/>
              </w:rPr>
              <w:t>values</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00" w:type="dxa"/>
            <w:vAlign w:val="bottom"/>
            <w:tcBorders>
              <w:bottom w:val="single" w:sz="8" w:color="CCEEFF"/>
            </w:tcBorders>
          </w:tcPr>
          <w:p>
            <w:pPr>
              <w:ind w:left="140"/>
              <w:spacing w:after="0" w:line="207"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0"/>
                <w:szCs w:val="20"/>
                <w:color w:val="auto"/>
                <w:vertAlign w:val="superscript"/>
              </w:rPr>
              <w:t>(2)</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771.5</w:t>
            </w:r>
          </w:p>
        </w:tc>
        <w:tc>
          <w:tcPr>
            <w:tcW w:w="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investments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3,212.6</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40" w:hanging="137"/>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jc w:val="center"/>
              <w:ind w:right="23"/>
              <w:spacing w:after="0"/>
              <w:rPr>
                <w:sz w:val="20"/>
                <w:szCs w:val="20"/>
                <w:color w:val="auto"/>
              </w:rPr>
            </w:pPr>
            <w:r>
              <w:rPr>
                <w:rFonts w:ascii="Arial" w:cs="Arial" w:eastAsia="Arial" w:hAnsi="Arial"/>
                <w:sz w:val="14"/>
                <w:szCs w:val="14"/>
                <w:b w:val="1"/>
                <w:bCs w:val="1"/>
                <w:color w:val="auto"/>
                <w:w w:val="97"/>
              </w:rPr>
              <w:t>Fair Value Measurements Using</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6"/>
        </w:trPr>
        <w:tc>
          <w:tcPr>
            <w:tcW w:w="3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20" w:type="dxa"/>
            <w:vAlign w:val="bottom"/>
            <w:gridSpan w:val="2"/>
          </w:tcPr>
          <w:p>
            <w:pPr>
              <w:jc w:val="center"/>
              <w:spacing w:after="0" w:line="136" w:lineRule="exact"/>
              <w:rPr>
                <w:sz w:val="20"/>
                <w:szCs w:val="20"/>
                <w:color w:val="auto"/>
              </w:rPr>
            </w:pPr>
            <w:r>
              <w:rPr>
                <w:rFonts w:ascii="Arial" w:cs="Arial" w:eastAsia="Arial" w:hAnsi="Arial"/>
                <w:sz w:val="14"/>
                <w:szCs w:val="14"/>
                <w:b w:val="1"/>
                <w:bCs w:val="1"/>
                <w:color w:val="auto"/>
                <w:w w:val="98"/>
              </w:rPr>
              <w:t>Quoted Prices in</w:t>
            </w:r>
          </w:p>
        </w:tc>
        <w:tc>
          <w:tcPr>
            <w:tcW w:w="260" w:type="dxa"/>
            <w:vAlign w:val="bottom"/>
          </w:tcPr>
          <w:p>
            <w:pPr>
              <w:spacing w:after="0"/>
              <w:rPr>
                <w:sz w:val="11"/>
                <w:szCs w:val="11"/>
                <w:color w:val="auto"/>
              </w:rPr>
            </w:pPr>
          </w:p>
        </w:tc>
        <w:tc>
          <w:tcPr>
            <w:tcW w:w="1140" w:type="dxa"/>
            <w:vAlign w:val="bottom"/>
          </w:tcPr>
          <w:p>
            <w:pPr>
              <w:jc w:val="center"/>
              <w:ind w:right="161"/>
              <w:spacing w:after="0" w:line="136" w:lineRule="exact"/>
              <w:rPr>
                <w:sz w:val="20"/>
                <w:szCs w:val="20"/>
                <w:color w:val="auto"/>
              </w:rPr>
            </w:pPr>
            <w:r>
              <w:rPr>
                <w:rFonts w:ascii="Arial" w:cs="Arial" w:eastAsia="Arial" w:hAnsi="Arial"/>
                <w:sz w:val="14"/>
                <w:szCs w:val="14"/>
                <w:b w:val="1"/>
                <w:bCs w:val="1"/>
                <w:color w:val="auto"/>
                <w:w w:val="97"/>
              </w:rPr>
              <w:t>Significant</w:t>
            </w:r>
          </w:p>
        </w:tc>
        <w:tc>
          <w:tcPr>
            <w:tcW w:w="200" w:type="dxa"/>
            <w:vAlign w:val="bottom"/>
          </w:tcPr>
          <w:p>
            <w:pPr>
              <w:spacing w:after="0"/>
              <w:rPr>
                <w:sz w:val="11"/>
                <w:szCs w:val="11"/>
                <w:color w:val="auto"/>
              </w:rPr>
            </w:pPr>
          </w:p>
        </w:tc>
        <w:tc>
          <w:tcPr>
            <w:tcW w:w="1140" w:type="dxa"/>
            <w:vAlign w:val="bottom"/>
          </w:tcPr>
          <w:p>
            <w:pPr>
              <w:jc w:val="center"/>
              <w:ind w:right="83"/>
              <w:spacing w:after="0" w:line="136" w:lineRule="exact"/>
              <w:rPr>
                <w:sz w:val="20"/>
                <w:szCs w:val="20"/>
                <w:color w:val="auto"/>
              </w:rPr>
            </w:pPr>
            <w:r>
              <w:rPr>
                <w:rFonts w:ascii="Arial" w:cs="Arial" w:eastAsia="Arial" w:hAnsi="Arial"/>
                <w:sz w:val="14"/>
                <w:szCs w:val="14"/>
                <w:b w:val="1"/>
                <w:bCs w:val="1"/>
                <w:color w:val="auto"/>
                <w:w w:val="97"/>
              </w:rPr>
              <w:t>Significant</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3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Active Markets for</w:t>
            </w:r>
          </w:p>
        </w:tc>
        <w:tc>
          <w:tcPr>
            <w:tcW w:w="14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8"/>
              </w:rPr>
              <w:t>Other Observable</w:t>
            </w:r>
          </w:p>
        </w:tc>
        <w:tc>
          <w:tcPr>
            <w:tcW w:w="200" w:type="dxa"/>
            <w:vAlign w:val="bottom"/>
          </w:tcPr>
          <w:p>
            <w:pPr>
              <w:spacing w:after="0"/>
              <w:rPr>
                <w:sz w:val="11"/>
                <w:szCs w:val="11"/>
                <w:color w:val="auto"/>
              </w:rPr>
            </w:pPr>
          </w:p>
        </w:tc>
        <w:tc>
          <w:tcPr>
            <w:tcW w:w="1140" w:type="dxa"/>
            <w:vAlign w:val="bottom"/>
          </w:tcPr>
          <w:p>
            <w:pPr>
              <w:jc w:val="center"/>
              <w:ind w:right="63"/>
              <w:spacing w:after="0" w:line="133" w:lineRule="exact"/>
              <w:rPr>
                <w:sz w:val="20"/>
                <w:szCs w:val="20"/>
                <w:color w:val="auto"/>
              </w:rPr>
            </w:pPr>
            <w:r>
              <w:rPr>
                <w:rFonts w:ascii="Arial" w:cs="Arial" w:eastAsia="Arial" w:hAnsi="Arial"/>
                <w:sz w:val="14"/>
                <w:szCs w:val="14"/>
                <w:b w:val="1"/>
                <w:bCs w:val="1"/>
                <w:color w:val="auto"/>
                <w:w w:val="99"/>
              </w:rPr>
              <w:t>Unobservable</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2"/>
        </w:trPr>
        <w:tc>
          <w:tcPr>
            <w:tcW w:w="3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jc w:val="right"/>
              <w:ind w:right="399"/>
              <w:spacing w:after="0" w:line="151"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220" w:type="dxa"/>
            <w:vAlign w:val="bottom"/>
          </w:tcPr>
          <w:p>
            <w:pPr>
              <w:jc w:val="center"/>
              <w:ind w:right="81"/>
              <w:spacing w:after="0" w:line="151" w:lineRule="exact"/>
              <w:rPr>
                <w:sz w:val="20"/>
                <w:szCs w:val="20"/>
                <w:color w:val="auto"/>
              </w:rPr>
            </w:pPr>
            <w:r>
              <w:rPr>
                <w:rFonts w:ascii="Arial" w:cs="Arial" w:eastAsia="Arial" w:hAnsi="Arial"/>
                <w:sz w:val="14"/>
                <w:szCs w:val="14"/>
                <w:b w:val="1"/>
                <w:bCs w:val="1"/>
                <w:color w:val="auto"/>
                <w:w w:val="99"/>
              </w:rPr>
              <w:t>Identical Assets</w:t>
            </w:r>
          </w:p>
        </w:tc>
        <w:tc>
          <w:tcPr>
            <w:tcW w:w="260" w:type="dxa"/>
            <w:vAlign w:val="bottom"/>
          </w:tcPr>
          <w:p>
            <w:pPr>
              <w:spacing w:after="0"/>
              <w:rPr>
                <w:sz w:val="13"/>
                <w:szCs w:val="13"/>
                <w:color w:val="auto"/>
              </w:rPr>
            </w:pPr>
          </w:p>
        </w:tc>
        <w:tc>
          <w:tcPr>
            <w:tcW w:w="1140" w:type="dxa"/>
            <w:vAlign w:val="bottom"/>
          </w:tcPr>
          <w:p>
            <w:pPr>
              <w:jc w:val="center"/>
              <w:ind w:right="181"/>
              <w:spacing w:after="0" w:line="151"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3"/>
                <w:szCs w:val="13"/>
                <w:color w:val="auto"/>
              </w:rPr>
            </w:pPr>
          </w:p>
        </w:tc>
        <w:tc>
          <w:tcPr>
            <w:tcW w:w="1140" w:type="dxa"/>
            <w:vAlign w:val="bottom"/>
          </w:tcPr>
          <w:p>
            <w:pPr>
              <w:jc w:val="center"/>
              <w:ind w:right="63"/>
              <w:spacing w:after="0" w:line="151"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3"/>
                <w:szCs w:val="13"/>
                <w:color w:val="auto"/>
              </w:rPr>
            </w:pPr>
          </w:p>
        </w:tc>
        <w:tc>
          <w:tcPr>
            <w:tcW w:w="102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rPr>
              <w:t>Fair</w:t>
            </w:r>
          </w:p>
        </w:tc>
      </w:tr>
      <w:tr>
        <w:trPr>
          <w:trHeight w:val="181"/>
        </w:trPr>
        <w:tc>
          <w:tcPr>
            <w:tcW w:w="3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(Level 1)</w:t>
            </w:r>
          </w:p>
        </w:tc>
        <w:tc>
          <w:tcPr>
            <w:tcW w:w="260" w:type="dxa"/>
            <w:vAlign w:val="bottom"/>
          </w:tcPr>
          <w:p>
            <w:pPr>
              <w:spacing w:after="0"/>
              <w:rPr>
                <w:sz w:val="15"/>
                <w:szCs w:val="15"/>
                <w:color w:val="auto"/>
              </w:rPr>
            </w:pPr>
          </w:p>
        </w:tc>
        <w:tc>
          <w:tcPr>
            <w:tcW w:w="1140" w:type="dxa"/>
            <w:vAlign w:val="bottom"/>
          </w:tcPr>
          <w:p>
            <w:pPr>
              <w:jc w:val="center"/>
              <w:ind w:right="181"/>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5"/>
                <w:szCs w:val="15"/>
                <w:color w:val="auto"/>
              </w:rPr>
            </w:pPr>
          </w:p>
        </w:tc>
        <w:tc>
          <w:tcPr>
            <w:tcW w:w="1140" w:type="dxa"/>
            <w:vAlign w:val="bottom"/>
          </w:tcPr>
          <w:p>
            <w:pPr>
              <w:jc w:val="center"/>
              <w:ind w:right="63"/>
              <w:spacing w:after="0"/>
              <w:rPr>
                <w:sz w:val="20"/>
                <w:szCs w:val="20"/>
                <w:color w:val="auto"/>
              </w:rPr>
            </w:pPr>
            <w:r>
              <w:rPr>
                <w:rFonts w:ascii="Arial" w:cs="Arial" w:eastAsia="Arial" w:hAnsi="Arial"/>
                <w:sz w:val="14"/>
                <w:szCs w:val="14"/>
                <w:b w:val="1"/>
                <w:bCs w:val="1"/>
                <w:color w:val="auto"/>
                <w:w w:val="98"/>
              </w:rPr>
              <w:t>(Level 3)</w:t>
            </w:r>
          </w:p>
        </w:tc>
        <w:tc>
          <w:tcPr>
            <w:tcW w:w="4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r>
      <w:tr>
        <w:trPr>
          <w:trHeight w:val="213"/>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Short-term commercial paper borrowings</w:t>
            </w:r>
          </w:p>
        </w:tc>
        <w:tc>
          <w:tcPr>
            <w:tcW w:w="7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900" w:type="dxa"/>
            <w:vAlign w:val="bottom"/>
          </w:tcPr>
          <w:p>
            <w:pPr>
              <w:ind w:left="20"/>
              <w:spacing w:after="0"/>
              <w:rPr>
                <w:sz w:val="20"/>
                <w:szCs w:val="20"/>
                <w:color w:val="auto"/>
              </w:rPr>
            </w:pPr>
            <w:r>
              <w:rPr>
                <w:rFonts w:ascii="Arial" w:cs="Arial" w:eastAsia="Arial" w:hAnsi="Arial"/>
                <w:sz w:val="17"/>
                <w:szCs w:val="17"/>
                <w:color w:val="auto"/>
              </w:rPr>
              <w:t>June 30, 2022</w:t>
            </w:r>
          </w:p>
        </w:tc>
        <w:tc>
          <w:tcPr>
            <w:tcW w:w="70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9"/>
              <w:spacing w:after="0"/>
              <w:rPr>
                <w:sz w:val="20"/>
                <w:szCs w:val="20"/>
                <w:color w:val="auto"/>
              </w:rPr>
            </w:pPr>
            <w:r>
              <w:rPr>
                <w:rFonts w:ascii="Arial" w:cs="Arial" w:eastAsia="Arial" w:hAnsi="Arial"/>
                <w:sz w:val="17"/>
                <w:szCs w:val="17"/>
                <w:b w:val="1"/>
                <w:bCs w:val="1"/>
                <w:color w:val="auto"/>
              </w:rPr>
              <w:t>(2,117.1)</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ind w:left="9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jc w:val="right"/>
              <w:ind w:right="2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
              <w:spacing w:after="0"/>
              <w:rPr>
                <w:sz w:val="20"/>
                <w:szCs w:val="20"/>
                <w:color w:val="auto"/>
              </w:rPr>
            </w:pPr>
            <w:r>
              <w:rPr>
                <w:rFonts w:ascii="Arial" w:cs="Arial" w:eastAsia="Arial" w:hAnsi="Arial"/>
                <w:sz w:val="17"/>
                <w:szCs w:val="17"/>
                <w:b w:val="1"/>
                <w:bCs w:val="1"/>
                <w:color w:val="auto"/>
              </w:rPr>
              <w:t>(2,115.8)</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ind w:left="90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(2,115.8)</w:t>
            </w:r>
          </w:p>
        </w:tc>
        <w:tc>
          <w:tcPr>
            <w:tcW w:w="20" w:type="dxa"/>
            <w:vAlign w:val="bottom"/>
          </w:tcPr>
          <w:p>
            <w:pPr>
              <w:spacing w:after="0"/>
              <w:rPr>
                <w:sz w:val="19"/>
                <w:szCs w:val="19"/>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2021</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0"/>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Long-term debt, including current portion</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2022</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7"/>
                <w:szCs w:val="17"/>
                <w:b w:val="1"/>
                <w:bCs w:val="1"/>
                <w:color w:val="auto"/>
              </w:rPr>
              <w:t>(14,696.7)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(12,929.6)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(12,929.6)</w:t>
            </w:r>
          </w:p>
        </w:tc>
        <w:tc>
          <w:tcPr>
            <w:tcW w:w="20" w:type="dxa"/>
            <w:vAlign w:val="bottom"/>
          </w:tcPr>
          <w:p>
            <w:pPr>
              <w:spacing w:after="0"/>
              <w:rPr>
                <w:sz w:val="19"/>
                <w:szCs w:val="19"/>
                <w:color w:val="auto"/>
              </w:rPr>
            </w:pPr>
          </w:p>
        </w:tc>
      </w:tr>
      <w:tr>
        <w:trPr>
          <w:trHeight w:val="226"/>
        </w:trPr>
        <w:tc>
          <w:tcPr>
            <w:tcW w:w="3900" w:type="dxa"/>
            <w:vAlign w:val="bottom"/>
          </w:tcPr>
          <w:p>
            <w:pPr>
              <w:ind w:left="20"/>
              <w:spacing w:after="0"/>
              <w:rPr>
                <w:sz w:val="20"/>
                <w:szCs w:val="20"/>
                <w:color w:val="auto"/>
              </w:rPr>
            </w:pPr>
            <w:r>
              <w:rPr>
                <w:rFonts w:ascii="Arial" w:cs="Arial" w:eastAsia="Arial" w:hAnsi="Arial"/>
                <w:sz w:val="17"/>
                <w:szCs w:val="17"/>
                <w:color w:val="auto"/>
              </w:rPr>
              <w:t>December 31, 2021</w:t>
            </w:r>
          </w:p>
        </w:tc>
        <w:tc>
          <w:tcPr>
            <w:tcW w:w="70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7"/>
                <w:szCs w:val="17"/>
                <w:color w:val="auto"/>
              </w:rPr>
              <w:t>(16,884.7)</w:t>
            </w:r>
          </w:p>
        </w:tc>
        <w:tc>
          <w:tcPr>
            <w:tcW w:w="10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7"/>
                <w:szCs w:val="17"/>
                <w:color w:val="auto"/>
              </w:rPr>
              <w:t>(18,157.7)</w:t>
            </w:r>
          </w:p>
        </w:tc>
        <w:tc>
          <w:tcPr>
            <w:tcW w:w="20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(18,157.7)</w:t>
            </w:r>
          </w:p>
        </w:tc>
        <w:tc>
          <w:tcPr>
            <w:tcW w:w="20" w:type="dxa"/>
            <w:vAlign w:val="bottom"/>
          </w:tcPr>
          <w:p>
            <w:pPr>
              <w:spacing w:after="0"/>
              <w:rPr>
                <w:sz w:val="19"/>
                <w:szCs w:val="19"/>
                <w:color w:val="auto"/>
              </w:rPr>
            </w:pPr>
          </w:p>
        </w:tc>
      </w:tr>
      <w:tr>
        <w:trPr>
          <w:trHeight w:val="810"/>
        </w:trPr>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7"/>
        </w:trPr>
        <w:tc>
          <w:tcPr>
            <w:tcW w:w="39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5"/>
          </w:tcPr>
          <w:p>
            <w:pPr>
              <w:jc w:val="center"/>
              <w:ind w:right="43"/>
              <w:spacing w:after="0"/>
              <w:rPr>
                <w:sz w:val="20"/>
                <w:szCs w:val="20"/>
                <w:color w:val="auto"/>
              </w:rPr>
            </w:pPr>
            <w:r>
              <w:rPr>
                <w:rFonts w:ascii="Arial" w:cs="Arial" w:eastAsia="Arial" w:hAnsi="Arial"/>
                <w:sz w:val="14"/>
                <w:szCs w:val="14"/>
                <w:b w:val="1"/>
                <w:bCs w:val="1"/>
                <w:color w:val="auto"/>
                <w:w w:val="98"/>
              </w:rPr>
              <w:t>Fair Value Measurements Using</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6"/>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gridSpan w:val="2"/>
          </w:tcPr>
          <w:p>
            <w:pPr>
              <w:jc w:val="center"/>
              <w:spacing w:after="0" w:line="136" w:lineRule="exact"/>
              <w:rPr>
                <w:sz w:val="20"/>
                <w:szCs w:val="20"/>
                <w:color w:val="auto"/>
              </w:rPr>
            </w:pPr>
            <w:r>
              <w:rPr>
                <w:rFonts w:ascii="Arial" w:cs="Arial" w:eastAsia="Arial" w:hAnsi="Arial"/>
                <w:sz w:val="14"/>
                <w:szCs w:val="14"/>
                <w:b w:val="1"/>
                <w:bCs w:val="1"/>
                <w:color w:val="auto"/>
                <w:w w:val="98"/>
              </w:rPr>
              <w:t>Quoted Prices in</w:t>
            </w:r>
          </w:p>
        </w:tc>
        <w:tc>
          <w:tcPr>
            <w:tcW w:w="260" w:type="dxa"/>
            <w:vAlign w:val="bottom"/>
          </w:tcPr>
          <w:p>
            <w:pPr>
              <w:spacing w:after="0"/>
              <w:rPr>
                <w:sz w:val="11"/>
                <w:szCs w:val="11"/>
                <w:color w:val="auto"/>
              </w:rPr>
            </w:pPr>
          </w:p>
        </w:tc>
        <w:tc>
          <w:tcPr>
            <w:tcW w:w="1160" w:type="dxa"/>
            <w:vAlign w:val="bottom"/>
          </w:tcPr>
          <w:p>
            <w:pPr>
              <w:jc w:val="center"/>
              <w:ind w:right="184"/>
              <w:spacing w:after="0" w:line="136" w:lineRule="exact"/>
              <w:rPr>
                <w:sz w:val="20"/>
                <w:szCs w:val="20"/>
                <w:color w:val="auto"/>
              </w:rPr>
            </w:pPr>
            <w:r>
              <w:rPr>
                <w:rFonts w:ascii="Arial" w:cs="Arial" w:eastAsia="Arial" w:hAnsi="Arial"/>
                <w:sz w:val="14"/>
                <w:szCs w:val="14"/>
                <w:b w:val="1"/>
                <w:bCs w:val="1"/>
                <w:color w:val="auto"/>
                <w:w w:val="97"/>
              </w:rPr>
              <w:t>Significant</w:t>
            </w:r>
          </w:p>
        </w:tc>
        <w:tc>
          <w:tcPr>
            <w:tcW w:w="200" w:type="dxa"/>
            <w:vAlign w:val="bottom"/>
          </w:tcPr>
          <w:p>
            <w:pPr>
              <w:spacing w:after="0"/>
              <w:rPr>
                <w:sz w:val="11"/>
                <w:szCs w:val="11"/>
                <w:color w:val="auto"/>
              </w:rPr>
            </w:pPr>
          </w:p>
        </w:tc>
        <w:tc>
          <w:tcPr>
            <w:tcW w:w="1160" w:type="dxa"/>
            <w:vAlign w:val="bottom"/>
          </w:tcPr>
          <w:p>
            <w:pPr>
              <w:jc w:val="center"/>
              <w:ind w:right="83"/>
              <w:spacing w:after="0" w:line="136" w:lineRule="exact"/>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3"/>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Active Markets for</w:t>
            </w:r>
          </w:p>
        </w:tc>
        <w:tc>
          <w:tcPr>
            <w:tcW w:w="14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Other Observable</w:t>
            </w:r>
          </w:p>
        </w:tc>
        <w:tc>
          <w:tcPr>
            <w:tcW w:w="200" w:type="dxa"/>
            <w:vAlign w:val="bottom"/>
          </w:tcPr>
          <w:p>
            <w:pPr>
              <w:spacing w:after="0"/>
              <w:rPr>
                <w:sz w:val="11"/>
                <w:szCs w:val="11"/>
                <w:color w:val="auto"/>
              </w:rPr>
            </w:pPr>
          </w:p>
        </w:tc>
        <w:tc>
          <w:tcPr>
            <w:tcW w:w="1160" w:type="dxa"/>
            <w:vAlign w:val="bottom"/>
          </w:tcPr>
          <w:p>
            <w:pPr>
              <w:jc w:val="center"/>
              <w:ind w:right="83"/>
              <w:spacing w:after="0" w:line="133" w:lineRule="exact"/>
              <w:rPr>
                <w:sz w:val="20"/>
                <w:szCs w:val="20"/>
                <w:color w:val="auto"/>
              </w:rPr>
            </w:pPr>
            <w:r>
              <w:rPr>
                <w:rFonts w:ascii="Arial" w:cs="Arial" w:eastAsia="Arial" w:hAnsi="Arial"/>
                <w:sz w:val="14"/>
                <w:szCs w:val="14"/>
                <w:b w:val="1"/>
                <w:bCs w:val="1"/>
                <w:color w:val="auto"/>
                <w:w w:val="99"/>
              </w:rPr>
              <w:t>Unobservable</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52"/>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383"/>
              <w:spacing w:after="0" w:line="151"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220" w:type="dxa"/>
            <w:vAlign w:val="bottom"/>
          </w:tcPr>
          <w:p>
            <w:pPr>
              <w:jc w:val="center"/>
              <w:ind w:right="83"/>
              <w:spacing w:after="0" w:line="151" w:lineRule="exact"/>
              <w:rPr>
                <w:sz w:val="20"/>
                <w:szCs w:val="20"/>
                <w:color w:val="auto"/>
              </w:rPr>
            </w:pPr>
            <w:r>
              <w:rPr>
                <w:rFonts w:ascii="Arial" w:cs="Arial" w:eastAsia="Arial" w:hAnsi="Arial"/>
                <w:sz w:val="14"/>
                <w:szCs w:val="14"/>
                <w:b w:val="1"/>
                <w:bCs w:val="1"/>
                <w:color w:val="auto"/>
                <w:w w:val="99"/>
              </w:rPr>
              <w:t>Identical Assets</w:t>
            </w:r>
          </w:p>
        </w:tc>
        <w:tc>
          <w:tcPr>
            <w:tcW w:w="260" w:type="dxa"/>
            <w:vAlign w:val="bottom"/>
          </w:tcPr>
          <w:p>
            <w:pPr>
              <w:spacing w:after="0"/>
              <w:rPr>
                <w:sz w:val="13"/>
                <w:szCs w:val="13"/>
                <w:color w:val="auto"/>
              </w:rPr>
            </w:pPr>
          </w:p>
        </w:tc>
        <w:tc>
          <w:tcPr>
            <w:tcW w:w="1160" w:type="dxa"/>
            <w:vAlign w:val="bottom"/>
          </w:tcPr>
          <w:p>
            <w:pPr>
              <w:jc w:val="center"/>
              <w:ind w:right="184"/>
              <w:spacing w:after="0" w:line="151"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3"/>
                <w:szCs w:val="13"/>
                <w:color w:val="auto"/>
              </w:rPr>
            </w:pPr>
          </w:p>
        </w:tc>
        <w:tc>
          <w:tcPr>
            <w:tcW w:w="1160" w:type="dxa"/>
            <w:vAlign w:val="bottom"/>
          </w:tcPr>
          <w:p>
            <w:pPr>
              <w:jc w:val="center"/>
              <w:ind w:right="83"/>
              <w:spacing w:after="0" w:line="151"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3"/>
                <w:szCs w:val="13"/>
                <w:color w:val="auto"/>
              </w:rPr>
            </w:pPr>
          </w:p>
        </w:tc>
        <w:tc>
          <w:tcPr>
            <w:tcW w:w="1000" w:type="dxa"/>
            <w:vAlign w:val="bottom"/>
          </w:tcPr>
          <w:p>
            <w:pPr>
              <w:jc w:val="right"/>
              <w:ind w:right="443"/>
              <w:spacing w:after="0" w:line="151" w:lineRule="exact"/>
              <w:rPr>
                <w:sz w:val="20"/>
                <w:szCs w:val="20"/>
                <w:color w:val="auto"/>
              </w:rPr>
            </w:pPr>
            <w:r>
              <w:rPr>
                <w:rFonts w:ascii="Arial" w:cs="Arial" w:eastAsia="Arial" w:hAnsi="Arial"/>
                <w:sz w:val="14"/>
                <w:szCs w:val="14"/>
                <w:b w:val="1"/>
                <w:bCs w:val="1"/>
                <w:color w:val="auto"/>
              </w:rPr>
              <w:t>Fair</w:t>
            </w:r>
          </w:p>
        </w:tc>
      </w:tr>
      <w:tr>
        <w:trPr>
          <w:trHeight w:val="181"/>
        </w:trPr>
        <w:tc>
          <w:tcPr>
            <w:tcW w:w="4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8"/>
              </w:rPr>
              <w:t>(Level 1)</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8"/>
              </w:rPr>
              <w:t>(Level 3)</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r>
      <w:tr>
        <w:trPr>
          <w:trHeight w:val="200"/>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6"/>
        </w:trPr>
        <w:tc>
          <w:tcPr>
            <w:tcW w:w="424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(77.3)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5"/>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(77.3)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(77.3)</w:t>
            </w:r>
          </w:p>
        </w:tc>
      </w:tr>
      <w:tr>
        <w:trPr>
          <w:trHeight w:val="207"/>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rate contracts designated as cash flow hedges: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b w:val="1"/>
                <w:bCs w:val="1"/>
                <w:color w:val="auto"/>
              </w:rPr>
              <w:t>297.7</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297.7</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297.7</w:t>
            </w:r>
          </w:p>
        </w:tc>
      </w:tr>
      <w:tr>
        <w:trPr>
          <w:trHeight w:val="156"/>
        </w:trPr>
        <w:tc>
          <w:tcPr>
            <w:tcW w:w="4240" w:type="dxa"/>
            <w:vAlign w:val="bottom"/>
            <w:shd w:val="clear" w:color="auto" w:fill="CCEEFF"/>
          </w:tcPr>
          <w:p>
            <w:pPr>
              <w:ind w:left="200"/>
              <w:spacing w:after="0" w:line="156" w:lineRule="exact"/>
              <w:rPr>
                <w:sz w:val="20"/>
                <w:szCs w:val="20"/>
                <w:color w:val="auto"/>
              </w:rPr>
            </w:pPr>
            <w:r>
              <w:rPr>
                <w:rFonts w:ascii="Arial" w:cs="Arial" w:eastAsia="Arial" w:hAnsi="Arial"/>
                <w:sz w:val="16"/>
                <w:szCs w:val="16"/>
                <w:color w:val="auto"/>
              </w:rPr>
              <w:t>Cross-currency interest rate contracts designated as net</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 hedges: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b w:val="1"/>
                <w:bCs w:val="1"/>
                <w:color w:val="auto"/>
              </w:rPr>
              <w:t>29.3</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29.3</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29.3</w:t>
            </w:r>
          </w:p>
        </w:tc>
      </w:tr>
      <w:tr>
        <w:trPr>
          <w:trHeight w:val="207"/>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b w:val="1"/>
                <w:bCs w:val="1"/>
                <w:color w:val="auto"/>
              </w:rPr>
              <w:t>77.2</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77.2</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77.2</w:t>
            </w:r>
          </w:p>
        </w:tc>
      </w:tr>
      <w:tr>
        <w:trPr>
          <w:trHeight w:val="156"/>
        </w:trPr>
        <w:tc>
          <w:tcPr>
            <w:tcW w:w="4240" w:type="dxa"/>
            <w:vAlign w:val="bottom"/>
          </w:tcPr>
          <w:p>
            <w:pPr>
              <w:ind w:left="200"/>
              <w:spacing w:after="0" w:line="156" w:lineRule="exact"/>
              <w:rPr>
                <w:sz w:val="20"/>
                <w:szCs w:val="20"/>
                <w:color w:val="auto"/>
              </w:rPr>
            </w:pPr>
            <w:r>
              <w:rPr>
                <w:rFonts w:ascii="Arial" w:cs="Arial" w:eastAsia="Arial" w:hAnsi="Arial"/>
                <w:sz w:val="16"/>
                <w:szCs w:val="16"/>
                <w:color w:val="auto"/>
                <w:w w:val="98"/>
              </w:rPr>
              <w:t>Cross-currency interest rate contracts designated as cash</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5"/>
        </w:trPr>
        <w:tc>
          <w:tcPr>
            <w:tcW w:w="4240" w:type="dxa"/>
            <w:vAlign w:val="bottom"/>
          </w:tcPr>
          <w:p>
            <w:pPr>
              <w:ind w:left="200"/>
              <w:spacing w:after="0"/>
              <w:rPr>
                <w:sz w:val="20"/>
                <w:szCs w:val="20"/>
                <w:color w:val="auto"/>
              </w:rPr>
            </w:pPr>
            <w:r>
              <w:rPr>
                <w:rFonts w:ascii="Arial" w:cs="Arial" w:eastAsia="Arial" w:hAnsi="Arial"/>
                <w:sz w:val="16"/>
                <w:szCs w:val="16"/>
                <w:color w:val="auto"/>
              </w:rPr>
              <w:t>flow hedges: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b w:val="1"/>
                <w:bCs w:val="1"/>
                <w:color w:val="auto"/>
              </w:rPr>
              <w:t>21.7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21.7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w:t>
            </w: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(13.1)</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auto"/>
              </w:rPr>
              <w:t>(13.1)</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(13.1)</w:t>
            </w:r>
          </w:p>
        </w:tc>
      </w:tr>
      <w:tr>
        <w:trPr>
          <w:trHeight w:val="156"/>
        </w:trPr>
        <w:tc>
          <w:tcPr>
            <w:tcW w:w="4240" w:type="dxa"/>
            <w:vAlign w:val="bottom"/>
            <w:shd w:val="clear" w:color="auto" w:fill="CCEEFF"/>
          </w:tcPr>
          <w:p>
            <w:pPr>
              <w:ind w:left="200"/>
              <w:spacing w:after="0" w:line="156" w:lineRule="exact"/>
              <w:rPr>
                <w:sz w:val="20"/>
                <w:szCs w:val="20"/>
                <w:color w:val="auto"/>
              </w:rPr>
            </w:pPr>
            <w:r>
              <w:rPr>
                <w:rFonts w:ascii="Arial" w:cs="Arial" w:eastAsia="Arial" w:hAnsi="Arial"/>
                <w:sz w:val="16"/>
                <w:szCs w:val="16"/>
                <w:color w:val="auto"/>
                <w:w w:val="98"/>
              </w:rPr>
              <w:t>Foreign exchange contracts designated as net investment</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hedges: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0"/>
        </w:trPr>
        <w:tc>
          <w:tcPr>
            <w:tcW w:w="424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9"/>
                <w:szCs w:val="19"/>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b w:val="1"/>
                <w:bCs w:val="1"/>
                <w:color w:val="auto"/>
              </w:rPr>
              <w:t>15.6</w:t>
            </w:r>
          </w:p>
        </w:tc>
        <w:tc>
          <w:tcPr>
            <w:tcW w:w="120" w:type="dxa"/>
            <w:vAlign w:val="bottom"/>
          </w:tcPr>
          <w:p>
            <w:pPr>
              <w:spacing w:after="0"/>
              <w:rPr>
                <w:sz w:val="19"/>
                <w:szCs w:val="19"/>
                <w:color w:val="auto"/>
              </w:rPr>
            </w:pPr>
          </w:p>
        </w:tc>
        <w:tc>
          <w:tcPr>
            <w:tcW w:w="1220" w:type="dxa"/>
            <w:vAlign w:val="bottom"/>
          </w:tcPr>
          <w:p>
            <w:pPr>
              <w:jc w:val="right"/>
              <w:ind w:right="4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15.6</w:t>
            </w:r>
          </w:p>
        </w:tc>
        <w:tc>
          <w:tcPr>
            <w:tcW w:w="20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15.6</w:t>
            </w:r>
          </w:p>
        </w:tc>
      </w:tr>
      <w:tr>
        <w:trPr>
          <w:trHeight w:val="156"/>
        </w:trPr>
        <w:tc>
          <w:tcPr>
            <w:tcW w:w="4240" w:type="dxa"/>
            <w:vAlign w:val="bottom"/>
            <w:shd w:val="clear" w:color="auto" w:fill="CCEEFF"/>
          </w:tcPr>
          <w:p>
            <w:pPr>
              <w:ind w:left="200"/>
              <w:spacing w:after="0" w:line="156"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instruments: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7"/>
        </w:trPr>
        <w:tc>
          <w:tcPr>
            <w:tcW w:w="424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b w:val="1"/>
                <w:bCs w:val="1"/>
                <w:color w:val="auto"/>
              </w:rPr>
              <w:t>19.1</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19.1</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19.1</w:t>
            </w:r>
          </w:p>
        </w:tc>
      </w:tr>
      <w:tr>
        <w:trPr>
          <w:trHeight w:val="207"/>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(17.0)</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(17.0)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w:t>
            </w: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Contingent consideration liability:</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(65.1)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(65.1)</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(65.1)</w:t>
            </w:r>
          </w:p>
        </w:tc>
      </w:tr>
      <w:tr>
        <w:trPr>
          <w:trHeight w:val="207"/>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7"/>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6"/>
        </w:trPr>
        <w:tc>
          <w:tcPr>
            <w:tcW w:w="424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6"/>
        </w:trPr>
        <w:tc>
          <w:tcPr>
            <w:tcW w:w="424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4.8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8"/>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78.3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r>
      <w:tr>
        <w:trPr>
          <w:trHeight w:val="206"/>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08"/>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rate contracts designated as cash flow hedges: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6"/>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49.2</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08"/>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156"/>
        </w:trPr>
        <w:tc>
          <w:tcPr>
            <w:tcW w:w="4240" w:type="dxa"/>
            <w:vAlign w:val="bottom"/>
          </w:tcPr>
          <w:p>
            <w:pPr>
              <w:ind w:left="200"/>
              <w:spacing w:after="0" w:line="156" w:lineRule="exact"/>
              <w:rPr>
                <w:sz w:val="20"/>
                <w:szCs w:val="20"/>
                <w:color w:val="auto"/>
              </w:rPr>
            </w:pPr>
            <w:r>
              <w:rPr>
                <w:rFonts w:ascii="Arial" w:cs="Arial" w:eastAsia="Arial" w:hAnsi="Arial"/>
                <w:sz w:val="16"/>
                <w:szCs w:val="16"/>
                <w:color w:val="auto"/>
              </w:rPr>
              <w:t>Cross-currency interest rate contracts designated as net</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5"/>
        </w:trPr>
        <w:tc>
          <w:tcPr>
            <w:tcW w:w="4240" w:type="dxa"/>
            <w:vAlign w:val="bottom"/>
          </w:tcPr>
          <w:p>
            <w:pPr>
              <w:ind w:left="200"/>
              <w:spacing w:after="0"/>
              <w:rPr>
                <w:sz w:val="20"/>
                <w:szCs w:val="20"/>
                <w:color w:val="auto"/>
              </w:rPr>
            </w:pPr>
            <w:r>
              <w:rPr>
                <w:rFonts w:ascii="Arial" w:cs="Arial" w:eastAsia="Arial" w:hAnsi="Arial"/>
                <w:sz w:val="16"/>
                <w:szCs w:val="16"/>
                <w:color w:val="auto"/>
              </w:rPr>
              <w:t>investment hedges: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31.3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06"/>
        </w:trPr>
        <w:tc>
          <w:tcPr>
            <w:tcW w:w="424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57"/>
        </w:trPr>
        <w:tc>
          <w:tcPr>
            <w:tcW w:w="4240" w:type="dxa"/>
            <w:vAlign w:val="bottom"/>
            <w:shd w:val="clear" w:color="auto" w:fill="CCEEFF"/>
          </w:tcPr>
          <w:p>
            <w:pPr>
              <w:ind w:left="200"/>
              <w:spacing w:after="0" w:line="157" w:lineRule="exact"/>
              <w:rPr>
                <w:sz w:val="20"/>
                <w:szCs w:val="20"/>
                <w:color w:val="auto"/>
              </w:rPr>
            </w:pPr>
            <w:r>
              <w:rPr>
                <w:rFonts w:ascii="Arial" w:cs="Arial" w:eastAsia="Arial" w:hAnsi="Arial"/>
                <w:sz w:val="16"/>
                <w:szCs w:val="16"/>
                <w:color w:val="auto"/>
                <w:w w:val="98"/>
              </w:rPr>
              <w:t>Cross-currency interest rate contracts designated as cash</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flow hedges: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6"/>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33.2</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08"/>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56"/>
        </w:trPr>
        <w:tc>
          <w:tcPr>
            <w:tcW w:w="4240" w:type="dxa"/>
            <w:vAlign w:val="bottom"/>
          </w:tcPr>
          <w:p>
            <w:pPr>
              <w:ind w:left="200"/>
              <w:spacing w:after="0" w:line="156"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5"/>
        </w:trPr>
        <w:tc>
          <w:tcPr>
            <w:tcW w:w="4240" w:type="dxa"/>
            <w:vAlign w:val="bottom"/>
          </w:tcPr>
          <w:p>
            <w:pPr>
              <w:ind w:left="20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6"/>
        </w:trPr>
        <w:tc>
          <w:tcPr>
            <w:tcW w:w="424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(35.3)</w:t>
            </w: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08"/>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5"/>
        </w:trPr>
        <w:tc>
          <w:tcPr>
            <w:tcW w:w="424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(70.5)</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54" w:right="419" w:bottom="1440" w:gutter="0" w:footer="0" w:header="0"/>
        </w:sectPr>
      </w:pPr>
    </w:p>
    <w:bookmarkStart w:id="25" w:name="page26"/>
    <w:bookmarkEnd w:id="25"/>
    <w:p>
      <w:pPr>
        <w:ind w:right="420"/>
        <w:spacing w:after="0" w:line="266" w:lineRule="auto"/>
        <w:rPr>
          <w:sz w:val="20"/>
          <w:szCs w:val="20"/>
          <w:color w:val="auto"/>
        </w:rPr>
      </w:pPr>
      <w:r>
        <w:rPr>
          <w:rFonts w:ascii="Arial" w:cs="Arial" w:eastAsia="Arial" w:hAnsi="Arial"/>
          <w:sz w:val="17"/>
          <w:szCs w:val="17"/>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4"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 As of</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June 30, 2022, we had approximately $980 million of unfunded commitments to invest in venture capital funds, which we anticipate will be paid over a period of up to 10 years.</w:t>
      </w:r>
    </w:p>
    <w:p>
      <w:pPr>
        <w:spacing w:after="0" w:line="5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Contingent consideration liability relates to our liability arising in connection with the CVR issued as a result of the Prevail acquisition. The fair value of the CVR liability was estimated using a discounted cash flow analysis and Level 3 inputs, including projections representative of a market participant's view of the expected cash payment associated with the first potential regulatory approval of a Prevail compound in the applicable countries based on probabilities of technical success, timing of the potential approval events for the compounds, and an estimated discount rate. See Note 3 for additional information related to the CVR arrangement.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contractual maturities of our investments in debt securities measured at fair value as of June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Maturities by Period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60" w:type="dxa"/>
            <w:vAlign w:val="bottom"/>
          </w:tcPr>
          <w:p>
            <w:pPr>
              <w:jc w:val="center"/>
              <w:ind w:right="145"/>
              <w:spacing w:after="0" w:line="139" w:lineRule="exact"/>
              <w:rPr>
                <w:sz w:val="20"/>
                <w:szCs w:val="20"/>
                <w:color w:val="auto"/>
              </w:rPr>
            </w:pPr>
            <w:r>
              <w:rPr>
                <w:rFonts w:ascii="Arial" w:cs="Arial" w:eastAsia="Arial" w:hAnsi="Arial"/>
                <w:sz w:val="14"/>
                <w:szCs w:val="14"/>
                <w:b w:val="1"/>
                <w:bCs w:val="1"/>
                <w:color w:val="auto"/>
                <w:w w:val="98"/>
              </w:rPr>
              <w:t>Less Than</w:t>
            </w:r>
          </w:p>
        </w:tc>
        <w:tc>
          <w:tcPr>
            <w:tcW w:w="380" w:type="dxa"/>
            <w:vAlign w:val="bottom"/>
          </w:tcPr>
          <w:p>
            <w:pPr>
              <w:spacing w:after="0"/>
              <w:rPr>
                <w:sz w:val="12"/>
                <w:szCs w:val="12"/>
                <w:color w:val="auto"/>
              </w:rPr>
            </w:pPr>
          </w:p>
        </w:tc>
        <w:tc>
          <w:tcPr>
            <w:tcW w:w="1040" w:type="dxa"/>
            <w:vAlign w:val="bottom"/>
          </w:tcPr>
          <w:p>
            <w:pPr>
              <w:jc w:val="center"/>
              <w:ind w:right="285"/>
              <w:spacing w:after="0" w:line="139" w:lineRule="exact"/>
              <w:rPr>
                <w:sz w:val="20"/>
                <w:szCs w:val="20"/>
                <w:color w:val="auto"/>
              </w:rPr>
            </w:pPr>
            <w:r>
              <w:rPr>
                <w:rFonts w:ascii="Arial" w:cs="Arial" w:eastAsia="Arial" w:hAnsi="Arial"/>
                <w:sz w:val="14"/>
                <w:szCs w:val="14"/>
                <w:b w:val="1"/>
                <w:bCs w:val="1"/>
                <w:color w:val="auto"/>
                <w:w w:val="98"/>
              </w:rPr>
              <w:t>1-5</w:t>
            </w:r>
          </w:p>
        </w:tc>
        <w:tc>
          <w:tcPr>
            <w:tcW w:w="300" w:type="dxa"/>
            <w:vAlign w:val="bottom"/>
          </w:tcPr>
          <w:p>
            <w:pPr>
              <w:spacing w:after="0"/>
              <w:rPr>
                <w:sz w:val="12"/>
                <w:szCs w:val="12"/>
                <w:color w:val="auto"/>
              </w:rPr>
            </w:pPr>
          </w:p>
        </w:tc>
        <w:tc>
          <w:tcPr>
            <w:tcW w:w="1000" w:type="dxa"/>
            <w:vAlign w:val="bottom"/>
          </w:tcPr>
          <w:p>
            <w:pPr>
              <w:jc w:val="right"/>
              <w:ind w:right="425"/>
              <w:spacing w:after="0" w:line="139"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8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7"/>
        </w:trPr>
        <w:tc>
          <w:tcPr>
            <w:tcW w:w="4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5"/>
              </w:rPr>
              <w:t>1 Year</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85"/>
              <w:spacing w:after="0"/>
              <w:rPr>
                <w:sz w:val="20"/>
                <w:szCs w:val="20"/>
                <w:color w:val="auto"/>
              </w:rPr>
            </w:pPr>
            <w:r>
              <w:rPr>
                <w:rFonts w:ascii="Arial" w:cs="Arial" w:eastAsia="Arial" w:hAnsi="Arial"/>
                <w:sz w:val="14"/>
                <w:szCs w:val="14"/>
                <w:b w:val="1"/>
                <w:bCs w:val="1"/>
                <w:color w:val="auto"/>
                <w:w w:val="94"/>
              </w:rPr>
              <w:t>Years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4"/>
              </w:rPr>
              <w:t>Years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7"/>
              </w:rPr>
              <w:t>10 Years</w:t>
            </w: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debt securities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553.4</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102.1</w:t>
            </w:r>
          </w:p>
        </w:tc>
        <w:tc>
          <w:tcPr>
            <w:tcW w:w="38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170.4</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109.0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171.9</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net gains (losses) recognized in our consolidated condensed statements of operations for equity securities were $(118.9) million and</w:t>
      </w:r>
    </w:p>
    <w:p>
      <w:pPr>
        <w:spacing w:after="0" w:line="2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$(544.3) million for the three and six months ended June 30, 2022, respectively, and $215.4 million and $517.0 million for the three and six months ended June 30, 2021, respectively. The net gains (losses) recognized for the three and six months ended June 30, 2022 and 2021 on equity securities sold during the respective periods were not material.</w:t>
      </w:r>
    </w:p>
    <w:p>
      <w:pPr>
        <w:spacing w:after="0" w:line="6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for the three and six months ended June 30, 2022 and 2021 were not material.</w:t>
      </w:r>
    </w:p>
    <w:p>
      <w:pPr>
        <w:spacing w:after="0" w:line="66" w:lineRule="exact"/>
        <w:rPr>
          <w:sz w:val="20"/>
          <w:szCs w:val="20"/>
          <w:color w:val="auto"/>
        </w:rPr>
      </w:pPr>
    </w:p>
    <w:p>
      <w:pPr>
        <w:ind w:right="760"/>
        <w:spacing w:after="0" w:line="291" w:lineRule="auto"/>
        <w:rPr>
          <w:sz w:val="20"/>
          <w:szCs w:val="20"/>
          <w:color w:val="auto"/>
        </w:rPr>
      </w:pPr>
      <w:r>
        <w:rPr>
          <w:rFonts w:ascii="Arial" w:cs="Arial" w:eastAsia="Arial" w:hAnsi="Arial"/>
          <w:sz w:val="17"/>
          <w:szCs w:val="17"/>
          <w:color w:val="auto"/>
        </w:rPr>
        <w:t>A summary of the amount of unrealized gains and losses in accumulated other comprehensive loss and the fair value of available-for-sale securities in an unrealized gain or loss position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December 31, 2021</w:t>
            </w:r>
          </w:p>
        </w:tc>
      </w:tr>
      <w:tr>
        <w:trPr>
          <w:trHeight w:val="21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gross gains</w:t>
            </w:r>
          </w:p>
        </w:tc>
        <w:tc>
          <w:tcPr>
            <w:tcW w:w="202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20"/>
        </w:trPr>
        <w:tc>
          <w:tcPr>
            <w:tcW w:w="5780" w:type="dxa"/>
            <w:vAlign w:val="bottom"/>
          </w:tcPr>
          <w:p>
            <w:pPr>
              <w:ind w:left="20"/>
              <w:spacing w:after="0"/>
              <w:rPr>
                <w:sz w:val="20"/>
                <w:szCs w:val="20"/>
                <w:color w:val="auto"/>
              </w:rPr>
            </w:pPr>
            <w:r>
              <w:rPr>
                <w:rFonts w:ascii="Arial" w:cs="Arial" w:eastAsia="Arial" w:hAnsi="Arial"/>
                <w:sz w:val="17"/>
                <w:szCs w:val="17"/>
                <w:color w:val="auto"/>
              </w:rPr>
              <w:t>Unrealized gross losses</w:t>
            </w:r>
          </w:p>
        </w:tc>
        <w:tc>
          <w:tcPr>
            <w:tcW w:w="2020" w:type="dxa"/>
            <w:vAlign w:val="bottom"/>
          </w:tcPr>
          <w:p>
            <w:pPr>
              <w:spacing w:after="0"/>
              <w:rPr>
                <w:sz w:val="19"/>
                <w:szCs w:val="19"/>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b w:val="1"/>
                <w:bCs w:val="1"/>
                <w:color w:val="auto"/>
              </w:rPr>
              <w:t>36.9</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0"/>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securities in an unrealized gain position</w:t>
            </w:r>
          </w:p>
        </w:tc>
        <w:tc>
          <w:tcPr>
            <w:tcW w:w="20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28.8</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w:t>
            </w:r>
          </w:p>
        </w:tc>
      </w:tr>
      <w:tr>
        <w:trPr>
          <w:trHeight w:val="238"/>
        </w:trPr>
        <w:tc>
          <w:tcPr>
            <w:tcW w:w="5780" w:type="dxa"/>
            <w:vAlign w:val="bottom"/>
          </w:tcPr>
          <w:p>
            <w:pPr>
              <w:ind w:left="20"/>
              <w:spacing w:after="0"/>
              <w:rPr>
                <w:sz w:val="20"/>
                <w:szCs w:val="20"/>
                <w:color w:val="auto"/>
              </w:rPr>
            </w:pPr>
            <w:r>
              <w:rPr>
                <w:rFonts w:ascii="Arial" w:cs="Arial" w:eastAsia="Arial" w:hAnsi="Arial"/>
                <w:sz w:val="17"/>
                <w:szCs w:val="17"/>
                <w:color w:val="auto"/>
              </w:rPr>
              <w:t>Fair value of securities in an unrealized loss position</w:t>
            </w:r>
          </w:p>
        </w:tc>
        <w:tc>
          <w:tcPr>
            <w:tcW w:w="2020" w:type="dxa"/>
            <w:vAlign w:val="bottom"/>
          </w:tcPr>
          <w:p>
            <w:pPr>
              <w:spacing w:after="0"/>
              <w:rPr>
                <w:sz w:val="20"/>
                <w:szCs w:val="20"/>
                <w:color w:val="auto"/>
              </w:rPr>
            </w:pPr>
          </w:p>
        </w:tc>
        <w:tc>
          <w:tcPr>
            <w:tcW w:w="1540" w:type="dxa"/>
            <w:vAlign w:val="bottom"/>
          </w:tcPr>
          <w:p>
            <w:pPr>
              <w:jc w:val="right"/>
              <w:ind w:right="17"/>
              <w:spacing w:after="0"/>
              <w:rPr>
                <w:sz w:val="20"/>
                <w:szCs w:val="20"/>
                <w:color w:val="auto"/>
              </w:rPr>
            </w:pPr>
            <w:r>
              <w:rPr>
                <w:rFonts w:ascii="Arial" w:cs="Arial" w:eastAsia="Arial" w:hAnsi="Arial"/>
                <w:sz w:val="17"/>
                <w:szCs w:val="17"/>
                <w:b w:val="1"/>
                <w:bCs w:val="1"/>
                <w:color w:val="auto"/>
              </w:rPr>
              <w:t>489.2</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290.2</w:t>
            </w:r>
          </w:p>
        </w:tc>
      </w:tr>
    </w:tbl>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six months ended June 30, 2022 and 2021.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6" w:name="page27"/>
    <w:bookmarkEnd w:id="26"/>
    <w:p>
      <w:pPr>
        <w:spacing w:after="0" w:line="263" w:lineRule="auto"/>
        <w:rPr>
          <w:sz w:val="20"/>
          <w:szCs w:val="20"/>
          <w:color w:val="auto"/>
        </w:rPr>
      </w:pPr>
      <w:r>
        <w:rPr>
          <w:rFonts w:ascii="Arial" w:cs="Arial" w:eastAsia="Arial" w:hAnsi="Arial"/>
          <w:sz w:val="17"/>
          <w:szCs w:val="17"/>
          <w:color w:val="auto"/>
        </w:rPr>
        <w:t>As of June 30, 2022, the available-for-sale securities in an unrealized loss position include primarily fixed-rate debt securities of varying maturities, which are sensitive to changes in the yield curve and other market conditions. Approximately 97 percent of the fixed-rate debt securities in a loss position are investment-grade debt securities. As of June 30, 2022,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Activity related to our available-for-sale securities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w:t>
            </w:r>
          </w:p>
        </w:tc>
        <w:tc>
          <w:tcPr>
            <w:tcW w:w="940" w:type="dxa"/>
            <w:vAlign w:val="bottom"/>
            <w:shd w:val="clear" w:color="auto" w:fill="CCEEFF"/>
          </w:tcPr>
          <w:p>
            <w:pPr>
              <w:jc w:val="right"/>
              <w:ind w:right="745"/>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29.9</w:t>
            </w:r>
          </w:p>
        </w:tc>
        <w:tc>
          <w:tcPr>
            <w:tcW w:w="1060" w:type="dxa"/>
            <w:vAlign w:val="bottom"/>
            <w:shd w:val="clear" w:color="auto" w:fill="CCEEFF"/>
          </w:tcPr>
          <w:p>
            <w:pPr>
              <w:jc w:val="right"/>
              <w:ind w:right="76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44.4</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65.1</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rPr>
              <w:t>Realized gross gains on sales</w:t>
            </w:r>
          </w:p>
        </w:tc>
        <w:tc>
          <w:tcPr>
            <w:tcW w:w="94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b w:val="1"/>
                <w:bCs w:val="1"/>
                <w:color w:val="auto"/>
              </w:rPr>
              <w:t>0.1</w:t>
            </w:r>
          </w:p>
        </w:tc>
        <w:tc>
          <w:tcPr>
            <w:tcW w:w="106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Arial" w:cs="Arial" w:eastAsia="Arial" w:hAnsi="Arial"/>
                <w:sz w:val="17"/>
                <w:szCs w:val="17"/>
                <w:color w:val="auto"/>
              </w:rPr>
              <w:t>0.7</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7"/>
                <w:szCs w:val="17"/>
                <w:b w:val="1"/>
                <w:bCs w:val="1"/>
                <w:color w:val="auto"/>
              </w:rPr>
              <w:t>0.2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gross losses on sales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0.7</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0.4</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bl>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 Factoring Arrangements</w:t>
      </w:r>
    </w:p>
    <w:p>
      <w:pPr>
        <w:spacing w:after="0" w:line="11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$408.6 million and $550.5 million of accounts receivable as of June 30, 2022 and December 31, 2021, respectively, under these factoring arrangements. The costs of factoring such accounts receivable on our consolidated condensed results of operations for the three and six months ended June 30, 2022 and 2021 were not material.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Income Taxes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effective tax rates were 12.7 percent and 9.2 percent for the three and six months ended June 30, 2022, respectively, reflecting the favorable tax impact of the implementation of a provision in the Tax Cuts and Jobs Act (2017 Tax Act) that requires capitalization and amortization of research and development expenses for tax purposes starting in 2022 and of net investment losses on equity securities, partially offset by the tax impact related to non-deductible development milestones. We expect our effective tax rate to be approximately 13 percent to 14 percent for 2022 if the capitalization and amortization of research and development expenses provision of the 2017 Tax Act is deferred or repealed by the U.S. Congress effective for 2022.</w:t>
      </w:r>
    </w:p>
    <w:p>
      <w:pPr>
        <w:spacing w:after="0" w:line="68"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The effective tax rates were 12.8 percent and 10.6 percent for the three and six months ended June 30, 2021, respectively, reflecting the favorable tax impact of inventory impairment charges related to our COVID-19 antibodies, partially offset by the tax impact of net investment gains on equity securities. The effective tax rate for the six months ended June 30, 2021 was also impacted favorably by a net discrete tax benefit.</w:t>
      </w:r>
    </w:p>
    <w:p>
      <w:pPr>
        <w:spacing w:after="0" w:line="5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U.S. examination of tax years 2016-2018 began in the fourth quarter of 2019 and remains ongoing. The resolution of this audit period will likely extend beyond the next 12 months.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Note 8: 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pension and retiree health benefit (income) cost included the following components: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Defined Benefit Pension Plans</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Six Months Ended June 30,</w:t>
            </w:r>
          </w:p>
        </w:tc>
      </w:tr>
      <w:tr>
        <w:trPr>
          <w:trHeight w:val="200"/>
        </w:trPr>
        <w:tc>
          <w:tcPr>
            <w:tcW w:w="5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Components of net periodic benefit cost: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0"/>
        </w:trPr>
        <w:tc>
          <w:tcPr>
            <w:tcW w:w="5080" w:type="dxa"/>
            <w:vAlign w:val="bottom"/>
          </w:tcPr>
          <w:p>
            <w:pPr>
              <w:ind w:left="220"/>
              <w:spacing w:after="0"/>
              <w:rPr>
                <w:sz w:val="20"/>
                <w:szCs w:val="20"/>
                <w:color w:val="auto"/>
              </w:rPr>
            </w:pPr>
            <w:r>
              <w:rPr>
                <w:rFonts w:ascii="Arial" w:cs="Arial" w:eastAsia="Arial" w:hAnsi="Arial"/>
                <w:sz w:val="17"/>
                <w:szCs w:val="17"/>
                <w:color w:val="auto"/>
              </w:rPr>
              <w:t>Service cost</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58"/>
              <w:spacing w:after="0"/>
              <w:rPr>
                <w:sz w:val="20"/>
                <w:szCs w:val="20"/>
                <w:color w:val="auto"/>
              </w:rPr>
            </w:pPr>
            <w:r>
              <w:rPr>
                <w:rFonts w:ascii="Arial" w:cs="Arial" w:eastAsia="Arial" w:hAnsi="Arial"/>
                <w:sz w:val="17"/>
                <w:szCs w:val="17"/>
                <w:b w:val="1"/>
                <w:bCs w:val="1"/>
                <w:color w:val="auto"/>
              </w:rPr>
              <w:t>88.2</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8"/>
              <w:spacing w:after="0"/>
              <w:rPr>
                <w:sz w:val="20"/>
                <w:szCs w:val="20"/>
                <w:color w:val="auto"/>
              </w:rPr>
            </w:pPr>
            <w:r>
              <w:rPr>
                <w:rFonts w:ascii="Arial" w:cs="Arial" w:eastAsia="Arial" w:hAnsi="Arial"/>
                <w:sz w:val="17"/>
                <w:szCs w:val="17"/>
                <w:color w:val="auto"/>
              </w:rPr>
              <w:t>93.3</w:t>
            </w:r>
          </w:p>
        </w:tc>
        <w:tc>
          <w:tcPr>
            <w:tcW w:w="4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8"/>
              <w:spacing w:after="0"/>
              <w:rPr>
                <w:sz w:val="20"/>
                <w:szCs w:val="20"/>
                <w:color w:val="auto"/>
              </w:rPr>
            </w:pPr>
            <w:r>
              <w:rPr>
                <w:rFonts w:ascii="Arial" w:cs="Arial" w:eastAsia="Arial" w:hAnsi="Arial"/>
                <w:sz w:val="17"/>
                <w:szCs w:val="17"/>
                <w:b w:val="1"/>
                <w:bCs w:val="1"/>
                <w:color w:val="auto"/>
              </w:rPr>
              <w:t>177.3</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185.3</w:t>
            </w:r>
          </w:p>
        </w:tc>
      </w:tr>
      <w:tr>
        <w:trPr>
          <w:trHeight w:val="220"/>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cost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99.6</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84.8</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200.1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w:t>
            </w:r>
          </w:p>
        </w:tc>
      </w:tr>
      <w:tr>
        <w:trPr>
          <w:trHeight w:val="220"/>
        </w:trPr>
        <w:tc>
          <w:tcPr>
            <w:tcW w:w="5080" w:type="dxa"/>
            <w:vAlign w:val="bottom"/>
          </w:tcPr>
          <w:p>
            <w:pPr>
              <w:ind w:left="220"/>
              <w:spacing w:after="0"/>
              <w:rPr>
                <w:sz w:val="20"/>
                <w:szCs w:val="20"/>
                <w:color w:val="auto"/>
              </w:rPr>
            </w:pPr>
            <w:r>
              <w:rPr>
                <w:rFonts w:ascii="Arial" w:cs="Arial" w:eastAsia="Arial" w:hAnsi="Arial"/>
                <w:sz w:val="17"/>
                <w:szCs w:val="17"/>
                <w:color w:val="auto"/>
              </w:rPr>
              <w:t>Expected return on plan assets</w:t>
            </w:r>
          </w:p>
        </w:tc>
        <w:tc>
          <w:tcPr>
            <w:tcW w:w="32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b w:val="1"/>
                <w:bCs w:val="1"/>
                <w:color w:val="auto"/>
              </w:rPr>
              <w:t>(237.0)</w:t>
            </w: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(237.2)</w:t>
            </w:r>
          </w:p>
        </w:tc>
        <w:tc>
          <w:tcPr>
            <w:tcW w:w="42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b w:val="1"/>
                <w:bCs w:val="1"/>
                <w:color w:val="auto"/>
              </w:rPr>
              <w:t>(476.5)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(475.2)</w:t>
            </w:r>
          </w:p>
        </w:tc>
      </w:tr>
      <w:tr>
        <w:trPr>
          <w:trHeight w:val="220"/>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prior service cost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0.6</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1.1</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Recognized actuarial loss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84.5</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122.6</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171.5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244.4</w:t>
            </w:r>
          </w:p>
        </w:tc>
      </w:tr>
      <w:tr>
        <w:trPr>
          <w:trHeight w:val="218"/>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periodic benefit cost</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35.9</w:t>
            </w:r>
          </w:p>
        </w:tc>
        <w:tc>
          <w:tcPr>
            <w:tcW w:w="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64.6</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73.7</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125.8</w:t>
            </w:r>
          </w:p>
        </w:tc>
      </w:tr>
      <w:tr>
        <w:trPr>
          <w:trHeight w:val="413"/>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Retiree Health Benefit Plans</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Six Months Ended June 30,</w:t>
            </w:r>
          </w:p>
        </w:tc>
      </w:tr>
      <w:tr>
        <w:trPr>
          <w:trHeight w:val="200"/>
        </w:trPr>
        <w:tc>
          <w:tcPr>
            <w:tcW w:w="5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Components of net periodic benefit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0"/>
        </w:trPr>
        <w:tc>
          <w:tcPr>
            <w:tcW w:w="5080" w:type="dxa"/>
            <w:vAlign w:val="bottom"/>
          </w:tcPr>
          <w:p>
            <w:pPr>
              <w:ind w:left="220"/>
              <w:spacing w:after="0"/>
              <w:rPr>
                <w:sz w:val="20"/>
                <w:szCs w:val="20"/>
                <w:color w:val="auto"/>
              </w:rPr>
            </w:pPr>
            <w:r>
              <w:rPr>
                <w:rFonts w:ascii="Arial" w:cs="Arial" w:eastAsia="Arial" w:hAnsi="Arial"/>
                <w:sz w:val="17"/>
                <w:szCs w:val="17"/>
                <w:color w:val="auto"/>
              </w:rPr>
              <w:t>Service cost</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58"/>
              <w:spacing w:after="0"/>
              <w:rPr>
                <w:sz w:val="20"/>
                <w:szCs w:val="20"/>
                <w:color w:val="auto"/>
              </w:rPr>
            </w:pPr>
            <w:r>
              <w:rPr>
                <w:rFonts w:ascii="Arial" w:cs="Arial" w:eastAsia="Arial" w:hAnsi="Arial"/>
                <w:sz w:val="17"/>
                <w:szCs w:val="17"/>
                <w:b w:val="1"/>
                <w:bCs w:val="1"/>
                <w:color w:val="auto"/>
              </w:rPr>
              <w:t>12.1</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8"/>
              <w:spacing w:after="0"/>
              <w:rPr>
                <w:sz w:val="20"/>
                <w:szCs w:val="20"/>
                <w:color w:val="auto"/>
              </w:rPr>
            </w:pPr>
            <w:r>
              <w:rPr>
                <w:rFonts w:ascii="Arial" w:cs="Arial" w:eastAsia="Arial" w:hAnsi="Arial"/>
                <w:sz w:val="17"/>
                <w:szCs w:val="17"/>
                <w:color w:val="auto"/>
              </w:rPr>
              <w:t>12.9</w:t>
            </w:r>
          </w:p>
        </w:tc>
        <w:tc>
          <w:tcPr>
            <w:tcW w:w="4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8"/>
              <w:spacing w:after="0"/>
              <w:rPr>
                <w:sz w:val="20"/>
                <w:szCs w:val="20"/>
                <w:color w:val="auto"/>
              </w:rPr>
            </w:pPr>
            <w:r>
              <w:rPr>
                <w:rFonts w:ascii="Arial" w:cs="Arial" w:eastAsia="Arial" w:hAnsi="Arial"/>
                <w:sz w:val="17"/>
                <w:szCs w:val="17"/>
                <w:b w:val="1"/>
                <w:bCs w:val="1"/>
                <w:color w:val="auto"/>
              </w:rPr>
              <w:t>23.3</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24.6</w:t>
            </w:r>
          </w:p>
        </w:tc>
      </w:tr>
      <w:tr>
        <w:trPr>
          <w:trHeight w:val="220"/>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cost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9.6</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8.2</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19.0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20"/>
        </w:trPr>
        <w:tc>
          <w:tcPr>
            <w:tcW w:w="5080" w:type="dxa"/>
            <w:vAlign w:val="bottom"/>
          </w:tcPr>
          <w:p>
            <w:pPr>
              <w:ind w:left="220"/>
              <w:spacing w:after="0"/>
              <w:rPr>
                <w:sz w:val="20"/>
                <w:szCs w:val="20"/>
                <w:color w:val="auto"/>
              </w:rPr>
            </w:pPr>
            <w:r>
              <w:rPr>
                <w:rFonts w:ascii="Arial" w:cs="Arial" w:eastAsia="Arial" w:hAnsi="Arial"/>
                <w:sz w:val="17"/>
                <w:szCs w:val="17"/>
                <w:color w:val="auto"/>
              </w:rPr>
              <w:t>Expected return on plan assets</w:t>
            </w:r>
          </w:p>
        </w:tc>
        <w:tc>
          <w:tcPr>
            <w:tcW w:w="32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b w:val="1"/>
                <w:bCs w:val="1"/>
                <w:color w:val="auto"/>
              </w:rPr>
              <w:t>(38.2)</w:t>
            </w: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(36.5)</w:t>
            </w:r>
          </w:p>
        </w:tc>
        <w:tc>
          <w:tcPr>
            <w:tcW w:w="42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b w:val="1"/>
                <w:bCs w:val="1"/>
                <w:color w:val="auto"/>
              </w:rPr>
              <w:t>(76.1)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(73.1)</w:t>
            </w:r>
          </w:p>
        </w:tc>
      </w:tr>
      <w:tr>
        <w:trPr>
          <w:trHeight w:val="220"/>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prior service benefit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(13.7)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(14.9)</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(27.4)</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r>
      <w:tr>
        <w:trPr>
          <w:trHeight w:val="22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Recognized actuarial loss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0.3</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0.8</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b w:val="1"/>
                <w:bCs w:val="1"/>
                <w:color w:val="auto"/>
              </w:rPr>
              <w:t>0.5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18"/>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periodic benefit income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(29.9)</w:t>
            </w:r>
          </w:p>
        </w:tc>
        <w:tc>
          <w:tcPr>
            <w:tcW w:w="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(29.5)</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(60.7)</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Contingencies</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6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believe the legal proceedings in which we are named as defendants are without merit and we are defending against them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6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Litigation accruals, environmental liabilities, and the related estimated insurance recoverables are reflected on a gross basis as liabilities and assets, respectively, on our consolidated condensed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6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Patent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Alimta European Patent Litigation</w:t>
      </w:r>
    </w:p>
    <w:p>
      <w:pPr>
        <w:spacing w:after="0" w:line="115"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In Europe, Alimta (pemetrexed) was protected by a patent through June 2021. A number of legal proceedings that were initiated prior to patent expiration are ongoing.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Emgality Patent Litigation</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are a named defendant in litigation filed by Teva Pharmaceuticals International GMBH and Teva Pharmaceuticals USA, Inc. (collectively, Teva) in the U.S. District Court for the District of Massachusetts seeking a ruling that various claims in three different Teva patents would be infringed by our launch and continued sales of Emgality for the prevention of migraine in adults. Trial is currently scheduled to begin in October 2022. 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 This matter is ongoing.</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Jardiance Patent Litigation</w:t>
      </w:r>
    </w:p>
    <w:p>
      <w:pPr>
        <w:spacing w:after="0" w:line="11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November 2018, Boehringer Ingelheim, our partner in marketing and development of Jardiance, initiated U.S. patent litigation in the U.S. District Court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including in some allegations the compound patent, are invalid or would not be infringed. We are not a party to this litigation. This litigation has been stayed.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Taltz Patent Litigation</w:t>
      </w:r>
    </w:p>
    <w:p>
      <w:pPr>
        <w:spacing w:after="0" w:line="11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April 2021, we petitioned the High Court of Ireland to declare invalid a patent that Novartis Pharma AG (Novartis) purchased from Genentech, Inc. in 2020. Novartis responded by filing a claim against us alleging patent infringement related to our commercialization of Taltz and seeking damages for past infringement and an injunction against future infringement. This matter is ongoing.</w:t>
      </w:r>
    </w:p>
    <w:p>
      <w:pPr>
        <w:spacing w:after="0" w:line="59"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In April 2021, Novartis petitioned the Court of Rome Intellectual Property Division for a preliminary injunction (PI) against us related to our commercialization of Taltz. In May 2021, Lilly commenced patent revocation proceedings against Novartis before the Court of Milan’s IP Division where Lilly is also seeking a declaration of non-infringement. Novartis counter-claimed for patent infringement and is seeking a permanent injunction. A hearing on the PI request before the Court of Rome Intellectual Property Division took place in May 2022 and in July 2022, the court rejected Novartis' request. The Milan action is ongoing.</w:t>
      </w:r>
    </w:p>
    <w:p>
      <w:pPr>
        <w:spacing w:after="0" w:line="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November 2021, Novartis petitioned the Swiss Federal Patent Court for a PI and a permanent injunction in main infringement proceedings against us related to our commercialization of Taltz. Lilly petitioned the court to revoke the patent and for a declaration of non-infringement. In April 2022, Novartis withdrew its PI request but the main proceeding there is ongoing.</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Zyprexa Canada Patent Litigation</w:t>
      </w:r>
    </w:p>
    <w:p>
      <w:pPr>
        <w:spacing w:after="0" w:line="11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judgment, thereby dismissing Apotex's case. Apotex appealed that ruling to the Court of Appeal for Ontario in April 2021 and a hearing occurred February 2022. This matter is ongoing.</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1" w:right="37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Product Liability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Byetta® Product Liability</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have been named as a defendant in over 500 Byetta product liability lawsuits in the U.S. that were first initiated in March 2009 and involved over 800 plaintiffs. These lawsuits have been filed in various state and federal jurisdictions, including California state court (coordinated in Los Angeles County Superior Court), and various federal courts, the majority of which are coordinated in a multi-district litigation (MDL) in the U.S. District Court for the Southern District of California. The majority of these suits contain allegations that Byetta caused or contributed to the plaintiffs' cancer (primarily pancreatic cancer or thyroid cancer). The federal MDL and coordinated California state trial courts granted summary judgment in our favor on claims pertaining to pancreatic cancer, and the plaintiffs have dismissed Lilly from their appeal of the MDL ruling (the parties still await the order of judgment in the Los Angeles County Superior Court). Most of the MDL and state court lawsuits have been dismissed as of August 2022.</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Cialis Product Liability</w:t>
      </w:r>
    </w:p>
    <w:p>
      <w:pPr>
        <w:spacing w:after="0" w:line="11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are named as a defendant in over 300 Cialis product liability lawsuits in various U.S. courts, which were first initiated in August 2015. These cases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JPML ordered the transfer of the existing cases to the now-renamed MDL </w:t>
      </w:r>
      <w:r>
        <w:rPr>
          <w:rFonts w:ascii="Arial" w:cs="Arial" w:eastAsia="Arial" w:hAnsi="Arial"/>
          <w:sz w:val="17"/>
          <w:szCs w:val="17"/>
          <w:i w:val="1"/>
          <w:iCs w:val="1"/>
          <w:color w:val="auto"/>
        </w:rPr>
        <w:t>In re: Viagra (Sildenafil Citrate) and Cialis (Tadalafil) Products Liability</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In April 2020, the MDL court granted summary judgment to the defendants on all of the claims. Following an appeal by the plaintiffs,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have reached agreement and all cases are now resolved.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Proceedings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340B Litigation and Investigations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the HHS's December 30, 2020 advisory opinion stating that drug manufacturers are required to deliver discounts under the 340B program to all contract pharmacies. We seek a declaratory judgment that the defendants violated the Administrative Procedures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notified us that it determined that our policy was contrary to the 340B statute. In response, in May 2021, we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In October 2021, the court denied the defendants' motion to dismiss, and granted in part and denied in part the parties' cross motions for summary judgment. Both parties filed notices of appeal related to the court's summary judgment order. The appeals are proceeding through briefing in the U.S. Court of Appeals for the Seventh Circuit. This matter is ongoing.</w:t>
      </w:r>
    </w:p>
    <w:p>
      <w:pPr>
        <w:spacing w:after="0" w:line="7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January 2021, we, along with other pharmaceutical manufacturers, were named as a defendant in a petition currently pending before the HHS Administrative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30" w:name="page31"/>
    <w:bookmarkEnd w:id="30"/>
    <w:p>
      <w:pPr>
        <w:ind w:right="100"/>
        <w:spacing w:after="0" w:line="266" w:lineRule="auto"/>
        <w:rPr>
          <w:sz w:val="20"/>
          <w:szCs w:val="20"/>
          <w:color w:val="auto"/>
        </w:rPr>
      </w:pPr>
      <w:r>
        <w:rPr>
          <w:rFonts w:ascii="Arial" w:cs="Arial" w:eastAsia="Arial" w:hAnsi="Arial"/>
          <w:sz w:val="17"/>
          <w:szCs w:val="17"/>
          <w:color w:val="auto"/>
        </w:rPr>
        <w:t>In July 2021, we, along with Sanofi-Aventis U.S., LLC (Sanofi), Novo Nordisk Inc. (Novo Nordisk), and AstraZeneca Pharmaceuticals LP, were named as a defendant in a purported class action lawsuit filed in the U.S. District Court for the Western District of New York by Mosaic Health, Inc. alleging antitrust and unjust enrichment claims related to the defendants' 340B distribution programs. We, with Sanofi and Novo Nordisk, filed a motion to dismiss the lawsuit. This matter is ongoing.</w:t>
      </w:r>
    </w:p>
    <w:p>
      <w:pPr>
        <w:spacing w:after="0" w:line="64"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Branchburg Manufacturing Facility</w:t>
      </w:r>
    </w:p>
    <w:p>
      <w:pPr>
        <w:spacing w:after="0" w:line="115" w:lineRule="exact"/>
        <w:rPr>
          <w:sz w:val="20"/>
          <w:szCs w:val="20"/>
          <w:color w:val="auto"/>
        </w:rPr>
      </w:pPr>
    </w:p>
    <w:p>
      <w:pPr>
        <w:ind w:right="780"/>
        <w:spacing w:after="0" w:line="291" w:lineRule="auto"/>
        <w:rPr>
          <w:sz w:val="20"/>
          <w:szCs w:val="20"/>
          <w:color w:val="auto"/>
        </w:rPr>
      </w:pPr>
      <w:r>
        <w:rPr>
          <w:rFonts w:ascii="Arial" w:cs="Arial" w:eastAsia="Arial" w:hAnsi="Arial"/>
          <w:sz w:val="17"/>
          <w:szCs w:val="17"/>
          <w:color w:val="auto"/>
        </w:rPr>
        <w:t>In May 2021, we received a subpoena from the U.S. Department of Justice requesting the production of certain documents relating to our manufacturing site in Branchburg, New Jersey. We are cooperating with the subpoena.</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Brazil Litigation – Cosmopolis Facility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Labor Attorney Litigation</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First initiated in 2008, our subsidiary in Brazil, Eli Lilly do Brasil Limitada (Lilly Brasil), is named in a Public Civil Action brought by the Labor Public Attorney (LPA) for the 15th Region in the Labor Court of Paulinia, State of Sao Paulo, Brazil, (the Labor Court) alleging possible harm to employees and former employees caused by alleged exposure to soil and groundwater contaminants at a former Lilly Brasil manufacturing facility in Cosmopolis, Brazil, operated by the company between 1977 and 2003. In May 2014, the Labor Court judge ruled against Lilly Brasil, ordering it to undertake several remedial and compensatory actions including health coverage for a class of individuals and certain of their children. In July 2018, the appeals court (TRT) generally affirmed our appeal of the Labor Court's ruling, which included a liquidated award of 300 million Brazilian real, which, when adjusted for inflation and the addition of pre and post judgment interest using the current Central Bank of Brazil's special system of clearance and custody rate, is approximately one billion Brazilian real (approximately $191 million as of June 30, 2022). In August 2019, Lilly Brasil filed an appeal to the superior labor court (TST) and in June 2021, the TRT published its decision on the admissibility of Lilly Brasil's appeal, allowing the majority of the elements, which were allowed to proceed in June 2021; elements not proceeding are subject to an interlocutory appeal to the TST that was filed in June 2021. In September 2019, the TRT stayed a number of elements of its trial court decision pending the determination of Lilly Brasil's appeal to the TST.</w:t>
      </w:r>
    </w:p>
    <w:p>
      <w:pPr>
        <w:spacing w:after="0" w:line="7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June 2019 and September 2020, the LPA filed applications in the Labor Court for enforcement of certain remedies granted by the TRT in its July 2018 decision, requested restrictions on Lilly Brasil’s assets in Brazil, and required Lilly Brasil and Antibióticos do Brasil Ltda. (ABL) to submit a list of potential beneficiaries of the Public Civil Action. In July 2019, the Labor Court issued a ruling requiring a freeze of Lilly Brasil’s immovable property or, alternatively, a security deposit or lien of 500 million Brazilian real, which ruling was subsequently limited in scope and the security was reduced to 100 million Brazilian real. ABL and LPA appealed the June 2021 Labor Court ruling to the TST, which appeal is under review. The Labor Court is currently assessing the status of Lilly Brasil’s and ABL’s compliance with such portion of the July 2018 TRT decision and an inspection in the industrial plant is expected. These matters are ongoing.</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Individual Former Employee Litigation</w:t>
      </w:r>
    </w:p>
    <w:p>
      <w:pPr>
        <w:spacing w:after="0" w:line="115" w:lineRule="exact"/>
        <w:rPr>
          <w:sz w:val="20"/>
          <w:szCs w:val="20"/>
          <w:color w:val="auto"/>
        </w:rPr>
      </w:pPr>
    </w:p>
    <w:p>
      <w:pPr>
        <w:ind w:right="740"/>
        <w:spacing w:after="0" w:line="291" w:lineRule="auto"/>
        <w:rPr>
          <w:sz w:val="20"/>
          <w:szCs w:val="20"/>
          <w:color w:val="auto"/>
        </w:rPr>
      </w:pPr>
      <w:r>
        <w:rPr>
          <w:rFonts w:ascii="Arial" w:cs="Arial" w:eastAsia="Arial" w:hAnsi="Arial"/>
          <w:sz w:val="17"/>
          <w:szCs w:val="17"/>
          <w:color w:val="auto"/>
        </w:rPr>
        <w:t>Lilly Brasil is also named in over 20 pending lawsuits filed in the Labor Court by individual former employees making similar claims. These individual lawsuits are at various stages in the litigation process.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Puerto Rico Tax Matter</w:t>
      </w:r>
    </w:p>
    <w:p>
      <w:pPr>
        <w:spacing w:after="0" w:line="11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and trial began in May 2022 and will continue in September 2022. This matter is ongoing.</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u w:val="single" w:color="auto"/>
          <w:color w:val="auto"/>
        </w:rPr>
        <w:t>Eastern District of Pennsylvania Pricing (Average Manufacturer Price) Inquiry</w:t>
      </w:r>
    </w:p>
    <w:p>
      <w:pPr>
        <w:spacing w:after="0" w:line="11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 xml:space="preserve">In November 2014, we, along with another pharmaceutical manufacturer, were named as co-defendants in </w:t>
      </w:r>
      <w:r>
        <w:rPr>
          <w:rFonts w:ascii="Arial" w:cs="Arial" w:eastAsia="Arial" w:hAnsi="Arial"/>
          <w:sz w:val="17"/>
          <w:szCs w:val="17"/>
          <w:i w:val="1"/>
          <w:iCs w:val="1"/>
          <w:color w:val="auto"/>
        </w:rPr>
        <w:t>United States et al. ex rel. Streck v.</w:t>
      </w:r>
      <w:r>
        <w:rPr>
          <w:rFonts w:ascii="Arial" w:cs="Arial" w:eastAsia="Arial" w:hAnsi="Arial"/>
          <w:sz w:val="17"/>
          <w:szCs w:val="17"/>
          <w:color w:val="auto"/>
        </w:rPr>
        <w:t xml:space="preserve"> </w:t>
      </w:r>
      <w:r>
        <w:rPr>
          <w:rFonts w:ascii="Arial" w:cs="Arial" w:eastAsia="Arial" w:hAnsi="Arial"/>
          <w:sz w:val="17"/>
          <w:szCs w:val="17"/>
          <w:i w:val="1"/>
          <w:iCs w:val="1"/>
          <w:color w:val="auto"/>
        </w:rPr>
        <w:t>Takeda Pharm. Am., Inc., et al.</w:t>
      </w:r>
      <w:r>
        <w:rPr>
          <w:rFonts w:ascii="Arial" w:cs="Arial" w:eastAsia="Arial" w:hAnsi="Arial"/>
          <w:sz w:val="17"/>
          <w:szCs w:val="17"/>
          <w:color w:val="auto"/>
        </w:rPr>
        <w:t>, which was filed in November 2014 and unsealed in the U.S. District Court for the Northern District of Illinois.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alleges that the defendants should have treated certain credits from distributors as retroactive price increases and included such increases in calculating average manufacturer prices. Following a trial in August 2022, the jury returned a verdict in favor of the plaintiff. The case will proceed to post-trial motions after which the court will enter final judgment in the case. This matter is ongoing.</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Health Choice Alliance</w:t>
      </w:r>
    </w:p>
    <w:p>
      <w:pPr>
        <w:spacing w:after="0" w:line="115"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We are named as a defendant in two lawsuits filed in Texas and New Jersey state courts in October 2019 seeking damages under the Texas Medicaid Fraud Prevention Act and New Jersey Medicaid False Claims Act, respectively, for certain patient support programs related to our products Humalog, Humulin, and Forteo. The Texas state court action has been stayed. The New Jersey state court action was dismissed with prejudice pending an ongoing appeal before the Appellate Division of the New Jersey Superior Court. This matter is ongoing.</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Pricing Litigation, Investigations, and Inquiries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December 2017 and February 2018, we, along with Sanofi and Novo Nordisk, were named as defendants in a consolidated purported class action lawsuit, In re. Insulin Pricing Litigation and in MSP Recovery Claims, Series, LLC et al. v. Sanofi Aventis U.S. LLC et al., both filed in the U.S. District Court for the District of New Jersey. The cases relate to insulin pricing and seek damages or other relief under various theories, including state consumer protection laws, common law fraud, unjust enrichment, and the Federal Racketeer Influenced and Corrupt Organization Act (federal RICO Act). In both cases, the court dismissed claims under the federal RICO Act and certain state laws. In April 2021, the plaintiffs in In re. Insulin Pricing Litigation amended their complaint to allege additional state law claims for civil conspiracy and violations of state RICO statutes. The court allowed the Arizona RICO statute and certain state civil conspiracy law claims to proceed. Additionally in 2020, we, along with Sanofi, Novo Nordisk, CVS, Express Scripts, and Optum, have been sued in a putative class action, FWK Holdings, LLC v. Novo Nordisk Inc., et al., filed in the same court, for alleged violations of the federal RICO Act as well as the New Jersey RICO Act and antitrust law. The same group of defendants, along with Medco Health and United Health Group, also have been sued in other purported class actions in the same court, Rochester Drug Co-Operative Inc. v. Eli Lilly &amp; Co. et al. and Value Drug Co. v. Eli Lilly &amp; Co. et al., which were both initiated in March 2020, with the plaintiffs seeking damages for alleged violations of the federal RICO Act. In September 2020, the U.S. District Court for the District of New Jersey granted plaintiffs' motion to consolidate FWK Holdings, LLC v. Novo Nordisk Inc., et al., Rochester Drug Co-Operative Inc. v. Eli Lilly &amp; Co. et al., and Value Drug Co. v. Eli Lilly &amp; Co. et al. In July 2021, the U.S. District Court for the District of New Jersey dismissed the three antitrust claims alleged by plaintiffs in the consolidated litigation and denied dismissal of the federal RICO Act claims.</w:t>
      </w:r>
    </w:p>
    <w:p>
      <w:pPr>
        <w:spacing w:after="0" w:line="77"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In October 2018, the Minnesota Attorney General's Office initiated litigation against us, Sanofi, and Novo Nordisk, State of Minnesota v. Sanofi-Aventis U.S. LLC et al., in the U.S. District Court for the District of New Jersey, seeking damages for unjust enrichment, violations of various Minnesota state consumer protection laws, and the federal RICO Act. In March 2021, the U.S. District Court for the District of New Jersey dismissed with prejudice the Minnesota Attorney General's federal RICO claims and false advertising claims under state law; the consumer fraud and other related state law claims remain ongoing. Additionally, in May 2019, the Kentucky Attorney General's Office filed a complaint against us, Sanofi, and Novo Nordisk, Commonwealth of Kentucky v. Novo Nordisk, Inc. et al., in Kentucky state court, alleging violations of the Kentucky consumer protection law, false advertising, and unjust enrichment.</w:t>
      </w:r>
    </w:p>
    <w:p>
      <w:pPr>
        <w:spacing w:after="0" w:line="6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June 2021, the City of Miami, Florida initiated litigation against us, Sanofi, Novo Nordisk, ESI, CVS/Caremark/Aetna, and Optum, asserting state law antitrust, common law fraud, money had and received, unjust enrichment, and civil conspiracy claims. In January 2022, the court dismissed certain claims, but allowed the antitrust and conspiracy claims to proceed against us, Sanofi and Novo Nordisk. In May 2022, the City of Miami voluntarily dismissed all claims with prejudice and this matter has concluded.</w:t>
      </w:r>
    </w:p>
    <w:p>
      <w:pPr>
        <w:spacing w:after="0" w:line="64"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In June 2021, the Mississippi Attorney General's Office initiated litigation against us, Sanofi, Novo Nordisk, Evernorth/ESI, CVS/Caremark, and United/Optum in the Hinds County, Mississippi Chancery Court, alleging state law consumer protection, unjust enrichment, and civil conspiracy claims. After the case was removed to federal court, we, along with the other defendants, filed a motion to dismiss the lawsuit. This matter is ongoing.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32" w:name="page33"/>
    <w:bookmarkEnd w:id="32"/>
    <w:p>
      <w:pPr>
        <w:spacing w:after="0" w:line="291" w:lineRule="auto"/>
        <w:rPr>
          <w:sz w:val="20"/>
          <w:szCs w:val="20"/>
          <w:color w:val="auto"/>
        </w:rPr>
      </w:pPr>
      <w:r>
        <w:rPr>
          <w:rFonts w:ascii="Arial" w:cs="Arial" w:eastAsia="Arial" w:hAnsi="Arial"/>
          <w:sz w:val="17"/>
          <w:szCs w:val="17"/>
          <w:color w:val="auto"/>
        </w:rPr>
        <w:t>In May 2022, the state of Arkansas filed suit against us Sanofi, Novo Nordisk, ESI, CVS/Caremark/Aetna, and Optum, asserting state law consumer protection, civil conspiracy, and unjust enrichment claims. The case has been removed to federal court and is ongoing.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Insulin Investigations, Subpoenas, and Inquiries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connection with the pricing and sale of our insulin products, we have been subject to various investigations and received subpoenas, civil investigative demand requests, information requests, interrogatories, and other inquiries from various governmental entities. These include subpoenas from the New York and Vermont Attorney General Offices, civil investigative demands from the Washington, New Mexico, Colorado, Illinois Attorney General Offices, and the Federal Trade Commission, as well as information requests from the Mississippi, Washington D.C., California, Florida, Hawaii, and Nevada Attorney General Offices. In January 2022, the Michigan Attorney General filed a petition in Michigan state court seeking authorization to investigate Lilly for potential violations of the Michigan Consumer Protection Act (MCPA), and a complaint seeking a declaratory judgment that the Attorney General has authority to investigate Lilly's sale of insulin under the MCPA. The court authorized the proposed investigation and the issuance of civil investigative subpoenas. In April 2022, the parties entered into a stipulation providing that the State will not issue any civil investigative subpoena to us under the MCPA until the declaratory judgment action is resolved. In July 2022, the court dismissed the case in its entirety. The Michigan Attorney General has filed its notice of appeal.</w:t>
      </w:r>
    </w:p>
    <w:p>
      <w:pPr>
        <w:spacing w:after="0" w:line="7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received a request in January 2019 from the House of Representatives' Committee on Oversight and Reform seeking commercial information and business records related to the pricing of insulin products, among other issues. We also received similar requests from the Senate Finance Committee and the Senate Committee on Health, Education, Labor, and Pensions, and separate requests from the House Committee on Energy and Commerce majority and minority members. In January 2021, the Senate Finance Committee released a report summarizing the findings of its investigation. In December 2021 the House of Representatives' Committee on Oversight and Reform majority and minority staffs released separate reports with findings from their investigations into drug pricing, including of insulin products.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We are cooperating with all of the aforementioned investigations, subpoenas, and inquiries.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Research Corporation Technologies, Inc.</w:t>
      </w:r>
    </w:p>
    <w:p>
      <w:pPr>
        <w:spacing w:after="0" w:line="115"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In October 2021, the court issued a summary judgment decision finding in favor of RCT on certain issues, including with respect to a disputed royalty. Both parties filed motions for reconsideration. Potential damages payable under the litigation, if finally awarded after an appeal, could be material but are not currently reasonably estimable. This matter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Note 10: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activity related to each component of other comprehensive income (loss)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June 30, 2022 and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9"/>
              </w:rPr>
              <w:t>Foreign Currency</w:t>
            </w:r>
          </w:p>
        </w:tc>
        <w:tc>
          <w:tcPr>
            <w:tcW w:w="13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Unrealized Net Gains</w:t>
            </w:r>
          </w:p>
        </w:tc>
        <w:tc>
          <w:tcPr>
            <w:tcW w:w="200" w:type="dxa"/>
            <w:vAlign w:val="bottom"/>
          </w:tcPr>
          <w:p>
            <w:pPr>
              <w:spacing w:after="0"/>
              <w:rPr>
                <w:sz w:val="12"/>
                <w:szCs w:val="12"/>
                <w:color w:val="auto"/>
              </w:rPr>
            </w:pPr>
          </w:p>
        </w:tc>
        <w:tc>
          <w:tcPr>
            <w:tcW w:w="1160" w:type="dxa"/>
            <w:vAlign w:val="bottom"/>
          </w:tcPr>
          <w:p>
            <w:pPr>
              <w:jc w:val="center"/>
              <w:ind w:right="125"/>
              <w:spacing w:after="0"/>
              <w:rPr>
                <w:sz w:val="20"/>
                <w:szCs w:val="20"/>
                <w:color w:val="auto"/>
              </w:rPr>
            </w:pPr>
            <w:r>
              <w:rPr>
                <w:rFonts w:ascii="Arial" w:cs="Arial" w:eastAsia="Arial" w:hAnsi="Arial"/>
                <w:sz w:val="12"/>
                <w:szCs w:val="12"/>
                <w:b w:val="1"/>
                <w:bCs w:val="1"/>
                <w:color w:val="auto"/>
                <w:w w:val="99"/>
              </w:rPr>
              <w:t>Defined Benefit</w:t>
            </w: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25"/>
              <w:spacing w:after="0" w:line="117" w:lineRule="exact"/>
              <w:rPr>
                <w:sz w:val="20"/>
                <w:szCs w:val="20"/>
                <w:color w:val="auto"/>
              </w:rPr>
            </w:pPr>
            <w:r>
              <w:rPr>
                <w:rFonts w:ascii="Arial" w:cs="Arial" w:eastAsia="Arial" w:hAnsi="Arial"/>
                <w:sz w:val="12"/>
                <w:szCs w:val="12"/>
                <w:b w:val="1"/>
                <w:bCs w:val="1"/>
                <w:color w:val="auto"/>
              </w:rPr>
              <w:t>Pension and</w:t>
            </w:r>
          </w:p>
        </w:tc>
        <w:tc>
          <w:tcPr>
            <w:tcW w:w="13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Effective Portion of</w:t>
            </w: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2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200" w:type="dxa"/>
            <w:vAlign w:val="bottom"/>
          </w:tcPr>
          <w:p>
            <w:pPr>
              <w:jc w:val="center"/>
              <w:ind w:right="84"/>
              <w:spacing w:after="0" w:line="121" w:lineRule="exact"/>
              <w:rPr>
                <w:sz w:val="20"/>
                <w:szCs w:val="20"/>
                <w:color w:val="auto"/>
              </w:rPr>
            </w:pPr>
            <w:r>
              <w:rPr>
                <w:rFonts w:ascii="Arial" w:cs="Arial" w:eastAsia="Arial" w:hAnsi="Arial"/>
                <w:sz w:val="12"/>
                <w:szCs w:val="12"/>
                <w:b w:val="1"/>
                <w:bCs w:val="1"/>
                <w:color w:val="auto"/>
                <w:w w:val="98"/>
              </w:rPr>
              <w:t>Translation</w:t>
            </w:r>
          </w:p>
        </w:tc>
        <w:tc>
          <w:tcPr>
            <w:tcW w:w="240" w:type="dxa"/>
            <w:vAlign w:val="bottom"/>
          </w:tcPr>
          <w:p>
            <w:pPr>
              <w:spacing w:after="0"/>
              <w:rPr>
                <w:sz w:val="10"/>
                <w:szCs w:val="10"/>
                <w:color w:val="auto"/>
              </w:rPr>
            </w:pPr>
          </w:p>
        </w:tc>
        <w:tc>
          <w:tcPr>
            <w:tcW w:w="1120" w:type="dxa"/>
            <w:vAlign w:val="bottom"/>
          </w:tcPr>
          <w:p>
            <w:pPr>
              <w:jc w:val="center"/>
              <w:ind w:right="161"/>
              <w:spacing w:after="0" w:line="121" w:lineRule="exact"/>
              <w:rPr>
                <w:sz w:val="20"/>
                <w:szCs w:val="20"/>
                <w:color w:val="auto"/>
              </w:rPr>
            </w:pPr>
            <w:r>
              <w:rPr>
                <w:rFonts w:ascii="Arial" w:cs="Arial" w:eastAsia="Arial" w:hAnsi="Arial"/>
                <w:sz w:val="12"/>
                <w:szCs w:val="12"/>
                <w:b w:val="1"/>
                <w:bCs w:val="1"/>
                <w:color w:val="auto"/>
                <w:w w:val="97"/>
              </w:rPr>
              <w:t>(Losses)</w:t>
            </w:r>
          </w:p>
        </w:tc>
        <w:tc>
          <w:tcPr>
            <w:tcW w:w="200" w:type="dxa"/>
            <w:vAlign w:val="bottom"/>
          </w:tcPr>
          <w:p>
            <w:pPr>
              <w:spacing w:after="0"/>
              <w:rPr>
                <w:sz w:val="10"/>
                <w:szCs w:val="10"/>
                <w:color w:val="auto"/>
              </w:rPr>
            </w:pPr>
          </w:p>
        </w:tc>
        <w:tc>
          <w:tcPr>
            <w:tcW w:w="1160" w:type="dxa"/>
            <w:vAlign w:val="bottom"/>
          </w:tcPr>
          <w:p>
            <w:pPr>
              <w:jc w:val="center"/>
              <w:ind w:right="105"/>
              <w:spacing w:after="0" w:line="121" w:lineRule="exact"/>
              <w:rPr>
                <w:sz w:val="20"/>
                <w:szCs w:val="20"/>
                <w:color w:val="auto"/>
              </w:rPr>
            </w:pPr>
            <w:r>
              <w:rPr>
                <w:rFonts w:ascii="Arial" w:cs="Arial" w:eastAsia="Arial" w:hAnsi="Arial"/>
                <w:sz w:val="12"/>
                <w:szCs w:val="12"/>
                <w:b w:val="1"/>
                <w:bCs w:val="1"/>
                <w:color w:val="auto"/>
              </w:rPr>
              <w:t>Retiree Health</w:t>
            </w:r>
          </w:p>
        </w:tc>
        <w:tc>
          <w:tcPr>
            <w:tcW w:w="130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4"/>
              <w:spacing w:after="0"/>
              <w:rPr>
                <w:sz w:val="20"/>
                <w:szCs w:val="20"/>
                <w:color w:val="auto"/>
              </w:rPr>
            </w:pPr>
            <w:r>
              <w:rPr>
                <w:rFonts w:ascii="Arial" w:cs="Arial" w:eastAsia="Arial" w:hAnsi="Arial"/>
                <w:sz w:val="12"/>
                <w:szCs w:val="12"/>
                <w:b w:val="1"/>
                <w:bCs w:val="1"/>
                <w:color w:val="auto"/>
              </w:rPr>
              <w:t>Gains (Losses)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rPr>
              <w:t>on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w w:val="99"/>
              </w:rPr>
              <w:t>Benefit Plans</w:t>
            </w: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April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(1,575.2)</w:t>
            </w:r>
          </w:p>
        </w:tc>
        <w:tc>
          <w:tcPr>
            <w:tcW w:w="24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(2,531.6)</w:t>
            </w:r>
          </w:p>
        </w:tc>
        <w:tc>
          <w:tcPr>
            <w:tcW w:w="420" w:type="dxa"/>
            <w:vAlign w:val="bottom"/>
            <w:shd w:val="clear" w:color="auto" w:fill="CCEEFF"/>
          </w:tcPr>
          <w:p>
            <w:pPr>
              <w:jc w:val="right"/>
              <w:ind w:right="167"/>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(100.4)</w:t>
            </w:r>
          </w:p>
        </w:tc>
        <w:tc>
          <w:tcPr>
            <w:tcW w:w="420" w:type="dxa"/>
            <w:vAlign w:val="bottom"/>
            <w:shd w:val="clear" w:color="auto" w:fill="CCEEFF"/>
          </w:tcPr>
          <w:p>
            <w:pPr>
              <w:jc w:val="right"/>
              <w:ind w:right="187"/>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(4,225.3)</w:t>
            </w:r>
          </w:p>
        </w:tc>
        <w:tc>
          <w:tcPr>
            <w:tcW w:w="0" w:type="dxa"/>
            <w:vAlign w:val="bottom"/>
          </w:tcPr>
          <w:p>
            <w:pPr>
              <w:spacing w:after="0"/>
              <w:rPr>
                <w:sz w:val="1"/>
                <w:szCs w:val="1"/>
                <w:color w:val="auto"/>
              </w:rPr>
            </w:pPr>
          </w:p>
        </w:tc>
      </w:tr>
      <w:tr>
        <w:trPr>
          <w:trHeight w:val="168"/>
        </w:trPr>
        <w:tc>
          <w:tcPr>
            <w:tcW w:w="452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200" w:type="dxa"/>
            <w:vAlign w:val="bottom"/>
            <w:vMerge w:val="restart"/>
          </w:tcPr>
          <w:p>
            <w:pPr>
              <w:jc w:val="right"/>
              <w:ind w:right="4"/>
              <w:spacing w:after="0"/>
              <w:rPr>
                <w:sz w:val="20"/>
                <w:szCs w:val="20"/>
                <w:color w:val="auto"/>
              </w:rPr>
            </w:pPr>
            <w:r>
              <w:rPr>
                <w:rFonts w:ascii="Arial" w:cs="Arial" w:eastAsia="Arial" w:hAnsi="Arial"/>
                <w:sz w:val="17"/>
                <w:szCs w:val="17"/>
                <w:b w:val="1"/>
                <w:bCs w:val="1"/>
                <w:color w:val="auto"/>
              </w:rPr>
              <w:t>(269.6)</w:t>
            </w:r>
          </w:p>
        </w:tc>
        <w:tc>
          <w:tcPr>
            <w:tcW w:w="2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7"/>
                <w:szCs w:val="17"/>
                <w:b w:val="1"/>
                <w:bCs w:val="1"/>
                <w:color w:val="auto"/>
              </w:rPr>
              <w:t>(9.3)</w:t>
            </w:r>
          </w:p>
        </w:tc>
        <w:tc>
          <w:tcPr>
            <w:tcW w:w="200" w:type="dxa"/>
            <w:vAlign w:val="bottom"/>
          </w:tcPr>
          <w:p>
            <w:pPr>
              <w:spacing w:after="0"/>
              <w:rPr>
                <w:sz w:val="14"/>
                <w:szCs w:val="14"/>
                <w:color w:val="auto"/>
              </w:rPr>
            </w:pPr>
          </w:p>
        </w:tc>
        <w:tc>
          <w:tcPr>
            <w:tcW w:w="1160" w:type="dxa"/>
            <w:vAlign w:val="bottom"/>
            <w:vMerge w:val="restart"/>
          </w:tcPr>
          <w:p>
            <w:pPr>
              <w:jc w:val="right"/>
              <w:ind w:right="45"/>
              <w:spacing w:after="0"/>
              <w:rPr>
                <w:sz w:val="20"/>
                <w:szCs w:val="20"/>
                <w:color w:val="auto"/>
              </w:rPr>
            </w:pPr>
            <w:r>
              <w:rPr>
                <w:rFonts w:ascii="Arial" w:cs="Arial" w:eastAsia="Arial" w:hAnsi="Arial"/>
                <w:sz w:val="17"/>
                <w:szCs w:val="17"/>
                <w:b w:val="1"/>
                <w:bCs w:val="1"/>
                <w:color w:val="auto"/>
              </w:rPr>
              <w:t>31.7</w:t>
            </w:r>
          </w:p>
        </w:tc>
        <w:tc>
          <w:tcPr>
            <w:tcW w:w="420" w:type="dxa"/>
            <w:vAlign w:val="bottom"/>
          </w:tcPr>
          <w:p>
            <w:pPr>
              <w:spacing w:after="0"/>
              <w:rPr>
                <w:sz w:val="14"/>
                <w:szCs w:val="14"/>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rPr>
              <w:t>124.8</w:t>
            </w:r>
          </w:p>
        </w:tc>
        <w:tc>
          <w:tcPr>
            <w:tcW w:w="4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(122.4)</w:t>
            </w:r>
          </w:p>
        </w:tc>
        <w:tc>
          <w:tcPr>
            <w:tcW w:w="0" w:type="dxa"/>
            <w:vAlign w:val="bottom"/>
          </w:tcPr>
          <w:p>
            <w:pPr>
              <w:spacing w:after="0"/>
              <w:rPr>
                <w:sz w:val="1"/>
                <w:szCs w:val="1"/>
                <w:color w:val="auto"/>
              </w:rPr>
            </w:pPr>
          </w:p>
        </w:tc>
      </w:tr>
      <w:tr>
        <w:trPr>
          <w:trHeight w:val="233"/>
        </w:trPr>
        <w:tc>
          <w:tcPr>
            <w:tcW w:w="452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5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44"/>
              <w:spacing w:after="0"/>
              <w:rPr>
                <w:sz w:val="20"/>
                <w:szCs w:val="20"/>
                <w:color w:val="auto"/>
              </w:rPr>
            </w:pPr>
            <w:r>
              <w:rPr>
                <w:rFonts w:ascii="Arial" w:cs="Arial" w:eastAsia="Arial" w:hAnsi="Arial"/>
                <w:sz w:val="17"/>
                <w:szCs w:val="17"/>
                <w:b w:val="1"/>
                <w:bCs w:val="1"/>
                <w:color w:val="auto"/>
              </w:rPr>
              <w:t>0.6</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(0.5)</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56.7</w:t>
            </w:r>
          </w:p>
        </w:tc>
        <w:tc>
          <w:tcPr>
            <w:tcW w:w="4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3.2</w:t>
            </w:r>
          </w:p>
        </w:tc>
        <w:tc>
          <w:tcPr>
            <w:tcW w:w="4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60.0</w:t>
            </w:r>
          </w:p>
        </w:tc>
        <w:tc>
          <w:tcPr>
            <w:tcW w:w="0" w:type="dxa"/>
            <w:vAlign w:val="bottom"/>
          </w:tcPr>
          <w:p>
            <w:pPr>
              <w:spacing w:after="0"/>
              <w:rPr>
                <w:sz w:val="1"/>
                <w:szCs w:val="1"/>
                <w:color w:val="auto"/>
              </w:rPr>
            </w:pPr>
          </w:p>
        </w:tc>
      </w:tr>
      <w:tr>
        <w:trPr>
          <w:trHeight w:val="233"/>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b w:val="1"/>
                <w:bCs w:val="1"/>
                <w:color w:val="auto"/>
              </w:rPr>
              <w:t>(269.0)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(9.8)</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b w:val="1"/>
                <w:bCs w:val="1"/>
                <w:color w:val="auto"/>
              </w:rPr>
              <w:t>88.4</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128.0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(62.4)</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(1,844.2)</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(27.9)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(2,443.2)</w:t>
            </w:r>
          </w:p>
        </w:tc>
        <w:tc>
          <w:tcPr>
            <w:tcW w:w="4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27.6</w:t>
            </w:r>
          </w:p>
        </w:tc>
        <w:tc>
          <w:tcPr>
            <w:tcW w:w="4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(4,287.7)</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9"/>
              </w:rPr>
              <w:t>Foreign Currency</w:t>
            </w:r>
          </w:p>
        </w:tc>
        <w:tc>
          <w:tcPr>
            <w:tcW w:w="13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Unrealized Net Gains</w:t>
            </w:r>
          </w:p>
        </w:tc>
        <w:tc>
          <w:tcPr>
            <w:tcW w:w="200" w:type="dxa"/>
            <w:vAlign w:val="bottom"/>
          </w:tcPr>
          <w:p>
            <w:pPr>
              <w:spacing w:after="0"/>
              <w:rPr>
                <w:sz w:val="24"/>
                <w:szCs w:val="24"/>
                <w:color w:val="auto"/>
              </w:rPr>
            </w:pPr>
          </w:p>
        </w:tc>
        <w:tc>
          <w:tcPr>
            <w:tcW w:w="1160" w:type="dxa"/>
            <w:vAlign w:val="bottom"/>
          </w:tcPr>
          <w:p>
            <w:pPr>
              <w:jc w:val="center"/>
              <w:ind w:right="125"/>
              <w:spacing w:after="0"/>
              <w:rPr>
                <w:sz w:val="20"/>
                <w:szCs w:val="20"/>
                <w:color w:val="auto"/>
              </w:rPr>
            </w:pPr>
            <w:r>
              <w:rPr>
                <w:rFonts w:ascii="Arial" w:cs="Arial" w:eastAsia="Arial" w:hAnsi="Arial"/>
                <w:sz w:val="12"/>
                <w:szCs w:val="12"/>
                <w:b w:val="1"/>
                <w:bCs w:val="1"/>
                <w:color w:val="auto"/>
                <w:w w:val="99"/>
              </w:rPr>
              <w:t>Defined Benefit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25"/>
              <w:spacing w:after="0" w:line="117" w:lineRule="exact"/>
              <w:rPr>
                <w:sz w:val="20"/>
                <w:szCs w:val="20"/>
                <w:color w:val="auto"/>
              </w:rPr>
            </w:pPr>
            <w:r>
              <w:rPr>
                <w:rFonts w:ascii="Arial" w:cs="Arial" w:eastAsia="Arial" w:hAnsi="Arial"/>
                <w:sz w:val="12"/>
                <w:szCs w:val="12"/>
                <w:b w:val="1"/>
                <w:bCs w:val="1"/>
                <w:color w:val="auto"/>
              </w:rPr>
              <w:t>Pension and</w:t>
            </w:r>
          </w:p>
        </w:tc>
        <w:tc>
          <w:tcPr>
            <w:tcW w:w="13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Effective Portion of</w:t>
            </w: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16"/>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200" w:type="dxa"/>
            <w:vAlign w:val="bottom"/>
          </w:tcPr>
          <w:p>
            <w:pPr>
              <w:jc w:val="center"/>
              <w:ind w:right="84"/>
              <w:spacing w:after="0" w:line="117" w:lineRule="exact"/>
              <w:rPr>
                <w:sz w:val="20"/>
                <w:szCs w:val="20"/>
                <w:color w:val="auto"/>
              </w:rPr>
            </w:pPr>
            <w:r>
              <w:rPr>
                <w:rFonts w:ascii="Arial" w:cs="Arial" w:eastAsia="Arial" w:hAnsi="Arial"/>
                <w:sz w:val="12"/>
                <w:szCs w:val="12"/>
                <w:b w:val="1"/>
                <w:bCs w:val="1"/>
                <w:color w:val="auto"/>
                <w:w w:val="98"/>
              </w:rPr>
              <w:t>Translation</w:t>
            </w:r>
          </w:p>
        </w:tc>
        <w:tc>
          <w:tcPr>
            <w:tcW w:w="240" w:type="dxa"/>
            <w:vAlign w:val="bottom"/>
          </w:tcPr>
          <w:p>
            <w:pPr>
              <w:spacing w:after="0"/>
              <w:rPr>
                <w:sz w:val="10"/>
                <w:szCs w:val="10"/>
                <w:color w:val="auto"/>
              </w:rPr>
            </w:pPr>
          </w:p>
        </w:tc>
        <w:tc>
          <w:tcPr>
            <w:tcW w:w="1120" w:type="dxa"/>
            <w:vAlign w:val="bottom"/>
          </w:tcPr>
          <w:p>
            <w:pPr>
              <w:jc w:val="center"/>
              <w:ind w:right="161"/>
              <w:spacing w:after="0" w:line="117" w:lineRule="exact"/>
              <w:rPr>
                <w:sz w:val="20"/>
                <w:szCs w:val="20"/>
                <w:color w:val="auto"/>
              </w:rPr>
            </w:pPr>
            <w:r>
              <w:rPr>
                <w:rFonts w:ascii="Arial" w:cs="Arial" w:eastAsia="Arial" w:hAnsi="Arial"/>
                <w:sz w:val="12"/>
                <w:szCs w:val="12"/>
                <w:b w:val="1"/>
                <w:bCs w:val="1"/>
                <w:color w:val="auto"/>
                <w:w w:val="97"/>
              </w:rPr>
              <w:t>(Losses)</w:t>
            </w:r>
          </w:p>
        </w:tc>
        <w:tc>
          <w:tcPr>
            <w:tcW w:w="200" w:type="dxa"/>
            <w:vAlign w:val="bottom"/>
          </w:tcPr>
          <w:p>
            <w:pPr>
              <w:spacing w:after="0"/>
              <w:rPr>
                <w:sz w:val="10"/>
                <w:szCs w:val="10"/>
                <w:color w:val="auto"/>
              </w:rPr>
            </w:pPr>
          </w:p>
        </w:tc>
        <w:tc>
          <w:tcPr>
            <w:tcW w:w="1160" w:type="dxa"/>
            <w:vAlign w:val="bottom"/>
          </w:tcPr>
          <w:p>
            <w:pPr>
              <w:jc w:val="center"/>
              <w:ind w:right="105"/>
              <w:spacing w:after="0" w:line="117" w:lineRule="exact"/>
              <w:rPr>
                <w:sz w:val="20"/>
                <w:szCs w:val="20"/>
                <w:color w:val="auto"/>
              </w:rPr>
            </w:pPr>
            <w:r>
              <w:rPr>
                <w:rFonts w:ascii="Arial" w:cs="Arial" w:eastAsia="Arial" w:hAnsi="Arial"/>
                <w:sz w:val="12"/>
                <w:szCs w:val="12"/>
                <w:b w:val="1"/>
                <w:bCs w:val="1"/>
                <w:color w:val="auto"/>
              </w:rPr>
              <w:t>Retiree Health</w:t>
            </w:r>
          </w:p>
        </w:tc>
        <w:tc>
          <w:tcPr>
            <w:tcW w:w="130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4"/>
              <w:spacing w:after="0"/>
              <w:rPr>
                <w:sz w:val="20"/>
                <w:szCs w:val="20"/>
                <w:color w:val="auto"/>
              </w:rPr>
            </w:pPr>
            <w:r>
              <w:rPr>
                <w:rFonts w:ascii="Arial" w:cs="Arial" w:eastAsia="Arial" w:hAnsi="Arial"/>
                <w:sz w:val="12"/>
                <w:szCs w:val="12"/>
                <w:b w:val="1"/>
                <w:bCs w:val="1"/>
                <w:color w:val="auto"/>
              </w:rPr>
              <w:t>Gains (Losses)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rPr>
              <w:t>on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w w:val="99"/>
              </w:rPr>
              <w:t>Benefit Plans</w:t>
            </w: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April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(1,677.2)</w:t>
            </w:r>
          </w:p>
        </w:tc>
        <w:tc>
          <w:tcPr>
            <w:tcW w:w="2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(4,646.3)</w:t>
            </w:r>
          </w:p>
        </w:tc>
        <w:tc>
          <w:tcPr>
            <w:tcW w:w="42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4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(6,395.6)</w:t>
            </w:r>
          </w:p>
        </w:tc>
        <w:tc>
          <w:tcPr>
            <w:tcW w:w="0" w:type="dxa"/>
            <w:vAlign w:val="bottom"/>
          </w:tcPr>
          <w:p>
            <w:pPr>
              <w:spacing w:after="0"/>
              <w:rPr>
                <w:sz w:val="1"/>
                <w:szCs w:val="1"/>
                <w:color w:val="auto"/>
              </w:rPr>
            </w:pPr>
          </w:p>
        </w:tc>
      </w:tr>
      <w:tr>
        <w:trPr>
          <w:trHeight w:val="168"/>
        </w:trPr>
        <w:tc>
          <w:tcPr>
            <w:tcW w:w="452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52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20"/>
                <w:szCs w:val="20"/>
                <w:color w:val="auto"/>
              </w:rPr>
            </w:pPr>
          </w:p>
        </w:tc>
        <w:tc>
          <w:tcPr>
            <w:tcW w:w="1200" w:type="dxa"/>
            <w:vAlign w:val="bottom"/>
          </w:tcPr>
          <w:p>
            <w:pPr>
              <w:jc w:val="right"/>
              <w:ind w:right="44"/>
              <w:spacing w:after="0"/>
              <w:rPr>
                <w:sz w:val="20"/>
                <w:szCs w:val="20"/>
                <w:color w:val="auto"/>
              </w:rPr>
            </w:pPr>
            <w:r>
              <w:rPr>
                <w:rFonts w:ascii="Arial" w:cs="Arial" w:eastAsia="Arial" w:hAnsi="Arial"/>
                <w:sz w:val="17"/>
                <w:szCs w:val="17"/>
                <w:color w:val="auto"/>
              </w:rPr>
              <w:t>161.0</w:t>
            </w:r>
          </w:p>
        </w:tc>
        <w:tc>
          <w:tcPr>
            <w:tcW w:w="2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(10.2)</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(136.8)</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168"/>
        </w:trPr>
        <w:tc>
          <w:tcPr>
            <w:tcW w:w="45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0.2</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rPr>
              <w:t>86.6</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3.3</w:t>
            </w: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7"/>
                <w:szCs w:val="17"/>
                <w:color w:val="auto"/>
              </w:rPr>
              <w:t>161.0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4.6</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color w:val="auto"/>
              </w:rPr>
              <w:t>76.4</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(1,516.2)</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(4,569.9)</w:t>
            </w:r>
          </w:p>
        </w:tc>
        <w:tc>
          <w:tcPr>
            <w:tcW w:w="4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(210.1)</w:t>
            </w:r>
          </w:p>
        </w:tc>
        <w:tc>
          <w:tcPr>
            <w:tcW w:w="4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(6,287.1)</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following tables summarize the activity related to each component of other comprehensive income (loss) during the six months ended June 30, 2022 and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right="83"/>
              <w:spacing w:after="0"/>
              <w:rPr>
                <w:sz w:val="20"/>
                <w:szCs w:val="20"/>
                <w:color w:val="auto"/>
              </w:rPr>
            </w:pPr>
            <w:r>
              <w:rPr>
                <w:rFonts w:ascii="Arial" w:cs="Arial" w:eastAsia="Arial" w:hAnsi="Arial"/>
                <w:sz w:val="12"/>
                <w:szCs w:val="12"/>
                <w:b w:val="1"/>
                <w:bCs w:val="1"/>
                <w:color w:val="auto"/>
                <w:w w:val="99"/>
              </w:rPr>
              <w:t>Foreign Currency</w:t>
            </w:r>
          </w:p>
        </w:tc>
        <w:tc>
          <w:tcPr>
            <w:tcW w:w="13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Unrealized Net Gains</w:t>
            </w:r>
          </w:p>
        </w:tc>
        <w:tc>
          <w:tcPr>
            <w:tcW w:w="200" w:type="dxa"/>
            <w:vAlign w:val="bottom"/>
          </w:tcPr>
          <w:p>
            <w:pPr>
              <w:spacing w:after="0"/>
              <w:rPr>
                <w:sz w:val="12"/>
                <w:szCs w:val="12"/>
                <w:color w:val="auto"/>
              </w:rPr>
            </w:pPr>
          </w:p>
        </w:tc>
        <w:tc>
          <w:tcPr>
            <w:tcW w:w="1160" w:type="dxa"/>
            <w:vAlign w:val="bottom"/>
          </w:tcPr>
          <w:p>
            <w:pPr>
              <w:jc w:val="center"/>
              <w:ind w:right="125"/>
              <w:spacing w:after="0"/>
              <w:rPr>
                <w:sz w:val="20"/>
                <w:szCs w:val="20"/>
                <w:color w:val="auto"/>
              </w:rPr>
            </w:pPr>
            <w:r>
              <w:rPr>
                <w:rFonts w:ascii="Arial" w:cs="Arial" w:eastAsia="Arial" w:hAnsi="Arial"/>
                <w:sz w:val="12"/>
                <w:szCs w:val="12"/>
                <w:b w:val="1"/>
                <w:bCs w:val="1"/>
                <w:color w:val="auto"/>
                <w:w w:val="99"/>
              </w:rPr>
              <w:t>Defined Benefit</w:t>
            </w: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25"/>
              <w:spacing w:after="0" w:line="121" w:lineRule="exact"/>
              <w:rPr>
                <w:sz w:val="20"/>
                <w:szCs w:val="20"/>
                <w:color w:val="auto"/>
              </w:rPr>
            </w:pPr>
            <w:r>
              <w:rPr>
                <w:rFonts w:ascii="Arial" w:cs="Arial" w:eastAsia="Arial" w:hAnsi="Arial"/>
                <w:sz w:val="12"/>
                <w:szCs w:val="12"/>
                <w:b w:val="1"/>
                <w:bCs w:val="1"/>
                <w:color w:val="auto"/>
              </w:rPr>
              <w:t>Pension and</w:t>
            </w:r>
          </w:p>
        </w:tc>
        <w:tc>
          <w:tcPr>
            <w:tcW w:w="13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Effective Portion of</w:t>
            </w: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16"/>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200" w:type="dxa"/>
            <w:vAlign w:val="bottom"/>
          </w:tcPr>
          <w:p>
            <w:pPr>
              <w:jc w:val="center"/>
              <w:ind w:right="83"/>
              <w:spacing w:after="0" w:line="117" w:lineRule="exact"/>
              <w:rPr>
                <w:sz w:val="20"/>
                <w:szCs w:val="20"/>
                <w:color w:val="auto"/>
              </w:rPr>
            </w:pPr>
            <w:r>
              <w:rPr>
                <w:rFonts w:ascii="Arial" w:cs="Arial" w:eastAsia="Arial" w:hAnsi="Arial"/>
                <w:sz w:val="12"/>
                <w:szCs w:val="12"/>
                <w:b w:val="1"/>
                <w:bCs w:val="1"/>
                <w:color w:val="auto"/>
                <w:w w:val="98"/>
              </w:rPr>
              <w:t>Translation</w:t>
            </w:r>
          </w:p>
        </w:tc>
        <w:tc>
          <w:tcPr>
            <w:tcW w:w="240" w:type="dxa"/>
            <w:vAlign w:val="bottom"/>
          </w:tcPr>
          <w:p>
            <w:pPr>
              <w:spacing w:after="0"/>
              <w:rPr>
                <w:sz w:val="10"/>
                <w:szCs w:val="10"/>
                <w:color w:val="auto"/>
              </w:rPr>
            </w:pPr>
          </w:p>
        </w:tc>
        <w:tc>
          <w:tcPr>
            <w:tcW w:w="1120" w:type="dxa"/>
            <w:vAlign w:val="bottom"/>
          </w:tcPr>
          <w:p>
            <w:pPr>
              <w:jc w:val="center"/>
              <w:ind w:right="161"/>
              <w:spacing w:after="0" w:line="117" w:lineRule="exact"/>
              <w:rPr>
                <w:sz w:val="20"/>
                <w:szCs w:val="20"/>
                <w:color w:val="auto"/>
              </w:rPr>
            </w:pPr>
            <w:r>
              <w:rPr>
                <w:rFonts w:ascii="Arial" w:cs="Arial" w:eastAsia="Arial" w:hAnsi="Arial"/>
                <w:sz w:val="12"/>
                <w:szCs w:val="12"/>
                <w:b w:val="1"/>
                <w:bCs w:val="1"/>
                <w:color w:val="auto"/>
                <w:w w:val="97"/>
              </w:rPr>
              <w:t>(Losses)</w:t>
            </w:r>
          </w:p>
        </w:tc>
        <w:tc>
          <w:tcPr>
            <w:tcW w:w="200" w:type="dxa"/>
            <w:vAlign w:val="bottom"/>
          </w:tcPr>
          <w:p>
            <w:pPr>
              <w:spacing w:after="0"/>
              <w:rPr>
                <w:sz w:val="10"/>
                <w:szCs w:val="10"/>
                <w:color w:val="auto"/>
              </w:rPr>
            </w:pPr>
          </w:p>
        </w:tc>
        <w:tc>
          <w:tcPr>
            <w:tcW w:w="1160" w:type="dxa"/>
            <w:vAlign w:val="bottom"/>
          </w:tcPr>
          <w:p>
            <w:pPr>
              <w:jc w:val="center"/>
              <w:ind w:right="105"/>
              <w:spacing w:after="0" w:line="117" w:lineRule="exact"/>
              <w:rPr>
                <w:sz w:val="20"/>
                <w:szCs w:val="20"/>
                <w:color w:val="auto"/>
              </w:rPr>
            </w:pPr>
            <w:r>
              <w:rPr>
                <w:rFonts w:ascii="Arial" w:cs="Arial" w:eastAsia="Arial" w:hAnsi="Arial"/>
                <w:sz w:val="12"/>
                <w:szCs w:val="12"/>
                <w:b w:val="1"/>
                <w:bCs w:val="1"/>
                <w:color w:val="auto"/>
              </w:rPr>
              <w:t>Retiree Health</w:t>
            </w:r>
          </w:p>
        </w:tc>
        <w:tc>
          <w:tcPr>
            <w:tcW w:w="130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b w:val="1"/>
                <w:bCs w:val="1"/>
                <w:color w:val="auto"/>
              </w:rPr>
              <w:t>Gains (Losses)</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rPr>
              <w:t>on Securities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w w:val="99"/>
              </w:rPr>
              <w:t>Benefit Plans</w:t>
            </w: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(1,550.2)</w:t>
            </w:r>
          </w:p>
        </w:tc>
        <w:tc>
          <w:tcPr>
            <w:tcW w:w="24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3.7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(2,583.6)</w:t>
            </w:r>
          </w:p>
        </w:tc>
        <w:tc>
          <w:tcPr>
            <w:tcW w:w="420" w:type="dxa"/>
            <w:vAlign w:val="bottom"/>
            <w:shd w:val="clear" w:color="auto" w:fill="CCEEFF"/>
          </w:tcPr>
          <w:p>
            <w:pPr>
              <w:jc w:val="right"/>
              <w:ind w:right="167"/>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(213.0)</w:t>
            </w:r>
          </w:p>
        </w:tc>
        <w:tc>
          <w:tcPr>
            <w:tcW w:w="420" w:type="dxa"/>
            <w:vAlign w:val="bottom"/>
            <w:shd w:val="clear" w:color="auto" w:fill="CCEEFF"/>
          </w:tcPr>
          <w:p>
            <w:pPr>
              <w:jc w:val="right"/>
              <w:ind w:right="187"/>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(4,343.1)</w:t>
            </w:r>
          </w:p>
        </w:tc>
        <w:tc>
          <w:tcPr>
            <w:tcW w:w="0" w:type="dxa"/>
            <w:vAlign w:val="bottom"/>
          </w:tcPr>
          <w:p>
            <w:pPr>
              <w:spacing w:after="0"/>
              <w:rPr>
                <w:sz w:val="1"/>
                <w:szCs w:val="1"/>
                <w:color w:val="auto"/>
              </w:rPr>
            </w:pPr>
          </w:p>
        </w:tc>
      </w:tr>
      <w:tr>
        <w:trPr>
          <w:trHeight w:val="177"/>
        </w:trPr>
        <w:tc>
          <w:tcPr>
            <w:tcW w:w="4520" w:type="dxa"/>
            <w:vAlign w:val="bottom"/>
          </w:tcPr>
          <w:p>
            <w:pPr>
              <w:ind w:left="180"/>
              <w:spacing w:after="0" w:line="177"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5"/>
                <w:szCs w:val="15"/>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7"/>
                <w:szCs w:val="17"/>
                <w:b w:val="1"/>
                <w:bCs w:val="1"/>
                <w:color w:val="auto"/>
              </w:rPr>
              <w:t>(294.6)</w:t>
            </w:r>
          </w:p>
        </w:tc>
        <w:tc>
          <w:tcPr>
            <w:tcW w:w="240" w:type="dxa"/>
            <w:vAlign w:val="bottom"/>
          </w:tcPr>
          <w:p>
            <w:pPr>
              <w:spacing w:after="0"/>
              <w:rPr>
                <w:sz w:val="15"/>
                <w:szCs w:val="15"/>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7"/>
                <w:szCs w:val="17"/>
                <w:b w:val="1"/>
                <w:bCs w:val="1"/>
                <w:color w:val="auto"/>
              </w:rPr>
              <w:t>(30.6)</w:t>
            </w:r>
          </w:p>
        </w:tc>
        <w:tc>
          <w:tcPr>
            <w:tcW w:w="200" w:type="dxa"/>
            <w:vAlign w:val="bottom"/>
          </w:tcPr>
          <w:p>
            <w:pPr>
              <w:spacing w:after="0"/>
              <w:rPr>
                <w:sz w:val="15"/>
                <w:szCs w:val="15"/>
                <w:color w:val="auto"/>
              </w:rPr>
            </w:pPr>
          </w:p>
        </w:tc>
        <w:tc>
          <w:tcPr>
            <w:tcW w:w="1160" w:type="dxa"/>
            <w:vAlign w:val="bottom"/>
            <w:vMerge w:val="restart"/>
          </w:tcPr>
          <w:p>
            <w:pPr>
              <w:jc w:val="right"/>
              <w:ind w:right="45"/>
              <w:spacing w:after="0"/>
              <w:rPr>
                <w:sz w:val="20"/>
                <w:szCs w:val="20"/>
                <w:color w:val="auto"/>
              </w:rPr>
            </w:pPr>
            <w:r>
              <w:rPr>
                <w:rFonts w:ascii="Arial" w:cs="Arial" w:eastAsia="Arial" w:hAnsi="Arial"/>
                <w:sz w:val="17"/>
                <w:szCs w:val="17"/>
                <w:b w:val="1"/>
                <w:bCs w:val="1"/>
                <w:color w:val="auto"/>
              </w:rPr>
              <w:t>25.1</w:t>
            </w:r>
          </w:p>
        </w:tc>
        <w:tc>
          <w:tcPr>
            <w:tcW w:w="420" w:type="dxa"/>
            <w:vAlign w:val="bottom"/>
          </w:tcPr>
          <w:p>
            <w:pPr>
              <w:spacing w:after="0"/>
              <w:rPr>
                <w:sz w:val="15"/>
                <w:szCs w:val="15"/>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rPr>
              <w:t>234.2</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(65.9)</w:t>
            </w:r>
          </w:p>
        </w:tc>
        <w:tc>
          <w:tcPr>
            <w:tcW w:w="0" w:type="dxa"/>
            <w:vAlign w:val="bottom"/>
          </w:tcPr>
          <w:p>
            <w:pPr>
              <w:spacing w:after="0"/>
              <w:rPr>
                <w:sz w:val="1"/>
                <w:szCs w:val="1"/>
                <w:color w:val="auto"/>
              </w:rPr>
            </w:pPr>
          </w:p>
        </w:tc>
      </w:tr>
      <w:tr>
        <w:trPr>
          <w:trHeight w:val="224"/>
        </w:trPr>
        <w:tc>
          <w:tcPr>
            <w:tcW w:w="452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520" w:type="dxa"/>
            <w:vAlign w:val="bottom"/>
            <w:shd w:val="clear" w:color="auto" w:fill="CCEEFF"/>
          </w:tcPr>
          <w:p>
            <w:pPr>
              <w:ind w:left="180"/>
              <w:spacing w:after="0" w:line="177"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43"/>
              <w:spacing w:after="0"/>
              <w:rPr>
                <w:sz w:val="20"/>
                <w:szCs w:val="20"/>
                <w:color w:val="auto"/>
              </w:rPr>
            </w:pPr>
            <w:r>
              <w:rPr>
                <w:rFonts w:ascii="Arial" w:cs="Arial" w:eastAsia="Arial" w:hAnsi="Arial"/>
                <w:sz w:val="17"/>
                <w:szCs w:val="17"/>
                <w:b w:val="1"/>
                <w:bCs w:val="1"/>
                <w:color w:val="auto"/>
              </w:rPr>
              <w:t>0.6</w:t>
            </w: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(1.0)</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115.3</w:t>
            </w:r>
          </w:p>
        </w:tc>
        <w:tc>
          <w:tcPr>
            <w:tcW w:w="4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6.4</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121.3</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(294.0)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(31.6)</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b w:val="1"/>
                <w:bCs w:val="1"/>
                <w:color w:val="auto"/>
              </w:rPr>
              <w:t>140.4</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240.6</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55.4</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(1,844.2)</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(27.9)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(2,443.2)</w:t>
            </w:r>
          </w:p>
        </w:tc>
        <w:tc>
          <w:tcPr>
            <w:tcW w:w="4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27.6</w:t>
            </w:r>
          </w:p>
        </w:tc>
        <w:tc>
          <w:tcPr>
            <w:tcW w:w="4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(4,287.7)</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center"/>
              <w:ind w:right="83"/>
              <w:spacing w:after="0"/>
              <w:rPr>
                <w:sz w:val="20"/>
                <w:szCs w:val="20"/>
                <w:color w:val="auto"/>
              </w:rPr>
            </w:pPr>
            <w:r>
              <w:rPr>
                <w:rFonts w:ascii="Arial" w:cs="Arial" w:eastAsia="Arial" w:hAnsi="Arial"/>
                <w:sz w:val="12"/>
                <w:szCs w:val="12"/>
                <w:b w:val="1"/>
                <w:bCs w:val="1"/>
                <w:color w:val="auto"/>
                <w:w w:val="99"/>
              </w:rPr>
              <w:t>Foreign Currency</w:t>
            </w:r>
          </w:p>
        </w:tc>
        <w:tc>
          <w:tcPr>
            <w:tcW w:w="13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Unrealized Net Gains</w:t>
            </w:r>
          </w:p>
        </w:tc>
        <w:tc>
          <w:tcPr>
            <w:tcW w:w="200" w:type="dxa"/>
            <w:vAlign w:val="bottom"/>
          </w:tcPr>
          <w:p>
            <w:pPr>
              <w:spacing w:after="0"/>
              <w:rPr>
                <w:sz w:val="24"/>
                <w:szCs w:val="24"/>
                <w:color w:val="auto"/>
              </w:rPr>
            </w:pPr>
          </w:p>
        </w:tc>
        <w:tc>
          <w:tcPr>
            <w:tcW w:w="1160" w:type="dxa"/>
            <w:vAlign w:val="bottom"/>
          </w:tcPr>
          <w:p>
            <w:pPr>
              <w:jc w:val="center"/>
              <w:ind w:right="125"/>
              <w:spacing w:after="0"/>
              <w:rPr>
                <w:sz w:val="20"/>
                <w:szCs w:val="20"/>
                <w:color w:val="auto"/>
              </w:rPr>
            </w:pPr>
            <w:r>
              <w:rPr>
                <w:rFonts w:ascii="Arial" w:cs="Arial" w:eastAsia="Arial" w:hAnsi="Arial"/>
                <w:sz w:val="12"/>
                <w:szCs w:val="12"/>
                <w:b w:val="1"/>
                <w:bCs w:val="1"/>
                <w:color w:val="auto"/>
                <w:w w:val="99"/>
              </w:rPr>
              <w:t>Defined Benefit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25"/>
              <w:spacing w:after="0" w:line="117" w:lineRule="exact"/>
              <w:rPr>
                <w:sz w:val="20"/>
                <w:szCs w:val="20"/>
                <w:color w:val="auto"/>
              </w:rPr>
            </w:pPr>
            <w:r>
              <w:rPr>
                <w:rFonts w:ascii="Arial" w:cs="Arial" w:eastAsia="Arial" w:hAnsi="Arial"/>
                <w:sz w:val="12"/>
                <w:szCs w:val="12"/>
                <w:b w:val="1"/>
                <w:bCs w:val="1"/>
                <w:color w:val="auto"/>
              </w:rPr>
              <w:t>Pension and</w:t>
            </w:r>
          </w:p>
        </w:tc>
        <w:tc>
          <w:tcPr>
            <w:tcW w:w="13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Effective Portion of</w:t>
            </w: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2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20" w:type="dxa"/>
            <w:vAlign w:val="bottom"/>
          </w:tcPr>
          <w:p>
            <w:pPr>
              <w:spacing w:after="0"/>
              <w:rPr>
                <w:sz w:val="10"/>
                <w:szCs w:val="10"/>
                <w:color w:val="auto"/>
              </w:rPr>
            </w:pPr>
          </w:p>
        </w:tc>
        <w:tc>
          <w:tcPr>
            <w:tcW w:w="1200" w:type="dxa"/>
            <w:vAlign w:val="bottom"/>
          </w:tcPr>
          <w:p>
            <w:pPr>
              <w:jc w:val="center"/>
              <w:ind w:right="83"/>
              <w:spacing w:after="0" w:line="121" w:lineRule="exact"/>
              <w:rPr>
                <w:sz w:val="20"/>
                <w:szCs w:val="20"/>
                <w:color w:val="auto"/>
              </w:rPr>
            </w:pPr>
            <w:r>
              <w:rPr>
                <w:rFonts w:ascii="Arial" w:cs="Arial" w:eastAsia="Arial" w:hAnsi="Arial"/>
                <w:sz w:val="12"/>
                <w:szCs w:val="12"/>
                <w:b w:val="1"/>
                <w:bCs w:val="1"/>
                <w:color w:val="auto"/>
                <w:w w:val="98"/>
              </w:rPr>
              <w:t>Translation</w:t>
            </w:r>
          </w:p>
        </w:tc>
        <w:tc>
          <w:tcPr>
            <w:tcW w:w="240" w:type="dxa"/>
            <w:vAlign w:val="bottom"/>
          </w:tcPr>
          <w:p>
            <w:pPr>
              <w:spacing w:after="0"/>
              <w:rPr>
                <w:sz w:val="10"/>
                <w:szCs w:val="10"/>
                <w:color w:val="auto"/>
              </w:rPr>
            </w:pPr>
          </w:p>
        </w:tc>
        <w:tc>
          <w:tcPr>
            <w:tcW w:w="1120" w:type="dxa"/>
            <w:vAlign w:val="bottom"/>
          </w:tcPr>
          <w:p>
            <w:pPr>
              <w:jc w:val="center"/>
              <w:ind w:right="161"/>
              <w:spacing w:after="0" w:line="121" w:lineRule="exact"/>
              <w:rPr>
                <w:sz w:val="20"/>
                <w:szCs w:val="20"/>
                <w:color w:val="auto"/>
              </w:rPr>
            </w:pPr>
            <w:r>
              <w:rPr>
                <w:rFonts w:ascii="Arial" w:cs="Arial" w:eastAsia="Arial" w:hAnsi="Arial"/>
                <w:sz w:val="12"/>
                <w:szCs w:val="12"/>
                <w:b w:val="1"/>
                <w:bCs w:val="1"/>
                <w:color w:val="auto"/>
                <w:w w:val="97"/>
              </w:rPr>
              <w:t>(Losses)</w:t>
            </w:r>
          </w:p>
        </w:tc>
        <w:tc>
          <w:tcPr>
            <w:tcW w:w="200" w:type="dxa"/>
            <w:vAlign w:val="bottom"/>
          </w:tcPr>
          <w:p>
            <w:pPr>
              <w:spacing w:after="0"/>
              <w:rPr>
                <w:sz w:val="10"/>
                <w:szCs w:val="10"/>
                <w:color w:val="auto"/>
              </w:rPr>
            </w:pPr>
          </w:p>
        </w:tc>
        <w:tc>
          <w:tcPr>
            <w:tcW w:w="1160" w:type="dxa"/>
            <w:vAlign w:val="bottom"/>
          </w:tcPr>
          <w:p>
            <w:pPr>
              <w:jc w:val="center"/>
              <w:ind w:right="105"/>
              <w:spacing w:after="0" w:line="121" w:lineRule="exact"/>
              <w:rPr>
                <w:sz w:val="20"/>
                <w:szCs w:val="20"/>
                <w:color w:val="auto"/>
              </w:rPr>
            </w:pPr>
            <w:r>
              <w:rPr>
                <w:rFonts w:ascii="Arial" w:cs="Arial" w:eastAsia="Arial" w:hAnsi="Arial"/>
                <w:sz w:val="12"/>
                <w:szCs w:val="12"/>
                <w:b w:val="1"/>
                <w:bCs w:val="1"/>
                <w:color w:val="auto"/>
              </w:rPr>
              <w:t>Retiree Health</w:t>
            </w:r>
          </w:p>
        </w:tc>
        <w:tc>
          <w:tcPr>
            <w:tcW w:w="130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b w:val="1"/>
                <w:bCs w:val="1"/>
                <w:color w:val="auto"/>
              </w:rPr>
              <w:t>Gains (Losses)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rPr>
              <w:t>on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2"/>
                <w:szCs w:val="12"/>
                <w:b w:val="1"/>
                <w:bCs w:val="1"/>
                <w:color w:val="auto"/>
                <w:w w:val="99"/>
              </w:rPr>
              <w:t>Benefit Plans</w:t>
            </w: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Cash Flow 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Comprehensive 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(1,427.5)</w:t>
            </w:r>
          </w:p>
        </w:tc>
        <w:tc>
          <w:tcPr>
            <w:tcW w:w="2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(4,751.0)</w:t>
            </w:r>
          </w:p>
        </w:tc>
        <w:tc>
          <w:tcPr>
            <w:tcW w:w="42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w:t>
            </w:r>
          </w:p>
        </w:tc>
        <w:tc>
          <w:tcPr>
            <w:tcW w:w="4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(6,496.4)</w:t>
            </w:r>
          </w:p>
        </w:tc>
        <w:tc>
          <w:tcPr>
            <w:tcW w:w="0" w:type="dxa"/>
            <w:vAlign w:val="bottom"/>
          </w:tcPr>
          <w:p>
            <w:pPr>
              <w:spacing w:after="0"/>
              <w:rPr>
                <w:sz w:val="1"/>
                <w:szCs w:val="1"/>
                <w:color w:val="auto"/>
              </w:rPr>
            </w:pPr>
          </w:p>
        </w:tc>
      </w:tr>
      <w:tr>
        <w:trPr>
          <w:trHeight w:val="168"/>
        </w:trPr>
        <w:tc>
          <w:tcPr>
            <w:tcW w:w="4520" w:type="dxa"/>
            <w:vAlign w:val="bottom"/>
          </w:tcPr>
          <w:p>
            <w:pPr>
              <w:ind w:left="18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52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20"/>
                <w:szCs w:val="20"/>
                <w:color w:val="auto"/>
              </w:rPr>
            </w:pPr>
          </w:p>
        </w:tc>
        <w:tc>
          <w:tcPr>
            <w:tcW w:w="1200" w:type="dxa"/>
            <w:vAlign w:val="bottom"/>
          </w:tcPr>
          <w:p>
            <w:pPr>
              <w:jc w:val="right"/>
              <w:ind w:right="3"/>
              <w:spacing w:after="0"/>
              <w:rPr>
                <w:sz w:val="20"/>
                <w:szCs w:val="20"/>
                <w:color w:val="auto"/>
              </w:rPr>
            </w:pPr>
            <w:r>
              <w:rPr>
                <w:rFonts w:ascii="Arial" w:cs="Arial" w:eastAsia="Arial" w:hAnsi="Arial"/>
                <w:sz w:val="17"/>
                <w:szCs w:val="17"/>
                <w:color w:val="auto"/>
              </w:rPr>
              <w:t>(88.7)</w:t>
            </w:r>
          </w:p>
        </w:tc>
        <w:tc>
          <w:tcPr>
            <w:tcW w:w="24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20"/>
                <w:szCs w:val="20"/>
                <w:color w:val="auto"/>
              </w:rPr>
            </w:pPr>
          </w:p>
        </w:tc>
        <w:tc>
          <w:tcPr>
            <w:tcW w:w="1160" w:type="dxa"/>
            <w:vAlign w:val="bottom"/>
          </w:tcPr>
          <w:p>
            <w:pPr>
              <w:jc w:val="right"/>
              <w:ind w:right="45"/>
              <w:spacing w:after="0"/>
              <w:rPr>
                <w:sz w:val="20"/>
                <w:szCs w:val="20"/>
                <w:color w:val="auto"/>
              </w:rPr>
            </w:pPr>
            <w:r>
              <w:rPr>
                <w:rFonts w:ascii="Arial" w:cs="Arial" w:eastAsia="Arial" w:hAnsi="Arial"/>
                <w:sz w:val="17"/>
                <w:szCs w:val="17"/>
                <w:color w:val="auto"/>
              </w:rPr>
              <w:t>8.6</w:t>
            </w:r>
          </w:p>
        </w:tc>
        <w:tc>
          <w:tcPr>
            <w:tcW w:w="42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116.0</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168"/>
        </w:trPr>
        <w:tc>
          <w:tcPr>
            <w:tcW w:w="45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amount reclassified from accumulated other</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0.7</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rPr>
              <w:t>172.5</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6.6</w:t>
            </w: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other comprehensive income (loss)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(88.7)</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(5.7)</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color w:val="auto"/>
              </w:rPr>
              <w:t>181.1</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122.6</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209.3</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(1,516.2)</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(4,569.9)</w:t>
            </w:r>
          </w:p>
        </w:tc>
        <w:tc>
          <w:tcPr>
            <w:tcW w:w="4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(210.1)</w:t>
            </w:r>
          </w:p>
        </w:tc>
        <w:tc>
          <w:tcPr>
            <w:tcW w:w="4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(6,287.1)</w:t>
            </w:r>
          </w:p>
        </w:tc>
        <w:tc>
          <w:tcPr>
            <w:tcW w:w="0" w:type="dxa"/>
            <w:vAlign w:val="bottom"/>
          </w:tcPr>
          <w:p>
            <w:pPr>
              <w:spacing w:after="0"/>
              <w:rPr>
                <w:sz w:val="1"/>
                <w:szCs w:val="1"/>
                <w:color w:val="auto"/>
              </w:rPr>
            </w:pPr>
          </w:p>
        </w:tc>
      </w:tr>
      <w:tr>
        <w:trPr>
          <w:trHeight w:val="829"/>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43"/>
              <w:spacing w:after="0"/>
              <w:rPr>
                <w:sz w:val="20"/>
                <w:szCs w:val="20"/>
                <w:color w:val="auto"/>
              </w:rPr>
            </w:pPr>
            <w:r>
              <w:rPr>
                <w:rFonts w:ascii="Arial" w:cs="Arial" w:eastAsia="Arial" w:hAnsi="Arial"/>
                <w:sz w:val="17"/>
                <w:szCs w:val="17"/>
                <w:color w:val="auto"/>
              </w:rPr>
              <w:t>34</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The tax effects on the net activity related to each component of other comprehensive income (loss)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gains/losses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(87.2)</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(21.9)</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(100.9)</w:t>
            </w:r>
          </w:p>
        </w:tc>
        <w:tc>
          <w:tcPr>
            <w:tcW w:w="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Unrealized net gains/losses on securities</w:t>
            </w:r>
          </w:p>
        </w:tc>
        <w:tc>
          <w:tcPr>
            <w:tcW w:w="30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7"/>
                <w:szCs w:val="17"/>
                <w:b w:val="1"/>
                <w:bCs w:val="1"/>
                <w:color w:val="auto"/>
              </w:rPr>
              <w:t>3.0</w:t>
            </w:r>
          </w:p>
        </w:tc>
        <w:tc>
          <w:tcPr>
            <w:tcW w:w="42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(1.3)</w:t>
            </w:r>
          </w:p>
        </w:tc>
        <w:tc>
          <w:tcPr>
            <w:tcW w:w="40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7"/>
                <w:szCs w:val="17"/>
                <w:b w:val="1"/>
                <w:bCs w:val="1"/>
                <w:color w:val="auto"/>
              </w:rPr>
              <w:t>9.7</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Defined benefit pension and retiree health benefit plans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(50.8)</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Effective portion of cash flow hedges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(34.0)</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35.5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(63.9)</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148"/>
        </w:trPr>
        <w:tc>
          <w:tcPr>
            <w:tcW w:w="518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rPr>
              <w:t>Benefit (expense) for income taxes allocated to other</w:t>
            </w: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(140.6)</w:t>
            </w:r>
          </w:p>
        </w:tc>
        <w:tc>
          <w:tcPr>
            <w:tcW w:w="4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(7.9)</w:t>
            </w:r>
          </w:p>
        </w:tc>
        <w:tc>
          <w:tcPr>
            <w:tcW w:w="4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(205.9)</w:t>
            </w:r>
          </w:p>
        </w:tc>
        <w:tc>
          <w:tcPr>
            <w:tcW w:w="4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 items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out of accumulated other comprehensive loss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19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Three Months Ended June 30,</w:t>
            </w:r>
          </w:p>
        </w:tc>
        <w:tc>
          <w:tcPr>
            <w:tcW w:w="21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2840" w:type="dxa"/>
            <w:vAlign w:val="bottom"/>
            <w:gridSpan w:val="3"/>
            <w:vMerge w:val="restart"/>
          </w:tcPr>
          <w:p>
            <w:pPr>
              <w:jc w:val="right"/>
              <w:ind w:right="216"/>
              <w:spacing w:after="0"/>
              <w:rPr>
                <w:sz w:val="20"/>
                <w:szCs w:val="20"/>
                <w:color w:val="auto"/>
              </w:rPr>
            </w:pPr>
            <w:r>
              <w:rPr>
                <w:rFonts w:ascii="Arial" w:cs="Arial" w:eastAsia="Arial" w:hAnsi="Arial"/>
                <w:sz w:val="14"/>
                <w:szCs w:val="14"/>
                <w:b w:val="1"/>
                <w:bCs w:val="1"/>
                <w:color w:val="auto"/>
                <w:w w:val="98"/>
              </w:rPr>
              <w:t>Affected Line Item in the Consolidated</w:t>
            </w:r>
          </w:p>
        </w:tc>
        <w:tc>
          <w:tcPr>
            <w:tcW w:w="0" w:type="dxa"/>
            <w:vAlign w:val="bottom"/>
          </w:tcPr>
          <w:p>
            <w:pPr>
              <w:spacing w:after="0"/>
              <w:rPr>
                <w:sz w:val="1"/>
                <w:szCs w:val="1"/>
                <w:color w:val="auto"/>
              </w:rPr>
            </w:pPr>
          </w:p>
        </w:tc>
      </w:tr>
      <w:tr>
        <w:trPr>
          <w:trHeight w:val="45"/>
        </w:trPr>
        <w:tc>
          <w:tcPr>
            <w:tcW w:w="40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3"/>
                <w:szCs w:val="3"/>
                <w:color w:val="auto"/>
              </w:rPr>
            </w:pPr>
          </w:p>
        </w:tc>
        <w:tc>
          <w:tcPr>
            <w:tcW w:w="72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1100" w:type="dxa"/>
            <w:vAlign w:val="bottom"/>
            <w:gridSpan w:val="2"/>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3"/>
                <w:szCs w:val="3"/>
                <w:color w:val="auto"/>
              </w:rPr>
            </w:pPr>
          </w:p>
        </w:tc>
        <w:tc>
          <w:tcPr>
            <w:tcW w:w="7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3"/>
                <w:szCs w:val="3"/>
                <w:color w:val="auto"/>
              </w:rPr>
            </w:pPr>
          </w:p>
        </w:tc>
        <w:tc>
          <w:tcPr>
            <w:tcW w:w="2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Components</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9"/>
              </w:rPr>
              <w:t>Condensed Statements of Operations</w:t>
            </w:r>
          </w:p>
        </w:tc>
        <w:tc>
          <w:tcPr>
            <w:tcW w:w="0" w:type="dxa"/>
            <w:vAlign w:val="bottom"/>
          </w:tcPr>
          <w:p>
            <w:pPr>
              <w:spacing w:after="0"/>
              <w:rPr>
                <w:sz w:val="1"/>
                <w:szCs w:val="1"/>
                <w:color w:val="auto"/>
              </w:rPr>
            </w:pPr>
          </w:p>
        </w:tc>
      </w:tr>
      <w:tr>
        <w:trPr>
          <w:trHeight w:val="213"/>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retirement benefit items: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tcPr>
          <w:p>
            <w:pPr>
              <w:ind w:left="180"/>
              <w:spacing w:after="0"/>
              <w:rPr>
                <w:sz w:val="20"/>
                <w:szCs w:val="20"/>
                <w:color w:val="auto"/>
              </w:rPr>
            </w:pPr>
            <w:r>
              <w:rPr>
                <w:rFonts w:ascii="Arial" w:cs="Arial" w:eastAsia="Arial" w:hAnsi="Arial"/>
                <w:sz w:val="17"/>
                <w:szCs w:val="17"/>
                <w:color w:val="auto"/>
              </w:rPr>
              <w:t>Prior service benefits, net</w:t>
            </w:r>
          </w:p>
        </w:tc>
        <w:tc>
          <w:tcPr>
            <w:tcW w:w="26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16"/>
              <w:spacing w:after="0"/>
              <w:rPr>
                <w:sz w:val="20"/>
                <w:szCs w:val="20"/>
                <w:color w:val="auto"/>
              </w:rPr>
            </w:pPr>
            <w:r>
              <w:rPr>
                <w:rFonts w:ascii="Arial" w:cs="Arial" w:eastAsia="Arial" w:hAnsi="Arial"/>
                <w:sz w:val="17"/>
                <w:szCs w:val="17"/>
                <w:b w:val="1"/>
                <w:bCs w:val="1"/>
                <w:color w:val="auto"/>
              </w:rPr>
              <w:t>(13.1)</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center"/>
              <w:ind w:left="158"/>
              <w:spacing w:after="0"/>
              <w:rPr>
                <w:sz w:val="20"/>
                <w:szCs w:val="20"/>
                <w:color w:val="auto"/>
              </w:rPr>
            </w:pPr>
            <w:r>
              <w:rPr>
                <w:rFonts w:ascii="Arial" w:cs="Arial" w:eastAsia="Arial" w:hAnsi="Arial"/>
                <w:sz w:val="17"/>
                <w:szCs w:val="17"/>
                <w:color w:val="auto"/>
                <w:w w:val="98"/>
              </w:rPr>
              <w:t>(13.8)</w:t>
            </w:r>
          </w:p>
        </w:tc>
        <w:tc>
          <w:tcPr>
            <w:tcW w:w="50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(26.1)</w:t>
            </w:r>
          </w:p>
        </w:tc>
        <w:tc>
          <w:tcPr>
            <w:tcW w:w="280" w:type="dxa"/>
            <w:vAlign w:val="bottom"/>
          </w:tcPr>
          <w:p>
            <w:pPr>
              <w:ind w:lef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(27.6)</w:t>
            </w:r>
          </w:p>
        </w:tc>
        <w:tc>
          <w:tcPr>
            <w:tcW w:w="3100" w:type="dxa"/>
            <w:vAlign w:val="bottom"/>
            <w:gridSpan w:val="4"/>
          </w:tcPr>
          <w:p>
            <w:pPr>
              <w:ind w:left="100"/>
              <w:spacing w:after="0"/>
              <w:rPr>
                <w:sz w:val="20"/>
                <w:szCs w:val="20"/>
                <w:color w:val="auto"/>
              </w:rPr>
            </w:pPr>
            <w:r>
              <w:rPr>
                <w:rFonts w:ascii="Arial" w:cs="Arial" w:eastAsia="Arial" w:hAnsi="Arial"/>
                <w:sz w:val="17"/>
                <w:szCs w:val="17"/>
                <w:color w:val="auto"/>
              </w:rPr>
              <w:t>Other–net, (income) expense</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losses, net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84.8</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5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172.0</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310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Other–net, (income) expense</w:t>
            </w:r>
          </w:p>
        </w:tc>
        <w:tc>
          <w:tcPr>
            <w:tcW w:w="0" w:type="dxa"/>
            <w:vAlign w:val="bottom"/>
          </w:tcPr>
          <w:p>
            <w:pPr>
              <w:spacing w:after="0"/>
              <w:rPr>
                <w:sz w:val="1"/>
                <w:szCs w:val="1"/>
                <w:color w:val="auto"/>
              </w:rPr>
            </w:pPr>
          </w:p>
        </w:tc>
      </w:tr>
      <w:tr>
        <w:trPr>
          <w:trHeight w:val="213"/>
        </w:trPr>
        <w:tc>
          <w:tcPr>
            <w:tcW w:w="4060" w:type="dxa"/>
            <w:vAlign w:val="bottom"/>
          </w:tcPr>
          <w:p>
            <w:pPr>
              <w:ind w:left="180"/>
              <w:spacing w:after="0"/>
              <w:rPr>
                <w:sz w:val="20"/>
                <w:szCs w:val="20"/>
                <w:color w:val="auto"/>
              </w:rPr>
            </w:pPr>
            <w:r>
              <w:rPr>
                <w:rFonts w:ascii="Arial" w:cs="Arial" w:eastAsia="Arial" w:hAnsi="Arial"/>
                <w:sz w:val="17"/>
                <w:szCs w:val="17"/>
                <w:color w:val="auto"/>
              </w:rPr>
              <w:t>Total before tax</w:t>
            </w:r>
          </w:p>
        </w:tc>
        <w:tc>
          <w:tcPr>
            <w:tcW w:w="26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7"/>
                <w:szCs w:val="17"/>
                <w:b w:val="1"/>
                <w:bCs w:val="1"/>
                <w:color w:val="auto"/>
              </w:rPr>
              <w:t>71.7</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109.6</w:t>
            </w:r>
          </w:p>
        </w:tc>
        <w:tc>
          <w:tcPr>
            <w:tcW w:w="5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7"/>
                <w:szCs w:val="17"/>
                <w:b w:val="1"/>
                <w:bCs w:val="1"/>
                <w:color w:val="auto"/>
              </w:rPr>
              <w:t>145.9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218.4</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 benefit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(15.0)</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58"/>
              <w:spacing w:after="0"/>
              <w:rPr>
                <w:sz w:val="20"/>
                <w:szCs w:val="20"/>
                <w:color w:val="auto"/>
              </w:rPr>
            </w:pPr>
            <w:r>
              <w:rPr>
                <w:rFonts w:ascii="Arial" w:cs="Arial" w:eastAsia="Arial" w:hAnsi="Arial"/>
                <w:sz w:val="17"/>
                <w:szCs w:val="17"/>
                <w:color w:val="auto"/>
                <w:w w:val="98"/>
              </w:rPr>
              <w:t>(23.0)</w:t>
            </w:r>
          </w:p>
        </w:tc>
        <w:tc>
          <w:tcPr>
            <w:tcW w:w="5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(30.6)</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Income taxes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180"/>
              <w:spacing w:after="0"/>
              <w:rPr>
                <w:sz w:val="20"/>
                <w:szCs w:val="20"/>
                <w:color w:val="auto"/>
              </w:rPr>
            </w:pPr>
            <w:r>
              <w:rPr>
                <w:rFonts w:ascii="Arial" w:cs="Arial" w:eastAsia="Arial" w:hAnsi="Arial"/>
                <w:sz w:val="17"/>
                <w:szCs w:val="17"/>
                <w:color w:val="auto"/>
              </w:rPr>
              <w:t>Net of tax</w:t>
            </w:r>
          </w:p>
        </w:tc>
        <w:tc>
          <w:tcPr>
            <w:tcW w:w="26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7"/>
                <w:szCs w:val="17"/>
                <w:b w:val="1"/>
                <w:bCs w:val="1"/>
                <w:color w:val="auto"/>
              </w:rPr>
              <w:t>56.7</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86.6</w:t>
            </w:r>
          </w:p>
        </w:tc>
        <w:tc>
          <w:tcPr>
            <w:tcW w:w="5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7"/>
                <w:szCs w:val="17"/>
                <w:b w:val="1"/>
                <w:bCs w:val="1"/>
                <w:color w:val="auto"/>
              </w:rPr>
              <w:t>115.3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172.5</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100" w:type="dxa"/>
            <w:vAlign w:val="bottom"/>
            <w:gridSpan w:val="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net of tax</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3.3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6.0</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3100" w:type="dxa"/>
            <w:vAlign w:val="bottom"/>
            <w:tcBorders>
              <w:bottom w:val="single" w:sz="8" w:color="CCEEFF"/>
            </w:tcBorders>
            <w:gridSpan w:val="4"/>
          </w:tcPr>
          <w:p>
            <w:pPr>
              <w:ind w:left="100"/>
              <w:spacing w:after="0"/>
              <w:rPr>
                <w:sz w:val="20"/>
                <w:szCs w:val="20"/>
                <w:color w:val="auto"/>
              </w:rPr>
            </w:pPr>
            <w:r>
              <w:rPr>
                <w:rFonts w:ascii="Arial" w:cs="Arial" w:eastAsia="Arial" w:hAnsi="Arial"/>
                <w:sz w:val="17"/>
                <w:szCs w:val="17"/>
                <w:color w:val="auto"/>
              </w:rPr>
              <w:t>Other–net, (income) expense</w:t>
            </w:r>
          </w:p>
        </w:tc>
        <w:tc>
          <w:tcPr>
            <w:tcW w:w="0" w:type="dxa"/>
            <w:vAlign w:val="bottom"/>
          </w:tcPr>
          <w:p>
            <w:pPr>
              <w:spacing w:after="0"/>
              <w:rPr>
                <w:sz w:val="1"/>
                <w:szCs w:val="1"/>
                <w:color w:val="auto"/>
              </w:rPr>
            </w:pPr>
          </w:p>
        </w:tc>
      </w:tr>
      <w:tr>
        <w:trPr>
          <w:trHeight w:val="23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reclassifications, net of tax</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60.0</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5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121.3</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22"/>
        </w:trPr>
        <w:tc>
          <w:tcPr>
            <w:tcW w:w="4060" w:type="dxa"/>
            <w:vAlign w:val="bottom"/>
          </w:tcPr>
          <w:p>
            <w:pPr>
              <w:spacing w:after="0"/>
              <w:rPr>
                <w:sz w:val="20"/>
                <w:szCs w:val="20"/>
                <w:color w:val="auto"/>
              </w:rPr>
            </w:pPr>
            <w:r>
              <w:rPr>
                <w:rFonts w:ascii="Arial" w:cs="Arial" w:eastAsia="Arial" w:hAnsi="Arial"/>
                <w:sz w:val="17"/>
                <w:szCs w:val="17"/>
                <w:b w:val="1"/>
                <w:bCs w:val="1"/>
                <w:color w:val="auto"/>
              </w:rPr>
              <w:t>Note 11: Other–Net, (Income) Expense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20" w:type="dxa"/>
            <w:vAlign w:val="bottom"/>
            <w:gridSpan w:val="2"/>
          </w:tcPr>
          <w:p>
            <w:pPr>
              <w:spacing w:after="0"/>
              <w:rPr>
                <w:sz w:val="20"/>
                <w:szCs w:val="20"/>
                <w:color w:val="auto"/>
              </w:rPr>
            </w:pPr>
            <w:r>
              <w:rPr>
                <w:rFonts w:ascii="Arial" w:cs="Arial" w:eastAsia="Arial" w:hAnsi="Arial"/>
                <w:sz w:val="17"/>
                <w:szCs w:val="17"/>
                <w:color w:val="auto"/>
              </w:rPr>
              <w:t>Other–net, (income) expense consisted of the following:</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0"/>
        </w:trPr>
        <w:tc>
          <w:tcPr>
            <w:tcW w:w="4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left="15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3"/>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81.2</w:t>
            </w:r>
          </w:p>
        </w:tc>
        <w:tc>
          <w:tcPr>
            <w:tcW w:w="60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86.9</w:t>
            </w:r>
          </w:p>
        </w:tc>
        <w:tc>
          <w:tcPr>
            <w:tcW w:w="2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7"/>
                <w:szCs w:val="17"/>
                <w:b w:val="1"/>
                <w:bCs w:val="1"/>
                <w:color w:val="auto"/>
              </w:rPr>
              <w:t>166.1</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w w:val="94"/>
              </w:rPr>
              <w:t>(10.2)</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26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7"/>
                <w:szCs w:val="17"/>
                <w:b w:val="1"/>
                <w:bCs w:val="1"/>
                <w:color w:val="auto"/>
              </w:rPr>
              <w:t>(17.2)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0"/>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investment (gains) losses on equity securities (Note 6)</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118.9</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7"/>
                <w:szCs w:val="17"/>
                <w:b w:val="1"/>
                <w:bCs w:val="1"/>
                <w:color w:val="auto"/>
              </w:rPr>
              <w:t>544.3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(517.0)</w:t>
            </w: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7"/>
                <w:szCs w:val="17"/>
                <w:color w:val="auto"/>
              </w:rPr>
              <w:t>Retirement benefit plans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w w:val="94"/>
              </w:rPr>
              <w:t>(94.3)</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(71.1)</w:t>
            </w:r>
          </w:p>
        </w:tc>
        <w:tc>
          <w:tcPr>
            <w:tcW w:w="26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7"/>
                <w:szCs w:val="17"/>
                <w:b w:val="1"/>
                <w:bCs w:val="1"/>
                <w:color w:val="auto"/>
              </w:rPr>
              <w:t>(187.6)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(144.5)</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23.6</w:t>
            </w:r>
          </w:p>
        </w:tc>
        <w:tc>
          <w:tcPr>
            <w:tcW w:w="6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14.5</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(35.7)</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Arial" w:cs="Arial" w:eastAsia="Arial" w:hAnsi="Arial"/>
                <w:sz w:val="17"/>
                <w:szCs w:val="17"/>
                <w:color w:val="auto"/>
              </w:rPr>
              <w:t>Other–net, (income) expense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7"/>
                <w:szCs w:val="17"/>
                <w:b w:val="1"/>
                <w:bCs w:val="1"/>
                <w:color w:val="auto"/>
              </w:rPr>
              <w:t>119.2</w:t>
            </w:r>
          </w:p>
        </w:tc>
        <w:tc>
          <w:tcPr>
            <w:tcW w:w="6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(190.5)</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b w:val="1"/>
                <w:bCs w:val="1"/>
                <w:color w:val="auto"/>
              </w:rPr>
              <w:t>469.9</w:t>
            </w:r>
          </w:p>
        </w:tc>
        <w:tc>
          <w:tcPr>
            <w:tcW w:w="4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(511.6)</w:t>
            </w:r>
          </w:p>
        </w:tc>
        <w:tc>
          <w:tcPr>
            <w:tcW w:w="0" w:type="dxa"/>
            <w:vAlign w:val="bottom"/>
          </w:tcPr>
          <w:p>
            <w:pPr>
              <w:spacing w:after="0"/>
              <w:rPr>
                <w:sz w:val="1"/>
                <w:szCs w:val="1"/>
                <w:color w:val="auto"/>
              </w:rPr>
            </w:pPr>
          </w:p>
        </w:tc>
      </w:tr>
      <w:tr>
        <w:trPr>
          <w:trHeight w:val="829"/>
        </w:trPr>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238"/>
              <w:spacing w:after="0"/>
              <w:rPr>
                <w:sz w:val="20"/>
                <w:szCs w:val="20"/>
                <w:color w:val="auto"/>
              </w:rPr>
            </w:pPr>
            <w:r>
              <w:rPr>
                <w:rFonts w:ascii="Arial" w:cs="Arial" w:eastAsia="Arial" w:hAnsi="Arial"/>
                <w:sz w:val="17"/>
                <w:szCs w:val="17"/>
                <w:color w:val="auto"/>
              </w:rPr>
              <w:t>35</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5"/>
          <w:szCs w:val="15"/>
          <w:b w:val="1"/>
          <w:bCs w:val="1"/>
          <w:color w:val="auto"/>
        </w:rPr>
        <w:t>Tables present dollars in millions, except per-share data)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7" w:lineRule="exact"/>
        <w:rPr>
          <w:sz w:val="20"/>
          <w:szCs w:val="20"/>
          <w:color w:val="auto"/>
        </w:rPr>
      </w:pPr>
    </w:p>
    <w:p>
      <w:pPr>
        <w:ind w:right="40"/>
        <w:spacing w:after="0" w:line="260" w:lineRule="auto"/>
        <w:rPr>
          <w:rFonts w:ascii="Arial" w:cs="Arial" w:eastAsia="Arial" w:hAnsi="Arial"/>
          <w:sz w:val="17"/>
          <w:szCs w:val="17"/>
          <w:color w:val="auto"/>
        </w:rPr>
      </w:pPr>
      <w:r>
        <w:rPr>
          <w:rFonts w:ascii="Arial" w:cs="Arial" w:eastAsia="Arial" w:hAnsi="Arial"/>
          <w:sz w:val="17"/>
          <w:szCs w:val="17"/>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may cause our actual results, financial position, and cash generated from operations to differ materially from these forward-looking statements.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Overview</w:t>
      </w:r>
    </w:p>
    <w:p>
      <w:pPr>
        <w:spacing w:after="0" w:line="117"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w:t>
      </w:r>
    </w:p>
    <w:p>
      <w:pPr>
        <w:spacing w:after="0" w:line="117" w:lineRule="exact"/>
        <w:rPr>
          <w:sz w:val="20"/>
          <w:szCs w:val="20"/>
          <w:color w:val="auto"/>
        </w:rPr>
      </w:pPr>
    </w:p>
    <w:p>
      <w:pPr>
        <w:jc w:val="both"/>
        <w:ind w:right="320"/>
        <w:spacing w:after="0" w:line="272" w:lineRule="auto"/>
        <w:rPr>
          <w:sz w:val="20"/>
          <w:szCs w:val="20"/>
          <w:color w:val="auto"/>
        </w:rPr>
      </w:pPr>
      <w:r>
        <w:rPr>
          <w:rFonts w:ascii="Arial" w:cs="Arial" w:eastAsia="Arial" w:hAnsi="Arial"/>
          <w:sz w:val="17"/>
          <w:szCs w:val="17"/>
          <w:color w:val="auto"/>
        </w:rPr>
        <w:t>In response to the COVID-19 pandemic, we have focused on maintaining a supply of our medicines; reducing the strain on the medical system; developing treatments for COVID-19; protecting the health, safety, and well-being of our employees; supporting our communities; and ensuring affordability of and access to our medicines, particularly insulin.</w:t>
      </w:r>
    </w:p>
    <w:p>
      <w:pPr>
        <w:spacing w:after="0" w:line="55" w:lineRule="exact"/>
        <w:rPr>
          <w:sz w:val="20"/>
          <w:szCs w:val="20"/>
          <w:color w:val="auto"/>
        </w:rPr>
      </w:pPr>
    </w:p>
    <w:p>
      <w:pPr>
        <w:ind w:right="20"/>
        <w:spacing w:after="0" w:line="250" w:lineRule="auto"/>
        <w:rPr>
          <w:rFonts w:ascii="Arial" w:cs="Arial" w:eastAsia="Arial" w:hAnsi="Arial"/>
          <w:sz w:val="17"/>
          <w:szCs w:val="17"/>
          <w:color w:val="auto"/>
        </w:rPr>
      </w:pPr>
      <w:r>
        <w:rPr>
          <w:rFonts w:ascii="Arial" w:cs="Arial" w:eastAsia="Arial" w:hAnsi="Arial"/>
          <w:sz w:val="17"/>
          <w:szCs w:val="17"/>
          <w:color w:val="auto"/>
        </w:rPr>
        <w:t>In May 2022, the United States Food and Drug Administration (FDA) approved Olumiant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the treatment of certain hospitalized patients with COVID-19. In February 2022, the FDA granted an Emergency Use Authorization (EUA) for bebtelovimab for certain high-risk patients who have been recently diagnosed with mild-to-moderate COVID-19. We have received various EUAs and other regulatory authorizations for our COVID-19 therapies as described in "Business" in Part I, Item 1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We supplied the United States (U.S.) government 600,000 doses and approximately 71,000 doses of bebtelovimab during the first and second quarter of 2022, respectively, and we will supply the U.S. government approximately 79,000 doses of bebtelovimab in the third quarter of 2022. In collaboration with the U.S. government, we intend to make bebtelovimab commercially available for purchase by U.S. states/territories, hospitals, and a broad set of other providers beginning mid-August 2022, which is prior to the anticipated depletion of the U.S. government's currently available supply. The FDA has revised, and may in the future revise, any EUA for our COVID-19 therapies in response to the prevalence of variants against which our therapies have varying degrees of efficacy.</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COVID-19 pandemic has, and may continue to, adversely impact our business and operations. Strain on global transportation, logistics, manufacturing, and labor markets, including as aggravated by the pandemic and global unrest, the focus of resources on COVID-19, widespread protective measures implemented to control the spread of COVID-19, and an increase in overall demand in our industry for certain materials resulting in changed buying patterns, increased costs, and constrained supply, have negatively impacted and may continue to negatively impact the development, manufacturing, supply, distribution, and sales of our medicines.</w:t>
      </w:r>
    </w:p>
    <w:p>
      <w:pPr>
        <w:spacing w:after="0" w:line="66" w:lineRule="exact"/>
        <w:rPr>
          <w:sz w:val="20"/>
          <w:szCs w:val="20"/>
          <w:color w:val="auto"/>
        </w:rPr>
      </w:pPr>
    </w:p>
    <w:p>
      <w:pPr>
        <w:ind w:right="680"/>
        <w:spacing w:after="0" w:line="291" w:lineRule="auto"/>
        <w:rPr>
          <w:sz w:val="20"/>
          <w:szCs w:val="20"/>
          <w:color w:val="auto"/>
        </w:rPr>
      </w:pPr>
      <w:r>
        <w:rPr>
          <w:rFonts w:ascii="Arial" w:cs="Arial" w:eastAsia="Arial" w:hAnsi="Arial"/>
          <w:sz w:val="17"/>
          <w:szCs w:val="17"/>
          <w:color w:val="auto"/>
        </w:rPr>
        <w:t>The degree to which the COVID-19 pandemic continues to affect our business and operations will depend on developments that are highly uncertain and beyond our knowledge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Product Supply</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Accelerated demand for Trulicity in many international markets, due to market growth and the limited availability of competitor GLP-1s in select markets, may continue to challenge our ability to meet Trulicity demand in some markets at times. We are working to meet this increased demand while also implementing actions in select countries to manage growth and minimize patient impact. We do not expect a material impact on our consolidated results of operations. In general, we expect continued high utilization of supply resources to meet international demand for Trulicity until newly announced capacities, and perhaps further capital investments, are fully operational over the next several years.</w:t>
      </w:r>
    </w:p>
    <w:p>
      <w:pPr>
        <w:spacing w:after="0" w:line="66" w:lineRule="exact"/>
        <w:rPr>
          <w:sz w:val="20"/>
          <w:szCs w:val="20"/>
          <w:color w:val="auto"/>
        </w:rPr>
      </w:pPr>
    </w:p>
    <w:p>
      <w:pPr>
        <w:ind w:right="22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See "Risk Factors" in Part I, Item 1A of our Annual Report on </w:t>
      </w:r>
      <w:hyperlink r:id="rId15">
        <w:r>
          <w:rPr>
            <w:rFonts w:ascii="Arial" w:cs="Arial" w:eastAsia="Arial" w:hAnsi="Arial"/>
            <w:sz w:val="17"/>
            <w:szCs w:val="17"/>
            <w:color w:val="auto"/>
          </w:rPr>
          <w:t xml:space="preserve">Form 10-K </w:t>
        </w:r>
      </w:hyperlink>
      <w:r>
        <w:rPr>
          <w:rFonts w:ascii="Arial" w:cs="Arial" w:eastAsia="Arial" w:hAnsi="Arial"/>
          <w:sz w:val="17"/>
          <w:szCs w:val="17"/>
          <w:color w:val="auto"/>
        </w:rPr>
        <w:t>for the year ended December 31, 2021 for additional information on risk factors that could impact our business and operations.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key operating results: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7"/>
              </w:rPr>
              <w:t>Percent</w:t>
            </w:r>
          </w:p>
        </w:tc>
        <w:tc>
          <w:tcPr>
            <w:tcW w:w="340" w:type="dxa"/>
            <w:vAlign w:val="bottom"/>
          </w:tcPr>
          <w:p>
            <w:pPr>
              <w:spacing w:after="0"/>
              <w:rPr>
                <w:sz w:val="11"/>
                <w:szCs w:val="11"/>
                <w:color w:val="auto"/>
              </w:rPr>
            </w:pPr>
          </w:p>
        </w:tc>
        <w:tc>
          <w:tcPr>
            <w:tcW w:w="1180" w:type="dxa"/>
            <w:vAlign w:val="bottom"/>
            <w:vMerge w:val="restart"/>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1"/>
                <w:szCs w:val="11"/>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jc w:val="center"/>
              <w:ind w:left="37"/>
              <w:spacing w:after="0" w:line="127" w:lineRule="exact"/>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Change</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6,488.0</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6,740.1</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(4)</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14,298.0</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13,545.7</w:t>
            </w:r>
          </w:p>
        </w:tc>
        <w:tc>
          <w:tcPr>
            <w:tcW w:w="86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0"/>
        </w:trPr>
        <w:tc>
          <w:tcPr>
            <w:tcW w:w="340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320" w:type="dxa"/>
            <w:vAlign w:val="bottom"/>
          </w:tcPr>
          <w:p>
            <w:pPr>
              <w:spacing w:after="0"/>
              <w:rPr>
                <w:sz w:val="19"/>
                <w:szCs w:val="19"/>
                <w:color w:val="auto"/>
              </w:rPr>
            </w:pPr>
          </w:p>
        </w:tc>
        <w:tc>
          <w:tcPr>
            <w:tcW w:w="1160" w:type="dxa"/>
            <w:vAlign w:val="bottom"/>
          </w:tcPr>
          <w:p>
            <w:pPr>
              <w:jc w:val="right"/>
              <w:ind w:right="197"/>
              <w:spacing w:after="0"/>
              <w:rPr>
                <w:sz w:val="20"/>
                <w:szCs w:val="20"/>
                <w:color w:val="auto"/>
              </w:rPr>
            </w:pPr>
            <w:r>
              <w:rPr>
                <w:rFonts w:ascii="Arial" w:cs="Arial" w:eastAsia="Arial" w:hAnsi="Arial"/>
                <w:sz w:val="17"/>
                <w:szCs w:val="17"/>
                <w:b w:val="1"/>
                <w:bCs w:val="1"/>
                <w:color w:val="auto"/>
              </w:rPr>
              <w:t>5,057.5</w:t>
            </w:r>
          </w:p>
        </w:tc>
        <w:tc>
          <w:tcPr>
            <w:tcW w:w="40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4,786.9</w:t>
            </w:r>
          </w:p>
        </w:tc>
        <w:tc>
          <w:tcPr>
            <w:tcW w:w="960" w:type="dxa"/>
            <w:vAlign w:val="bottom"/>
          </w:tcPr>
          <w:p>
            <w:pPr>
              <w:jc w:val="center"/>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19"/>
                <w:szCs w:val="19"/>
                <w:color w:val="auto"/>
              </w:rPr>
            </w:pPr>
          </w:p>
        </w:tc>
        <w:tc>
          <w:tcPr>
            <w:tcW w:w="1180" w:type="dxa"/>
            <w:vAlign w:val="bottom"/>
          </w:tcPr>
          <w:p>
            <w:pPr>
              <w:jc w:val="right"/>
              <w:ind w:right="197"/>
              <w:spacing w:after="0"/>
              <w:rPr>
                <w:sz w:val="20"/>
                <w:szCs w:val="20"/>
                <w:color w:val="auto"/>
              </w:rPr>
            </w:pPr>
            <w:r>
              <w:rPr>
                <w:rFonts w:ascii="Arial" w:cs="Arial" w:eastAsia="Arial" w:hAnsi="Arial"/>
                <w:sz w:val="17"/>
                <w:szCs w:val="17"/>
                <w:b w:val="1"/>
                <w:bCs w:val="1"/>
                <w:color w:val="auto"/>
              </w:rPr>
              <w:t>10,795.4</w:t>
            </w:r>
          </w:p>
        </w:tc>
        <w:tc>
          <w:tcPr>
            <w:tcW w:w="38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9,713.9</w:t>
            </w:r>
          </w:p>
        </w:tc>
        <w:tc>
          <w:tcPr>
            <w:tcW w:w="860" w:type="dxa"/>
            <w:vAlign w:val="bottom"/>
          </w:tcPr>
          <w:p>
            <w:pPr>
              <w:jc w:val="center"/>
              <w:ind w:left="37"/>
              <w:spacing w:after="0"/>
              <w:rPr>
                <w:sz w:val="20"/>
                <w:szCs w:val="20"/>
                <w:color w:val="auto"/>
              </w:rPr>
            </w:pPr>
            <w:r>
              <w:rPr>
                <w:rFonts w:ascii="Arial" w:cs="Arial" w:eastAsia="Arial" w:hAnsi="Arial"/>
                <w:sz w:val="17"/>
                <w:szCs w:val="17"/>
                <w:color w:val="auto"/>
                <w:w w:val="94"/>
              </w:rPr>
              <w:t>11</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as a percent of revenue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78.0 %</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71.0 %</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75.5 %</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71.7 %</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97"/>
              <w:spacing w:after="0"/>
              <w:rPr>
                <w:sz w:val="20"/>
                <w:szCs w:val="20"/>
                <w:color w:val="auto"/>
              </w:rPr>
            </w:pPr>
            <w:r>
              <w:rPr>
                <w:rFonts w:ascii="Arial" w:cs="Arial" w:eastAsia="Arial" w:hAnsi="Arial"/>
                <w:sz w:val="17"/>
                <w:szCs w:val="17"/>
                <w:b w:val="1"/>
                <w:bCs w:val="1"/>
                <w:color w:val="auto"/>
              </w:rPr>
              <w:t>1,781.9</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1,655.0</w:t>
            </w:r>
          </w:p>
        </w:tc>
        <w:tc>
          <w:tcPr>
            <w:tcW w:w="960" w:type="dxa"/>
            <w:vAlign w:val="bottom"/>
          </w:tcPr>
          <w:p>
            <w:pPr>
              <w:jc w:val="center"/>
              <w:spacing w:after="0"/>
              <w:rPr>
                <w:sz w:val="20"/>
                <w:szCs w:val="20"/>
                <w:color w:val="auto"/>
              </w:rPr>
            </w:pPr>
            <w:r>
              <w:rPr>
                <w:rFonts w:ascii="Arial" w:cs="Arial" w:eastAsia="Arial" w:hAnsi="Arial"/>
                <w:sz w:val="17"/>
                <w:szCs w:val="17"/>
                <w:color w:val="auto"/>
              </w:rPr>
              <w:t>8</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97"/>
              <w:spacing w:after="0"/>
              <w:rPr>
                <w:sz w:val="20"/>
                <w:szCs w:val="20"/>
                <w:color w:val="auto"/>
              </w:rPr>
            </w:pPr>
            <w:r>
              <w:rPr>
                <w:rFonts w:ascii="Arial" w:cs="Arial" w:eastAsia="Arial" w:hAnsi="Arial"/>
                <w:sz w:val="17"/>
                <w:szCs w:val="17"/>
                <w:b w:val="1"/>
                <w:bCs w:val="1"/>
                <w:color w:val="auto"/>
              </w:rPr>
              <w:t>3,392.0</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3,327.1</w:t>
            </w:r>
          </w:p>
        </w:tc>
        <w:tc>
          <w:tcPr>
            <w:tcW w:w="860" w:type="dxa"/>
            <w:vAlign w:val="bottom"/>
          </w:tcPr>
          <w:p>
            <w:pPr>
              <w:jc w:val="center"/>
              <w:ind w:left="37"/>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Marketing, selling, and administrative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1,625.1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1,685.7</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(4)</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3,183.0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3,261.7</w:t>
            </w:r>
          </w:p>
        </w:tc>
        <w:tc>
          <w:tcPr>
            <w:tcW w:w="860" w:type="dxa"/>
            <w:vAlign w:val="bottom"/>
            <w:shd w:val="clear" w:color="auto" w:fill="CCEEFF"/>
          </w:tcPr>
          <w:p>
            <w:pPr>
              <w:jc w:val="center"/>
              <w:ind w:left="17"/>
              <w:spacing w:after="0"/>
              <w:rPr>
                <w:sz w:val="20"/>
                <w:szCs w:val="20"/>
                <w:color w:val="auto"/>
              </w:rPr>
            </w:pPr>
            <w:r>
              <w:rPr>
                <w:rFonts w:ascii="Arial" w:cs="Arial" w:eastAsia="Arial" w:hAnsi="Arial"/>
                <w:sz w:val="17"/>
                <w:szCs w:val="17"/>
                <w:color w:val="auto"/>
                <w:w w:val="96"/>
              </w:rPr>
              <w:t>(2)</w:t>
            </w:r>
          </w:p>
        </w:tc>
        <w:tc>
          <w:tcPr>
            <w:tcW w:w="0" w:type="dxa"/>
            <w:vAlign w:val="bottom"/>
          </w:tcPr>
          <w:p>
            <w:pPr>
              <w:spacing w:after="0"/>
              <w:rPr>
                <w:sz w:val="1"/>
                <w:szCs w:val="1"/>
                <w:color w:val="auto"/>
              </w:rPr>
            </w:pPr>
          </w:p>
        </w:tc>
      </w:tr>
      <w:tr>
        <w:trPr>
          <w:trHeight w:val="168"/>
        </w:trPr>
        <w:tc>
          <w:tcPr>
            <w:tcW w:w="3400" w:type="dxa"/>
            <w:vAlign w:val="bottom"/>
          </w:tcPr>
          <w:p>
            <w:pPr>
              <w:ind w:left="20"/>
              <w:spacing w:after="0" w:line="168" w:lineRule="exact"/>
              <w:rPr>
                <w:sz w:val="20"/>
                <w:szCs w:val="20"/>
                <w:color w:val="auto"/>
              </w:rPr>
            </w:pPr>
            <w:r>
              <w:rPr>
                <w:rFonts w:ascii="Arial" w:cs="Arial" w:eastAsia="Arial" w:hAnsi="Arial"/>
                <w:sz w:val="17"/>
                <w:szCs w:val="17"/>
                <w:color w:val="auto"/>
              </w:rPr>
              <w:t>Acquired in-process research and</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line="177" w:lineRule="exact"/>
              <w:rPr>
                <w:sz w:val="20"/>
                <w:szCs w:val="20"/>
                <w:color w:val="auto"/>
              </w:rPr>
            </w:pPr>
            <w:r>
              <w:rPr>
                <w:rFonts w:ascii="Arial" w:cs="Arial" w:eastAsia="Arial" w:hAnsi="Arial"/>
                <w:sz w:val="17"/>
                <w:szCs w:val="17"/>
                <w:color w:val="auto"/>
              </w:rPr>
              <w:t>development (IPR&amp;D) and development</w:t>
            </w:r>
          </w:p>
        </w:tc>
        <w:tc>
          <w:tcPr>
            <w:tcW w:w="320" w:type="dxa"/>
            <w:vAlign w:val="bottom"/>
          </w:tcPr>
          <w:p>
            <w:pPr>
              <w:spacing w:after="0"/>
              <w:rPr>
                <w:sz w:val="15"/>
                <w:szCs w:val="15"/>
                <w:color w:val="auto"/>
              </w:rPr>
            </w:pPr>
          </w:p>
        </w:tc>
        <w:tc>
          <w:tcPr>
            <w:tcW w:w="1160" w:type="dxa"/>
            <w:vAlign w:val="bottom"/>
            <w:vMerge w:val="restart"/>
          </w:tcPr>
          <w:p>
            <w:pPr>
              <w:jc w:val="right"/>
              <w:ind w:right="197"/>
              <w:spacing w:after="0"/>
              <w:rPr>
                <w:sz w:val="20"/>
                <w:szCs w:val="20"/>
                <w:color w:val="auto"/>
              </w:rPr>
            </w:pPr>
            <w:r>
              <w:rPr>
                <w:rFonts w:ascii="Arial" w:cs="Arial" w:eastAsia="Arial" w:hAnsi="Arial"/>
                <w:sz w:val="17"/>
                <w:szCs w:val="17"/>
                <w:b w:val="1"/>
                <w:bCs w:val="1"/>
                <w:color w:val="auto"/>
              </w:rPr>
              <w:t>440.4</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ind w:right="197"/>
              <w:spacing w:after="0"/>
              <w:rPr>
                <w:sz w:val="20"/>
                <w:szCs w:val="20"/>
                <w:color w:val="auto"/>
              </w:rPr>
            </w:pPr>
            <w:r>
              <w:rPr>
                <w:rFonts w:ascii="Arial" w:cs="Arial" w:eastAsia="Arial" w:hAnsi="Arial"/>
                <w:sz w:val="17"/>
                <w:szCs w:val="17"/>
                <w:b w:val="1"/>
                <w:bCs w:val="1"/>
                <w:color w:val="auto"/>
              </w:rPr>
              <w:t>606.0</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20"/>
              <w:spacing w:after="0"/>
              <w:rPr>
                <w:sz w:val="20"/>
                <w:szCs w:val="20"/>
                <w:color w:val="auto"/>
              </w:rPr>
            </w:pPr>
            <w:r>
              <w:rPr>
                <w:rFonts w:ascii="Arial" w:cs="Arial" w:eastAsia="Arial" w:hAnsi="Arial"/>
                <w:sz w:val="17"/>
                <w:szCs w:val="17"/>
                <w:color w:val="auto"/>
              </w:rPr>
              <w:t>milestones</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42.8</w:t>
            </w:r>
          </w:p>
        </w:tc>
        <w:tc>
          <w:tcPr>
            <w:tcW w:w="960" w:type="dxa"/>
            <w:vAlign w:val="bottom"/>
          </w:tcPr>
          <w:p>
            <w:pPr>
              <w:jc w:val="center"/>
              <w:spacing w:after="0"/>
              <w:rPr>
                <w:sz w:val="20"/>
                <w:szCs w:val="20"/>
                <w:color w:val="auto"/>
              </w:rPr>
            </w:pPr>
            <w:r>
              <w:rPr>
                <w:rFonts w:ascii="Arial" w:cs="Arial" w:eastAsia="Arial" w:hAnsi="Arial"/>
                <w:sz w:val="17"/>
                <w:szCs w:val="17"/>
                <w:color w:val="auto"/>
                <w:w w:val="98"/>
              </w:rPr>
              <w:t>NM</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354.8</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Asset impairment, restructuring, and other</w:t>
            </w:r>
          </w:p>
        </w:tc>
        <w:tc>
          <w:tcPr>
            <w:tcW w:w="3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special charges</w:t>
            </w:r>
          </w:p>
        </w:tc>
        <w:tc>
          <w:tcPr>
            <w:tcW w:w="3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211.6</w:t>
            </w:r>
          </w:p>
        </w:tc>
        <w:tc>
          <w:tcPr>
            <w:tcW w:w="86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98"/>
              </w:rPr>
              <w:t>NM</w:t>
            </w:r>
          </w:p>
        </w:tc>
        <w:tc>
          <w:tcPr>
            <w:tcW w:w="0" w:type="dxa"/>
            <w:vAlign w:val="bottom"/>
          </w:tcPr>
          <w:p>
            <w:pPr>
              <w:spacing w:after="0"/>
              <w:rPr>
                <w:sz w:val="1"/>
                <w:szCs w:val="1"/>
                <w:color w:val="auto"/>
              </w:rPr>
            </w:pPr>
          </w:p>
        </w:tc>
      </w:tr>
      <w:tr>
        <w:trPr>
          <w:trHeight w:val="220"/>
        </w:trPr>
        <w:tc>
          <w:tcPr>
            <w:tcW w:w="3400" w:type="dxa"/>
            <w:vAlign w:val="bottom"/>
          </w:tcPr>
          <w:p>
            <w:pPr>
              <w:ind w:left="20"/>
              <w:spacing w:after="0"/>
              <w:rPr>
                <w:sz w:val="20"/>
                <w:szCs w:val="20"/>
                <w:color w:val="auto"/>
              </w:rPr>
            </w:pPr>
            <w:r>
              <w:rPr>
                <w:rFonts w:ascii="Arial" w:cs="Arial" w:eastAsia="Arial" w:hAnsi="Arial"/>
                <w:sz w:val="17"/>
                <w:szCs w:val="17"/>
                <w:color w:val="auto"/>
              </w:rPr>
              <w:t>Other–net, (income) expense</w:t>
            </w:r>
          </w:p>
        </w:tc>
        <w:tc>
          <w:tcPr>
            <w:tcW w:w="320" w:type="dxa"/>
            <w:vAlign w:val="bottom"/>
          </w:tcPr>
          <w:p>
            <w:pPr>
              <w:spacing w:after="0"/>
              <w:rPr>
                <w:sz w:val="19"/>
                <w:szCs w:val="19"/>
                <w:color w:val="auto"/>
              </w:rPr>
            </w:pPr>
          </w:p>
        </w:tc>
        <w:tc>
          <w:tcPr>
            <w:tcW w:w="1160" w:type="dxa"/>
            <w:vAlign w:val="bottom"/>
          </w:tcPr>
          <w:p>
            <w:pPr>
              <w:jc w:val="right"/>
              <w:ind w:right="197"/>
              <w:spacing w:after="0"/>
              <w:rPr>
                <w:sz w:val="20"/>
                <w:szCs w:val="20"/>
                <w:color w:val="auto"/>
              </w:rPr>
            </w:pPr>
            <w:r>
              <w:rPr>
                <w:rFonts w:ascii="Arial" w:cs="Arial" w:eastAsia="Arial" w:hAnsi="Arial"/>
                <w:sz w:val="17"/>
                <w:szCs w:val="17"/>
                <w:b w:val="1"/>
                <w:bCs w:val="1"/>
                <w:color w:val="auto"/>
              </w:rPr>
              <w:t>119.2</w:t>
            </w:r>
          </w:p>
        </w:tc>
        <w:tc>
          <w:tcPr>
            <w:tcW w:w="40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(190.5)</w:t>
            </w:r>
          </w:p>
        </w:tc>
        <w:tc>
          <w:tcPr>
            <w:tcW w:w="960" w:type="dxa"/>
            <w:vAlign w:val="bottom"/>
          </w:tcPr>
          <w:p>
            <w:pPr>
              <w:jc w:val="center"/>
              <w:spacing w:after="0"/>
              <w:rPr>
                <w:sz w:val="20"/>
                <w:szCs w:val="20"/>
                <w:color w:val="auto"/>
              </w:rPr>
            </w:pPr>
            <w:r>
              <w:rPr>
                <w:rFonts w:ascii="Arial" w:cs="Arial" w:eastAsia="Arial" w:hAnsi="Arial"/>
                <w:sz w:val="17"/>
                <w:szCs w:val="17"/>
                <w:color w:val="auto"/>
                <w:w w:val="98"/>
              </w:rPr>
              <w:t>NM</w:t>
            </w:r>
          </w:p>
        </w:tc>
        <w:tc>
          <w:tcPr>
            <w:tcW w:w="340" w:type="dxa"/>
            <w:vAlign w:val="bottom"/>
          </w:tcPr>
          <w:p>
            <w:pPr>
              <w:spacing w:after="0"/>
              <w:rPr>
                <w:sz w:val="19"/>
                <w:szCs w:val="19"/>
                <w:color w:val="auto"/>
              </w:rPr>
            </w:pPr>
          </w:p>
        </w:tc>
        <w:tc>
          <w:tcPr>
            <w:tcW w:w="1180" w:type="dxa"/>
            <w:vAlign w:val="bottom"/>
          </w:tcPr>
          <w:p>
            <w:pPr>
              <w:jc w:val="right"/>
              <w:ind w:right="197"/>
              <w:spacing w:after="0"/>
              <w:rPr>
                <w:sz w:val="20"/>
                <w:szCs w:val="20"/>
                <w:color w:val="auto"/>
              </w:rPr>
            </w:pPr>
            <w:r>
              <w:rPr>
                <w:rFonts w:ascii="Arial" w:cs="Arial" w:eastAsia="Arial" w:hAnsi="Arial"/>
                <w:sz w:val="17"/>
                <w:szCs w:val="17"/>
                <w:b w:val="1"/>
                <w:bCs w:val="1"/>
                <w:color w:val="auto"/>
              </w:rPr>
              <w:t>469.9</w:t>
            </w:r>
          </w:p>
        </w:tc>
        <w:tc>
          <w:tcPr>
            <w:tcW w:w="380" w:type="dxa"/>
            <w:vAlign w:val="bottom"/>
          </w:tcPr>
          <w:p>
            <w:pPr>
              <w:spacing w:after="0"/>
              <w:rPr>
                <w:sz w:val="19"/>
                <w:szCs w:val="19"/>
                <w:color w:val="auto"/>
              </w:rPr>
            </w:pP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(511.6)</w:t>
            </w:r>
          </w:p>
        </w:tc>
        <w:tc>
          <w:tcPr>
            <w:tcW w:w="860" w:type="dxa"/>
            <w:vAlign w:val="bottom"/>
          </w:tcPr>
          <w:p>
            <w:pPr>
              <w:jc w:val="center"/>
              <w:ind w:left="37"/>
              <w:spacing w:after="0"/>
              <w:rPr>
                <w:sz w:val="20"/>
                <w:szCs w:val="20"/>
                <w:color w:val="auto"/>
              </w:rPr>
            </w:pPr>
            <w:r>
              <w:rPr>
                <w:rFonts w:ascii="Arial" w:cs="Arial" w:eastAsia="Arial" w:hAnsi="Arial"/>
                <w:sz w:val="17"/>
                <w:szCs w:val="17"/>
                <w:color w:val="auto"/>
                <w:w w:val="98"/>
              </w:rPr>
              <w:t>NM</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952.5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1,390.2</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(31)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2,855.4</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2,745.5</w:t>
            </w:r>
          </w:p>
        </w:tc>
        <w:tc>
          <w:tcPr>
            <w:tcW w:w="86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Arial" w:cs="Arial" w:eastAsia="Arial" w:hAnsi="Arial"/>
                <w:sz w:val="17"/>
                <w:szCs w:val="17"/>
                <w:color w:val="auto"/>
              </w:rPr>
              <w:t>EPS - diluted</w:t>
            </w:r>
          </w:p>
        </w:tc>
        <w:tc>
          <w:tcPr>
            <w:tcW w:w="320" w:type="dxa"/>
            <w:vAlign w:val="bottom"/>
          </w:tcPr>
          <w:p>
            <w:pPr>
              <w:spacing w:after="0"/>
              <w:rPr>
                <w:sz w:val="20"/>
                <w:szCs w:val="20"/>
                <w:color w:val="auto"/>
              </w:rPr>
            </w:pPr>
          </w:p>
        </w:tc>
        <w:tc>
          <w:tcPr>
            <w:tcW w:w="1160" w:type="dxa"/>
            <w:vAlign w:val="bottom"/>
          </w:tcPr>
          <w:p>
            <w:pPr>
              <w:jc w:val="right"/>
              <w:ind w:right="197"/>
              <w:spacing w:after="0"/>
              <w:rPr>
                <w:sz w:val="20"/>
                <w:szCs w:val="20"/>
                <w:color w:val="auto"/>
              </w:rPr>
            </w:pPr>
            <w:r>
              <w:rPr>
                <w:rFonts w:ascii="Arial" w:cs="Arial" w:eastAsia="Arial" w:hAnsi="Arial"/>
                <w:sz w:val="17"/>
                <w:szCs w:val="17"/>
                <w:b w:val="1"/>
                <w:bCs w:val="1"/>
                <w:color w:val="auto"/>
              </w:rPr>
              <w:t>1.05</w:t>
            </w:r>
          </w:p>
        </w:tc>
        <w:tc>
          <w:tcPr>
            <w:tcW w:w="400" w:type="dxa"/>
            <w:vAlign w:val="bottom"/>
          </w:tcPr>
          <w:p>
            <w:pPr>
              <w:spacing w:after="0"/>
              <w:rPr>
                <w:sz w:val="20"/>
                <w:szCs w:val="20"/>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1.53</w:t>
            </w:r>
          </w:p>
        </w:tc>
        <w:tc>
          <w:tcPr>
            <w:tcW w:w="960" w:type="dxa"/>
            <w:vAlign w:val="bottom"/>
          </w:tcPr>
          <w:p>
            <w:pPr>
              <w:jc w:val="center"/>
              <w:spacing w:after="0"/>
              <w:rPr>
                <w:sz w:val="20"/>
                <w:szCs w:val="20"/>
                <w:color w:val="auto"/>
              </w:rPr>
            </w:pPr>
            <w:r>
              <w:rPr>
                <w:rFonts w:ascii="Arial" w:cs="Arial" w:eastAsia="Arial" w:hAnsi="Arial"/>
                <w:sz w:val="17"/>
                <w:szCs w:val="17"/>
                <w:color w:val="auto"/>
                <w:w w:val="99"/>
              </w:rPr>
              <w:t>(31)</w:t>
            </w:r>
          </w:p>
        </w:tc>
        <w:tc>
          <w:tcPr>
            <w:tcW w:w="340" w:type="dxa"/>
            <w:vAlign w:val="bottom"/>
          </w:tcPr>
          <w:p>
            <w:pPr>
              <w:spacing w:after="0"/>
              <w:rPr>
                <w:sz w:val="20"/>
                <w:szCs w:val="20"/>
                <w:color w:val="auto"/>
              </w:rPr>
            </w:pPr>
          </w:p>
        </w:tc>
        <w:tc>
          <w:tcPr>
            <w:tcW w:w="1180" w:type="dxa"/>
            <w:vAlign w:val="bottom"/>
          </w:tcPr>
          <w:p>
            <w:pPr>
              <w:jc w:val="right"/>
              <w:ind w:right="197"/>
              <w:spacing w:after="0"/>
              <w:rPr>
                <w:sz w:val="20"/>
                <w:szCs w:val="20"/>
                <w:color w:val="auto"/>
              </w:rPr>
            </w:pPr>
            <w:r>
              <w:rPr>
                <w:rFonts w:ascii="Arial" w:cs="Arial" w:eastAsia="Arial" w:hAnsi="Arial"/>
                <w:sz w:val="17"/>
                <w:szCs w:val="17"/>
                <w:b w:val="1"/>
                <w:bCs w:val="1"/>
                <w:color w:val="auto"/>
              </w:rPr>
              <w:t>3.16</w:t>
            </w:r>
          </w:p>
        </w:tc>
        <w:tc>
          <w:tcPr>
            <w:tcW w:w="380" w:type="dxa"/>
            <w:vAlign w:val="bottom"/>
          </w:tcPr>
          <w:p>
            <w:pPr>
              <w:spacing w:after="0"/>
              <w:rPr>
                <w:sz w:val="20"/>
                <w:szCs w:val="20"/>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3.01</w:t>
            </w:r>
          </w:p>
        </w:tc>
        <w:tc>
          <w:tcPr>
            <w:tcW w:w="860" w:type="dxa"/>
            <w:vAlign w:val="bottom"/>
          </w:tcPr>
          <w:p>
            <w:pPr>
              <w:jc w:val="center"/>
              <w:ind w:left="37"/>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8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Revenue decreased for the three months ended June 30, 2022, driven by lower realized prices and the unfavorable impact of foreign exchange rates, partially offset by increased volume. Revenue increased for the six months ended June 30, 2022, driven by increased volume, partially offset by lower realized prices and the unfavorable impact of foreign exchange rates. Research and development expenses increased for the three and six months ended June 30, 2022, primarily driven by higher development expenses for late-stage assets, partially offset by lower development expenses for COVID-19 antibodies. Marketing, selling, and administrative expenses decreased for the three and six months ended June 30, 2022, primarily driven by the favorable impact of foreign exchange rates as well as reduced marketing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The following highlighted items also affect comparisons of our financial results for the three and six months ended June 30,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Acquired IPR&amp;D and Development Milestones (See Note 3 to the consolidated condensed financial statements)</w:t>
      </w:r>
    </w:p>
    <w:p>
      <w:pPr>
        <w:spacing w:after="0" w:line="115" w:lineRule="exact"/>
        <w:rPr>
          <w:sz w:val="20"/>
          <w:szCs w:val="20"/>
          <w:color w:val="auto"/>
        </w:rPr>
      </w:pPr>
    </w:p>
    <w:p>
      <w:pPr>
        <w:ind w:left="620" w:right="60" w:hanging="307"/>
        <w:spacing w:after="0" w:line="266"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recognized $440.4 million and $606.0 million of acquired IPR&amp;D and development milestones for the three and six months ended June 30, 2022, respectively, primarily related to the buy-out of substantially all future obligations that were contingent upon the occurrence of certain events linked to the success of our mutant-selective PI3kα inhibitor. The charges for the six months ended June 30, 2022 also included a purchase of a Priority Review Voucher.</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Other-Net, (Income) Expense (See Note 11 to the consolidated condensed financial statements)</w:t>
      </w:r>
    </w:p>
    <w:p>
      <w:pPr>
        <w:spacing w:after="0" w:line="115" w:lineRule="exact"/>
        <w:rPr>
          <w:sz w:val="20"/>
          <w:szCs w:val="20"/>
          <w:color w:val="auto"/>
        </w:rPr>
      </w:pPr>
    </w:p>
    <w:p>
      <w:pPr>
        <w:ind w:left="620" w:right="40" w:hanging="307"/>
        <w:spacing w:after="0" w:line="291"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recognized $118.9 million and $544.3 million of net investment losses on equity securities for the three and six months ended June 30, 2022,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Cost of Sales (See Note 5 to the consolidated condensed financial statements)</w:t>
      </w:r>
    </w:p>
    <w:p>
      <w:pPr>
        <w:spacing w:after="0" w:line="115" w:lineRule="exact"/>
        <w:rPr>
          <w:sz w:val="20"/>
          <w:szCs w:val="20"/>
          <w:color w:val="auto"/>
        </w:rPr>
      </w:pPr>
    </w:p>
    <w:p>
      <w:pPr>
        <w:ind w:left="620" w:hanging="307"/>
        <w:spacing w:after="0" w:line="261"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recognized inventory impairment charges related to our COVID-19 antibodies of $423.0 million and $504.5 million for the three and six months ended June 30, 2021, respectively. As part of our response to the COVID-19 pandemic, and at the request of the U.S. and international governments, we invested in large-scale manufacturing of COVID-19 antibodies at risk, in order to ensure rapid access to patients around the world. As the COVID-19 pandemic evolved during 2021, we incurred inventory impairment charges primarily due to the combination of changes to demand from U.S. and international governments, including changes to our agreement with the U.S. government, and near-term expiry dates of COVID-19 antibodies.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Acquired IPR&amp;D and Development Milestones (See Note 3 to the consolidated condensed financial statements)</w:t>
      </w:r>
    </w:p>
    <w:p>
      <w:pPr>
        <w:spacing w:after="0" w:line="115" w:lineRule="exact"/>
        <w:rPr>
          <w:sz w:val="20"/>
          <w:szCs w:val="20"/>
          <w:color w:val="auto"/>
        </w:rPr>
      </w:pPr>
    </w:p>
    <w:p>
      <w:pPr>
        <w:ind w:left="620" w:right="380" w:hanging="307"/>
        <w:spacing w:after="0" w:line="27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recognized $42.8 million and $354.8 million of acquired IPR&amp;D and development milestones for the three and six months ended June 30, 2021, respectively. The charges for the six months ended June 30, 2021 were primarily related to acquired IPR&amp;D charges resulting from business development transactions with Rigel Pharmaceuticals, Inc. (Rigel) and Precision Biosciences, Inc. (Precision).</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 Impairment, Restructuring, and Other Special Charges (See Note 5 to the consolidated condensed financial statements)</w:t>
      </w:r>
    </w:p>
    <w:p>
      <w:pPr>
        <w:spacing w:after="0" w:line="115" w:lineRule="exact"/>
        <w:rPr>
          <w:sz w:val="20"/>
          <w:szCs w:val="20"/>
          <w:color w:val="auto"/>
        </w:rPr>
      </w:pPr>
    </w:p>
    <w:p>
      <w:pPr>
        <w:ind w:left="620" w:right="460" w:hanging="307"/>
        <w:spacing w:after="0" w:line="238"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recognized charges of $211.6 million for the six months ended June 30, 2021 primarily related to an intangible asset impairment resulting from the sale of the rights to Qbrexza</w:t>
      </w:r>
      <w:r>
        <w:rPr>
          <w:rFonts w:ascii="Arial" w:cs="Arial" w:eastAsia="Arial" w:hAnsi="Arial"/>
          <w:sz w:val="22"/>
          <w:szCs w:val="22"/>
          <w:color w:val="auto"/>
          <w:vertAlign w:val="superscript"/>
        </w:rPr>
        <w:t>®</w:t>
      </w:r>
      <w:r>
        <w:rPr>
          <w:rFonts w:ascii="Arial" w:cs="Arial" w:eastAsia="Arial" w:hAnsi="Arial"/>
          <w:sz w:val="17"/>
          <w:szCs w:val="17"/>
          <w:color w:val="auto"/>
        </w:rPr>
        <w:t>, as well as acquisition and integration costs associated with the acquisition of Prevail Therapeutics Inc. (Prevail).</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Other-Net, (Income) Expense (See Note 11 to the consolidated condensed financial statements)</w:t>
      </w:r>
    </w:p>
    <w:p>
      <w:pPr>
        <w:spacing w:after="0" w:line="115" w:lineRule="exact"/>
        <w:rPr>
          <w:sz w:val="20"/>
          <w:szCs w:val="20"/>
          <w:color w:val="auto"/>
        </w:rPr>
      </w:pPr>
    </w:p>
    <w:p>
      <w:pPr>
        <w:ind w:left="620" w:right="100" w:hanging="307"/>
        <w:spacing w:after="0" w:line="29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recognized $215.4 million and $517.0 million of net investment gains on equity securities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63" w:right="39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Late-Stage Pipeline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long-term success depends on our ability to continually discover or acquire, develop, and commercialize innovative new medicines. We currently have approximately 45 new medicine candidates in clinical development or under regulatory review, and a larger number of projects in the discovery phase.</w:t>
      </w:r>
    </w:p>
    <w:p>
      <w:pPr>
        <w:spacing w:after="0" w:line="59" w:lineRule="exact"/>
        <w:rPr>
          <w:sz w:val="20"/>
          <w:szCs w:val="20"/>
          <w:color w:val="auto"/>
        </w:rPr>
      </w:pPr>
    </w:p>
    <w:p>
      <w:pPr>
        <w:ind w:right="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following certain new molecular entities (NMEs) are currently in Phase II or Phase III clinical trials or have been submitted for regulatory review or have received regulatory approval in the U.S., Europe, or Japan. The following table reflects the status of these NMEs, including certain other developments since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2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Indication</w:t>
            </w:r>
          </w:p>
        </w:tc>
        <w:tc>
          <w:tcPr>
            <w:tcW w:w="96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Status</w:t>
            </w:r>
          </w:p>
        </w:tc>
        <w:tc>
          <w:tcPr>
            <w:tcW w:w="660" w:type="dxa"/>
            <w:vAlign w:val="bottom"/>
            <w:tcBorders>
              <w:top w:val="single" w:sz="8" w:color="auto"/>
              <w:bottom w:val="single" w:sz="8" w:color="auto"/>
              <w:right w:val="single" w:sz="8" w:color="auto"/>
            </w:tcBorders>
            <w:shd w:val="clear" w:color="auto" w:fill="D8D8D8"/>
          </w:tcPr>
          <w:p>
            <w:pPr>
              <w:spacing w:after="0"/>
              <w:rPr>
                <w:sz w:val="20"/>
                <w:szCs w:val="20"/>
                <w:color w:val="auto"/>
              </w:rPr>
            </w:pPr>
          </w:p>
        </w:tc>
        <w:tc>
          <w:tcPr>
            <w:tcW w:w="524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Diabetes</w:t>
            </w:r>
          </w:p>
        </w:tc>
        <w:tc>
          <w:tcPr>
            <w:tcW w:w="2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Approved in the U.S. in the second quarter of 2022. Submitted in</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Type 2 diabetes</w:t>
            </w:r>
          </w:p>
        </w:tc>
        <w:tc>
          <w:tcPr>
            <w:tcW w:w="960" w:type="dxa"/>
            <w:vAlign w:val="bottom"/>
            <w:vMerge w:val="restart"/>
          </w:tcPr>
          <w:p>
            <w:pPr>
              <w:spacing w:after="0"/>
              <w:rPr>
                <w:sz w:val="20"/>
                <w:szCs w:val="20"/>
                <w:color w:val="auto"/>
              </w:rPr>
            </w:pPr>
            <w:r>
              <w:rPr>
                <w:rFonts w:ascii="Arial" w:cs="Arial" w:eastAsia="Arial" w:hAnsi="Arial"/>
                <w:sz w:val="17"/>
                <w:szCs w:val="17"/>
                <w:color w:val="auto"/>
              </w:rPr>
              <w:t>Approved</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Europe and Japan in 2021. Received a positive opinion from the</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spacing w:after="0" w:line="177" w:lineRule="exact"/>
              <w:rPr>
                <w:sz w:val="20"/>
                <w:szCs w:val="20"/>
                <w:color w:val="auto"/>
              </w:rPr>
            </w:pPr>
            <w:r>
              <w:rPr>
                <w:rFonts w:ascii="Arial" w:cs="Arial" w:eastAsia="Arial" w:hAnsi="Arial"/>
                <w:sz w:val="17"/>
                <w:szCs w:val="17"/>
                <w:color w:val="auto"/>
              </w:rPr>
              <w:t>European Medicines Agency's Committee for Medicinal Products for</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2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Human Use in July 2022.</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2"/>
        </w:trPr>
        <w:tc>
          <w:tcPr>
            <w:tcW w:w="220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Heart failure with preserved</w:t>
            </w:r>
          </w:p>
        </w:tc>
        <w:tc>
          <w:tcPr>
            <w:tcW w:w="960" w:type="dxa"/>
            <w:vAlign w:val="bottom"/>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238"/>
        </w:trPr>
        <w:tc>
          <w:tcPr>
            <w:tcW w:w="2200" w:type="dxa"/>
            <w:vAlign w:val="bottom"/>
            <w:tcBorders>
              <w:left w:val="single" w:sz="8" w:color="auto"/>
              <w:right w:val="single" w:sz="8" w:color="auto"/>
            </w:tcBorders>
          </w:tcPr>
          <w:p>
            <w:pPr>
              <w:ind w:left="40"/>
              <w:spacing w:after="0" w:line="239" w:lineRule="exact"/>
              <w:rPr>
                <w:sz w:val="20"/>
                <w:szCs w:val="20"/>
                <w:color w:val="auto"/>
              </w:rPr>
            </w:pPr>
            <w:r>
              <w:rPr>
                <w:rFonts w:ascii="Arial" w:cs="Arial" w:eastAsia="Arial" w:hAnsi="Arial"/>
                <w:sz w:val="17"/>
                <w:szCs w:val="17"/>
                <w:color w:val="auto"/>
              </w:rPr>
              <w:t>Tirzepatide (Mounjaro</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ejection fraction</w:t>
            </w: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Obesity</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Announced in the second quarter of 2022 that the initial Phase III</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trial met co-primary and all key secondary endpoints. Phase III trials</w:t>
            </w:r>
          </w:p>
        </w:tc>
        <w:tc>
          <w:tcPr>
            <w:tcW w:w="0" w:type="dxa"/>
            <w:vAlign w:val="bottom"/>
          </w:tcPr>
          <w:p>
            <w:pPr>
              <w:spacing w:after="0"/>
              <w:rPr>
                <w:sz w:val="1"/>
                <w:szCs w:val="1"/>
                <w:color w:val="auto"/>
              </w:rPr>
            </w:pPr>
          </w:p>
        </w:tc>
      </w:tr>
      <w:tr>
        <w:trPr>
          <w:trHeight w:val="238"/>
        </w:trPr>
        <w:tc>
          <w:tcPr>
            <w:tcW w:w="2200" w:type="dxa"/>
            <w:vAlign w:val="bottom"/>
            <w:tcBorders>
              <w:left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are ongoing.</w:t>
            </w:r>
          </w:p>
        </w:tc>
        <w:tc>
          <w:tcPr>
            <w:tcW w:w="0" w:type="dxa"/>
            <w:vAlign w:val="bottom"/>
          </w:tcPr>
          <w:p>
            <w:pPr>
              <w:spacing w:after="0"/>
              <w:rPr>
                <w:sz w:val="1"/>
                <w:szCs w:val="1"/>
                <w:color w:val="auto"/>
              </w:rPr>
            </w:pPr>
          </w:p>
        </w:tc>
      </w:tr>
      <w:tr>
        <w:trPr>
          <w:trHeight w:val="312"/>
        </w:trPr>
        <w:tc>
          <w:tcPr>
            <w:tcW w:w="220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Obstructive sleep apnea</w:t>
            </w:r>
          </w:p>
        </w:tc>
        <w:tc>
          <w:tcPr>
            <w:tcW w:w="960" w:type="dxa"/>
            <w:vAlign w:val="bottom"/>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Phase III trial initiated in July 2022.</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Nonalcoholic</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steatohepatitis</w:t>
            </w: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Basal Insulin-Fc</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Type 1 and 2 diabetes</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III trials initiated in the first and second quarters of 2022.</w:t>
            </w:r>
          </w:p>
        </w:tc>
        <w:tc>
          <w:tcPr>
            <w:tcW w:w="0" w:type="dxa"/>
            <w:vAlign w:val="bottom"/>
          </w:tcPr>
          <w:p>
            <w:pPr>
              <w:spacing w:after="0"/>
              <w:rPr>
                <w:sz w:val="1"/>
                <w:szCs w:val="1"/>
                <w:color w:val="auto"/>
              </w:rPr>
            </w:pPr>
          </w:p>
        </w:tc>
      </w:tr>
      <w:tr>
        <w:trPr>
          <w:trHeight w:val="23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GLP-1R NPA</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Obesity</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trials are ongoing.</w:t>
            </w:r>
          </w:p>
        </w:tc>
        <w:tc>
          <w:tcPr>
            <w:tcW w:w="0" w:type="dxa"/>
            <w:vAlign w:val="bottom"/>
          </w:tcPr>
          <w:p>
            <w:pPr>
              <w:spacing w:after="0"/>
              <w:rPr>
                <w:sz w:val="1"/>
                <w:szCs w:val="1"/>
                <w:color w:val="auto"/>
              </w:rPr>
            </w:pPr>
          </w:p>
        </w:tc>
      </w:tr>
      <w:tr>
        <w:trPr>
          <w:trHeight w:val="106"/>
        </w:trPr>
        <w:tc>
          <w:tcPr>
            <w:tcW w:w="2200" w:type="dxa"/>
            <w:vAlign w:val="bottom"/>
            <w:tcBorders>
              <w:left w:val="single" w:sz="8" w:color="auto"/>
              <w:right w:val="single" w:sz="8" w:color="auto"/>
            </w:tcBorders>
            <w:vMerge w:val="continue"/>
          </w:tcPr>
          <w:p>
            <w:pPr>
              <w:spacing w:after="0"/>
              <w:rPr>
                <w:sz w:val="9"/>
                <w:szCs w:val="9"/>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Type 2 diabetes</w:t>
            </w:r>
          </w:p>
        </w:tc>
        <w:tc>
          <w:tcPr>
            <w:tcW w:w="960" w:type="dxa"/>
            <w:vAlign w:val="bottom"/>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auto"/>
              <w:bottom w:val="single" w:sz="8" w:color="auto"/>
              <w:right w:val="single" w:sz="8" w:color="auto"/>
            </w:tcBorders>
          </w:tcPr>
          <w:p>
            <w:pPr>
              <w:spacing w:after="0"/>
              <w:rPr>
                <w:sz w:val="11"/>
                <w:szCs w:val="11"/>
                <w:color w:val="auto"/>
              </w:rPr>
            </w:pPr>
          </w:p>
        </w:tc>
        <w:tc>
          <w:tcPr>
            <w:tcW w:w="2200" w:type="dxa"/>
            <w:vAlign w:val="bottom"/>
            <w:tcBorders>
              <w:bottom w:val="single" w:sz="8" w:color="auto"/>
              <w:right w:val="single" w:sz="8" w:color="auto"/>
            </w:tcBorders>
            <w:vMerge w:val="continue"/>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Retatrutide (GGG Tri-</w:t>
            </w: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Obesity</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trials are ongoing.</w:t>
            </w:r>
          </w:p>
        </w:tc>
        <w:tc>
          <w:tcPr>
            <w:tcW w:w="0" w:type="dxa"/>
            <w:vAlign w:val="bottom"/>
          </w:tcPr>
          <w:p>
            <w:pPr>
              <w:spacing w:after="0"/>
              <w:rPr>
                <w:sz w:val="1"/>
                <w:szCs w:val="1"/>
                <w:color w:val="auto"/>
              </w:rPr>
            </w:pPr>
          </w:p>
        </w:tc>
      </w:tr>
      <w:tr>
        <w:trPr>
          <w:trHeight w:val="2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Agonist)</w:t>
            </w:r>
          </w:p>
        </w:tc>
        <w:tc>
          <w:tcPr>
            <w:tcW w:w="2200" w:type="dxa"/>
            <w:vAlign w:val="bottom"/>
            <w:tcBorders>
              <w:bottom w:val="single" w:sz="8" w:color="auto"/>
              <w:right w:val="single" w:sz="8" w:color="auto"/>
            </w:tcBorders>
          </w:tcPr>
          <w:p>
            <w:pPr>
              <w:spacing w:after="0"/>
              <w:rPr>
                <w:sz w:val="2"/>
                <w:szCs w:val="2"/>
                <w:color w:val="auto"/>
              </w:rPr>
            </w:pPr>
          </w:p>
        </w:tc>
        <w:tc>
          <w:tcPr>
            <w:tcW w:w="960" w:type="dxa"/>
            <w:vAlign w:val="bottom"/>
            <w:vMerge w:val="continue"/>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24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200" w:type="dxa"/>
            <w:vAlign w:val="bottom"/>
            <w:tcBorders>
              <w:left w:val="single" w:sz="8" w:color="auto"/>
              <w:right w:val="single" w:sz="8" w:color="auto"/>
            </w:tcBorders>
            <w:vMerge w:val="continue"/>
          </w:tcPr>
          <w:p>
            <w:pPr>
              <w:spacing w:after="0"/>
              <w:rPr>
                <w:sz w:val="8"/>
                <w:szCs w:val="8"/>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Type 2 diabetes</w:t>
            </w:r>
          </w:p>
        </w:tc>
        <w:tc>
          <w:tcPr>
            <w:tcW w:w="960" w:type="dxa"/>
            <w:vAlign w:val="bottom"/>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5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200" w:type="dxa"/>
            <w:vAlign w:val="bottom"/>
            <w:tcBorders>
              <w:bottom w:val="single" w:sz="8" w:color="auto"/>
              <w:right w:val="single" w:sz="8" w:color="auto"/>
            </w:tcBorders>
            <w:vMerge w:val="continue"/>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Immunology</w:t>
            </w:r>
          </w:p>
        </w:tc>
        <w:tc>
          <w:tcPr>
            <w:tcW w:w="2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Ulcerative colitis</w:t>
            </w:r>
          </w:p>
        </w:tc>
        <w:tc>
          <w:tcPr>
            <w:tcW w:w="960" w:type="dxa"/>
            <w:vAlign w:val="bottom"/>
            <w:vMerge w:val="restart"/>
          </w:tcPr>
          <w:p>
            <w:pPr>
              <w:spacing w:after="0"/>
              <w:rPr>
                <w:sz w:val="20"/>
                <w:szCs w:val="20"/>
                <w:color w:val="auto"/>
              </w:rPr>
            </w:pPr>
            <w:r>
              <w:rPr>
                <w:rFonts w:ascii="Arial" w:cs="Arial" w:eastAsia="Arial" w:hAnsi="Arial"/>
                <w:sz w:val="17"/>
                <w:szCs w:val="17"/>
                <w:color w:val="auto"/>
              </w:rPr>
              <w:t>Submitted</w:t>
            </w: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Submitted in the U.S. in first quarter of 2022 and in Europe and</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Mirikizumab</w:t>
            </w:r>
          </w:p>
        </w:tc>
        <w:tc>
          <w:tcPr>
            <w:tcW w:w="2200" w:type="dxa"/>
            <w:vAlign w:val="bottom"/>
            <w:tcBorders>
              <w:right w:val="single" w:sz="8" w:color="auto"/>
            </w:tcBorders>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Japan in the second quarter of 2022.</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Crohn's Disease</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16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Lebrikizumab</w:t>
            </w:r>
            <w:r>
              <w:rPr>
                <w:rFonts w:ascii="Arial" w:cs="Arial" w:eastAsia="Arial" w:hAnsi="Arial"/>
                <w:sz w:val="22"/>
                <w:szCs w:val="22"/>
                <w:color w:val="auto"/>
                <w:vertAlign w:val="superscript"/>
              </w:rPr>
              <w:t>(1)</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Atopic dermatitis</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III</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6" w:lineRule="exact"/>
              <w:rPr>
                <w:sz w:val="20"/>
                <w:szCs w:val="20"/>
                <w:color w:val="auto"/>
              </w:rPr>
            </w:pPr>
            <w:r>
              <w:rPr>
                <w:rFonts w:ascii="Arial" w:cs="Arial" w:eastAsia="Arial" w:hAnsi="Arial"/>
                <w:sz w:val="15"/>
                <w:szCs w:val="15"/>
                <w:color w:val="auto"/>
              </w:rPr>
              <w:t>Granted FDA Fast Track designation</w:t>
            </w:r>
            <w:r>
              <w:rPr>
                <w:rFonts w:ascii="Arial" w:cs="Arial" w:eastAsia="Arial" w:hAnsi="Arial"/>
                <w:sz w:val="19"/>
                <w:szCs w:val="19"/>
                <w:color w:val="auto"/>
                <w:vertAlign w:val="superscript"/>
              </w:rPr>
              <w:t>(2)</w:t>
            </w:r>
            <w:r>
              <w:rPr>
                <w:rFonts w:ascii="Arial" w:cs="Arial" w:eastAsia="Arial" w:hAnsi="Arial"/>
                <w:sz w:val="15"/>
                <w:szCs w:val="15"/>
                <w:color w:val="auto"/>
              </w:rPr>
              <w:t>. Announced in 2021 and in</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vMerge w:val="continue"/>
          </w:tcPr>
          <w:p>
            <w:pPr>
              <w:spacing w:after="0"/>
              <w:rPr>
                <w:sz w:val="14"/>
                <w:szCs w:val="14"/>
                <w:color w:val="auto"/>
              </w:rPr>
            </w:pPr>
          </w:p>
        </w:tc>
        <w:tc>
          <w:tcPr>
            <w:tcW w:w="2200" w:type="dxa"/>
            <w:vAlign w:val="bottom"/>
            <w:tcBorders>
              <w:right w:val="single" w:sz="8" w:color="auto"/>
            </w:tcBorders>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the second quarter of 2022 that Phase III trials met primary and all</w:t>
            </w:r>
          </w:p>
        </w:tc>
        <w:tc>
          <w:tcPr>
            <w:tcW w:w="0" w:type="dxa"/>
            <w:vAlign w:val="bottom"/>
          </w:tcPr>
          <w:p>
            <w:pPr>
              <w:spacing w:after="0"/>
              <w:rPr>
                <w:sz w:val="1"/>
                <w:szCs w:val="1"/>
                <w:color w:val="auto"/>
              </w:rPr>
            </w:pPr>
          </w:p>
        </w:tc>
      </w:tr>
      <w:tr>
        <w:trPr>
          <w:trHeight w:val="229"/>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key secondary endpoints. Phase III trials are ongoing.</w:t>
            </w:r>
          </w:p>
        </w:tc>
        <w:tc>
          <w:tcPr>
            <w:tcW w:w="0" w:type="dxa"/>
            <w:vAlign w:val="bottom"/>
          </w:tcPr>
          <w:p>
            <w:pPr>
              <w:spacing w:after="0"/>
              <w:rPr>
                <w:sz w:val="1"/>
                <w:szCs w:val="1"/>
                <w:color w:val="auto"/>
              </w:rPr>
            </w:pPr>
          </w:p>
        </w:tc>
      </w:tr>
      <w:tr>
        <w:trPr>
          <w:trHeight w:val="16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BTLA MAB Agonist</w:t>
            </w:r>
          </w:p>
        </w:tc>
        <w:tc>
          <w:tcPr>
            <w:tcW w:w="220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7"/>
                <w:szCs w:val="17"/>
                <w:color w:val="auto"/>
              </w:rPr>
              <w:t>Systemic lupus</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 initiated in the second quarter of 2022.</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continue"/>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erythematosus</w:t>
            </w: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0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7"/>
                <w:szCs w:val="17"/>
                <w:color w:val="auto"/>
              </w:rPr>
              <w:t>CXCR1/2 Ligands</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Hidradenitis suppurativa</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Monoclonal Antibody</w:t>
            </w:r>
          </w:p>
        </w:tc>
        <w:tc>
          <w:tcPr>
            <w:tcW w:w="2200" w:type="dxa"/>
            <w:vAlign w:val="bottom"/>
            <w:tcBorders>
              <w:right w:val="single" w:sz="8" w:color="auto"/>
            </w:tcBorders>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Peresolimab (PD-1 MAB</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Rheumatoid arthritis</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135"/>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Agonist)</w:t>
            </w:r>
          </w:p>
        </w:tc>
        <w:tc>
          <w:tcPr>
            <w:tcW w:w="2200" w:type="dxa"/>
            <w:vAlign w:val="bottom"/>
            <w:tcBorders>
              <w:right w:val="single" w:sz="8" w:color="auto"/>
            </w:tcBorders>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20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7"/>
                <w:szCs w:val="17"/>
                <w:color w:val="auto"/>
              </w:rPr>
              <w:t>Rezpegaldesleukin (IL-2</w:t>
            </w:r>
          </w:p>
        </w:tc>
        <w:tc>
          <w:tcPr>
            <w:tcW w:w="22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Systemic lupus</w:t>
            </w:r>
          </w:p>
        </w:tc>
        <w:tc>
          <w:tcPr>
            <w:tcW w:w="960" w:type="dxa"/>
            <w:vAlign w:val="bottom"/>
            <w:vMerge w:val="restart"/>
          </w:tcPr>
          <w:p>
            <w:pPr>
              <w:spacing w:after="0"/>
              <w:rPr>
                <w:sz w:val="20"/>
                <w:szCs w:val="20"/>
                <w:color w:val="auto"/>
              </w:rPr>
            </w:pPr>
            <w:r>
              <w:rPr>
                <w:rFonts w:ascii="Arial" w:cs="Arial" w:eastAsia="Arial" w:hAnsi="Arial"/>
                <w:sz w:val="17"/>
                <w:szCs w:val="17"/>
                <w:color w:val="auto"/>
              </w:rPr>
              <w:t>Phase II</w:t>
            </w:r>
          </w:p>
        </w:tc>
        <w:tc>
          <w:tcPr>
            <w:tcW w:w="66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Conjugate)</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erythematosus</w:t>
            </w: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2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6"/>
        </w:trPr>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jc w:val="right"/>
              <w:ind w:right="214"/>
              <w:spacing w:after="0"/>
              <w:rPr>
                <w:sz w:val="20"/>
                <w:szCs w:val="20"/>
                <w:color w:val="auto"/>
              </w:rPr>
            </w:pPr>
            <w:r>
              <w:rPr>
                <w:rFonts w:ascii="Arial" w:cs="Arial" w:eastAsia="Arial" w:hAnsi="Arial"/>
                <w:sz w:val="17"/>
                <w:szCs w:val="17"/>
                <w:color w:val="auto"/>
              </w:rPr>
              <w:t>39</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20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961" w:right="31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3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2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Indication</w:t>
            </w:r>
          </w:p>
        </w:tc>
        <w:tc>
          <w:tcPr>
            <w:tcW w:w="16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Status</w:t>
            </w:r>
          </w:p>
        </w:tc>
        <w:tc>
          <w:tcPr>
            <w:tcW w:w="524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38"/>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Neuroscience</w:t>
            </w:r>
          </w:p>
        </w:tc>
        <w:tc>
          <w:tcPr>
            <w:tcW w:w="2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5240" w:type="dxa"/>
            <w:vAlign w:val="bottom"/>
            <w:tcBorders>
              <w:right w:val="single" w:sz="8" w:color="auto"/>
            </w:tcBorders>
          </w:tcPr>
          <w:p>
            <w:pPr>
              <w:spacing w:after="0" w:line="251" w:lineRule="exact"/>
              <w:rPr>
                <w:sz w:val="20"/>
                <w:szCs w:val="20"/>
                <w:color w:val="auto"/>
              </w:rPr>
            </w:pPr>
            <w:r>
              <w:rPr>
                <w:rFonts w:ascii="Arial" w:cs="Arial" w:eastAsia="Arial" w:hAnsi="Arial"/>
                <w:sz w:val="17"/>
                <w:szCs w:val="17"/>
                <w:color w:val="auto"/>
              </w:rPr>
              <w:t>Granted FDA Breakthrough Therapy designation</w:t>
            </w:r>
            <w:r>
              <w:rPr>
                <w:rFonts w:ascii="Arial" w:cs="Arial" w:eastAsia="Arial" w:hAnsi="Arial"/>
                <w:sz w:val="22"/>
                <w:szCs w:val="22"/>
                <w:color w:val="auto"/>
                <w:vertAlign w:val="superscript"/>
              </w:rPr>
              <w:t>(3)</w:t>
            </w:r>
            <w:r>
              <w:rPr>
                <w:rFonts w:ascii="Arial" w:cs="Arial" w:eastAsia="Arial" w:hAnsi="Arial"/>
                <w:sz w:val="17"/>
                <w:szCs w:val="17"/>
                <w:color w:val="auto"/>
              </w:rPr>
              <w:t>. Submitted in the</w:t>
            </w:r>
          </w:p>
        </w:tc>
        <w:tc>
          <w:tcPr>
            <w:tcW w:w="0" w:type="dxa"/>
            <w:vAlign w:val="bottom"/>
          </w:tcPr>
          <w:p>
            <w:pPr>
              <w:spacing w:after="0"/>
              <w:rPr>
                <w:sz w:val="1"/>
                <w:szCs w:val="1"/>
                <w:color w:val="auto"/>
              </w:rPr>
            </w:pPr>
          </w:p>
        </w:tc>
      </w:tr>
      <w:tr>
        <w:trPr>
          <w:trHeight w:val="177"/>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Early Alzheimer's disease</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Submitted</w:t>
            </w:r>
          </w:p>
        </w:tc>
        <w:tc>
          <w:tcPr>
            <w:tcW w:w="5240" w:type="dxa"/>
            <w:vAlign w:val="bottom"/>
            <w:tcBorders>
              <w:right w:val="single" w:sz="8" w:color="auto"/>
            </w:tcBorders>
          </w:tcPr>
          <w:p>
            <w:pPr>
              <w:spacing w:after="0" w:line="177" w:lineRule="exact"/>
              <w:rPr>
                <w:sz w:val="20"/>
                <w:szCs w:val="20"/>
                <w:color w:val="auto"/>
              </w:rPr>
            </w:pPr>
            <w:r>
              <w:rPr>
                <w:rFonts w:ascii="Arial" w:cs="Arial" w:eastAsia="Arial" w:hAnsi="Arial"/>
                <w:sz w:val="17"/>
                <w:szCs w:val="17"/>
                <w:color w:val="auto"/>
              </w:rPr>
              <w:t>U.S. in the second quarter of 2022. Received Priority Review</w:t>
            </w:r>
          </w:p>
        </w:tc>
        <w:tc>
          <w:tcPr>
            <w:tcW w:w="0" w:type="dxa"/>
            <w:vAlign w:val="bottom"/>
          </w:tcPr>
          <w:p>
            <w:pPr>
              <w:spacing w:after="0"/>
              <w:rPr>
                <w:sz w:val="1"/>
                <w:szCs w:val="1"/>
                <w:color w:val="auto"/>
              </w:rPr>
            </w:pPr>
          </w:p>
        </w:tc>
      </w:tr>
      <w:tr>
        <w:trPr>
          <w:trHeight w:val="135"/>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Donanemab</w:t>
            </w:r>
          </w:p>
        </w:tc>
        <w:tc>
          <w:tcPr>
            <w:tcW w:w="220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5240" w:type="dxa"/>
            <w:vAlign w:val="bottom"/>
            <w:tcBorders>
              <w:right w:val="single" w:sz="8" w:color="auto"/>
            </w:tcBorders>
            <w:vMerge w:val="restart"/>
          </w:tcPr>
          <w:p>
            <w:pPr>
              <w:spacing w:after="0" w:line="172" w:lineRule="exact"/>
              <w:rPr>
                <w:sz w:val="20"/>
                <w:szCs w:val="20"/>
                <w:color w:val="auto"/>
              </w:rPr>
            </w:pPr>
            <w:r>
              <w:rPr>
                <w:rFonts w:ascii="Arial" w:cs="Arial" w:eastAsia="Arial" w:hAnsi="Arial"/>
                <w:sz w:val="17"/>
                <w:szCs w:val="17"/>
                <w:color w:val="auto"/>
              </w:rPr>
              <w:t>designation under the accelerated approval pathway. Phase III trials</w:t>
            </w:r>
          </w:p>
        </w:tc>
        <w:tc>
          <w:tcPr>
            <w:tcW w:w="0" w:type="dxa"/>
            <w:vAlign w:val="bottom"/>
          </w:tcPr>
          <w:p>
            <w:pPr>
              <w:spacing w:after="0"/>
              <w:rPr>
                <w:sz w:val="1"/>
                <w:szCs w:val="1"/>
                <w:color w:val="auto"/>
              </w:rPr>
            </w:pPr>
          </w:p>
        </w:tc>
      </w:tr>
      <w:tr>
        <w:trPr>
          <w:trHeight w:val="36"/>
        </w:trPr>
        <w:tc>
          <w:tcPr>
            <w:tcW w:w="2200" w:type="dxa"/>
            <w:vAlign w:val="bottom"/>
            <w:tcBorders>
              <w:left w:val="single" w:sz="8" w:color="auto"/>
              <w:right w:val="single" w:sz="8" w:color="auto"/>
            </w:tcBorders>
            <w:vMerge w:val="continue"/>
          </w:tcPr>
          <w:p>
            <w:pPr>
              <w:spacing w:after="0"/>
              <w:rPr>
                <w:sz w:val="3"/>
                <w:szCs w:val="3"/>
                <w:color w:val="auto"/>
              </w:rPr>
            </w:pPr>
          </w:p>
        </w:tc>
        <w:tc>
          <w:tcPr>
            <w:tcW w:w="220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52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tcBorders>
              <w:left w:val="single" w:sz="8" w:color="auto"/>
              <w:right w:val="single" w:sz="8" w:color="auto"/>
            </w:tcBorders>
            <w:vMerge w:val="continue"/>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are ongoing.</w:t>
            </w:r>
          </w:p>
        </w:tc>
        <w:tc>
          <w:tcPr>
            <w:tcW w:w="0" w:type="dxa"/>
            <w:vAlign w:val="bottom"/>
          </w:tcPr>
          <w:p>
            <w:pPr>
              <w:spacing w:after="0"/>
              <w:rPr>
                <w:sz w:val="1"/>
                <w:szCs w:val="1"/>
                <w:color w:val="auto"/>
              </w:rPr>
            </w:pPr>
          </w:p>
        </w:tc>
      </w:tr>
      <w:tr>
        <w:trPr>
          <w:trHeight w:val="84"/>
        </w:trPr>
        <w:tc>
          <w:tcPr>
            <w:tcW w:w="2200" w:type="dxa"/>
            <w:vAlign w:val="bottom"/>
            <w:tcBorders>
              <w:left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Preclinical Alzheimer's</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w:t>
            </w: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disease</w:t>
            </w: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Solanezumab</w:t>
            </w:r>
          </w:p>
        </w:tc>
        <w:tc>
          <w:tcPr>
            <w:tcW w:w="220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7"/>
                <w:szCs w:val="17"/>
                <w:color w:val="auto"/>
              </w:rPr>
              <w:t>Preclinical Alzheimer's</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w:t>
            </w: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continue"/>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disease</w:t>
            </w: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0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7"/>
                <w:szCs w:val="17"/>
                <w:color w:val="auto"/>
              </w:rPr>
              <w:t>GBA1 Gene Therapy</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Parkinson's disease</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w:t>
            </w:r>
          </w:p>
        </w:tc>
        <w:tc>
          <w:tcPr>
            <w:tcW w:w="5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(PR001)</w:t>
            </w:r>
          </w:p>
        </w:tc>
        <w:tc>
          <w:tcPr>
            <w:tcW w:w="22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Phase II trials are ongoing.</w:t>
            </w: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0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7"/>
                <w:szCs w:val="17"/>
                <w:color w:val="auto"/>
              </w:rPr>
              <w:t>GRN Gene Therapy</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Frontotemporal dementia</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w:t>
            </w:r>
          </w:p>
        </w:tc>
        <w:tc>
          <w:tcPr>
            <w:tcW w:w="5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(PR006)</w:t>
            </w:r>
          </w:p>
        </w:tc>
        <w:tc>
          <w:tcPr>
            <w:tcW w:w="22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O-glc-NAcase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Alzheimer's disease</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w:t>
            </w: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PACAP38 Antibody</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Migraine</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w:t>
            </w: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SSTR4 Agonist</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Pain</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w:t>
            </w: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trials are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TRPA1 Antagonist</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Pain</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w:t>
            </w: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trials are ongoing.</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Oncology</w:t>
            </w:r>
          </w:p>
        </w:tc>
        <w:tc>
          <w:tcPr>
            <w:tcW w:w="2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Selpercatinib (Retevmo</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Lung cancer</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Approved</w:t>
            </w:r>
            <w:r>
              <w:rPr>
                <w:rFonts w:ascii="Arial" w:cs="Arial" w:eastAsia="Arial" w:hAnsi="Arial"/>
                <w:sz w:val="22"/>
                <w:szCs w:val="22"/>
                <w:color w:val="auto"/>
                <w:vertAlign w:val="superscript"/>
              </w:rPr>
              <w:t>(4)</w:t>
            </w: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175"/>
        </w:trPr>
        <w:tc>
          <w:tcPr>
            <w:tcW w:w="2200" w:type="dxa"/>
            <w:vAlign w:val="bottom"/>
            <w:tcBorders>
              <w:left w:val="single" w:sz="8" w:color="auto"/>
              <w:right w:val="single" w:sz="8" w:color="auto"/>
            </w:tcBorders>
            <w:vMerge w:val="continue"/>
          </w:tcPr>
          <w:p>
            <w:pPr>
              <w:spacing w:after="0"/>
              <w:rPr>
                <w:sz w:val="15"/>
                <w:szCs w:val="15"/>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Thyroid cancer</w:t>
            </w:r>
          </w:p>
        </w:tc>
        <w:tc>
          <w:tcPr>
            <w:tcW w:w="1620" w:type="dxa"/>
            <w:vAlign w:val="bottom"/>
            <w:tcBorders>
              <w:right w:val="single" w:sz="8" w:color="auto"/>
            </w:tcBorders>
            <w:vMerge w:val="continue"/>
          </w:tcPr>
          <w:p>
            <w:pPr>
              <w:spacing w:after="0"/>
              <w:rPr>
                <w:sz w:val="15"/>
                <w:szCs w:val="15"/>
                <w:color w:val="auto"/>
              </w:rPr>
            </w:pPr>
          </w:p>
        </w:tc>
        <w:tc>
          <w:tcPr>
            <w:tcW w:w="5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200" w:type="dxa"/>
            <w:vAlign w:val="bottom"/>
            <w:tcBorders>
              <w:left w:val="single" w:sz="8" w:color="auto"/>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vMerge w:val="continue"/>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5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spacing w:after="0"/>
              <w:rPr>
                <w:sz w:val="22"/>
                <w:szCs w:val="22"/>
                <w:color w:val="auto"/>
              </w:rPr>
            </w:pPr>
          </w:p>
        </w:tc>
        <w:tc>
          <w:tcPr>
            <w:tcW w:w="220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Submitted in the U.S. in second quarter of 2022. Received Priority</w:t>
            </w: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7"/>
                <w:szCs w:val="17"/>
                <w:color w:val="auto"/>
              </w:rPr>
              <w:t>Mantle cell lymphoma</w:t>
            </w:r>
          </w:p>
        </w:tc>
        <w:tc>
          <w:tcPr>
            <w:tcW w:w="162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Submitted</w:t>
            </w:r>
          </w:p>
        </w:tc>
        <w:tc>
          <w:tcPr>
            <w:tcW w:w="524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Review designation under the accelerated approval pathway. Phase</w:t>
            </w:r>
          </w:p>
        </w:tc>
        <w:tc>
          <w:tcPr>
            <w:tcW w:w="0" w:type="dxa"/>
            <w:vAlign w:val="bottom"/>
          </w:tcPr>
          <w:p>
            <w:pPr>
              <w:spacing w:after="0"/>
              <w:rPr>
                <w:sz w:val="1"/>
                <w:szCs w:val="1"/>
                <w:color w:val="auto"/>
              </w:rPr>
            </w:pPr>
          </w:p>
        </w:tc>
      </w:tr>
      <w:tr>
        <w:trPr>
          <w:trHeight w:val="22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Pirtobrutinib (LOXO-305)</w:t>
            </w:r>
          </w:p>
        </w:tc>
        <w:tc>
          <w:tcPr>
            <w:tcW w:w="22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II and Phase III trials are ongoing.</w:t>
            </w:r>
          </w:p>
        </w:tc>
        <w:tc>
          <w:tcPr>
            <w:tcW w:w="0" w:type="dxa"/>
            <w:vAlign w:val="bottom"/>
          </w:tcPr>
          <w:p>
            <w:pPr>
              <w:spacing w:after="0"/>
              <w:rPr>
                <w:sz w:val="1"/>
                <w:szCs w:val="1"/>
                <w:color w:val="auto"/>
              </w:rPr>
            </w:pPr>
          </w:p>
        </w:tc>
      </w:tr>
      <w:tr>
        <w:trPr>
          <w:trHeight w:val="97"/>
        </w:trPr>
        <w:tc>
          <w:tcPr>
            <w:tcW w:w="2200" w:type="dxa"/>
            <w:vAlign w:val="bottom"/>
            <w:tcBorders>
              <w:left w:val="single" w:sz="8" w:color="auto"/>
              <w:right w:val="single" w:sz="8" w:color="auto"/>
            </w:tcBorders>
            <w:vMerge w:val="continue"/>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7"/>
                <w:szCs w:val="17"/>
                <w:color w:val="auto"/>
              </w:rPr>
              <w:t>Chronic lymphocytic</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w:t>
            </w: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leukemia</w:t>
            </w: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B-cell malignancies</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w:t>
            </w: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 trial is ongoing.</w:t>
            </w:r>
          </w:p>
        </w:tc>
        <w:tc>
          <w:tcPr>
            <w:tcW w:w="0" w:type="dxa"/>
            <w:vAlign w:val="bottom"/>
          </w:tcPr>
          <w:p>
            <w:pPr>
              <w:spacing w:after="0"/>
              <w:rPr>
                <w:sz w:val="1"/>
                <w:szCs w:val="1"/>
                <w:color w:val="auto"/>
              </w:rPr>
            </w:pPr>
          </w:p>
        </w:tc>
      </w:tr>
      <w:tr>
        <w:trPr>
          <w:trHeight w:val="166"/>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Imlunestrant</w:t>
            </w:r>
          </w:p>
        </w:tc>
        <w:tc>
          <w:tcPr>
            <w:tcW w:w="22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rPr>
              <w:t>ER+HER2- metastatic</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w:t>
            </w: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Phase III trial is ongoing.</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continue"/>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breast cancer</w:t>
            </w: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spacing w:after="0" w:line="164" w:lineRule="exact"/>
              <w:rPr>
                <w:sz w:val="20"/>
                <w:szCs w:val="20"/>
                <w:color w:val="auto"/>
              </w:rPr>
            </w:pPr>
            <w:r>
              <w:rPr>
                <w:rFonts w:ascii="Arial" w:cs="Arial" w:eastAsia="Arial" w:hAnsi="Arial"/>
                <w:sz w:val="17"/>
                <w:szCs w:val="17"/>
                <w:color w:val="auto"/>
              </w:rPr>
              <w:t>In the first quarter of 2022 the FDA issued a complete response</w:t>
            </w:r>
          </w:p>
        </w:tc>
        <w:tc>
          <w:tcPr>
            <w:tcW w:w="0" w:type="dxa"/>
            <w:vAlign w:val="bottom"/>
          </w:tcPr>
          <w:p>
            <w:pPr>
              <w:spacing w:after="0"/>
              <w:rPr>
                <w:sz w:val="1"/>
                <w:szCs w:val="1"/>
                <w:color w:val="auto"/>
              </w:rPr>
            </w:pPr>
          </w:p>
        </w:tc>
      </w:tr>
      <w:tr>
        <w:trPr>
          <w:trHeight w:val="177"/>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Sintilimab injection</w:t>
            </w:r>
            <w:r>
              <w:rPr>
                <w:rFonts w:ascii="Arial" w:cs="Arial" w:eastAsia="Arial" w:hAnsi="Arial"/>
                <w:sz w:val="22"/>
                <w:szCs w:val="22"/>
                <w:color w:val="auto"/>
                <w:vertAlign w:val="superscript"/>
              </w:rPr>
              <w:t>(5)</w:t>
            </w:r>
          </w:p>
        </w:tc>
        <w:tc>
          <w:tcPr>
            <w:tcW w:w="220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Not pursuing</w:t>
            </w:r>
          </w:p>
        </w:tc>
        <w:tc>
          <w:tcPr>
            <w:tcW w:w="5240" w:type="dxa"/>
            <w:vAlign w:val="bottom"/>
            <w:tcBorders>
              <w:right w:val="single" w:sz="8" w:color="auto"/>
            </w:tcBorders>
          </w:tcPr>
          <w:p>
            <w:pPr>
              <w:spacing w:after="0" w:line="177" w:lineRule="exact"/>
              <w:rPr>
                <w:sz w:val="20"/>
                <w:szCs w:val="20"/>
                <w:color w:val="auto"/>
              </w:rPr>
            </w:pPr>
            <w:r>
              <w:rPr>
                <w:rFonts w:ascii="Arial" w:cs="Arial" w:eastAsia="Arial" w:hAnsi="Arial"/>
                <w:sz w:val="17"/>
                <w:szCs w:val="17"/>
                <w:color w:val="auto"/>
              </w:rPr>
              <w:t>letter indicating that the FDA did not approve the application in its</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right w:val="single" w:sz="8" w:color="auto"/>
            </w:tcBorders>
            <w:vMerge w:val="continue"/>
          </w:tcPr>
          <w:p>
            <w:pPr>
              <w:spacing w:after="0"/>
              <w:rPr>
                <w:sz w:val="14"/>
                <w:szCs w:val="14"/>
                <w:color w:val="auto"/>
              </w:rPr>
            </w:pPr>
          </w:p>
        </w:tc>
        <w:tc>
          <w:tcPr>
            <w:tcW w:w="220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7"/>
                <w:szCs w:val="17"/>
                <w:color w:val="auto"/>
              </w:rPr>
              <w:t>Lung cancer</w:t>
            </w:r>
          </w:p>
        </w:tc>
        <w:tc>
          <w:tcPr>
            <w:tcW w:w="1620" w:type="dxa"/>
            <w:vAlign w:val="bottom"/>
            <w:tcBorders>
              <w:right w:val="single" w:sz="8" w:color="auto"/>
            </w:tcBorders>
            <w:vMerge w:val="continue"/>
          </w:tcPr>
          <w:p>
            <w:pPr>
              <w:spacing w:after="0"/>
              <w:rPr>
                <w:sz w:val="14"/>
                <w:szCs w:val="14"/>
                <w:color w:val="auto"/>
              </w:rPr>
            </w:pPr>
          </w:p>
        </w:tc>
        <w:tc>
          <w:tcPr>
            <w:tcW w:w="5240" w:type="dxa"/>
            <w:vAlign w:val="bottom"/>
            <w:tcBorders>
              <w:right w:val="single" w:sz="8" w:color="auto"/>
            </w:tcBorders>
          </w:tcPr>
          <w:p>
            <w:pPr>
              <w:spacing w:after="0" w:line="172" w:lineRule="exact"/>
              <w:rPr>
                <w:sz w:val="20"/>
                <w:szCs w:val="20"/>
                <w:color w:val="auto"/>
              </w:rPr>
            </w:pPr>
            <w:r>
              <w:rPr>
                <w:rFonts w:ascii="Arial" w:cs="Arial" w:eastAsia="Arial" w:hAnsi="Arial"/>
                <w:sz w:val="17"/>
                <w:szCs w:val="17"/>
                <w:color w:val="auto"/>
              </w:rPr>
              <w:t>current form and recommended an additional multiregional clinical</w:t>
            </w:r>
          </w:p>
        </w:tc>
        <w:tc>
          <w:tcPr>
            <w:tcW w:w="0" w:type="dxa"/>
            <w:vAlign w:val="bottom"/>
          </w:tcPr>
          <w:p>
            <w:pPr>
              <w:spacing w:after="0"/>
              <w:rPr>
                <w:sz w:val="1"/>
                <w:szCs w:val="1"/>
                <w:color w:val="auto"/>
              </w:rPr>
            </w:pPr>
          </w:p>
        </w:tc>
      </w:tr>
      <w:tr>
        <w:trPr>
          <w:trHeight w:val="168"/>
        </w:trPr>
        <w:tc>
          <w:tcPr>
            <w:tcW w:w="220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submission</w:t>
            </w:r>
          </w:p>
        </w:tc>
        <w:tc>
          <w:tcPr>
            <w:tcW w:w="5240" w:type="dxa"/>
            <w:vAlign w:val="bottom"/>
            <w:tcBorders>
              <w:right w:val="single" w:sz="8" w:color="auto"/>
            </w:tcBorders>
          </w:tcPr>
          <w:p>
            <w:pPr>
              <w:spacing w:after="0" w:line="168" w:lineRule="exact"/>
              <w:rPr>
                <w:sz w:val="20"/>
                <w:szCs w:val="20"/>
                <w:color w:val="auto"/>
              </w:rPr>
            </w:pPr>
            <w:r>
              <w:rPr>
                <w:rFonts w:ascii="Arial" w:cs="Arial" w:eastAsia="Arial" w:hAnsi="Arial"/>
                <w:sz w:val="17"/>
                <w:szCs w:val="17"/>
                <w:color w:val="auto"/>
              </w:rPr>
              <w:t>study be performed. Lilly does not plan to further pursue</w:t>
            </w:r>
          </w:p>
        </w:tc>
        <w:tc>
          <w:tcPr>
            <w:tcW w:w="0" w:type="dxa"/>
            <w:vAlign w:val="bottom"/>
          </w:tcPr>
          <w:p>
            <w:pPr>
              <w:spacing w:after="0"/>
              <w:rPr>
                <w:sz w:val="1"/>
                <w:szCs w:val="1"/>
                <w:color w:val="auto"/>
              </w:rPr>
            </w:pPr>
          </w:p>
        </w:tc>
      </w:tr>
      <w:tr>
        <w:trPr>
          <w:trHeight w:val="229"/>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submission.</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ind w:left="140" w:hanging="137"/>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Fast Track designation is designed to expedite the development and review of new therapies to treat serious conditions and address unmet medical needs.</w:t>
      </w:r>
    </w:p>
    <w:p>
      <w:pPr>
        <w:spacing w:after="0" w:line="6" w:lineRule="exact"/>
        <w:rPr>
          <w:rFonts w:ascii="Arial" w:cs="Arial" w:eastAsia="Arial" w:hAnsi="Arial"/>
          <w:sz w:val="9"/>
          <w:szCs w:val="9"/>
          <w:color w:val="auto"/>
        </w:rPr>
      </w:pPr>
    </w:p>
    <w:p>
      <w:pPr>
        <w:ind w:left="160" w:right="120" w:hanging="157"/>
        <w:spacing w:after="0" w:line="250" w:lineRule="auto"/>
        <w:tabs>
          <w:tab w:leader="none" w:pos="152" w:val="left"/>
        </w:tabs>
        <w:numPr>
          <w:ilvl w:val="0"/>
          <w:numId w:val="19"/>
        </w:numPr>
        <w:rPr>
          <w:rFonts w:ascii="Arial" w:cs="Arial" w:eastAsia="Arial" w:hAnsi="Arial"/>
          <w:sz w:val="9"/>
          <w:szCs w:val="9"/>
          <w:color w:val="auto"/>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ind w:left="160" w:hanging="157"/>
        <w:spacing w:after="0" w:line="194" w:lineRule="auto"/>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ind w:left="140" w:hanging="137"/>
        <w:spacing w:after="0" w:line="219" w:lineRule="auto"/>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 collaboration with Innovent Biologics,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40" w:name="page41"/>
    <w:bookmarkEnd w:id="40"/>
    <w:p>
      <w:pPr>
        <w:ind w:right="140"/>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Our pipeline also contains several new indication line extension (NILEX) products. The following certain NILEX products for use in the indication described are currently in Phase II or Phase III clinical trials or have been submitted for regulatory review or have received regulatory approval in the U.S., Europe, or Japan. The following table reflects the status of these NILEX products, including certain other developments since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7"/>
                <w:szCs w:val="17"/>
                <w:b w:val="1"/>
                <w:bCs w:val="1"/>
                <w:color w:val="auto"/>
              </w:rPr>
              <w:t>Compound</w:t>
            </w:r>
          </w:p>
        </w:tc>
        <w:tc>
          <w:tcPr>
            <w:tcW w:w="22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Indication</w:t>
            </w:r>
          </w:p>
        </w:tc>
        <w:tc>
          <w:tcPr>
            <w:tcW w:w="16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Status</w:t>
            </w:r>
          </w:p>
        </w:tc>
        <w:tc>
          <w:tcPr>
            <w:tcW w:w="524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7"/>
                <w:szCs w:val="17"/>
                <w:b w:val="1"/>
                <w:bCs w:val="1"/>
                <w:color w:val="auto"/>
              </w:rPr>
              <w:t>Developments</w:t>
            </w: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Diabetes</w:t>
            </w:r>
          </w:p>
        </w:tc>
        <w:tc>
          <w:tcPr>
            <w:tcW w:w="2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20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Heart failure with preserved</w:t>
            </w:r>
          </w:p>
        </w:tc>
        <w:tc>
          <w:tcPr>
            <w:tcW w:w="16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Approved</w:t>
            </w: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Approved in the U.S. and Europe in the first quarter of 2022 and in</w:t>
            </w:r>
          </w:p>
        </w:tc>
        <w:tc>
          <w:tcPr>
            <w:tcW w:w="0" w:type="dxa"/>
            <w:vAlign w:val="bottom"/>
          </w:tcPr>
          <w:p>
            <w:pPr>
              <w:spacing w:after="0"/>
              <w:rPr>
                <w:sz w:val="1"/>
                <w:szCs w:val="1"/>
                <w:color w:val="auto"/>
              </w:rPr>
            </w:pPr>
          </w:p>
        </w:tc>
      </w:tr>
      <w:tr>
        <w:trPr>
          <w:trHeight w:val="147"/>
        </w:trPr>
        <w:tc>
          <w:tcPr>
            <w:tcW w:w="220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7"/>
                <w:szCs w:val="17"/>
                <w:color w:val="auto"/>
              </w:rPr>
              <w:t>ejection fraction</w:t>
            </w:r>
          </w:p>
        </w:tc>
        <w:tc>
          <w:tcPr>
            <w:tcW w:w="162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tcPr>
          <w:p>
            <w:pPr>
              <w:spacing w:after="0" w:line="147" w:lineRule="exact"/>
              <w:rPr>
                <w:sz w:val="20"/>
                <w:szCs w:val="20"/>
                <w:color w:val="auto"/>
              </w:rPr>
            </w:pPr>
            <w:r>
              <w:rPr>
                <w:rFonts w:ascii="Arial" w:cs="Arial" w:eastAsia="Arial" w:hAnsi="Arial"/>
                <w:sz w:val="17"/>
                <w:szCs w:val="17"/>
                <w:color w:val="auto"/>
              </w:rPr>
              <w:t>Japan in the second quarter of 2022.</w:t>
            </w: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6"/>
                <w:szCs w:val="16"/>
                <w:color w:val="auto"/>
              </w:rPr>
              <w:t>Empagliflozin (Jardiance</w:t>
            </w:r>
            <w:r>
              <w:rPr>
                <w:rFonts w:ascii="Arial" w:cs="Arial" w:eastAsia="Arial" w:hAnsi="Arial"/>
                <w:sz w:val="20"/>
                <w:szCs w:val="20"/>
                <w:color w:val="auto"/>
                <w:vertAlign w:val="superscript"/>
              </w:rPr>
              <w:t>®</w:t>
            </w:r>
            <w:r>
              <w:rPr>
                <w:rFonts w:ascii="Arial" w:cs="Arial" w:eastAsia="Arial" w:hAnsi="Arial"/>
                <w:sz w:val="16"/>
                <w:szCs w:val="16"/>
                <w:color w:val="auto"/>
              </w:rPr>
              <w:t>)</w:t>
            </w:r>
          </w:p>
        </w:tc>
        <w:tc>
          <w:tcPr>
            <w:tcW w:w="220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vMerge w:val="continue"/>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(1)</w:t>
            </w:r>
          </w:p>
        </w:tc>
        <w:tc>
          <w:tcPr>
            <w:tcW w:w="22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restart"/>
          </w:tcPr>
          <w:p>
            <w:pPr>
              <w:spacing w:after="0" w:line="193"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2"/>
                <w:szCs w:val="22"/>
                <w:color w:val="auto"/>
                <w:vertAlign w:val="superscript"/>
              </w:rPr>
              <w:t>(2)</w:t>
            </w:r>
            <w:r>
              <w:rPr>
                <w:rFonts w:ascii="Arial" w:cs="Arial" w:eastAsia="Arial" w:hAnsi="Arial"/>
                <w:sz w:val="17"/>
                <w:szCs w:val="17"/>
                <w:color w:val="auto"/>
              </w:rPr>
              <w:t>. In the first quarter of 2022</w:t>
            </w:r>
          </w:p>
        </w:tc>
        <w:tc>
          <w:tcPr>
            <w:tcW w:w="0" w:type="dxa"/>
            <w:vAlign w:val="bottom"/>
          </w:tcPr>
          <w:p>
            <w:pPr>
              <w:spacing w:after="0"/>
              <w:rPr>
                <w:sz w:val="1"/>
                <w:szCs w:val="1"/>
                <w:color w:val="auto"/>
              </w:rPr>
            </w:pPr>
          </w:p>
        </w:tc>
      </w:tr>
      <w:tr>
        <w:trPr>
          <w:trHeight w:val="47"/>
        </w:trPr>
        <w:tc>
          <w:tcPr>
            <w:tcW w:w="2200" w:type="dxa"/>
            <w:vAlign w:val="bottom"/>
            <w:tcBorders>
              <w:left w:val="single" w:sz="8" w:color="auto"/>
              <w:right w:val="single" w:sz="8" w:color="auto"/>
            </w:tcBorders>
          </w:tcPr>
          <w:p>
            <w:pPr>
              <w:spacing w:after="0"/>
              <w:rPr>
                <w:sz w:val="4"/>
                <w:szCs w:val="4"/>
                <w:color w:val="auto"/>
              </w:rPr>
            </w:pPr>
          </w:p>
        </w:tc>
        <w:tc>
          <w:tcPr>
            <w:tcW w:w="220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52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20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7"/>
                <w:szCs w:val="17"/>
                <w:color w:val="auto"/>
              </w:rPr>
              <w:t>Chronic kidney disease</w:t>
            </w:r>
          </w:p>
        </w:tc>
        <w:tc>
          <w:tcPr>
            <w:tcW w:w="162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Phase III</w:t>
            </w:r>
          </w:p>
        </w:tc>
        <w:tc>
          <w:tcPr>
            <w:tcW w:w="5240" w:type="dxa"/>
            <w:vAlign w:val="bottom"/>
            <w:tcBorders>
              <w:right w:val="single" w:sz="8" w:color="auto"/>
            </w:tcBorders>
          </w:tcPr>
          <w:p>
            <w:pPr>
              <w:spacing w:after="0" w:line="181" w:lineRule="exact"/>
              <w:rPr>
                <w:sz w:val="20"/>
                <w:szCs w:val="20"/>
                <w:color w:val="auto"/>
              </w:rPr>
            </w:pPr>
            <w:r>
              <w:rPr>
                <w:rFonts w:ascii="Arial" w:cs="Arial" w:eastAsia="Arial" w:hAnsi="Arial"/>
                <w:sz w:val="17"/>
                <w:szCs w:val="17"/>
                <w:color w:val="auto"/>
              </w:rPr>
              <w:t>the Independent Data Monitoring Committee recommended</w:t>
            </w:r>
          </w:p>
        </w:tc>
        <w:tc>
          <w:tcPr>
            <w:tcW w:w="0" w:type="dxa"/>
            <w:vAlign w:val="bottom"/>
          </w:tcPr>
          <w:p>
            <w:pPr>
              <w:spacing w:after="0"/>
              <w:rPr>
                <w:sz w:val="1"/>
                <w:szCs w:val="1"/>
                <w:color w:val="auto"/>
              </w:rPr>
            </w:pPr>
          </w:p>
        </w:tc>
      </w:tr>
      <w:tr>
        <w:trPr>
          <w:trHeight w:val="226"/>
        </w:trPr>
        <w:tc>
          <w:tcPr>
            <w:tcW w:w="220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stopping the Phase III trial early due to clear positive efficacy.</w:t>
            </w:r>
          </w:p>
        </w:tc>
        <w:tc>
          <w:tcPr>
            <w:tcW w:w="0" w:type="dxa"/>
            <w:vAlign w:val="bottom"/>
          </w:tcPr>
          <w:p>
            <w:pPr>
              <w:spacing w:after="0"/>
              <w:rPr>
                <w:sz w:val="1"/>
                <w:szCs w:val="1"/>
                <w:color w:val="auto"/>
              </w:rPr>
            </w:pPr>
          </w:p>
        </w:tc>
      </w:tr>
      <w:tr>
        <w:trPr>
          <w:trHeight w:val="97"/>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Immunology</w:t>
            </w:r>
          </w:p>
        </w:tc>
        <w:tc>
          <w:tcPr>
            <w:tcW w:w="2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Alopecia areata</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Approved</w:t>
            </w:r>
          </w:p>
        </w:tc>
        <w:tc>
          <w:tcPr>
            <w:tcW w:w="5240" w:type="dxa"/>
            <w:vAlign w:val="bottom"/>
            <w:tcBorders>
              <w:right w:val="single" w:sz="8" w:color="auto"/>
            </w:tcBorders>
          </w:tcPr>
          <w:p>
            <w:pPr>
              <w:spacing w:after="0" w:line="161" w:lineRule="exact"/>
              <w:rPr>
                <w:sz w:val="20"/>
                <w:szCs w:val="20"/>
                <w:color w:val="auto"/>
              </w:rPr>
            </w:pPr>
            <w:r>
              <w:rPr>
                <w:rFonts w:ascii="Arial" w:cs="Arial" w:eastAsia="Arial" w:hAnsi="Arial"/>
                <w:sz w:val="17"/>
                <w:szCs w:val="17"/>
                <w:color w:val="auto"/>
              </w:rPr>
              <w:t>Approved in the U.S., Europe and Japan in the second quarter of</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vMerge w:val="restart"/>
          </w:tcPr>
          <w:p>
            <w:pPr>
              <w:ind w:left="40"/>
              <w:spacing w:after="0" w:line="232" w:lineRule="exact"/>
              <w:rPr>
                <w:sz w:val="20"/>
                <w:szCs w:val="20"/>
                <w:color w:val="auto"/>
              </w:rPr>
            </w:pPr>
            <w:r>
              <w:rPr>
                <w:rFonts w:ascii="Arial" w:cs="Arial" w:eastAsia="Arial" w:hAnsi="Arial"/>
                <w:sz w:val="17"/>
                <w:szCs w:val="17"/>
                <w:color w:val="auto"/>
              </w:rPr>
              <w:t>Baricitinib (Olumiant</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w:t>
            </w:r>
          </w:p>
        </w:tc>
        <w:tc>
          <w:tcPr>
            <w:tcW w:w="22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88"/>
        </w:trPr>
        <w:tc>
          <w:tcPr>
            <w:tcW w:w="220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COVID-19</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Approved</w:t>
            </w: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Approved in the U.S. in the second quarter of 2022.</w:t>
            </w:r>
          </w:p>
        </w:tc>
        <w:tc>
          <w:tcPr>
            <w:tcW w:w="0" w:type="dxa"/>
            <w:vAlign w:val="bottom"/>
          </w:tcPr>
          <w:p>
            <w:pPr>
              <w:spacing w:after="0"/>
              <w:rPr>
                <w:sz w:val="1"/>
                <w:szCs w:val="1"/>
                <w:color w:val="auto"/>
              </w:rPr>
            </w:pPr>
          </w:p>
        </w:tc>
      </w:tr>
      <w:tr>
        <w:trPr>
          <w:trHeight w:val="218"/>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Oncology</w:t>
            </w:r>
          </w:p>
        </w:tc>
        <w:tc>
          <w:tcPr>
            <w:tcW w:w="2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tcBorders>
              <w:left w:val="single" w:sz="8" w:color="auto"/>
              <w:bottom w:val="single" w:sz="8" w:color="auto"/>
              <w:right w:val="single" w:sz="8" w:color="auto"/>
            </w:tcBorders>
          </w:tcPr>
          <w:p>
            <w:pPr>
              <w:ind w:left="40"/>
              <w:spacing w:after="0" w:line="239" w:lineRule="exact"/>
              <w:rPr>
                <w:sz w:val="20"/>
                <w:szCs w:val="20"/>
                <w:color w:val="auto"/>
              </w:rPr>
            </w:pPr>
            <w:r>
              <w:rPr>
                <w:rFonts w:ascii="Arial" w:cs="Arial" w:eastAsia="Arial" w:hAnsi="Arial"/>
                <w:sz w:val="17"/>
                <w:szCs w:val="17"/>
                <w:color w:val="auto"/>
              </w:rPr>
              <w:t>Abemaciclib (Verzenio</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Prostate cancer</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III</w:t>
            </w: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Phase III trials are ongoing.</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40" w:hanging="137"/>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Fast Track designation is designed to expedite the development and review of new therapies to treat serious conditions and address unmet medical needs.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We depend on patents or other forms of intellectual property protection for most of our revenue, cash flows, and earnings.</w:t>
      </w:r>
    </w:p>
    <w:p>
      <w:pPr>
        <w:spacing w:after="0" w:line="115"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In June 2021, our vitamin regimen patents for Alimta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expired worldwide. Following the loss of patent exclusivity in major European countries and Japan, we faced, and remain exposed to, generic competition which has rapidly and severely eroded revenue and is likely to continue to erode revenue from current levels. In addition, as a result of the entry of multiple generics in the U.S. following the loss of pediatric exclusivity in May 2022, we began facing, and remain exposed to, additional generic competition which has eroded revenue and is likely to continue to rapidly and severely erode revenue from current levels. This decline in revenue has had and will have a material adverse effect on our consolidated results of operations and cash flows. See Note 9 to the consolidated condensed financial statements for a description of legal proceedings currently pending regarding certain of our patents.</w:t>
      </w:r>
    </w:p>
    <w:p>
      <w:pPr>
        <w:spacing w:after="0" w:line="83"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compound patent for Humalog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(insulin lispro) has expired in major markets. Global regulators have different legal pathways to approve similar versions of insulin lispro. A competitor has a similar version of insulin lispro in the U.S. and in certain European markets. While it is difficult to estimate the severity of the impact of insulin lispro products entering the market, we have not experienced a rapid and severe decline in revenue. However, due to the impact of competition and pricing pressure in the U.S. and some international markets, we expect lower revenue due to some realized price decline and loss of market share to continue over time.</w:t>
      </w:r>
    </w:p>
    <w:p>
      <w:pPr>
        <w:spacing w:after="0" w:line="81"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Our formulation and use patents for Forteo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have expired in major markets. We expect further decline in revenue as a result of the entry of generic and biosimilar competition due to the loss of patent exclusivity in major markets.</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41" w:name="page42"/>
    <w:bookmarkEnd w:id="41"/>
    <w:p>
      <w:pPr>
        <w:spacing w:after="0"/>
        <w:rPr>
          <w:sz w:val="20"/>
          <w:szCs w:val="20"/>
          <w:color w:val="auto"/>
        </w:rPr>
      </w:pPr>
      <w:r>
        <w:rPr>
          <w:rFonts w:ascii="Arial" w:cs="Arial" w:eastAsia="Arial" w:hAnsi="Arial"/>
          <w:sz w:val="17"/>
          <w:szCs w:val="17"/>
          <w:i w:val="1"/>
          <w:iCs w:val="1"/>
          <w:color w:val="auto"/>
        </w:rPr>
        <w:t>Foreign Currency Exchange Rates</w:t>
      </w:r>
    </w:p>
    <w:p>
      <w:pPr>
        <w:spacing w:after="0" w:line="11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During the three and six months ended June 30, 2022, revenue was unfavorably impacted by 3 percent due to foreign exchange rates. While there is uncertainty in the future movements in foreign exchange rates, fluctuations in these rates have and in the future could adversely impact our future consolidated results of operations and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Trends Affecting Pharmaceutical Pricing, Reimbursement, and Access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Global concern over access to and affordability of pharmaceutical products continues to drive regulatory and legislative debate, as well as worldwide cost containment efforts by governmental authorities. Such measures may include the use of mandated discounts, price reporting requirements, mandated reference prices, restrictive formularies, changes to available intellectual property protections, as well as other efforts. Additional policies, regulations, legislation, or enforcement, including those proposed and/or pursued by the U.S. Congress and executive branch of the administration and other regulatory authorities worldwide, could adversely impact our business and consolidated results of operations. For example, pending legislation in the U.S. could result in government negotiation of the price of some of our medicines. In addition, consolidation of private payors in the U.S. has significantly impacted the market for pharmaceuticals by increasing payor leverage in negotiating manufacturer price concessions and pharmacy reimbursement rates. Furthermore, restrictive or unfavorable pricing, coverage, or reimbursement determinations for our medicines or product candidates by governments, regulatory agencies, courts, or private payers, such as the Centers for Medicare &amp; Medicaid Services' recently released National Coverage Determination for monoclonal antibodies for the treatment of Alzheimer's Disease, may adversely impact our business and financial results. We expect that these actions may intensify and could particularly affect certain products, such as insulin, as governments manage and emerge from the COVID-19 pandemic, which could adversely affect our business. In addition, we are engaged in litigation and investigations related to our 340B program and access to insulin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evolving regulatory priorities have intensified governmental scrutiny of our operations and our industry, including with respect to current Good Manufacturing Practices, quality assurance, and similar regulations, and increased focus on business combinations in our industry. Any regulatory issues concerning these matters could lead to regulatory and legal actions, product recalls and seizures, fines and penalties, interruption of production leading to product shortages, import bans or denials of import certifications, delays or denials in the approvals of new products or supplemental approvals of current products pending resolution of the issues, impediments to the completion of business combinations, and reputational harm, any of which would adversely affect our business.</w:t>
      </w:r>
    </w:p>
    <w:p>
      <w:pPr>
        <w:spacing w:after="0" w:line="68" w:lineRule="exact"/>
        <w:rPr>
          <w:sz w:val="20"/>
          <w:szCs w:val="20"/>
          <w:color w:val="auto"/>
        </w:rPr>
      </w:pPr>
    </w:p>
    <w:p>
      <w:pPr>
        <w:ind w:right="1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See "Business - Regulations and Private Payer Actions Affecting Pharmaceutical Pricing, Reimbursement, and Access" in Part I, Item 1 and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See also Note 9 to the consolidated condensed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Matters</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In 2017, the U.S. enacted the Tax Cuts and Jobs Act (the 2017 Tax Act), which contains a provision that requires capitalization and amortization of research and development expenses for tax purposes starting in 2022. Previously, these expenses could be deducted in the year incurred. The implementation of this provision has increased, and is expected to continue to increase, our 2022 cash payments of income taxes and subsequently decrease our cash payments of income taxes moderately over the five-year amortization period. We expect the implementation of this provision to impact our 2022 cash payments of income taxes by up to $1.50 billion. For the three and six months ended June 30, 2022, the implementation of this provision favorably impacted other tax items that decreased our effective tax rate by approximately 4 percentage points. If this provision of the 2017 Tax Act is deferred or repealed by the U.S. Congress effective for 2022, we expect our effective tax rate to be approximately 13 percent to 14 percent for 2022.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2" w:name="page43"/>
    <w:bookmarkEnd w:id="42"/>
    <w:p>
      <w:pPr>
        <w:spacing w:after="0" w:line="260" w:lineRule="auto"/>
        <w:rPr>
          <w:sz w:val="20"/>
          <w:szCs w:val="20"/>
          <w:color w:val="auto"/>
        </w:rPr>
      </w:pPr>
      <w:r>
        <w:rPr>
          <w:rFonts w:ascii="Arial" w:cs="Arial" w:eastAsia="Arial" w:hAnsi="Arial"/>
          <w:sz w:val="17"/>
          <w:szCs w:val="17"/>
          <w:color w:val="auto"/>
        </w:rPr>
        <w:t>The U.S. and countries around the world are actively considering and enacting tax law changes. Tax proposals introduced by the U.S. Congress and presidential administration contain significant changes, including increases to the tax rates at which both domestic and foreign income of U.S. companies would be taxed. In addition, tax authorities in the U.S. and other jurisdictions in which we do business routinely examine our tax returns and are intensifying their scrutiny and examinations of profit allocations among jurisdictions. Further, actions taken with respect to tax-related matters by associations such as the Organisation for Economic Co-operation and Development and the European Commission could influence tax laws in countries in which we operate. Changes to existing tax law and increased scrutiny by tax authorities in the U.S. and other jurisdictions could adversely impact our future consolidated results of operations and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Acquisitions</w:t>
      </w:r>
    </w:p>
    <w:p>
      <w:pPr>
        <w:spacing w:after="0" w:line="115"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We opportunistically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our pipeline and strengthen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See Note 3 to the consolidated condensed financial statements for further discussion regarding our recent acquisitions.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activity by region: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1"/>
                <w:szCs w:val="11"/>
                <w:color w:val="auto"/>
              </w:rPr>
            </w:pPr>
          </w:p>
        </w:tc>
        <w:tc>
          <w:tcPr>
            <w:tcW w:w="112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940" w:type="dxa"/>
            <w:vAlign w:val="bottom"/>
          </w:tcPr>
          <w:p>
            <w:pPr>
              <w:ind w:left="280"/>
              <w:spacing w:after="0" w:line="127" w:lineRule="exact"/>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1"/>
                <w:szCs w:val="11"/>
                <w:color w:val="auto"/>
              </w:rPr>
            </w:pPr>
          </w:p>
        </w:tc>
        <w:tc>
          <w:tcPr>
            <w:tcW w:w="116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1"/>
                <w:szCs w:val="11"/>
                <w:color w:val="auto"/>
              </w:rPr>
            </w:pPr>
          </w:p>
        </w:tc>
        <w:tc>
          <w:tcPr>
            <w:tcW w:w="112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ind w:left="280"/>
              <w:spacing w:after="0" w:line="127"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7"/>
        </w:trPr>
        <w:tc>
          <w:tcPr>
            <w:tcW w:w="3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3,934.8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3,704.2</w:t>
            </w:r>
          </w:p>
        </w:tc>
        <w:tc>
          <w:tcPr>
            <w:tcW w:w="940" w:type="dxa"/>
            <w:vAlign w:val="bottom"/>
            <w:shd w:val="clear" w:color="auto" w:fill="CCEEFF"/>
          </w:tcPr>
          <w:p>
            <w:pPr>
              <w:jc w:val="center"/>
              <w:ind w:left="41"/>
              <w:spacing w:after="0"/>
              <w:rPr>
                <w:sz w:val="20"/>
                <w:szCs w:val="20"/>
                <w:color w:val="auto"/>
              </w:rPr>
            </w:pPr>
            <w:r>
              <w:rPr>
                <w:rFonts w:ascii="Arial" w:cs="Arial" w:eastAsia="Arial" w:hAnsi="Arial"/>
                <w:sz w:val="17"/>
                <w:szCs w:val="17"/>
                <w:color w:val="auto"/>
              </w:rPr>
              <w:t>6</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9,109.4</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7,645.5</w:t>
            </w:r>
          </w:p>
        </w:tc>
        <w:tc>
          <w:tcPr>
            <w:tcW w:w="960" w:type="dxa"/>
            <w:vAlign w:val="bottom"/>
            <w:shd w:val="clear" w:color="auto" w:fill="CCEEFF"/>
          </w:tcPr>
          <w:p>
            <w:pPr>
              <w:jc w:val="center"/>
              <w:ind w:left="41"/>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Outside U.S.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2,553.3</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3,035.9</w:t>
            </w:r>
          </w:p>
        </w:tc>
        <w:tc>
          <w:tcPr>
            <w:tcW w:w="940" w:type="dxa"/>
            <w:vAlign w:val="bottom"/>
            <w:tcBorders>
              <w:bottom w:val="single" w:sz="8" w:color="CCEEFF"/>
            </w:tcBorders>
          </w:tcPr>
          <w:p>
            <w:pPr>
              <w:jc w:val="center"/>
              <w:ind w:left="41"/>
              <w:spacing w:after="0"/>
              <w:rPr>
                <w:sz w:val="20"/>
                <w:szCs w:val="20"/>
                <w:color w:val="auto"/>
              </w:rPr>
            </w:pPr>
            <w:r>
              <w:rPr>
                <w:rFonts w:ascii="Arial" w:cs="Arial" w:eastAsia="Arial" w:hAnsi="Arial"/>
                <w:sz w:val="17"/>
                <w:szCs w:val="17"/>
                <w:color w:val="auto"/>
                <w:w w:val="99"/>
              </w:rPr>
              <w:t>(16)</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5,188.7</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5,900.2</w:t>
            </w:r>
          </w:p>
        </w:tc>
        <w:tc>
          <w:tcPr>
            <w:tcW w:w="960" w:type="dxa"/>
            <w:vAlign w:val="bottom"/>
            <w:tcBorders>
              <w:bottom w:val="single" w:sz="8" w:color="CCEEFF"/>
            </w:tcBorders>
          </w:tcPr>
          <w:p>
            <w:pPr>
              <w:jc w:val="center"/>
              <w:ind w:left="41"/>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6,488.0</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6,740.1</w:t>
            </w:r>
          </w:p>
        </w:tc>
        <w:tc>
          <w:tcPr>
            <w:tcW w:w="94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7"/>
                <w:szCs w:val="17"/>
                <w:color w:val="auto"/>
              </w:rPr>
              <w:t>(4)</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14,298.0</w:t>
            </w:r>
          </w:p>
        </w:tc>
        <w:tc>
          <w:tcPr>
            <w:tcW w:w="4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13,545.7</w:t>
            </w:r>
          </w:p>
        </w:tc>
        <w:tc>
          <w:tcPr>
            <w:tcW w:w="96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components of the change in revenue compared with the prior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80" w:type="dxa"/>
            <w:vAlign w:val="bottom"/>
            <w:gridSpan w:val="3"/>
          </w:tcPr>
          <w:p>
            <w:pPr>
              <w:jc w:val="right"/>
              <w:ind w:right="1317"/>
              <w:spacing w:after="0"/>
              <w:rPr>
                <w:sz w:val="20"/>
                <w:szCs w:val="20"/>
                <w:color w:val="auto"/>
              </w:rPr>
            </w:pPr>
            <w:r>
              <w:rPr>
                <w:rFonts w:ascii="Arial" w:cs="Arial" w:eastAsia="Arial" w:hAnsi="Arial"/>
                <w:sz w:val="14"/>
                <w:szCs w:val="14"/>
                <w:b w:val="1"/>
                <w:bCs w:val="1"/>
                <w:color w:val="auto"/>
              </w:rPr>
              <w:t>Three Months Ended June 30,</w:t>
            </w:r>
          </w:p>
        </w:tc>
        <w:tc>
          <w:tcPr>
            <w:tcW w:w="27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Pr>
          <w:p>
            <w:pPr>
              <w:spacing w:after="0"/>
              <w:rPr>
                <w:sz w:val="16"/>
                <w:szCs w:val="16"/>
                <w:color w:val="auto"/>
              </w:rPr>
            </w:pPr>
          </w:p>
        </w:tc>
      </w:tr>
      <w:tr>
        <w:trPr>
          <w:trHeight w:val="195"/>
        </w:trPr>
        <w:tc>
          <w:tcPr>
            <w:tcW w:w="2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 vs. 2021</w:t>
            </w:r>
          </w:p>
        </w:tc>
        <w:tc>
          <w:tcPr>
            <w:tcW w:w="1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 vs. 2021</w:t>
            </w:r>
          </w:p>
        </w:tc>
        <w:tc>
          <w:tcPr>
            <w:tcW w:w="1160" w:type="dxa"/>
            <w:vAlign w:val="bottom"/>
            <w:tcBorders>
              <w:bottom w:val="single" w:sz="8" w:color="auto"/>
            </w:tcBorders>
          </w:tcPr>
          <w:p>
            <w:pPr>
              <w:spacing w:after="0"/>
              <w:rPr>
                <w:sz w:val="16"/>
                <w:szCs w:val="16"/>
                <w:color w:val="auto"/>
              </w:rPr>
            </w:pPr>
          </w:p>
        </w:tc>
      </w:tr>
      <w:tr>
        <w:trPr>
          <w:trHeight w:val="187"/>
        </w:trPr>
        <w:tc>
          <w:tcPr>
            <w:tcW w:w="28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U.S.</w:t>
            </w: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Outside U.S.</w:t>
            </w:r>
          </w:p>
        </w:tc>
        <w:tc>
          <w:tcPr>
            <w:tcW w:w="16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Consolidated</w:t>
            </w: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U.S.</w:t>
            </w:r>
          </w:p>
        </w:tc>
        <w:tc>
          <w:tcPr>
            <w:tcW w:w="15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Outside U.S.</w:t>
            </w:r>
          </w:p>
        </w:tc>
        <w:tc>
          <w:tcPr>
            <w:tcW w:w="11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Consolidated</w:t>
            </w: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Volume</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14 %</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5 %</w:t>
            </w:r>
          </w:p>
        </w:tc>
        <w:tc>
          <w:tcPr>
            <w:tcW w:w="162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10 %</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23 %</w:t>
            </w:r>
          </w:p>
        </w:tc>
        <w:tc>
          <w:tcPr>
            <w:tcW w:w="15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5 %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20"/>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Price</w:t>
            </w:r>
          </w:p>
        </w:tc>
        <w:tc>
          <w:tcPr>
            <w:tcW w:w="600" w:type="dxa"/>
            <w:vAlign w:val="bottom"/>
          </w:tcPr>
          <w:p>
            <w:pPr>
              <w:jc w:val="right"/>
              <w:ind w:right="237"/>
              <w:spacing w:after="0"/>
              <w:rPr>
                <w:sz w:val="20"/>
                <w:szCs w:val="20"/>
                <w:color w:val="auto"/>
              </w:rPr>
            </w:pPr>
            <w:r>
              <w:rPr>
                <w:rFonts w:ascii="Arial" w:cs="Arial" w:eastAsia="Arial" w:hAnsi="Arial"/>
                <w:sz w:val="17"/>
                <w:szCs w:val="17"/>
                <w:color w:val="auto"/>
              </w:rPr>
              <w:t>(8)</w:t>
            </w:r>
          </w:p>
        </w:tc>
        <w:tc>
          <w:tcPr>
            <w:tcW w:w="1360" w:type="dxa"/>
            <w:vAlign w:val="bottom"/>
          </w:tcPr>
          <w:p>
            <w:pPr>
              <w:jc w:val="right"/>
              <w:ind w:right="220"/>
              <w:spacing w:after="0"/>
              <w:rPr>
                <w:sz w:val="20"/>
                <w:szCs w:val="20"/>
                <w:color w:val="auto"/>
              </w:rPr>
            </w:pPr>
            <w:r>
              <w:rPr>
                <w:rFonts w:ascii="Arial" w:cs="Arial" w:eastAsia="Arial" w:hAnsi="Arial"/>
                <w:sz w:val="17"/>
                <w:szCs w:val="17"/>
                <w:color w:val="auto"/>
              </w:rPr>
              <w:t>(14)</w:t>
            </w:r>
          </w:p>
        </w:tc>
        <w:tc>
          <w:tcPr>
            <w:tcW w:w="1620" w:type="dxa"/>
            <w:vAlign w:val="bottom"/>
          </w:tcPr>
          <w:p>
            <w:pPr>
              <w:jc w:val="right"/>
              <w:ind w:right="417"/>
              <w:spacing w:after="0"/>
              <w:rPr>
                <w:sz w:val="20"/>
                <w:szCs w:val="20"/>
                <w:color w:val="auto"/>
              </w:rPr>
            </w:pPr>
            <w:r>
              <w:rPr>
                <w:rFonts w:ascii="Arial" w:cs="Arial" w:eastAsia="Arial" w:hAnsi="Arial"/>
                <w:sz w:val="17"/>
                <w:szCs w:val="17"/>
                <w:color w:val="auto"/>
              </w:rPr>
              <w:t>(11)</w:t>
            </w:r>
          </w:p>
        </w:tc>
        <w:tc>
          <w:tcPr>
            <w:tcW w:w="1260" w:type="dxa"/>
            <w:vAlign w:val="bottom"/>
          </w:tcPr>
          <w:p>
            <w:pPr>
              <w:jc w:val="right"/>
              <w:ind w:right="240"/>
              <w:spacing w:after="0"/>
              <w:rPr>
                <w:sz w:val="20"/>
                <w:szCs w:val="20"/>
                <w:color w:val="auto"/>
              </w:rPr>
            </w:pPr>
            <w:r>
              <w:rPr>
                <w:rFonts w:ascii="Arial" w:cs="Arial" w:eastAsia="Arial" w:hAnsi="Arial"/>
                <w:sz w:val="17"/>
                <w:szCs w:val="17"/>
                <w:color w:val="auto"/>
              </w:rPr>
              <w:t>(4)</w:t>
            </w:r>
          </w:p>
        </w:tc>
        <w:tc>
          <w:tcPr>
            <w:tcW w:w="1520" w:type="dxa"/>
            <w:vAlign w:val="bottom"/>
          </w:tcPr>
          <w:p>
            <w:pPr>
              <w:jc w:val="right"/>
              <w:ind w:right="380"/>
              <w:spacing w:after="0"/>
              <w:rPr>
                <w:sz w:val="20"/>
                <w:szCs w:val="20"/>
                <w:color w:val="auto"/>
              </w:rPr>
            </w:pPr>
            <w:r>
              <w:rPr>
                <w:rFonts w:ascii="Arial" w:cs="Arial" w:eastAsia="Arial" w:hAnsi="Arial"/>
                <w:sz w:val="17"/>
                <w:szCs w:val="17"/>
                <w:color w:val="auto"/>
              </w:rPr>
              <w:t>(11)</w:t>
            </w:r>
          </w:p>
        </w:tc>
        <w:tc>
          <w:tcPr>
            <w:tcW w:w="1160" w:type="dxa"/>
            <w:vAlign w:val="bottom"/>
          </w:tcPr>
          <w:p>
            <w:pPr>
              <w:jc w:val="right"/>
              <w:ind w:right="97"/>
              <w:spacing w:after="0"/>
              <w:rPr>
                <w:sz w:val="20"/>
                <w:szCs w:val="20"/>
                <w:color w:val="auto"/>
              </w:rPr>
            </w:pPr>
            <w:r>
              <w:rPr>
                <w:rFonts w:ascii="Arial" w:cs="Arial" w:eastAsia="Arial" w:hAnsi="Arial"/>
                <w:sz w:val="17"/>
                <w:szCs w:val="17"/>
                <w:color w:val="auto"/>
              </w:rPr>
              <w:t>(7)</w:t>
            </w:r>
          </w:p>
        </w:tc>
      </w:tr>
      <w:tr>
        <w:trPr>
          <w:trHeight w:val="220"/>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rates</w:t>
            </w: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162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7"/>
                <w:szCs w:val="17"/>
                <w:color w:val="auto"/>
              </w:rPr>
              <w:t>(3)</w:t>
            </w:r>
          </w:p>
        </w:tc>
        <w:tc>
          <w:tcPr>
            <w:tcW w:w="12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7"/>
                <w:szCs w:val="17"/>
                <w:color w:val="auto"/>
              </w:rPr>
              <w:t>(6)</w:t>
            </w: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(3)</w:t>
            </w:r>
          </w:p>
        </w:tc>
      </w:tr>
      <w:tr>
        <w:trPr>
          <w:trHeight w:val="218"/>
        </w:trPr>
        <w:tc>
          <w:tcPr>
            <w:tcW w:w="2860" w:type="dxa"/>
            <w:vAlign w:val="bottom"/>
          </w:tcPr>
          <w:p>
            <w:pPr>
              <w:ind w:left="20"/>
              <w:spacing w:after="0"/>
              <w:rPr>
                <w:sz w:val="20"/>
                <w:szCs w:val="20"/>
                <w:color w:val="auto"/>
              </w:rPr>
            </w:pPr>
            <w:r>
              <w:rPr>
                <w:rFonts w:ascii="Arial" w:cs="Arial" w:eastAsia="Arial" w:hAnsi="Arial"/>
                <w:sz w:val="17"/>
                <w:szCs w:val="17"/>
                <w:color w:val="auto"/>
              </w:rPr>
              <w:t>Percent change</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6 %</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(16)%</w:t>
            </w:r>
          </w:p>
        </w:tc>
        <w:tc>
          <w:tcPr>
            <w:tcW w:w="162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(4)%</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19 %</w:t>
            </w:r>
          </w:p>
        </w:tc>
        <w:tc>
          <w:tcPr>
            <w:tcW w:w="1520" w:type="dxa"/>
            <w:vAlign w:val="bottom"/>
            <w:tcBorders>
              <w:bottom w:val="single" w:sz="8" w:color="auto"/>
            </w:tcBorders>
          </w:tcPr>
          <w:p>
            <w:pPr>
              <w:jc w:val="right"/>
              <w:ind w:right="200"/>
              <w:spacing w:after="0"/>
              <w:rPr>
                <w:sz w:val="20"/>
                <w:szCs w:val="20"/>
                <w:color w:val="auto"/>
              </w:rPr>
            </w:pPr>
            <w:r>
              <w:rPr>
                <w:rFonts w:ascii="Arial" w:cs="Arial" w:eastAsia="Arial" w:hAnsi="Arial"/>
                <w:sz w:val="17"/>
                <w:szCs w:val="17"/>
                <w:color w:val="auto"/>
              </w:rPr>
              <w:t>(12)%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6 %</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1"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In the U.S. for the three and six months ended June 30, 2022, the increase in volume was primarily driven by COVID-19 antibodies, Trulicity, Verzenio, Jardiance, and Taltz</w:t>
      </w:r>
      <w:r>
        <w:rPr>
          <w:rFonts w:ascii="Arial" w:cs="Arial" w:eastAsia="Arial" w:hAnsi="Arial"/>
          <w:sz w:val="22"/>
          <w:szCs w:val="22"/>
          <w:color w:val="auto"/>
          <w:vertAlign w:val="superscript"/>
        </w:rPr>
        <w:t>®</w:t>
      </w:r>
      <w:r>
        <w:rPr>
          <w:rFonts w:ascii="Arial" w:cs="Arial" w:eastAsia="Arial" w:hAnsi="Arial"/>
          <w:sz w:val="17"/>
          <w:szCs w:val="17"/>
          <w:color w:val="auto"/>
        </w:rPr>
        <w:t>, partially offset by decreased volume for Alimta resulting from the entry of generic competition. In the U.S. for the three months ended June 30, 2022, the decrease in realized prices was primarily driven by Humalog, due to unfavorable segment mix, as more highly rebated segments made up a larger portion of the business, and a list price reduction of insulin lispro injection; Alimta and Forteo, due to higher contracted rebates and unfavorable segment mix; and Taltz, due to changes to estimates for rebates and discounts and unfavorable segment mix. In the U.S. for the six months ended June 30, 2022, the lower realized prices were primarily driven by Humalog, due to a list price reduction of insulin lispro injection, and Trulicity and Basaglar</w:t>
      </w:r>
      <w:r>
        <w:rPr>
          <w:rFonts w:ascii="Arial" w:cs="Arial" w:eastAsia="Arial" w:hAnsi="Arial"/>
          <w:sz w:val="22"/>
          <w:szCs w:val="22"/>
          <w:color w:val="auto"/>
          <w:vertAlign w:val="superscript"/>
        </w:rPr>
        <w:t>®</w:t>
      </w:r>
      <w:r>
        <w:rPr>
          <w:rFonts w:ascii="Arial" w:cs="Arial" w:eastAsia="Arial" w:hAnsi="Arial"/>
          <w:sz w:val="17"/>
          <w:szCs w:val="17"/>
          <w:color w:val="auto"/>
        </w:rPr>
        <w:t>, due to higher contracted rebates and unfavorable segment mix.</w:t>
      </w:r>
    </w:p>
    <w:p>
      <w:pPr>
        <w:spacing w:after="0" w:line="8" w:lineRule="exact"/>
        <w:rPr>
          <w:sz w:val="20"/>
          <w:szCs w:val="20"/>
          <w:color w:val="auto"/>
        </w:rPr>
      </w:pPr>
    </w:p>
    <w:p>
      <w:pPr>
        <w:ind w:right="100"/>
        <w:spacing w:after="0" w:line="220" w:lineRule="auto"/>
        <w:rPr>
          <w:sz w:val="20"/>
          <w:szCs w:val="20"/>
          <w:color w:val="auto"/>
        </w:rPr>
      </w:pPr>
      <w:r>
        <w:rPr>
          <w:rFonts w:ascii="Arial" w:cs="Arial" w:eastAsia="Arial" w:hAnsi="Arial"/>
          <w:sz w:val="17"/>
          <w:szCs w:val="17"/>
          <w:color w:val="auto"/>
        </w:rPr>
        <w:t>Outside the U.S. for the three and six months ended June 30, 2022, the increase in volume was largely driven by Verzenio, Trulicity, Tyvyt</w:t>
      </w:r>
      <w:r>
        <w:rPr>
          <w:rFonts w:ascii="Arial" w:cs="Arial" w:eastAsia="Arial" w:hAnsi="Arial"/>
          <w:sz w:val="22"/>
          <w:szCs w:val="22"/>
          <w:color w:val="auto"/>
          <w:vertAlign w:val="superscript"/>
        </w:rPr>
        <w:t>®</w:t>
      </w:r>
      <w:r>
        <w:rPr>
          <w:rFonts w:ascii="Arial" w:cs="Arial" w:eastAsia="Arial" w:hAnsi="Arial"/>
          <w:sz w:val="17"/>
          <w:szCs w:val="17"/>
          <w:color w:val="auto"/>
        </w:rPr>
        <w:t>, Taltz, and Jardiance, partially offset by Alimta and Cymbalta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resulting from the entry of generic competition, COVID-19 antibodies, and the sale of the rights to Cialis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China in the second quarter of 2021. Outside the U.S. for the three and six months ended June 30, 2022, the decrease in realized prices was primarily driven by the impact of government pricing in China from the National Reimbursement Drug List (NRDL) formulary for certain products, particularly Tyvyt and Verzenio, and volume-based procurement (VBP) for Humalog.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The following table summarizes our revenue activity by product for the three months ended June 30, 2022 and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87"/>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20" w:type="dxa"/>
            <w:vAlign w:val="bottom"/>
          </w:tcPr>
          <w:p>
            <w:pPr>
              <w:spacing w:after="0"/>
              <w:rPr>
                <w:sz w:val="16"/>
                <w:szCs w:val="16"/>
                <w:color w:val="auto"/>
              </w:rPr>
            </w:pPr>
          </w:p>
        </w:tc>
      </w:tr>
      <w:tr>
        <w:trPr>
          <w:trHeight w:val="32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 Change</w:t>
            </w:r>
          </w:p>
        </w:tc>
      </w:tr>
      <w:tr>
        <w:trPr>
          <w:trHeight w:val="213"/>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Trulicity</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1,430.1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481.7</w:t>
            </w:r>
          </w:p>
        </w:tc>
        <w:tc>
          <w:tcPr>
            <w:tcW w:w="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1,911.9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1,535.6</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25</w:t>
            </w: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Taltz</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411.6</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194.7</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569.1</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w w:val="84"/>
              </w:rPr>
              <w:t>7</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Verzenio</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384.3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204.2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72</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Jardiance</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250.7</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210.3</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461.0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356.5</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29</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Humalog</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238.8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208.3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(26)</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Humulin</w:t>
            </w:r>
            <w:r>
              <w:rPr>
                <w:rFonts w:ascii="Arial" w:cs="Arial" w:eastAsia="Arial" w:hAnsi="Arial"/>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202.3</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71.7</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274.0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315.3</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(13)</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Cyramza</w:t>
            </w:r>
            <w:r>
              <w:rPr>
                <w:rFonts w:ascii="Arial" w:cs="Arial" w:eastAsia="Arial" w:hAnsi="Arial"/>
                <w:sz w:val="22"/>
                <w:szCs w:val="22"/>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92.6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138.6</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(14)</w:t>
            </w: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Alimta</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171.7</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56.1</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610.6</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(63)</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Olumiant</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175.8</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2"/>
              </w:rPr>
              <w:t>(11)</w:t>
            </w: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Basaglar</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95.8</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78.4</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210.7</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(17)</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Emgality</w:t>
            </w:r>
            <w:r>
              <w:rPr>
                <w:rFonts w:ascii="Arial" w:cs="Arial" w:eastAsia="Arial" w:hAnsi="Arial"/>
                <w:sz w:val="22"/>
                <w:szCs w:val="22"/>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108.6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48.9</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84"/>
              </w:rPr>
              <w:t>1</w:t>
            </w: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Cialis</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10.8</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136.2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281.0</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(48)</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Erbitux</w:t>
            </w:r>
            <w:r>
              <w:rPr>
                <w:rFonts w:ascii="Arial" w:cs="Arial" w:eastAsia="Arial" w:hAnsi="Arial"/>
                <w:sz w:val="22"/>
                <w:szCs w:val="22"/>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125.1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15.7</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96"/>
              </w:rPr>
              <w:t>(4)</w:t>
            </w: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Forteo</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78.5</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60.0</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218.4</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(37)</w:t>
            </w:r>
          </w:p>
        </w:tc>
      </w:tr>
      <w:tr>
        <w:trPr>
          <w:trHeight w:val="220"/>
        </w:trPr>
        <w:tc>
          <w:tcPr>
            <w:tcW w:w="4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COVID-19 antibodies</w:t>
            </w:r>
            <w:r>
              <w:rPr>
                <w:rFonts w:ascii="Arial" w:cs="Arial" w:eastAsia="Arial" w:hAnsi="Arial"/>
                <w:sz w:val="22"/>
                <w:szCs w:val="22"/>
                <w:color w:val="auto"/>
                <w:vertAlign w:val="superscript"/>
              </w:rPr>
              <w:t>(4)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129.1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(13)</w:t>
            </w:r>
          </w:p>
        </w:tc>
      </w:tr>
      <w:tr>
        <w:trPr>
          <w:trHeight w:val="220"/>
        </w:trPr>
        <w:tc>
          <w:tcPr>
            <w:tcW w:w="4200" w:type="dxa"/>
            <w:vAlign w:val="bottom"/>
          </w:tcPr>
          <w:p>
            <w:pPr>
              <w:ind w:left="20"/>
              <w:spacing w:after="0" w:line="220" w:lineRule="exact"/>
              <w:rPr>
                <w:sz w:val="20"/>
                <w:szCs w:val="20"/>
                <w:color w:val="auto"/>
              </w:rPr>
            </w:pPr>
            <w:r>
              <w:rPr>
                <w:rFonts w:ascii="Arial" w:cs="Arial" w:eastAsia="Arial" w:hAnsi="Arial"/>
                <w:sz w:val="17"/>
                <w:szCs w:val="17"/>
                <w:color w:val="auto"/>
              </w:rPr>
              <w:t>Zyprexa</w:t>
            </w:r>
            <w:r>
              <w:rPr>
                <w:rFonts w:ascii="Arial" w:cs="Arial" w:eastAsia="Arial" w:hAnsi="Arial"/>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8.7</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78.6</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95.4</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w w:val="96"/>
              </w:rPr>
              <w:t>(8)</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Cymbalta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67.4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(57)</w:t>
            </w: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Tyvyt</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b w:val="1"/>
                <w:bCs w:val="1"/>
                <w:color w:val="auto"/>
              </w:rPr>
              <w:t>73.6</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105.0</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rPr>
              <w:t>(30)</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177.6</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253.1</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430.6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388.7</w:t>
            </w:r>
          </w:p>
        </w:tc>
        <w:tc>
          <w:tcPr>
            <w:tcW w:w="14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84"/>
              </w:rPr>
              <w:t>11</w:t>
            </w:r>
          </w:p>
        </w:tc>
      </w:tr>
      <w:tr>
        <w:trPr>
          <w:trHeight w:val="218"/>
        </w:trPr>
        <w:tc>
          <w:tcPr>
            <w:tcW w:w="4200" w:type="dxa"/>
            <w:vAlign w:val="bottom"/>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3,934.8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2,553.3</w:t>
            </w:r>
          </w:p>
        </w:tc>
        <w:tc>
          <w:tcPr>
            <w:tcW w:w="4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6,488.0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6,740.1</w:t>
            </w:r>
          </w:p>
        </w:tc>
        <w:tc>
          <w:tcPr>
            <w:tcW w:w="1420" w:type="dxa"/>
            <w:vAlign w:val="bottom"/>
          </w:tcPr>
          <w:p>
            <w:pPr>
              <w:jc w:val="center"/>
              <w:ind w:left="15"/>
              <w:spacing w:after="0"/>
              <w:rPr>
                <w:sz w:val="20"/>
                <w:szCs w:val="20"/>
                <w:color w:val="auto"/>
              </w:rPr>
            </w:pPr>
            <w:r>
              <w:rPr>
                <w:rFonts w:ascii="Arial" w:cs="Arial" w:eastAsia="Arial" w:hAnsi="Arial"/>
                <w:sz w:val="17"/>
                <w:szCs w:val="17"/>
                <w:color w:val="auto"/>
                <w:w w:val="96"/>
              </w:rPr>
              <w:t>(4)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7" w:lineRule="exact"/>
        <w:rPr>
          <w:sz w:val="20"/>
          <w:szCs w:val="20"/>
          <w:color w:val="auto"/>
        </w:rPr>
      </w:pPr>
    </w:p>
    <w:p>
      <w:pPr>
        <w:ind w:left="140" w:hanging="137"/>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8"/>
          <w:szCs w:val="8"/>
          <w:color w:val="auto"/>
        </w:rPr>
        <w:t>®</w:t>
      </w:r>
      <w:r>
        <w:rPr>
          <w:rFonts w:ascii="Arial" w:cs="Arial" w:eastAsia="Arial" w:hAnsi="Arial"/>
          <w:sz w:val="14"/>
          <w:szCs w:val="14"/>
          <w:color w:val="auto"/>
        </w:rPr>
        <w:t>, Synjardy</w:t>
      </w:r>
      <w:r>
        <w:rPr>
          <w:rFonts w:ascii="Arial" w:cs="Arial" w:eastAsia="Arial" w:hAnsi="Arial"/>
          <w:sz w:val="8"/>
          <w:szCs w:val="8"/>
          <w:color w:val="auto"/>
        </w:rPr>
        <w:t>®</w:t>
      </w:r>
      <w:r>
        <w:rPr>
          <w:rFonts w:ascii="Arial" w:cs="Arial" w:eastAsia="Arial" w:hAnsi="Arial"/>
          <w:sz w:val="14"/>
          <w:szCs w:val="14"/>
          <w:color w:val="auto"/>
        </w:rPr>
        <w:t>, and Trijardy</w:t>
      </w:r>
      <w:r>
        <w:rPr>
          <w:rFonts w:ascii="Arial" w:cs="Arial" w:eastAsia="Arial" w:hAnsi="Arial"/>
          <w:sz w:val="8"/>
          <w:szCs w:val="8"/>
          <w:color w:val="auto"/>
        </w:rPr>
        <w:t>®</w:t>
      </w:r>
      <w:r>
        <w:rPr>
          <w:rFonts w:ascii="Arial" w:cs="Arial" w:eastAsia="Arial" w:hAnsi="Arial"/>
          <w:sz w:val="14"/>
          <w:szCs w:val="14"/>
          <w:color w:val="auto"/>
        </w:rPr>
        <w:t xml:space="preserve"> XR.</w:t>
      </w:r>
    </w:p>
    <w:p>
      <w:pPr>
        <w:spacing w:after="0" w:line="6" w:lineRule="exact"/>
        <w:rPr>
          <w:rFonts w:ascii="Arial" w:cs="Arial" w:eastAsia="Arial" w:hAnsi="Arial"/>
          <w:sz w:val="9"/>
          <w:szCs w:val="9"/>
          <w:color w:val="auto"/>
        </w:rPr>
      </w:pPr>
    </w:p>
    <w:p>
      <w:pPr>
        <w:ind w:left="140" w:hanging="137"/>
        <w:spacing w:after="0" w:line="219"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7"/>
        <w:spacing w:after="0" w:line="219"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that were made pursuant to EUA or similar regulatory authorizations.</w:t>
      </w:r>
    </w:p>
    <w:p>
      <w:pPr>
        <w:ind w:left="160" w:right="60" w:hanging="157"/>
        <w:spacing w:after="0" w:line="243" w:lineRule="auto"/>
        <w:tabs>
          <w:tab w:leader="none" w:pos="139"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The following table summarizes our revenue activity by product for the six months ended June 30, 2022 and 2021:</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7"/>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380" w:type="dxa"/>
            <w:vAlign w:val="bottom"/>
          </w:tcPr>
          <w:p>
            <w:pPr>
              <w:spacing w:after="0"/>
              <w:rPr>
                <w:sz w:val="16"/>
                <w:szCs w:val="16"/>
                <w:color w:val="auto"/>
              </w:rPr>
            </w:pPr>
          </w:p>
        </w:tc>
      </w:tr>
      <w:tr>
        <w:trPr>
          <w:trHeight w:val="342"/>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Trulicity</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2,744.1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909.1</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3,653.2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2,988.1</w:t>
            </w:r>
          </w:p>
        </w:tc>
        <w:tc>
          <w:tcPr>
            <w:tcW w:w="138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22</w:t>
            </w:r>
          </w:p>
        </w:tc>
      </w:tr>
      <w:tr>
        <w:trPr>
          <w:trHeight w:val="220"/>
        </w:trPr>
        <w:tc>
          <w:tcPr>
            <w:tcW w:w="4120" w:type="dxa"/>
            <w:vAlign w:val="bottom"/>
          </w:tcPr>
          <w:p>
            <w:pPr>
              <w:ind w:left="20"/>
              <w:spacing w:after="0" w:line="220" w:lineRule="exact"/>
              <w:rPr>
                <w:sz w:val="20"/>
                <w:szCs w:val="20"/>
                <w:color w:val="auto"/>
              </w:rPr>
            </w:pPr>
            <w:r>
              <w:rPr>
                <w:rFonts w:ascii="Arial" w:cs="Arial" w:eastAsia="Arial" w:hAnsi="Arial"/>
                <w:sz w:val="17"/>
                <w:szCs w:val="17"/>
                <w:color w:val="auto"/>
              </w:rPr>
              <w:t>COVID-19 antibodies</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1,584.3</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14.7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1,598.9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959.1</w:t>
            </w:r>
          </w:p>
        </w:tc>
        <w:tc>
          <w:tcPr>
            <w:tcW w:w="1380" w:type="dxa"/>
            <w:vAlign w:val="bottom"/>
          </w:tcPr>
          <w:p>
            <w:pPr>
              <w:jc w:val="center"/>
              <w:ind w:left="15"/>
              <w:spacing w:after="0"/>
              <w:rPr>
                <w:sz w:val="20"/>
                <w:szCs w:val="20"/>
                <w:color w:val="auto"/>
              </w:rPr>
            </w:pPr>
            <w:r>
              <w:rPr>
                <w:rFonts w:ascii="Arial" w:cs="Arial" w:eastAsia="Arial" w:hAnsi="Arial"/>
                <w:sz w:val="17"/>
                <w:szCs w:val="17"/>
                <w:color w:val="auto"/>
              </w:rPr>
              <w:t>67</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Taltz</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718.8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375.5</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972.4</w:t>
            </w:r>
          </w:p>
        </w:tc>
        <w:tc>
          <w:tcPr>
            <w:tcW w:w="138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13</w:t>
            </w:r>
          </w:p>
        </w:tc>
      </w:tr>
      <w:tr>
        <w:trPr>
          <w:trHeight w:val="220"/>
        </w:trPr>
        <w:tc>
          <w:tcPr>
            <w:tcW w:w="4120" w:type="dxa"/>
            <w:vAlign w:val="bottom"/>
          </w:tcPr>
          <w:p>
            <w:pPr>
              <w:ind w:left="20"/>
              <w:spacing w:after="0" w:line="220" w:lineRule="exact"/>
              <w:rPr>
                <w:sz w:val="20"/>
                <w:szCs w:val="20"/>
                <w:color w:val="auto"/>
              </w:rPr>
            </w:pPr>
            <w:r>
              <w:rPr>
                <w:rFonts w:ascii="Arial" w:cs="Arial" w:eastAsia="Arial" w:hAnsi="Arial"/>
                <w:sz w:val="17"/>
                <w:szCs w:val="17"/>
                <w:color w:val="auto"/>
              </w:rPr>
              <w:t>Humalog</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607.7</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457.6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1,224.6</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(13)</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Verzenio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685.7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372.1</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1,057.9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610.3</w:t>
            </w:r>
          </w:p>
        </w:tc>
        <w:tc>
          <w:tcPr>
            <w:tcW w:w="138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73</w:t>
            </w:r>
          </w:p>
        </w:tc>
      </w:tr>
      <w:tr>
        <w:trPr>
          <w:trHeight w:val="220"/>
        </w:trPr>
        <w:tc>
          <w:tcPr>
            <w:tcW w:w="4120" w:type="dxa"/>
            <w:vAlign w:val="bottom"/>
          </w:tcPr>
          <w:p>
            <w:pPr>
              <w:ind w:left="20"/>
              <w:spacing w:after="0" w:line="220" w:lineRule="exact"/>
              <w:rPr>
                <w:sz w:val="20"/>
                <w:szCs w:val="20"/>
                <w:color w:val="auto"/>
              </w:rPr>
            </w:pPr>
            <w:r>
              <w:rPr>
                <w:rFonts w:ascii="Arial" w:cs="Arial" w:eastAsia="Arial" w:hAnsi="Arial"/>
                <w:sz w:val="17"/>
                <w:szCs w:val="17"/>
                <w:color w:val="auto"/>
              </w:rPr>
              <w:t>Jardiance</w:t>
            </w:r>
            <w:r>
              <w:rPr>
                <w:rFonts w:ascii="Arial" w:cs="Arial" w:eastAsia="Arial" w:hAnsi="Arial"/>
                <w:sz w:val="22"/>
                <w:szCs w:val="22"/>
                <w:color w:val="auto"/>
                <w:vertAlign w:val="superscript"/>
              </w:rPr>
              <w:t>(3)</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480.4</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400.0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668.5</w:t>
            </w:r>
          </w:p>
        </w:tc>
        <w:tc>
          <w:tcPr>
            <w:tcW w:w="1380" w:type="dxa"/>
            <w:vAlign w:val="bottom"/>
          </w:tcPr>
          <w:p>
            <w:pPr>
              <w:jc w:val="center"/>
              <w:ind w:left="15"/>
              <w:spacing w:after="0"/>
              <w:rPr>
                <w:sz w:val="20"/>
                <w:szCs w:val="20"/>
                <w:color w:val="auto"/>
              </w:rPr>
            </w:pPr>
            <w:r>
              <w:rPr>
                <w:rFonts w:ascii="Arial" w:cs="Arial" w:eastAsia="Arial" w:hAnsi="Arial"/>
                <w:sz w:val="17"/>
                <w:szCs w:val="17"/>
                <w:color w:val="auto"/>
              </w:rPr>
              <w:t>32</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Alimta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425.9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145.8</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1,169.6</w:t>
            </w: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(51)</w:t>
            </w:r>
          </w:p>
        </w:tc>
      </w:tr>
      <w:tr>
        <w:trPr>
          <w:trHeight w:val="220"/>
        </w:trPr>
        <w:tc>
          <w:tcPr>
            <w:tcW w:w="4120" w:type="dxa"/>
            <w:vAlign w:val="bottom"/>
          </w:tcPr>
          <w:p>
            <w:pPr>
              <w:ind w:left="20"/>
              <w:spacing w:after="0"/>
              <w:rPr>
                <w:sz w:val="20"/>
                <w:szCs w:val="20"/>
                <w:color w:val="auto"/>
              </w:rPr>
            </w:pPr>
            <w:r>
              <w:rPr>
                <w:rFonts w:ascii="Arial" w:cs="Arial" w:eastAsia="Arial" w:hAnsi="Arial"/>
                <w:sz w:val="17"/>
                <w:szCs w:val="17"/>
                <w:color w:val="auto"/>
              </w:rPr>
              <w:t>Humulin</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392.8</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154.5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637.0</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(14)</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Cyramza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171.8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289.7</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509.2</w:t>
            </w: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r>
      <w:tr>
        <w:trPr>
          <w:trHeight w:val="220"/>
        </w:trPr>
        <w:tc>
          <w:tcPr>
            <w:tcW w:w="4120" w:type="dxa"/>
            <w:vAlign w:val="bottom"/>
          </w:tcPr>
          <w:p>
            <w:pPr>
              <w:ind w:left="20"/>
              <w:spacing w:after="0" w:line="220" w:lineRule="exact"/>
              <w:rPr>
                <w:sz w:val="20"/>
                <w:szCs w:val="20"/>
                <w:color w:val="auto"/>
              </w:rPr>
            </w:pPr>
            <w:r>
              <w:rPr>
                <w:rFonts w:ascii="Arial" w:cs="Arial" w:eastAsia="Arial" w:hAnsi="Arial"/>
                <w:sz w:val="17"/>
                <w:szCs w:val="17"/>
                <w:color w:val="auto"/>
              </w:rPr>
              <w:t>Olumiant</w:t>
            </w:r>
            <w:r>
              <w:rPr>
                <w:rFonts w:ascii="Arial" w:cs="Arial" w:eastAsia="Arial" w:hAnsi="Arial"/>
                <w:sz w:val="22"/>
                <w:szCs w:val="22"/>
                <w:color w:val="auto"/>
                <w:vertAlign w:val="superscript"/>
              </w:rPr>
              <w:t>(4)</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81.7</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360.1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441.8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402.2</w:t>
            </w:r>
          </w:p>
        </w:tc>
        <w:tc>
          <w:tcPr>
            <w:tcW w:w="1380" w:type="dxa"/>
            <w:vAlign w:val="bottom"/>
          </w:tcPr>
          <w:p>
            <w:pPr>
              <w:jc w:val="center"/>
              <w:ind w:left="15"/>
              <w:spacing w:after="0"/>
              <w:rPr>
                <w:sz w:val="20"/>
                <w:szCs w:val="20"/>
                <w:color w:val="auto"/>
              </w:rPr>
            </w:pPr>
            <w:r>
              <w:rPr>
                <w:rFonts w:ascii="Arial" w:cs="Arial" w:eastAsia="Arial" w:hAnsi="Arial"/>
                <w:sz w:val="17"/>
                <w:szCs w:val="17"/>
                <w:color w:val="auto"/>
              </w:rPr>
              <w:t>10</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Basaglar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215.1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150.6</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457.3</w:t>
            </w: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(20)</w:t>
            </w:r>
          </w:p>
        </w:tc>
      </w:tr>
      <w:tr>
        <w:trPr>
          <w:trHeight w:val="220"/>
        </w:trPr>
        <w:tc>
          <w:tcPr>
            <w:tcW w:w="4120" w:type="dxa"/>
            <w:vAlign w:val="bottom"/>
          </w:tcPr>
          <w:p>
            <w:pPr>
              <w:ind w:left="20"/>
              <w:spacing w:after="0"/>
              <w:rPr>
                <w:sz w:val="20"/>
                <w:szCs w:val="20"/>
                <w:color w:val="auto"/>
              </w:rPr>
            </w:pPr>
            <w:r>
              <w:rPr>
                <w:rFonts w:ascii="Arial" w:cs="Arial" w:eastAsia="Arial" w:hAnsi="Arial"/>
                <w:sz w:val="17"/>
                <w:szCs w:val="17"/>
                <w:color w:val="auto"/>
              </w:rPr>
              <w:t>Cialis</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17.7</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347.0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364.7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407.8</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(11)</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Emgality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216.9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89.8</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w:t>
            </w: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11</w:t>
            </w:r>
          </w:p>
        </w:tc>
      </w:tr>
      <w:tr>
        <w:trPr>
          <w:trHeight w:val="220"/>
        </w:trPr>
        <w:tc>
          <w:tcPr>
            <w:tcW w:w="4120" w:type="dxa"/>
            <w:vAlign w:val="bottom"/>
          </w:tcPr>
          <w:p>
            <w:pPr>
              <w:ind w:left="20"/>
              <w:spacing w:after="0"/>
              <w:rPr>
                <w:sz w:val="20"/>
                <w:szCs w:val="20"/>
                <w:color w:val="auto"/>
              </w:rPr>
            </w:pPr>
            <w:r>
              <w:rPr>
                <w:rFonts w:ascii="Arial" w:cs="Arial" w:eastAsia="Arial" w:hAnsi="Arial"/>
                <w:sz w:val="17"/>
                <w:szCs w:val="17"/>
                <w:color w:val="auto"/>
              </w:rPr>
              <w:t>Forteo</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148.7</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127.2</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275.9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416.9</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(34)</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Erbitux</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234.7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28.7</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w:t>
            </w: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r>
      <w:tr>
        <w:trPr>
          <w:trHeight w:val="220"/>
        </w:trPr>
        <w:tc>
          <w:tcPr>
            <w:tcW w:w="4120" w:type="dxa"/>
            <w:vAlign w:val="bottom"/>
          </w:tcPr>
          <w:p>
            <w:pPr>
              <w:ind w:left="20"/>
              <w:spacing w:after="0"/>
              <w:rPr>
                <w:sz w:val="20"/>
                <w:szCs w:val="20"/>
                <w:color w:val="auto"/>
              </w:rPr>
            </w:pPr>
            <w:r>
              <w:rPr>
                <w:rFonts w:ascii="Arial" w:cs="Arial" w:eastAsia="Arial" w:hAnsi="Arial"/>
                <w:sz w:val="17"/>
                <w:szCs w:val="17"/>
                <w:color w:val="auto"/>
              </w:rPr>
              <w:t>Zyprexa</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18.3</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162.1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191.1</w:t>
            </w:r>
          </w:p>
        </w:tc>
        <w:tc>
          <w:tcPr>
            <w:tcW w:w="1380" w:type="dxa"/>
            <w:vAlign w:val="bottom"/>
          </w:tcPr>
          <w:p>
            <w:pPr>
              <w:jc w:val="center"/>
              <w:spacing w:after="0"/>
              <w:rPr>
                <w:sz w:val="20"/>
                <w:szCs w:val="20"/>
                <w:color w:val="auto"/>
              </w:rPr>
            </w:pPr>
            <w:r>
              <w:rPr>
                <w:rFonts w:ascii="Arial" w:cs="Arial" w:eastAsia="Arial" w:hAnsi="Arial"/>
                <w:sz w:val="17"/>
                <w:szCs w:val="17"/>
                <w:color w:val="auto"/>
              </w:rPr>
              <w:t>(6)</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Tyvyt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159.0</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(26)</w:t>
            </w:r>
          </w:p>
        </w:tc>
      </w:tr>
      <w:tr>
        <w:trPr>
          <w:trHeight w:val="220"/>
        </w:trPr>
        <w:tc>
          <w:tcPr>
            <w:tcW w:w="4120" w:type="dxa"/>
            <w:vAlign w:val="bottom"/>
          </w:tcPr>
          <w:p>
            <w:pPr>
              <w:ind w:left="20"/>
              <w:spacing w:after="0"/>
              <w:rPr>
                <w:sz w:val="20"/>
                <w:szCs w:val="20"/>
                <w:color w:val="auto"/>
              </w:rPr>
            </w:pPr>
            <w:r>
              <w:rPr>
                <w:rFonts w:ascii="Arial" w:cs="Arial" w:eastAsia="Arial" w:hAnsi="Arial"/>
                <w:sz w:val="17"/>
                <w:szCs w:val="17"/>
                <w:color w:val="auto"/>
              </w:rPr>
              <w:t>Cymbalta</w:t>
            </w:r>
          </w:p>
        </w:tc>
        <w:tc>
          <w:tcPr>
            <w:tcW w:w="3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17.2</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b w:val="1"/>
                <w:bCs w:val="1"/>
                <w:color w:val="auto"/>
              </w:rPr>
              <w:t>139.4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352.3</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(56)</w:t>
            </w: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products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347.6</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505.8</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853.4</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819.6</w:t>
            </w: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w:t>
            </w:r>
          </w:p>
        </w:tc>
      </w:tr>
      <w:tr>
        <w:trPr>
          <w:trHeight w:val="218"/>
        </w:trPr>
        <w:tc>
          <w:tcPr>
            <w:tcW w:w="4120" w:type="dxa"/>
            <w:vAlign w:val="bottom"/>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9,109.4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5,188.7</w:t>
            </w:r>
          </w:p>
        </w:tc>
        <w:tc>
          <w:tcPr>
            <w:tcW w:w="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14,298.0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13,545.7</w:t>
            </w:r>
          </w:p>
        </w:tc>
        <w:tc>
          <w:tcPr>
            <w:tcW w:w="1380" w:type="dxa"/>
            <w:vAlign w:val="bottom"/>
          </w:tcPr>
          <w:p>
            <w:pPr>
              <w:jc w:val="center"/>
              <w:spacing w:after="0"/>
              <w:rPr>
                <w:sz w:val="20"/>
                <w:szCs w:val="20"/>
                <w:color w:val="auto"/>
              </w:rPr>
            </w:pPr>
            <w:r>
              <w:rPr>
                <w:rFonts w:ascii="Arial" w:cs="Arial" w:eastAsia="Arial" w:hAnsi="Arial"/>
                <w:sz w:val="17"/>
                <w:szCs w:val="17"/>
                <w:color w:val="auto"/>
              </w:rPr>
              <w:t>6</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7" w:lineRule="exact"/>
        <w:rPr>
          <w:sz w:val="20"/>
          <w:szCs w:val="20"/>
          <w:color w:val="auto"/>
        </w:rPr>
      </w:pPr>
    </w:p>
    <w:p>
      <w:pPr>
        <w:ind w:left="160" w:right="60" w:hanging="157"/>
        <w:spacing w:after="0" w:line="250" w:lineRule="auto"/>
        <w:tabs>
          <w:tab w:leader="none" w:pos="139" w:val="left"/>
        </w:tabs>
        <w:numPr>
          <w:ilvl w:val="0"/>
          <w:numId w:val="22"/>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EUAs or similar regulatory authorizations.</w:t>
      </w:r>
    </w:p>
    <w:p>
      <w:pPr>
        <w:ind w:left="140" w:hanging="137"/>
        <w:spacing w:after="0" w:line="219"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7"/>
        <w:spacing w:after="0" w:line="202"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ind w:left="140" w:hanging="137"/>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Olumiant revenue includes sales for baricitinib that were made pursuant to EUA or similar regulatory authorizations.</w:t>
      </w: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Revenue of Trulicity, a treatment for type 2 diabetes and to reduce the risk of major adverse cardiovascular events in adult patients with type 2 diabetes and established cardiovascular disease or multiple cardiovascular risk factors, increased 25 percent and 21 percent in the U.S. during the three and six months ended June 30, 2022, respectively, driven by increased demand, partially offset by lower realized prices. Revenue outside the U.S. increased 24 percent and 26 percent during the three and six months ended June 30, 2022, respectively, driven by increased demand, partially offset by the unfavorable impact of foreign exchange rates and lower realized prices.</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Revenue of COVID-19 antibodies, treatments for mild to moderate COVID-19 for higher-risk patients and for post-exposure prophylaxis in certain individuals for the prevention of SARS-CoV-2 infection, was $129.1 million and $1.58 billion in the U.S. during the three and six months ended June 30, 2022, respectively. Revenue outside the U.S. was not material during the three and six months ended June 30, 2022. The availability of superior or competitive therapies, including therapies that can be administered more easily, or preventative measures, such as vaccines, coupled with the unpredictable nature of pandemics, have and could further negatively impact or eliminate demand for these COVID-19 antibodies. The FDA has revised, and may in the future revise, any EUA for our COVID-19 antibodies in response to the prevalence of variants against which our antibodies have varying degrees of efficacy. We will supply the U.S. government approximately 79,000 doses of bebtelovimab in the third quarter of 2022. In collaboration with the U.S. government, we intend to make bebtelovimab commercially available for purchase by U.S. states/territories, hospitals, and a broad set of other providers beginning mid-August 2022, which is prior to the anticipated depletion of the U.S. government's currently available supply.</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46" w:name="page47"/>
    <w:bookmarkEnd w:id="46"/>
    <w:p>
      <w:pPr>
        <w:ind w:right="20"/>
        <w:spacing w:after="0" w:line="261" w:lineRule="auto"/>
        <w:rPr>
          <w:sz w:val="20"/>
          <w:szCs w:val="20"/>
          <w:color w:val="auto"/>
        </w:rPr>
      </w:pPr>
      <w:r>
        <w:rPr>
          <w:rFonts w:ascii="Arial" w:cs="Arial" w:eastAsia="Arial" w:hAnsi="Arial"/>
          <w:sz w:val="17"/>
          <w:szCs w:val="17"/>
          <w:color w:val="auto"/>
        </w:rPr>
        <w:t>Revenue of Taltz, a treatment for moderate-to-severe plaque psoriasis, active psoriatic arthritis, ankylosing spondylitis, and active non-radiographic axial spondyloarthritis, increased 3 percent and 11 percent in the U.S. during the three and six months ended June 30, 2022, respectively, driven by increased demand. Taltz's increase in revenue in the U.S. for the three months ended June 30, 2022 was partially offset by lower realized prices due to changes to estimates for rebates and discounts as well as unfavorable segment mix. Revenue outside the U.S. increased 15 percent and 16 percent during the three and six months ended June 30, 2022, respectively, driven by increased volume, partially offset by lower realized prices and the unfavorable impact of foreign exchange rates.</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Revenue of Humalog, an injectable human insulin analog for the treatment of diabetes, decreased 27 percent in the U.S. during the three months ended June 30, 2022, driven by lower realized prices due to unfavorable segment mix, as more highly rebated segments made up a larger portion of the business, and a list price reduction of insulin lispro injection. Revenue of Humalog decreased 8 percent in the U.S. during the six months ended June 30, 2022, driven by lower realized prices due to a list price reduction of insulin lispro injection. Revenue outside the U.S. decreased 25 percent and 19 percent during the three and six months ended June 30, 2022, respectively, primarily driven by lower realized prices due to the impact of VBP in China and, to a lesser extent, the unfavorable impact of foreign exchange rates. While it is difficult to estimate the severity of the impact of insulin lispro products entering the market, we have not experienced a rapid and severe decline in revenue. However, due to the impact of competition and pricing pressure in the U.S. and some international markets, we expect lower revenue due to some realized price decline and loss of market share to continue over time.</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Revenue of Verzenio, a treatment for HR+, HER2- metastatic breast cancer and high risk early breast cancer, increased 83 percent and 79 percent in the U.S. during the three and six months ended June 30, 2022, respectively, primarily driven by increased demand. Revenue outside the U.S. increased 55 percent and 63 percent during the three and six months ended June 30, 2022, respectively, driven by increased demand, partially offset by lower realized prices due to the impact of the NRDL formulary in China and, to a lesser extent, the unfavorable impact of foreign exchange rates.</w:t>
      </w:r>
    </w:p>
    <w:p>
      <w:pPr>
        <w:spacing w:after="0" w:line="277"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Revenue of Jardiance, a treatment for type 2 diabetes, to reduce the risk of cardiovascular death in adult patients with type 2 diabetes and established cardiovascular disease, and to reduce the risk of cardiovascular death and hospitalization for heart failure in adults with heart failure, regardless of left ventricular ejection fraction, increased 29 percent and 39 percent in the U.S. during the three and six months ended June 30, 2022, respectively, primarily driven by increased demand. Revenue outside the U.S. increased 30 percent and 24 percent during the three and six months ended June 30, 2022, respectively, driven by increased demand, partially offset by the unfavorable impact of foreign exchange rates. See Note 4 to the consolidated condensed financial statements for information regarding our collaboration with Boehringer Ingelheim involving Jardiance.</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Revenue of Alimta, a treatment for various cancers, decreased 51 percent and 31 percent in the U.S. during the three and six months ended June 30, 2022, respectively, driven by decreased demand and lower realized prices due to the entry of multiple generics in the second quarter of 2022. Revenue outside the U.S. decreased 78 percent and 74 percent during the three and six months ended June 30, 2022, respectively, largely driven by decreased demand due to entry of generic competition. Following the loss of patent exclusivity in major European countries and Japan, we faced, and remain exposed to, generic competition which has rapidly and severely eroded revenue and is likely to continue to erode revenue from current levels. In addition, as a result of the entry of multiple generics in the U.S. following the loss of pediatric exclusivity in May 2022, we began facing, and remain exposed to, additional generic competition which has eroded revenue and is likely to continue to rapidly and severely erode revenue from current levels. See "Executive Overview - Other Matters- Patent Matters"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auto"/>
        </w:rPr>
        <w:t>Gross Margin, Costs, and Expenses</w:t>
      </w:r>
    </w:p>
    <w:p>
      <w:pPr>
        <w:spacing w:after="0" w:line="16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Gross margin as a percent of revenue increased 6.9 percentage points to 78.0 percent and increased 3.8 percentage points to 75.5 percent for the three and six months ended June 30, 2022, respectively. The increase in gross margin percent for the three and six months ended June 30, 2022 was primarily driven by inventory impairment charges recognized related to our COVID-19 antibodies in 2021 and, to a lesser extent, the unfavorable effect of foreign exchange rates on international inventories sold in 2021 and favorable product mix, partially offset by lower realized prices.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increased 8 percent to $1.78 billion and 2 percent to $3.39 billion for the three and six months ended</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June 30, 2022, respectively, primarily driven by higher development expenses for late-stage assets, partially offset by lower development expenses for COVID-19 antibodies.</w:t>
      </w:r>
    </w:p>
    <w:p>
      <w:pPr>
        <w:spacing w:after="0" w:line="59"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Marketing, selling, and administrative expenses decreased 4 percent to $1.63 billion and 2 percent to $3.18 billion for the three and six months ended June 30, 2022, respectively, primarily driven by the favorable impact of foreign exchange rates as well as reduced marketing costs.</w:t>
      </w:r>
    </w:p>
    <w:p>
      <w:pPr>
        <w:spacing w:after="0" w:line="4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recognized $440.4 million and $ 606.0 million of acquired IPR&amp;D and development milestones for the three and six months ended June 30, 2022, respectively, primarily related to the buy-out of substantially all future obligations that were contingent upon the occurrence of certain events linked to the success of our mutant-selective PI3kα inhibitor. The charges for the six months ended June 30, 2022 also included the purchase of a Priority Review Voucher. We recognized $42.8 million and $ 354.8 million of acquired IPR&amp;D and development milestones for the three and six months ended June 30, 2021, respectively. The charges for the six months ended June 30, 2021 primarily related to acquired IPR&amp;D charges from business development transactions with Rigel and Precision. See Note 3 to the consolidated condensed financial statements for additional information.</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There were no asset impairment, restructuring, and other special charges recognized for the three and six months ended June 30, 2022 and for the three months ended June 30, 2021. We recognized asset impairment, restructuring, and other special charges of $211.6 million for the six months ended June 30, 2021, primarily related to an intangible asset impairment resulting from the sale of the rights to Qbrexza, as well as acquisition and integration costs associated with the acquisition of Prevail.</w:t>
      </w:r>
    </w:p>
    <w:p>
      <w:pPr>
        <w:spacing w:after="0" w:line="6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Other–net, (income) expense was expense of $119.2 million and $469.9 million for the three and six months ended June 30, 2022, respectively, compared with income of $190.5 million and $ 511.6 million for the three and six months ended June 30, 2021, respectively. The decrease in other– net, (income) expense was primarily driven by net investment losses on equity securities in 2022 compared with net investment gains on equity securities in 2021.</w:t>
      </w:r>
    </w:p>
    <w:p>
      <w:pPr>
        <w:spacing w:after="0" w:line="6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effective tax rates were 12.7 percent and 9.2 percent for the three and six months ended June 30, 2022, respectively, reflecting the favorable tax impact of the implementation of a provision in the 2017 Tax Act that requires capitalization and amortization of research and development expenses for tax purposes starting in 2022 and of net investment losses on equity securities, partially offset by the tax impact related to non-deductible development milestones. We expect our effective tax rate to be approximately 13 percent to 14 percent for 2022 if the capitalization and amortization of research and development expenses provision of the 2017 Tax Act is deferred or repealed by U.S. Congress effective for 2022.</w:t>
      </w:r>
    </w:p>
    <w:p>
      <w:pPr>
        <w:spacing w:after="0" w:line="66"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The effective tax rates were 12.8 percent and 10.6 percent for the three and six months ended June 30, 2021, respectively, reflecting the favorable tax impact of inventory impairment charges related to our COVID-19 antibodies, partially offset by the tax impact of net investment gains on equity securities. The effective tax rate for the six months ended June 30, 2021 was also impacted favorably by a net discrete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7" w:right="37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auto"/>
        </w:rPr>
        <w:t>Financial Condition and Liquidity</w:t>
      </w:r>
    </w:p>
    <w:p>
      <w:pPr>
        <w:spacing w:after="0" w:line="117" w:lineRule="exact"/>
        <w:rPr>
          <w:sz w:val="20"/>
          <w:szCs w:val="20"/>
          <w:color w:val="auto"/>
        </w:rPr>
      </w:pPr>
    </w:p>
    <w:p>
      <w:pPr>
        <w:ind w:right="100"/>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w:t>
      </w:r>
    </w:p>
    <w:p>
      <w:pPr>
        <w:spacing w:after="0" w:line="6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plan to invest more than $2 billion over several years in two new facilities in Lebanon, Indiana to manufacture existing and future products and more than $1 billion over several years in a new facility in Concord, North Carolina to manufacture parenteral (injectable) products and devices. We plan to invest more than 400 million euro over several years in a new facility in Limerick, Ireland to expand our manufacturing network for biologic active ingredients.</w:t>
      </w:r>
    </w:p>
    <w:p>
      <w:pPr>
        <w:spacing w:after="0" w:line="64"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Cash and cash equivalents decreased to $2.62 billion as of June 30, 2022, compared with $3.82 billion as of December 31, 2021. Refer to the consolidated condensed statements of cash flows for additional information on the significant sources and uses of cash for the six months ended June 30, 2022 and 2021.</w:t>
      </w:r>
    </w:p>
    <w:p>
      <w:pPr>
        <w:spacing w:after="0" w:line="59"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In addition to our cash and cash equivalents, we held total investments of $2.70 billion and $3.30 billion as of June 30, 2022 and December 31, 2021, respectively. See Note 6 to the consolidated condensed financial statements for additional information.</w:t>
      </w:r>
    </w:p>
    <w:p>
      <w:pPr>
        <w:spacing w:after="0" w:line="43" w:lineRule="exact"/>
        <w:rPr>
          <w:sz w:val="20"/>
          <w:szCs w:val="20"/>
          <w:color w:val="auto"/>
        </w:rPr>
      </w:pPr>
    </w:p>
    <w:p>
      <w:pPr>
        <w:ind w:right="760"/>
        <w:spacing w:after="0" w:line="291" w:lineRule="auto"/>
        <w:rPr>
          <w:sz w:val="20"/>
          <w:szCs w:val="20"/>
          <w:color w:val="auto"/>
        </w:rPr>
      </w:pPr>
      <w:r>
        <w:rPr>
          <w:rFonts w:ascii="Arial" w:cs="Arial" w:eastAsia="Arial" w:hAnsi="Arial"/>
          <w:sz w:val="17"/>
          <w:szCs w:val="17"/>
          <w:color w:val="auto"/>
        </w:rPr>
        <w:t>As of June 30, 2022, total debt was $16.81 billion, consistent with $16.88 billion as of December 31, 2021. See Note 6 to the consolidated condensed financial statements for additional information.</w:t>
      </w:r>
    </w:p>
    <w:p>
      <w:pPr>
        <w:spacing w:after="0" w:line="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June 30, 2022, we had a total of $ 5.26 billion of unused committed bank credit facilities, $5.00 billion of which is available to support our commercial paper program. We believe that amounts accessible through existing commercial paper markets should be adequate to fund short-term borrowing needs.</w:t>
      </w:r>
    </w:p>
    <w:p>
      <w:pPr>
        <w:spacing w:after="0" w:line="59"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During the six months ended June 30, 2022, we repurchased $1.50 billion of shares under our $5.00 billion share repurchase program authorized in May 2021. As of June 30, 2022, we had $3.25 billion remaining under this program.</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2022, we paid dividends of $1.77 billion, or $1.96 per share, to our shareholders.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See "Executive Overview - Other Matters - Patent Matters" for information regarding recent and upcoming losses of patent protection.</w:t>
      </w:r>
    </w:p>
    <w:p>
      <w:pPr>
        <w:spacing w:after="0" w:line="11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fluctuations in interest rates, foreign currency exchange rates (see "Executive Overview - Other Matters - Foreign Currency Exchange Rates"), and fair values of equity securities.</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117" w:lineRule="exact"/>
        <w:rPr>
          <w:sz w:val="20"/>
          <w:szCs w:val="20"/>
          <w:color w:val="auto"/>
        </w:rPr>
      </w:pPr>
    </w:p>
    <w:p>
      <w:pPr>
        <w:ind w:right="100"/>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See also Note 1 to the consolidated condensed financial statements. There have been no material changes to our critical accounting estimates since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Available Information on our Website</w:t>
      </w:r>
    </w:p>
    <w:p>
      <w:pPr>
        <w:spacing w:after="0" w:line="117"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2" w:lineRule="exact"/>
        <w:rPr>
          <w:sz w:val="20"/>
          <w:szCs w:val="20"/>
          <w:color w:val="auto"/>
        </w:rPr>
      </w:pPr>
    </w:p>
    <w:p>
      <w:pPr>
        <w:ind w:right="180"/>
        <w:spacing w:after="0" w:line="293" w:lineRule="auto"/>
        <w:rPr>
          <w:sz w:val="20"/>
          <w:szCs w:val="20"/>
          <w:color w:val="auto"/>
        </w:rPr>
      </w:pPr>
      <w:r>
        <w:rPr>
          <w:rFonts w:ascii="Arial" w:cs="Arial" w:eastAsia="Arial" w:hAnsi="Arial"/>
          <w:sz w:val="17"/>
          <w:szCs w:val="17"/>
          <w:color w:val="auto"/>
        </w:rPr>
        <w:t xml:space="preserve">The website link to our SEC filings is </w:t>
      </w:r>
      <w:r>
        <w:rPr>
          <w:rFonts w:ascii="Arial" w:cs="Arial" w:eastAsia="Arial" w:hAnsi="Arial"/>
          <w:sz w:val="17"/>
          <w:szCs w:val="17"/>
          <w:b w:val="1"/>
          <w:bCs w:val="1"/>
          <w:color w:val="auto"/>
        </w:rPr>
        <w:t>investor.lilly.com/financial-information/sec-filings</w:t>
      </w:r>
      <w:r>
        <w:rPr>
          <w:rFonts w:ascii="Arial" w:cs="Arial" w:eastAsia="Arial" w:hAnsi="Arial"/>
          <w:sz w:val="17"/>
          <w:szCs w:val="17"/>
          <w:color w:val="auto"/>
        </w:rPr>
        <w:t>. The information contained in, or that can be accessed through, our website is not a part of, or incorporated by reference in, this Quarterly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Item 4. Controls and Procedures</w:t>
      </w:r>
    </w:p>
    <w:p>
      <w:pPr>
        <w:spacing w:after="0" w:line="166" w:lineRule="exact"/>
        <w:rPr>
          <w:sz w:val="20"/>
          <w:szCs w:val="20"/>
          <w:color w:val="auto"/>
        </w:rPr>
      </w:pPr>
    </w:p>
    <w:p>
      <w:pPr>
        <w:ind w:left="620" w:right="40" w:hanging="617"/>
        <w:spacing w:after="0" w:line="263" w:lineRule="auto"/>
        <w:tabs>
          <w:tab w:leader="none" w:pos="611"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Under applicable Securities and Exchange Commission (SEC)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66" w:lineRule="exact"/>
        <w:rPr>
          <w:rFonts w:ascii="Arial" w:cs="Arial" w:eastAsia="Arial" w:hAnsi="Arial"/>
          <w:sz w:val="17"/>
          <w:szCs w:val="17"/>
          <w:color w:val="auto"/>
        </w:rPr>
      </w:pPr>
    </w:p>
    <w:p>
      <w:pPr>
        <w:jc w:val="both"/>
        <w:ind w:left="62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A. Ricks, president and chief executive officer, and Anat Ashkenazi, senior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hyperlink>
      <w:r>
        <w:rPr>
          <w:rFonts w:ascii="Arial" w:cs="Arial" w:eastAsia="Arial" w:hAnsi="Arial"/>
          <w:sz w:val="17"/>
          <w:szCs w:val="17"/>
          <w:color w:val="auto"/>
        </w:rPr>
        <w:t xml:space="preserve"> for the year ended December 31, 2021) as of June 30, 2022, and concluded that they were effective.</w:t>
      </w:r>
    </w:p>
    <w:p>
      <w:pPr>
        <w:spacing w:after="0" w:line="58" w:lineRule="exact"/>
        <w:rPr>
          <w:rFonts w:ascii="Arial" w:cs="Arial" w:eastAsia="Arial" w:hAnsi="Arial"/>
          <w:sz w:val="17"/>
          <w:szCs w:val="17"/>
          <w:color w:val="auto"/>
        </w:rPr>
      </w:pPr>
    </w:p>
    <w:p>
      <w:pPr>
        <w:ind w:left="620" w:right="40" w:hanging="617"/>
        <w:spacing w:after="0" w:line="291" w:lineRule="auto"/>
        <w:tabs>
          <w:tab w:leader="none" w:pos="611"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Changes in Internal Controls</w:t>
      </w:r>
      <w:r>
        <w:rPr>
          <w:rFonts w:ascii="Arial" w:cs="Arial" w:eastAsia="Arial" w:hAnsi="Arial"/>
          <w:sz w:val="17"/>
          <w:szCs w:val="17"/>
          <w:color w:val="auto"/>
        </w:rPr>
        <w:t>. During the second quarter of 2022, there were no changes in our internal control over financial reporting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9" w:right="399" w:bottom="1440" w:gutter="0" w:footer="0" w:header="0"/>
        </w:sectPr>
      </w:pPr>
    </w:p>
    <w:bookmarkStart w:id="50" w:name="page51"/>
    <w:bookmarkEnd w:id="50"/>
    <w:p>
      <w:pPr>
        <w:spacing w:after="0"/>
        <w:rPr>
          <w:sz w:val="20"/>
          <w:szCs w:val="20"/>
          <w:color w:val="auto"/>
        </w:rPr>
      </w:pPr>
      <w:r>
        <w:rPr>
          <w:rFonts w:ascii="Arial" w:cs="Arial" w:eastAsia="Arial" w:hAnsi="Arial"/>
          <w:sz w:val="28"/>
          <w:szCs w:val="28"/>
          <w:u w:val="single" w:color="auto"/>
          <w:color w:val="auto"/>
        </w:rPr>
        <w:t>PART II.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 Legal Proceedings</w:t>
      </w:r>
    </w:p>
    <w:p>
      <w:pPr>
        <w:spacing w:after="0" w:line="166" w:lineRule="exact"/>
        <w:rPr>
          <w:sz w:val="20"/>
          <w:szCs w:val="20"/>
          <w:color w:val="auto"/>
        </w:rPr>
      </w:pPr>
    </w:p>
    <w:p>
      <w:pPr>
        <w:ind w:right="880"/>
        <w:spacing w:after="0" w:line="291" w:lineRule="auto"/>
        <w:rPr>
          <w:sz w:val="20"/>
          <w:szCs w:val="20"/>
          <w:color w:val="auto"/>
        </w:rPr>
      </w:pPr>
      <w:r>
        <w:rPr>
          <w:rFonts w:ascii="Arial" w:cs="Arial" w:eastAsia="Arial" w:hAnsi="Arial"/>
          <w:sz w:val="17"/>
          <w:szCs w:val="17"/>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95" w:lineRule="exact"/>
        <w:rPr>
          <w:sz w:val="20"/>
          <w:szCs w:val="20"/>
          <w:color w:val="auto"/>
        </w:rPr>
      </w:pPr>
    </w:p>
    <w:p>
      <w:pPr>
        <w:ind w:right="8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This Item should be read in conjunction with "Legal Proceedings" in Part I, Item 3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166" w:lineRule="exact"/>
        <w:rPr>
          <w:sz w:val="20"/>
          <w:szCs w:val="20"/>
          <w:color w:val="auto"/>
        </w:rPr>
      </w:pPr>
    </w:p>
    <w:p>
      <w:pPr>
        <w:ind w:right="3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Our material risk factors are disclosed in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There have been no material changes from the risk factors previously disclosed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 Unregistered Sales of Equity Securities and Use of Proceeds</w:t>
      </w:r>
    </w:p>
    <w:p>
      <w:pPr>
        <w:spacing w:after="0" w:line="166" w:lineRule="exact"/>
        <w:rPr>
          <w:sz w:val="20"/>
          <w:szCs w:val="20"/>
          <w:color w:val="auto"/>
        </w:rPr>
      </w:pPr>
    </w:p>
    <w:p>
      <w:pPr>
        <w:ind w:right="20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Information relating to the principal market for our common stock and related shareholder matters is described in "Management's Discussion and Analysis of Results of Operations and Financial Condition" in Part II, Item 7 and in "Security Ownership of Certain Beneficial Owners and Management and Related Stockholder Matters" in Part III, Item 12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repurchases of our equity securities during the three months ended June 30,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jc w:val="center"/>
              <w:ind w:left="231"/>
              <w:spacing w:after="0"/>
              <w:rPr>
                <w:sz w:val="20"/>
                <w:szCs w:val="20"/>
                <w:color w:val="auto"/>
              </w:rPr>
            </w:pPr>
            <w:r>
              <w:rPr>
                <w:rFonts w:ascii="Arial" w:cs="Arial" w:eastAsia="Arial" w:hAnsi="Arial"/>
                <w:sz w:val="14"/>
                <w:szCs w:val="14"/>
                <w:b w:val="1"/>
                <w:bCs w:val="1"/>
                <w:color w:val="auto"/>
                <w:w w:val="97"/>
              </w:rPr>
              <w:t>Total Number of Shares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8"/>
              </w:rPr>
              <w:t>Approximate Dollar Value of</w:t>
            </w: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1480" w:type="dxa"/>
            <w:vAlign w:val="bottom"/>
            <w:vMerge w:val="restart"/>
          </w:tcPr>
          <w:p>
            <w:pPr>
              <w:jc w:val="center"/>
              <w:ind w:left="191"/>
              <w:spacing w:after="0"/>
              <w:rPr>
                <w:sz w:val="20"/>
                <w:szCs w:val="20"/>
                <w:color w:val="auto"/>
              </w:rPr>
            </w:pPr>
            <w:r>
              <w:rPr>
                <w:rFonts w:ascii="Arial" w:cs="Arial" w:eastAsia="Arial" w:hAnsi="Arial"/>
                <w:sz w:val="14"/>
                <w:szCs w:val="14"/>
                <w:b w:val="1"/>
                <w:bCs w:val="1"/>
                <w:color w:val="auto"/>
                <w:w w:val="98"/>
              </w:rPr>
              <w:t>Total Number of</w:t>
            </w: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tcPr>
          <w:p>
            <w:pPr>
              <w:jc w:val="center"/>
              <w:ind w:left="231"/>
              <w:spacing w:after="0" w:line="139" w:lineRule="exact"/>
              <w:rPr>
                <w:sz w:val="20"/>
                <w:szCs w:val="20"/>
                <w:color w:val="auto"/>
              </w:rPr>
            </w:pPr>
            <w:r>
              <w:rPr>
                <w:rFonts w:ascii="Arial" w:cs="Arial" w:eastAsia="Arial" w:hAnsi="Arial"/>
                <w:sz w:val="14"/>
                <w:szCs w:val="14"/>
                <w:b w:val="1"/>
                <w:bCs w:val="1"/>
                <w:color w:val="auto"/>
                <w:w w:val="99"/>
              </w:rPr>
              <w:t>Purchased as Part of</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vMerge w:val="restart"/>
          </w:tcPr>
          <w:p>
            <w:pPr>
              <w:jc w:val="center"/>
              <w:ind w:left="271"/>
              <w:spacing w:after="0"/>
              <w:rPr>
                <w:sz w:val="20"/>
                <w:szCs w:val="20"/>
                <w:color w:val="auto"/>
              </w:rPr>
            </w:pPr>
            <w:r>
              <w:rPr>
                <w:rFonts w:ascii="Arial" w:cs="Arial" w:eastAsia="Arial" w:hAnsi="Arial"/>
                <w:sz w:val="14"/>
                <w:szCs w:val="14"/>
                <w:b w:val="1"/>
                <w:bCs w:val="1"/>
                <w:color w:val="auto"/>
                <w:w w:val="97"/>
              </w:rPr>
              <w:t>Average Price Paid</w:t>
            </w:r>
          </w:p>
        </w:tc>
        <w:tc>
          <w:tcPr>
            <w:tcW w:w="380" w:type="dxa"/>
            <w:vAlign w:val="bottom"/>
          </w:tcPr>
          <w:p>
            <w:pPr>
              <w:spacing w:after="0"/>
              <w:rPr>
                <w:sz w:val="12"/>
                <w:szCs w:val="12"/>
                <w:color w:val="auto"/>
              </w:rPr>
            </w:pPr>
          </w:p>
        </w:tc>
        <w:tc>
          <w:tcPr>
            <w:tcW w:w="1960" w:type="dxa"/>
            <w:vAlign w:val="bottom"/>
          </w:tcPr>
          <w:p>
            <w:pPr>
              <w:jc w:val="center"/>
              <w:ind w:left="251"/>
              <w:spacing w:after="0" w:line="142" w:lineRule="exact"/>
              <w:rPr>
                <w:sz w:val="20"/>
                <w:szCs w:val="20"/>
                <w:color w:val="auto"/>
              </w:rPr>
            </w:pPr>
            <w:r>
              <w:rPr>
                <w:rFonts w:ascii="Arial" w:cs="Arial" w:eastAsia="Arial" w:hAnsi="Arial"/>
                <w:sz w:val="14"/>
                <w:szCs w:val="14"/>
                <w:b w:val="1"/>
                <w:bCs w:val="1"/>
                <w:color w:val="auto"/>
                <w:w w:val="98"/>
              </w:rPr>
              <w:t>Publicly Announced</w:t>
            </w:r>
          </w:p>
        </w:tc>
        <w:tc>
          <w:tcPr>
            <w:tcW w:w="320" w:type="dxa"/>
            <w:vAlign w:val="bottom"/>
          </w:tcPr>
          <w:p>
            <w:pPr>
              <w:spacing w:after="0"/>
              <w:rPr>
                <w:sz w:val="12"/>
                <w:szCs w:val="12"/>
                <w:color w:val="auto"/>
              </w:rPr>
            </w:pPr>
          </w:p>
        </w:tc>
        <w:tc>
          <w:tcPr>
            <w:tcW w:w="2460" w:type="dxa"/>
            <w:vAlign w:val="bottom"/>
            <w:gridSpan w:val="2"/>
          </w:tcPr>
          <w:p>
            <w:pPr>
              <w:jc w:val="center"/>
              <w:ind w:left="43"/>
              <w:spacing w:after="0" w:line="142" w:lineRule="exact"/>
              <w:rPr>
                <w:sz w:val="20"/>
                <w:szCs w:val="20"/>
                <w:color w:val="auto"/>
              </w:rPr>
            </w:pPr>
            <w:r>
              <w:rPr>
                <w:rFonts w:ascii="Arial" w:cs="Arial" w:eastAsia="Arial" w:hAnsi="Arial"/>
                <w:sz w:val="14"/>
                <w:szCs w:val="14"/>
                <w:b w:val="1"/>
                <w:bCs w:val="1"/>
                <w:color w:val="auto"/>
                <w:w w:val="98"/>
              </w:rPr>
              <w:t>Shares that May Yet Be Purchased</w:t>
            </w:r>
          </w:p>
        </w:tc>
        <w:tc>
          <w:tcPr>
            <w:tcW w:w="0" w:type="dxa"/>
            <w:vAlign w:val="bottom"/>
          </w:tcPr>
          <w:p>
            <w:pPr>
              <w:spacing w:after="0"/>
              <w:rPr>
                <w:sz w:val="1"/>
                <w:szCs w:val="1"/>
                <w:color w:val="auto"/>
              </w:rPr>
            </w:pPr>
          </w:p>
        </w:tc>
      </w:tr>
      <w:tr>
        <w:trPr>
          <w:trHeight w:val="129"/>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ind w:left="171"/>
              <w:spacing w:after="0" w:line="129" w:lineRule="exact"/>
              <w:rPr>
                <w:sz w:val="20"/>
                <w:szCs w:val="20"/>
                <w:color w:val="auto"/>
              </w:rPr>
            </w:pPr>
            <w:r>
              <w:rPr>
                <w:rFonts w:ascii="Arial" w:cs="Arial" w:eastAsia="Arial" w:hAnsi="Arial"/>
                <w:sz w:val="14"/>
                <w:szCs w:val="14"/>
                <w:b w:val="1"/>
                <w:bCs w:val="1"/>
                <w:color w:val="auto"/>
                <w:w w:val="98"/>
              </w:rPr>
              <w:t>Shares Purchased</w:t>
            </w:r>
          </w:p>
        </w:tc>
        <w:tc>
          <w:tcPr>
            <w:tcW w:w="26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960" w:type="dxa"/>
            <w:vAlign w:val="bottom"/>
          </w:tcPr>
          <w:p>
            <w:pPr>
              <w:jc w:val="center"/>
              <w:ind w:left="231"/>
              <w:spacing w:after="0" w:line="129" w:lineRule="exact"/>
              <w:rPr>
                <w:sz w:val="20"/>
                <w:szCs w:val="20"/>
                <w:color w:val="auto"/>
              </w:rPr>
            </w:pPr>
            <w:r>
              <w:rPr>
                <w:rFonts w:ascii="Arial" w:cs="Arial" w:eastAsia="Arial" w:hAnsi="Arial"/>
                <w:sz w:val="14"/>
                <w:szCs w:val="14"/>
                <w:b w:val="1"/>
                <w:bCs w:val="1"/>
                <w:color w:val="auto"/>
                <w:w w:val="97"/>
              </w:rPr>
              <w:t>Plans or Programs</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tcPr>
          <w:p>
            <w:pPr>
              <w:jc w:val="center"/>
              <w:ind w:right="103"/>
              <w:spacing w:after="0" w:line="129" w:lineRule="exact"/>
              <w:rPr>
                <w:sz w:val="20"/>
                <w:szCs w:val="20"/>
                <w:color w:val="auto"/>
              </w:rPr>
            </w:pPr>
            <w:r>
              <w:rPr>
                <w:rFonts w:ascii="Arial" w:cs="Arial" w:eastAsia="Arial" w:hAnsi="Arial"/>
                <w:sz w:val="14"/>
                <w:szCs w:val="14"/>
                <w:b w:val="1"/>
                <w:bCs w:val="1"/>
                <w:color w:val="auto"/>
                <w:w w:val="98"/>
              </w:rPr>
              <w:t>Under the Plans or Programs</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ind w:left="191"/>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9"/>
              </w:rPr>
              <w:t>per Share</w:t>
            </w: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left="231"/>
              <w:spacing w:after="0"/>
              <w:rPr>
                <w:sz w:val="20"/>
                <w:szCs w:val="20"/>
                <w:color w:val="auto"/>
              </w:rPr>
            </w:pPr>
            <w:r>
              <w:rPr>
                <w:rFonts w:ascii="Arial" w:cs="Arial" w:eastAsia="Arial" w:hAnsi="Arial"/>
                <w:sz w:val="14"/>
                <w:szCs w:val="14"/>
                <w:b w:val="1"/>
                <w:bCs w:val="1"/>
                <w:color w:val="auto"/>
                <w:w w:val="97"/>
              </w:rPr>
              <w:t>(in thousands)</w:t>
            </w: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2022</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3,250.0</w:t>
            </w:r>
          </w:p>
        </w:tc>
        <w:tc>
          <w:tcPr>
            <w:tcW w:w="0" w:type="dxa"/>
            <w:vAlign w:val="bottom"/>
          </w:tcPr>
          <w:p>
            <w:pPr>
              <w:spacing w:after="0"/>
              <w:rPr>
                <w:sz w:val="1"/>
                <w:szCs w:val="1"/>
                <w:color w:val="auto"/>
              </w:rPr>
            </w:pPr>
          </w:p>
        </w:tc>
      </w:tr>
      <w:tr>
        <w:trPr>
          <w:trHeight w:val="220"/>
        </w:trPr>
        <w:tc>
          <w:tcPr>
            <w:tcW w:w="2720" w:type="dxa"/>
            <w:vAlign w:val="bottom"/>
          </w:tcPr>
          <w:p>
            <w:pPr>
              <w:ind w:left="20"/>
              <w:spacing w:after="0"/>
              <w:rPr>
                <w:sz w:val="20"/>
                <w:szCs w:val="20"/>
                <w:color w:val="auto"/>
              </w:rPr>
            </w:pPr>
            <w:r>
              <w:rPr>
                <w:rFonts w:ascii="Arial" w:cs="Arial" w:eastAsia="Arial" w:hAnsi="Arial"/>
                <w:sz w:val="17"/>
                <w:szCs w:val="17"/>
                <w:color w:val="auto"/>
              </w:rPr>
              <w:t>May 2022</w:t>
            </w:r>
          </w:p>
        </w:tc>
        <w:tc>
          <w:tcPr>
            <w:tcW w:w="148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320" w:type="dxa"/>
            <w:vAlign w:val="bottom"/>
          </w:tcPr>
          <w:p>
            <w:pPr>
              <w:ind w:left="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3,250.0</w:t>
            </w: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2022</w:t>
            </w:r>
          </w:p>
        </w:tc>
        <w:tc>
          <w:tcPr>
            <w:tcW w:w="14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3,250.0</w:t>
            </w:r>
          </w:p>
        </w:tc>
        <w:tc>
          <w:tcPr>
            <w:tcW w:w="0" w:type="dxa"/>
            <w:vAlign w:val="bottom"/>
          </w:tcPr>
          <w:p>
            <w:pPr>
              <w:spacing w:after="0"/>
              <w:rPr>
                <w:sz w:val="1"/>
                <w:szCs w:val="1"/>
                <w:color w:val="auto"/>
              </w:rPr>
            </w:pPr>
          </w:p>
        </w:tc>
      </w:tr>
      <w:tr>
        <w:trPr>
          <w:trHeight w:val="218"/>
        </w:trPr>
        <w:tc>
          <w:tcPr>
            <w:tcW w:w="2720" w:type="dxa"/>
            <w:vAlign w:val="bottom"/>
          </w:tcPr>
          <w:p>
            <w:pPr>
              <w:ind w:left="2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During the three months ended June 30, 2022, we did not repurchase any shares under our $5.00 billion share repurchase program authorized in May 2021.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a part of this Quarterly Report:</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Exhibit</w:t>
            </w:r>
          </w:p>
        </w:tc>
        <w:tc>
          <w:tcPr>
            <w:tcW w:w="1900" w:type="dxa"/>
            <w:vAlign w:val="bottom"/>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Description</w:t>
            </w:r>
          </w:p>
        </w:tc>
        <w:tc>
          <w:tcPr>
            <w:tcW w:w="7720" w:type="dxa"/>
            <w:vAlign w:val="bottom"/>
            <w:gridSpan w:val="8"/>
          </w:tcPr>
          <w:p>
            <w:pPr>
              <w:spacing w:after="0"/>
              <w:rPr>
                <w:sz w:val="16"/>
                <w:szCs w:val="16"/>
                <w:color w:val="auto"/>
              </w:rPr>
            </w:pPr>
          </w:p>
        </w:tc>
      </w:tr>
      <w:tr>
        <w:trPr>
          <w:trHeight w:val="200"/>
        </w:trPr>
        <w:tc>
          <w:tcPr>
            <w:tcW w:w="2420" w:type="dxa"/>
            <w:vAlign w:val="bottom"/>
            <w:gridSpan w:val="2"/>
          </w:tcPr>
          <w:p>
            <w:pPr>
              <w:spacing w:after="0"/>
              <w:rPr>
                <w:sz w:val="20"/>
                <w:szCs w:val="20"/>
                <w:color w:val="auto"/>
              </w:rPr>
            </w:pPr>
            <w:r>
              <w:rPr>
                <w:rFonts w:ascii="Arial" w:cs="Arial" w:eastAsia="Arial" w:hAnsi="Arial"/>
                <w:sz w:val="17"/>
                <w:szCs w:val="17"/>
                <w:color w:val="auto"/>
              </w:rPr>
              <w:t>EXHIBIT 3.1</w:t>
            </w:r>
          </w:p>
        </w:tc>
        <w:tc>
          <w:tcPr>
            <w:tcW w:w="8600" w:type="dxa"/>
            <w:vAlign w:val="bottom"/>
            <w:gridSpan w:val="9"/>
          </w:tcPr>
          <w:p>
            <w:pPr>
              <w:spacing w:after="0"/>
              <w:rPr>
                <w:rFonts w:ascii="Arial" w:cs="Arial" w:eastAsia="Arial" w:hAnsi="Arial"/>
                <w:sz w:val="17"/>
                <w:szCs w:val="17"/>
                <w:color w:val="0000FF"/>
              </w:rPr>
            </w:pPr>
            <w:hyperlink r:id="rId68">
              <w:r>
                <w:rPr>
                  <w:rFonts w:ascii="Arial" w:cs="Arial" w:eastAsia="Arial" w:hAnsi="Arial"/>
                  <w:sz w:val="17"/>
                  <w:szCs w:val="17"/>
                  <w:color w:val="0000FF"/>
                </w:rPr>
                <w:t>Amended Articles of Incorporation are incorporated by reference to Exhibit 3.1 to the Company's Current Report</w:t>
              </w:r>
            </w:hyperlink>
          </w:p>
        </w:tc>
      </w:tr>
      <w:tr>
        <w:trPr>
          <w:trHeight w:val="148"/>
        </w:trPr>
        <w:tc>
          <w:tcPr>
            <w:tcW w:w="5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520" w:type="dxa"/>
            <w:vAlign w:val="bottom"/>
            <w:tcBorders>
              <w:top w:val="single" w:sz="8" w:color="0000FF"/>
            </w:tcBorders>
            <w:gridSpan w:val="7"/>
          </w:tcPr>
          <w:p>
            <w:pPr>
              <w:spacing w:after="0" w:line="148" w:lineRule="exact"/>
              <w:rPr>
                <w:rFonts w:ascii="Arial" w:cs="Arial" w:eastAsia="Arial" w:hAnsi="Arial"/>
                <w:sz w:val="17"/>
                <w:szCs w:val="17"/>
                <w:color w:val="0000FF"/>
              </w:rPr>
            </w:pPr>
            <w:hyperlink r:id="rId68">
              <w:r>
                <w:rPr>
                  <w:rFonts w:ascii="Arial" w:cs="Arial" w:eastAsia="Arial" w:hAnsi="Arial"/>
                  <w:sz w:val="17"/>
                  <w:szCs w:val="17"/>
                  <w:color w:val="0000FF"/>
                </w:rPr>
                <w:t>on Form 8-K filed on May 4, 2022</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420" w:type="dxa"/>
            <w:vAlign w:val="bottom"/>
            <w:gridSpan w:val="2"/>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1"/>
        </w:trPr>
        <w:tc>
          <w:tcPr>
            <w:tcW w:w="2420" w:type="dxa"/>
            <w:vAlign w:val="bottom"/>
            <w:gridSpan w:val="2"/>
          </w:tcPr>
          <w:p>
            <w:pPr>
              <w:spacing w:after="0"/>
              <w:rPr>
                <w:sz w:val="20"/>
                <w:szCs w:val="20"/>
                <w:color w:val="auto"/>
              </w:rPr>
            </w:pPr>
            <w:r>
              <w:rPr>
                <w:rFonts w:ascii="Arial" w:cs="Arial" w:eastAsia="Arial" w:hAnsi="Arial"/>
                <w:sz w:val="17"/>
                <w:szCs w:val="17"/>
                <w:color w:val="auto"/>
              </w:rPr>
              <w:t>EXHIBIT 3.2</w:t>
            </w:r>
          </w:p>
        </w:tc>
        <w:tc>
          <w:tcPr>
            <w:tcW w:w="8600" w:type="dxa"/>
            <w:vAlign w:val="bottom"/>
            <w:gridSpan w:val="9"/>
          </w:tcPr>
          <w:p>
            <w:pPr>
              <w:spacing w:after="0"/>
              <w:rPr>
                <w:rFonts w:ascii="Arial" w:cs="Arial" w:eastAsia="Arial" w:hAnsi="Arial"/>
                <w:sz w:val="17"/>
                <w:szCs w:val="17"/>
                <w:color w:val="0000FF"/>
              </w:rPr>
            </w:pPr>
            <w:hyperlink r:id="rId69">
              <w:r>
                <w:rPr>
                  <w:rFonts w:ascii="Arial" w:cs="Arial" w:eastAsia="Arial" w:hAnsi="Arial"/>
                  <w:sz w:val="17"/>
                  <w:szCs w:val="17"/>
                  <w:color w:val="0000FF"/>
                </w:rPr>
                <w:t>Bylaws, as amended, are incorporated by reference to Exhibit 3.2 to the Company's Current Report on Form 8-K</w:t>
              </w:r>
            </w:hyperlink>
          </w:p>
        </w:tc>
      </w:tr>
      <w:tr>
        <w:trPr>
          <w:trHeight w:val="148"/>
        </w:trPr>
        <w:tc>
          <w:tcPr>
            <w:tcW w:w="5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580" w:type="dxa"/>
            <w:vAlign w:val="bottom"/>
            <w:tcBorders>
              <w:top w:val="single" w:sz="8" w:color="0000FF"/>
            </w:tcBorders>
            <w:gridSpan w:val="8"/>
          </w:tcPr>
          <w:p>
            <w:pPr>
              <w:spacing w:after="0" w:line="148" w:lineRule="exact"/>
              <w:rPr>
                <w:rFonts w:ascii="Arial" w:cs="Arial" w:eastAsia="Arial" w:hAnsi="Arial"/>
                <w:sz w:val="17"/>
                <w:szCs w:val="17"/>
                <w:color w:val="0000FF"/>
              </w:rPr>
            </w:pPr>
            <w:hyperlink r:id="rId69">
              <w:r>
                <w:rPr>
                  <w:rFonts w:ascii="Arial" w:cs="Arial" w:eastAsia="Arial" w:hAnsi="Arial"/>
                  <w:sz w:val="17"/>
                  <w:szCs w:val="17"/>
                  <w:color w:val="0000FF"/>
                </w:rPr>
                <w:t>filed on May 4, 2022</w:t>
              </w:r>
            </w:hyperlink>
          </w:p>
        </w:tc>
        <w:tc>
          <w:tcPr>
            <w:tcW w:w="20" w:type="dxa"/>
            <w:vAlign w:val="bottom"/>
          </w:tcPr>
          <w:p>
            <w:pPr>
              <w:spacing w:after="0"/>
              <w:rPr>
                <w:sz w:val="12"/>
                <w:szCs w:val="12"/>
                <w:color w:val="auto"/>
              </w:rPr>
            </w:pPr>
          </w:p>
        </w:tc>
      </w:tr>
      <w:tr>
        <w:trPr>
          <w:trHeight w:val="20"/>
        </w:trPr>
        <w:tc>
          <w:tcPr>
            <w:tcW w:w="2420" w:type="dxa"/>
            <w:vAlign w:val="bottom"/>
            <w:gridSpan w:val="2"/>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471"/>
        </w:trPr>
        <w:tc>
          <w:tcPr>
            <w:tcW w:w="2420" w:type="dxa"/>
            <w:vAlign w:val="bottom"/>
            <w:gridSpan w:val="2"/>
          </w:tcPr>
          <w:p>
            <w:pPr>
              <w:spacing w:after="0"/>
              <w:rPr>
                <w:sz w:val="20"/>
                <w:szCs w:val="20"/>
                <w:color w:val="auto"/>
              </w:rPr>
            </w:pPr>
            <w:r>
              <w:rPr>
                <w:rFonts w:ascii="Arial" w:cs="Arial" w:eastAsia="Arial" w:hAnsi="Arial"/>
                <w:sz w:val="17"/>
                <w:szCs w:val="17"/>
                <w:color w:val="auto"/>
              </w:rPr>
              <w:t>EXHIBIT 31.1</w:t>
            </w:r>
          </w:p>
        </w:tc>
        <w:tc>
          <w:tcPr>
            <w:tcW w:w="69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Rule 13a-14(a) Certification of David A. Ricks, Chair, President, and Chief Executive Officer</w:t>
            </w:r>
          </w:p>
        </w:tc>
        <w:tc>
          <w:tcPr>
            <w:tcW w:w="1620" w:type="dxa"/>
            <w:vAlign w:val="bottom"/>
            <w:gridSpan w:val="4"/>
          </w:tcPr>
          <w:p>
            <w:pPr>
              <w:spacing w:after="0"/>
              <w:rPr>
                <w:sz w:val="24"/>
                <w:szCs w:val="24"/>
                <w:color w:val="auto"/>
              </w:rPr>
            </w:pPr>
          </w:p>
        </w:tc>
      </w:tr>
      <w:tr>
        <w:trPr>
          <w:trHeight w:val="458"/>
        </w:trPr>
        <w:tc>
          <w:tcPr>
            <w:tcW w:w="2420" w:type="dxa"/>
            <w:vAlign w:val="bottom"/>
            <w:gridSpan w:val="2"/>
          </w:tcPr>
          <w:p>
            <w:pPr>
              <w:spacing w:after="0"/>
              <w:rPr>
                <w:sz w:val="20"/>
                <w:szCs w:val="20"/>
                <w:color w:val="auto"/>
              </w:rPr>
            </w:pPr>
            <w:r>
              <w:rPr>
                <w:rFonts w:ascii="Arial" w:cs="Arial" w:eastAsia="Arial" w:hAnsi="Arial"/>
                <w:sz w:val="17"/>
                <w:szCs w:val="17"/>
                <w:color w:val="auto"/>
              </w:rPr>
              <w:t>EXHIBIT 31.2</w:t>
            </w:r>
          </w:p>
        </w:tc>
        <w:tc>
          <w:tcPr>
            <w:tcW w:w="73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Rule 13a-14(a) Certification of Anat Ashkenazi, Senior Vice President and Chief Financial Officer</w:t>
            </w:r>
          </w:p>
        </w:tc>
        <w:tc>
          <w:tcPr>
            <w:tcW w:w="1220" w:type="dxa"/>
            <w:vAlign w:val="bottom"/>
            <w:gridSpan w:val="3"/>
          </w:tcPr>
          <w:p>
            <w:pPr>
              <w:spacing w:after="0"/>
              <w:rPr>
                <w:sz w:val="24"/>
                <w:szCs w:val="24"/>
                <w:color w:val="auto"/>
              </w:rPr>
            </w:pPr>
          </w:p>
        </w:tc>
      </w:tr>
      <w:tr>
        <w:trPr>
          <w:trHeight w:val="458"/>
        </w:trPr>
        <w:tc>
          <w:tcPr>
            <w:tcW w:w="2420" w:type="dxa"/>
            <w:vAlign w:val="bottom"/>
            <w:gridSpan w:val="2"/>
          </w:tcPr>
          <w:p>
            <w:pPr>
              <w:spacing w:after="0"/>
              <w:rPr>
                <w:sz w:val="20"/>
                <w:szCs w:val="20"/>
                <w:color w:val="auto"/>
              </w:rPr>
            </w:pPr>
            <w:r>
              <w:rPr>
                <w:rFonts w:ascii="Arial" w:cs="Arial" w:eastAsia="Arial" w:hAnsi="Arial"/>
                <w:sz w:val="17"/>
                <w:szCs w:val="17"/>
                <w:color w:val="auto"/>
              </w:rPr>
              <w:t>EXHIBIT 32.</w:t>
            </w:r>
          </w:p>
        </w:tc>
        <w:tc>
          <w:tcPr>
            <w:tcW w:w="19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rPr>
              <w:t>Section 1350 Certification</w:t>
            </w:r>
          </w:p>
        </w:tc>
        <w:tc>
          <w:tcPr>
            <w:tcW w:w="6620" w:type="dxa"/>
            <w:vAlign w:val="bottom"/>
            <w:gridSpan w:val="6"/>
          </w:tcPr>
          <w:p>
            <w:pPr>
              <w:spacing w:after="0"/>
              <w:rPr>
                <w:sz w:val="24"/>
                <w:szCs w:val="24"/>
                <w:color w:val="auto"/>
              </w:rPr>
            </w:pPr>
          </w:p>
        </w:tc>
      </w:tr>
      <w:tr>
        <w:trPr>
          <w:trHeight w:val="499"/>
        </w:trPr>
        <w:tc>
          <w:tcPr>
            <w:tcW w:w="2420" w:type="dxa"/>
            <w:vAlign w:val="bottom"/>
            <w:gridSpan w:val="2"/>
          </w:tcPr>
          <w:p>
            <w:pPr>
              <w:spacing w:after="0"/>
              <w:rPr>
                <w:sz w:val="20"/>
                <w:szCs w:val="20"/>
                <w:color w:val="auto"/>
              </w:rPr>
            </w:pPr>
            <w:r>
              <w:rPr>
                <w:rFonts w:ascii="Arial" w:cs="Arial" w:eastAsia="Arial" w:hAnsi="Arial"/>
                <w:sz w:val="17"/>
                <w:szCs w:val="17"/>
                <w:color w:val="auto"/>
              </w:rPr>
              <w:t>EXHIBIT 101.</w:t>
            </w:r>
          </w:p>
        </w:tc>
        <w:tc>
          <w:tcPr>
            <w:tcW w:w="8600" w:type="dxa"/>
            <w:vAlign w:val="bottom"/>
            <w:gridSpan w:val="9"/>
          </w:tcPr>
          <w:p>
            <w:pPr>
              <w:spacing w:after="0"/>
              <w:rPr>
                <w:sz w:val="20"/>
                <w:szCs w:val="20"/>
                <w:color w:val="auto"/>
              </w:rPr>
            </w:pPr>
            <w:r>
              <w:rPr>
                <w:rFonts w:ascii="Arial" w:cs="Arial" w:eastAsia="Arial" w:hAnsi="Arial"/>
                <w:sz w:val="17"/>
                <w:szCs w:val="17"/>
                <w:color w:val="auto"/>
              </w:rPr>
              <w:t>Interactive Data Files (embedded within the Inline XBRL document)</w:t>
            </w:r>
          </w:p>
        </w:tc>
      </w:tr>
      <w:tr>
        <w:trPr>
          <w:trHeight w:val="478"/>
        </w:trPr>
        <w:tc>
          <w:tcPr>
            <w:tcW w:w="2420" w:type="dxa"/>
            <w:vAlign w:val="bottom"/>
            <w:gridSpan w:val="2"/>
          </w:tcPr>
          <w:p>
            <w:pPr>
              <w:spacing w:after="0"/>
              <w:rPr>
                <w:sz w:val="20"/>
                <w:szCs w:val="20"/>
                <w:color w:val="auto"/>
              </w:rPr>
            </w:pPr>
            <w:r>
              <w:rPr>
                <w:rFonts w:ascii="Arial" w:cs="Arial" w:eastAsia="Arial" w:hAnsi="Arial"/>
                <w:sz w:val="17"/>
                <w:szCs w:val="17"/>
                <w:color w:val="auto"/>
              </w:rPr>
              <w:t>EXHIBIT 104.</w:t>
            </w:r>
          </w:p>
        </w:tc>
        <w:tc>
          <w:tcPr>
            <w:tcW w:w="8600" w:type="dxa"/>
            <w:vAlign w:val="bottom"/>
            <w:gridSpan w:val="9"/>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65" w:lineRule="exact"/>
        <w:rPr>
          <w:sz w:val="20"/>
          <w:szCs w:val="20"/>
          <w:color w:val="auto"/>
        </w:rPr>
      </w:pPr>
    </w:p>
    <w:p>
      <w:pPr>
        <w:ind w:right="20" w:firstLine="3"/>
        <w:spacing w:after="0" w:line="291" w:lineRule="auto"/>
        <w:tabs>
          <w:tab w:leader="none" w:pos="2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ELI LILLY AND COMPANY</w:t>
            </w:r>
          </w:p>
        </w:tc>
        <w:tc>
          <w:tcPr>
            <w:tcW w:w="6640" w:type="dxa"/>
            <w:vAlign w:val="bottom"/>
          </w:tcPr>
          <w:p>
            <w:pPr>
              <w:spacing w:after="0"/>
              <w:rPr>
                <w:sz w:val="16"/>
                <w:szCs w:val="16"/>
                <w:color w:val="auto"/>
              </w:rPr>
            </w:pPr>
          </w:p>
        </w:tc>
      </w:tr>
      <w:tr>
        <w:trPr>
          <w:trHeight w:val="241"/>
        </w:trPr>
        <w:tc>
          <w:tcPr>
            <w:tcW w:w="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00" w:type="dxa"/>
            <w:vAlign w:val="bottom"/>
            <w:gridSpan w:val="2"/>
          </w:tcPr>
          <w:p>
            <w:pPr>
              <w:spacing w:after="0"/>
              <w:rPr>
                <w:sz w:val="20"/>
                <w:szCs w:val="20"/>
                <w:color w:val="auto"/>
              </w:rPr>
            </w:pPr>
            <w:r>
              <w:rPr>
                <w:rFonts w:ascii="Arial" w:cs="Arial" w:eastAsia="Arial" w:hAnsi="Arial"/>
                <w:sz w:val="17"/>
                <w:szCs w:val="17"/>
                <w:color w:val="auto"/>
              </w:rPr>
              <w:t>(Registrant)</w:t>
            </w:r>
          </w:p>
        </w:tc>
      </w:tr>
      <w:tr>
        <w:trPr>
          <w:trHeight w:val="476"/>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1940" w:type="dxa"/>
            <w:vAlign w:val="bottom"/>
          </w:tcPr>
          <w:p>
            <w:pPr>
              <w:ind w:left="120"/>
              <w:spacing w:after="0"/>
              <w:rPr>
                <w:sz w:val="20"/>
                <w:szCs w:val="20"/>
                <w:color w:val="auto"/>
              </w:rPr>
            </w:pPr>
            <w:r>
              <w:rPr>
                <w:rFonts w:ascii="Arial" w:cs="Arial" w:eastAsia="Arial" w:hAnsi="Arial"/>
                <w:sz w:val="17"/>
                <w:szCs w:val="17"/>
                <w:color w:val="auto"/>
              </w:rPr>
              <w:t>August 4, 2022</w:t>
            </w:r>
          </w:p>
        </w:tc>
        <w:tc>
          <w:tcPr>
            <w:tcW w:w="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Anat Ashkenazi</w:t>
            </w:r>
          </w:p>
        </w:tc>
      </w:tr>
      <w:tr>
        <w:trPr>
          <w:trHeight w:val="209"/>
        </w:trPr>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7"/>
                <w:szCs w:val="17"/>
                <w:color w:val="auto"/>
              </w:rPr>
              <w:t>Anat Ashkenazi</w:t>
            </w:r>
          </w:p>
        </w:tc>
      </w:tr>
      <w:tr>
        <w:trPr>
          <w:trHeight w:val="220"/>
        </w:trPr>
        <w:tc>
          <w:tcPr>
            <w:tcW w:w="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7"/>
                <w:szCs w:val="17"/>
                <w:color w:val="auto"/>
              </w:rPr>
              <w:t>Senior Vice President and Chief Financial Officer</w:t>
            </w:r>
          </w:p>
        </w:tc>
      </w:tr>
      <w:tr>
        <w:trPr>
          <w:trHeight w:val="224"/>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1940" w:type="dxa"/>
            <w:vAlign w:val="bottom"/>
          </w:tcPr>
          <w:p>
            <w:pPr>
              <w:ind w:left="120"/>
              <w:spacing w:after="0"/>
              <w:rPr>
                <w:sz w:val="20"/>
                <w:szCs w:val="20"/>
                <w:color w:val="auto"/>
              </w:rPr>
            </w:pPr>
            <w:r>
              <w:rPr>
                <w:rFonts w:ascii="Arial" w:cs="Arial" w:eastAsia="Arial" w:hAnsi="Arial"/>
                <w:sz w:val="17"/>
                <w:szCs w:val="17"/>
                <w:color w:val="auto"/>
              </w:rPr>
              <w:t>August 4, 2022</w:t>
            </w:r>
          </w:p>
        </w:tc>
        <w:tc>
          <w:tcPr>
            <w:tcW w:w="2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Donald A. Zakrowski</w:t>
            </w:r>
          </w:p>
        </w:tc>
      </w:tr>
      <w:tr>
        <w:trPr>
          <w:trHeight w:val="209"/>
        </w:trPr>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7"/>
                <w:szCs w:val="17"/>
                <w:color w:val="auto"/>
              </w:rPr>
              <w:t>Donald A. Zakrowski</w:t>
            </w:r>
          </w:p>
        </w:tc>
      </w:tr>
      <w:tr>
        <w:trPr>
          <w:trHeight w:val="226"/>
        </w:trPr>
        <w:tc>
          <w:tcPr>
            <w:tcW w:w="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7"/>
                <w:szCs w:val="17"/>
                <w:color w:val="auto"/>
              </w:rPr>
              <w:t>Vice President, Finance, and Chief Accounting Officer</w:t>
            </w:r>
          </w:p>
        </w:tc>
      </w:tr>
      <w:tr>
        <w:trPr>
          <w:trHeight w:val="814"/>
        </w:trPr>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720" w:type="dxa"/>
            <w:vAlign w:val="bottom"/>
            <w:gridSpan w:val="3"/>
          </w:tcPr>
          <w:p>
            <w:pPr>
              <w:jc w:val="right"/>
              <w:ind w:right="5500"/>
              <w:spacing w:after="0"/>
              <w:rPr>
                <w:sz w:val="20"/>
                <w:szCs w:val="20"/>
                <w:color w:val="auto"/>
              </w:rPr>
            </w:pPr>
            <w:r>
              <w:rPr>
                <w:rFonts w:ascii="Arial" w:cs="Arial" w:eastAsia="Arial" w:hAnsi="Arial"/>
                <w:sz w:val="17"/>
                <w:szCs w:val="17"/>
                <w:color w:val="auto"/>
              </w:rPr>
              <w:t>52</w:t>
            </w:r>
          </w:p>
        </w:tc>
      </w:tr>
    </w:tbl>
    <w:p>
      <w:pPr>
        <w:sectPr>
          <w:pgSz w:w="11900" w:h="16838" w:orient="portrait"/>
          <w:cols w:equalWidth="0" w:num="1">
            <w:col w:w="11220"/>
          </w:cols>
          <w:pgMar w:left="320" w:top="963"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EXHIBIT 31.1 Rule 13a-14(a) Certification of David A. Ricks, Chair, President, and Chief Executive Officer</w:t>
      </w:r>
    </w:p>
    <w:p>
      <w:pPr>
        <w:spacing w:after="0" w:line="242"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CERTIFICATIONS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David A. Ricks, Chair, President, and Chief Executive Officer, certify that:</w:t>
      </w:r>
    </w:p>
    <w:p>
      <w:pPr>
        <w:spacing w:after="0" w:line="166" w:lineRule="exact"/>
        <w:rPr>
          <w:sz w:val="20"/>
          <w:szCs w:val="20"/>
          <w:color w:val="auto"/>
        </w:rPr>
      </w:pPr>
    </w:p>
    <w:p>
      <w:pPr>
        <w:ind w:left="300" w:hanging="297"/>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report on Form 10-Q of Eli Lilly and Company;</w:t>
      </w:r>
    </w:p>
    <w:p>
      <w:pPr>
        <w:spacing w:after="0" w:line="166"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50" w:lineRule="exact"/>
        <w:rPr>
          <w:rFonts w:ascii="Arial" w:cs="Arial" w:eastAsia="Arial" w:hAnsi="Arial"/>
          <w:sz w:val="17"/>
          <w:szCs w:val="17"/>
          <w:color w:val="auto"/>
        </w:rPr>
      </w:pPr>
    </w:p>
    <w:p>
      <w:pPr>
        <w:ind w:left="940" w:hanging="316"/>
        <w:spacing w:after="0" w:line="272" w:lineRule="auto"/>
        <w:tabs>
          <w:tab w:leader="none" w:pos="9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940" w:hanging="316"/>
        <w:spacing w:after="0" w:line="272" w:lineRule="auto"/>
        <w:tabs>
          <w:tab w:leader="none" w:pos="9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7"/>
          <w:szCs w:val="17"/>
          <w:color w:val="auto"/>
        </w:rPr>
      </w:pPr>
    </w:p>
    <w:p>
      <w:pPr>
        <w:ind w:left="940" w:right="260" w:hanging="316"/>
        <w:spacing w:after="0" w:line="272" w:lineRule="auto"/>
        <w:tabs>
          <w:tab w:leader="none" w:pos="92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7"/>
          <w:szCs w:val="17"/>
          <w:color w:val="auto"/>
        </w:rPr>
      </w:pPr>
    </w:p>
    <w:p>
      <w:pPr>
        <w:ind w:left="940" w:right="40" w:hanging="316"/>
        <w:spacing w:after="0" w:line="272" w:lineRule="auto"/>
        <w:tabs>
          <w:tab w:leader="none" w:pos="9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0"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7"/>
          <w:szCs w:val="17"/>
          <w:color w:val="auto"/>
        </w:rPr>
      </w:pPr>
    </w:p>
    <w:p>
      <w:pPr>
        <w:ind w:left="940" w:right="420" w:hanging="316"/>
        <w:spacing w:after="0" w:line="291" w:lineRule="auto"/>
        <w:tabs>
          <w:tab w:leader="none" w:pos="9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7"/>
          <w:szCs w:val="17"/>
          <w:color w:val="auto"/>
        </w:rPr>
      </w:pPr>
    </w:p>
    <w:p>
      <w:pPr>
        <w:ind w:left="940" w:right="40" w:hanging="316"/>
        <w:spacing w:after="0" w:line="291" w:lineRule="auto"/>
        <w:tabs>
          <w:tab w:leader="none" w:pos="9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5800" w:type="dxa"/>
            <w:vAlign w:val="bottom"/>
          </w:tcPr>
          <w:p>
            <w:pPr>
              <w:ind w:left="20"/>
              <w:spacing w:after="0"/>
              <w:rPr>
                <w:sz w:val="20"/>
                <w:szCs w:val="20"/>
                <w:color w:val="auto"/>
              </w:rPr>
            </w:pPr>
            <w:r>
              <w:rPr>
                <w:rFonts w:ascii="Arial" w:cs="Arial" w:eastAsia="Arial" w:hAnsi="Arial"/>
                <w:sz w:val="17"/>
                <w:szCs w:val="17"/>
                <w:color w:val="auto"/>
              </w:rPr>
              <w:t>August 4, 2022</w:t>
            </w:r>
          </w:p>
        </w:tc>
      </w:tr>
      <w:tr>
        <w:trPr>
          <w:trHeight w:val="476"/>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8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/s/ David A. Ricks</w:t>
            </w:r>
          </w:p>
        </w:tc>
      </w:tr>
      <w:tr>
        <w:trPr>
          <w:trHeight w:val="209"/>
        </w:trPr>
        <w:tc>
          <w:tcPr>
            <w:tcW w:w="64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7"/>
                <w:szCs w:val="17"/>
                <w:color w:val="auto"/>
              </w:rPr>
              <w:t>David A. Ricks</w:t>
            </w:r>
          </w:p>
        </w:tc>
      </w:tr>
      <w:tr>
        <w:trPr>
          <w:trHeight w:val="226"/>
        </w:trPr>
        <w:tc>
          <w:tcPr>
            <w:tcW w:w="64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7"/>
                <w:szCs w:val="17"/>
                <w:color w:val="auto"/>
              </w:rPr>
              <w:t>Chair, President, and Chief Executive Officer</w:t>
            </w:r>
          </w:p>
        </w:tc>
      </w:tr>
    </w:tbl>
    <w:p>
      <w:pPr>
        <w:sectPr>
          <w:pgSz w:w="11900" w:h="16838" w:orient="portrait"/>
          <w:cols w:equalWidth="0" w:num="1">
            <w:col w:w="11240"/>
          </w:cols>
          <w:pgMar w:left="320" w:top="1105"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EXHIBIT 31.2 Rule 13a-14(a) Certification of Anat Ashkenazi, Senior Vice President and Chief Financial Officer</w:t>
      </w:r>
    </w:p>
    <w:p>
      <w:pPr>
        <w:spacing w:after="0" w:line="242"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CERTIFICATIONS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Anat Ashkenazi, Senior Vice President and Chief Financial Officer, certify that:</w:t>
      </w:r>
    </w:p>
    <w:p>
      <w:pPr>
        <w:spacing w:after="0" w:line="166" w:lineRule="exact"/>
        <w:rPr>
          <w:sz w:val="20"/>
          <w:szCs w:val="20"/>
          <w:color w:val="auto"/>
        </w:rPr>
      </w:pPr>
    </w:p>
    <w:p>
      <w:pPr>
        <w:ind w:left="300" w:hanging="297"/>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report on Form 10-Q of Eli Lilly and Company;</w:t>
      </w:r>
    </w:p>
    <w:p>
      <w:pPr>
        <w:spacing w:after="0" w:line="166"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50" w:lineRule="exact"/>
        <w:rPr>
          <w:rFonts w:ascii="Arial" w:cs="Arial" w:eastAsia="Arial" w:hAnsi="Arial"/>
          <w:sz w:val="17"/>
          <w:szCs w:val="17"/>
          <w:color w:val="auto"/>
        </w:rPr>
      </w:pPr>
    </w:p>
    <w:p>
      <w:pPr>
        <w:ind w:left="940" w:hanging="316"/>
        <w:spacing w:after="0" w:line="272" w:lineRule="auto"/>
        <w:tabs>
          <w:tab w:leader="none" w:pos="93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940" w:hanging="316"/>
        <w:spacing w:after="0" w:line="272" w:lineRule="auto"/>
        <w:tabs>
          <w:tab w:leader="none" w:pos="93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7"/>
          <w:szCs w:val="17"/>
          <w:color w:val="auto"/>
        </w:rPr>
      </w:pPr>
    </w:p>
    <w:p>
      <w:pPr>
        <w:ind w:left="940" w:right="260" w:hanging="316"/>
        <w:spacing w:after="0" w:line="272" w:lineRule="auto"/>
        <w:tabs>
          <w:tab w:leader="none" w:pos="928"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7"/>
          <w:szCs w:val="17"/>
          <w:color w:val="auto"/>
        </w:rPr>
      </w:pPr>
    </w:p>
    <w:p>
      <w:pPr>
        <w:ind w:left="940" w:right="40" w:hanging="316"/>
        <w:spacing w:after="0" w:line="272" w:lineRule="auto"/>
        <w:tabs>
          <w:tab w:leader="none" w:pos="93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0"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7"/>
          <w:szCs w:val="17"/>
          <w:color w:val="auto"/>
        </w:rPr>
      </w:pPr>
    </w:p>
    <w:p>
      <w:pPr>
        <w:ind w:left="940" w:right="420" w:hanging="316"/>
        <w:spacing w:after="0" w:line="291" w:lineRule="auto"/>
        <w:tabs>
          <w:tab w:leader="none" w:pos="93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7"/>
          <w:szCs w:val="17"/>
          <w:color w:val="auto"/>
        </w:rPr>
      </w:pPr>
    </w:p>
    <w:p>
      <w:pPr>
        <w:ind w:left="940" w:right="40" w:hanging="316"/>
        <w:spacing w:after="0" w:line="291" w:lineRule="auto"/>
        <w:tabs>
          <w:tab w:leader="none" w:pos="93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5800" w:type="dxa"/>
            <w:vAlign w:val="bottom"/>
          </w:tcPr>
          <w:p>
            <w:pPr>
              <w:ind w:left="20"/>
              <w:spacing w:after="0"/>
              <w:rPr>
                <w:sz w:val="20"/>
                <w:szCs w:val="20"/>
                <w:color w:val="auto"/>
              </w:rPr>
            </w:pPr>
            <w:r>
              <w:rPr>
                <w:rFonts w:ascii="Arial" w:cs="Arial" w:eastAsia="Arial" w:hAnsi="Arial"/>
                <w:sz w:val="17"/>
                <w:szCs w:val="17"/>
                <w:color w:val="auto"/>
              </w:rPr>
              <w:t>August 4, 2022</w:t>
            </w:r>
          </w:p>
        </w:tc>
      </w:tr>
      <w:tr>
        <w:trPr>
          <w:trHeight w:val="476"/>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8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/s/ Anat Ashkenazi</w:t>
            </w:r>
          </w:p>
        </w:tc>
      </w:tr>
      <w:tr>
        <w:trPr>
          <w:trHeight w:val="209"/>
        </w:trPr>
        <w:tc>
          <w:tcPr>
            <w:tcW w:w="64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7"/>
                <w:szCs w:val="17"/>
                <w:color w:val="auto"/>
              </w:rPr>
              <w:t>Anat Ashkenazi</w:t>
            </w:r>
          </w:p>
        </w:tc>
      </w:tr>
      <w:tr>
        <w:trPr>
          <w:trHeight w:val="226"/>
        </w:trPr>
        <w:tc>
          <w:tcPr>
            <w:tcW w:w="64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7"/>
                <w:szCs w:val="17"/>
                <w:color w:val="auto"/>
              </w:rPr>
              <w:t>Senior Vice President and Chief Financial Officer</w:t>
            </w:r>
          </w:p>
        </w:tc>
      </w:tr>
    </w:tbl>
    <w:p>
      <w:pPr>
        <w:sectPr>
          <w:pgSz w:w="11900" w:h="16838" w:orient="portrait"/>
          <w:cols w:equalWidth="0" w:num="1">
            <w:col w:w="11240"/>
          </w:cols>
          <w:pgMar w:left="320" w:top="1105"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EXHIBIT 32. Section 1350 Certification</w:t>
      </w:r>
    </w:p>
    <w:p>
      <w:pPr>
        <w:spacing w:after="0" w:line="166"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Quarterly Report on Form 10-Q for the quarter ended June 30, 2022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5040" w:type="dxa"/>
            <w:vAlign w:val="bottom"/>
          </w:tcPr>
          <w:p>
            <w:pPr>
              <w:ind w:left="120"/>
              <w:spacing w:after="0"/>
              <w:rPr>
                <w:sz w:val="20"/>
                <w:szCs w:val="20"/>
                <w:color w:val="auto"/>
              </w:rPr>
            </w:pPr>
            <w:r>
              <w:rPr>
                <w:rFonts w:ascii="Arial" w:cs="Arial" w:eastAsia="Arial" w:hAnsi="Arial"/>
                <w:sz w:val="17"/>
                <w:szCs w:val="17"/>
                <w:color w:val="auto"/>
              </w:rPr>
              <w:t>August 4, 2022</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David A. Ricks</w:t>
            </w:r>
          </w:p>
        </w:tc>
      </w:tr>
      <w:tr>
        <w:trPr>
          <w:trHeight w:val="209"/>
        </w:trPr>
        <w:tc>
          <w:tcPr>
            <w:tcW w:w="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7"/>
                <w:szCs w:val="17"/>
                <w:color w:val="auto"/>
              </w:rPr>
              <w:t>David A. Ricks</w:t>
            </w:r>
          </w:p>
        </w:tc>
      </w:tr>
      <w:tr>
        <w:trPr>
          <w:trHeight w:val="226"/>
        </w:trPr>
        <w:tc>
          <w:tcPr>
            <w:tcW w:w="5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7"/>
                <w:szCs w:val="17"/>
                <w:color w:val="auto"/>
              </w:rPr>
              <w:t>Chair, President, and Chief Executive Officer</w:t>
            </w:r>
          </w:p>
        </w:tc>
      </w:tr>
      <w:tr>
        <w:trPr>
          <w:trHeight w:val="928"/>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5040" w:type="dxa"/>
            <w:vAlign w:val="bottom"/>
          </w:tcPr>
          <w:p>
            <w:pPr>
              <w:ind w:left="120"/>
              <w:spacing w:after="0"/>
              <w:rPr>
                <w:sz w:val="20"/>
                <w:szCs w:val="20"/>
                <w:color w:val="auto"/>
              </w:rPr>
            </w:pPr>
            <w:r>
              <w:rPr>
                <w:rFonts w:ascii="Arial" w:cs="Arial" w:eastAsia="Arial" w:hAnsi="Arial"/>
                <w:sz w:val="17"/>
                <w:szCs w:val="17"/>
                <w:color w:val="auto"/>
              </w:rPr>
              <w:t>August 4, 2022</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Anat Ashkenazi</w:t>
            </w:r>
          </w:p>
        </w:tc>
      </w:tr>
      <w:tr>
        <w:trPr>
          <w:trHeight w:val="209"/>
        </w:trPr>
        <w:tc>
          <w:tcPr>
            <w:tcW w:w="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7"/>
                <w:szCs w:val="17"/>
                <w:color w:val="auto"/>
              </w:rPr>
              <w:t>Anat Ashkenazi</w:t>
            </w:r>
          </w:p>
        </w:tc>
      </w:tr>
      <w:tr>
        <w:trPr>
          <w:trHeight w:val="226"/>
        </w:trPr>
        <w:tc>
          <w:tcPr>
            <w:tcW w:w="5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7"/>
                <w:szCs w:val="17"/>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1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15" Type="http://schemas.openxmlformats.org/officeDocument/2006/relationships/hyperlink" Target="https://www.sec.gov/Archives/edgar/data/0000059478/000005947822000068/lly-20211231.htm" TargetMode="External"/><Relationship Id="rId68" Type="http://schemas.openxmlformats.org/officeDocument/2006/relationships/hyperlink" Target="https://www.sec.gov/Archives/edgar/data/59478/000005947822000138/articlesofincorporationlly.htm" TargetMode="External"/><Relationship Id="rId69"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2022-08-04T10:35:29Z</dcterms:created>
  <dcterms:modified xsi:type="dcterms:W3CDTF">2022-08-04T10:35:29Z</dcterms:modified>
</cp:coreProperties>
</file>