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5"/>
          <w:szCs w:val="25"/>
          <w:b w:val="1"/>
          <w:bCs w:val="1"/>
          <w:color w:val="auto"/>
        </w:rPr>
        <w:t>UNITED STATES</w:t>
      </w:r>
    </w:p>
    <w:p>
      <w:pPr>
        <w:spacing w:after="0" w:line="46"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ind w:left="4500"/>
        <w:spacing w:after="0"/>
        <w:rPr>
          <w:sz w:val="20"/>
          <w:szCs w:val="20"/>
          <w:color w:val="auto"/>
        </w:rPr>
      </w:pPr>
      <w:r>
        <w:rPr>
          <w:rFonts w:ascii="Arial" w:cs="Arial" w:eastAsia="Arial" w:hAnsi="Arial"/>
          <w:sz w:val="22"/>
          <w:szCs w:val="22"/>
          <w:b w:val="1"/>
          <w:bCs w:val="1"/>
          <w:color w:val="auto"/>
        </w:rPr>
        <w:t>Washington, D.C. 20549</w:t>
      </w:r>
    </w:p>
    <w:p>
      <w:pPr>
        <w:spacing w:after="0" w:line="23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SCHEDULE 14A</w:t>
      </w:r>
    </w:p>
    <w:p>
      <w:pPr>
        <w:spacing w:after="0" w:line="246"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3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1200"/>
        <w:spacing w:after="0"/>
        <w:tabs>
          <w:tab w:leader="none" w:pos="28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4097020</wp:posOffset>
            </wp:positionH>
            <wp:positionV relativeFrom="paragraph">
              <wp:posOffset>-27305</wp:posOffset>
            </wp:positionV>
            <wp:extent cx="152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278" w:lineRule="exact"/>
        <w:rPr>
          <w:sz w:val="24"/>
          <w:szCs w:val="24"/>
          <w:color w:val="auto"/>
        </w:rPr>
      </w:pPr>
    </w:p>
    <w:p>
      <w:pPr>
        <w:spacing w:after="0" w:line="197" w:lineRule="exact"/>
        <w:tabs>
          <w:tab w:leader="none" w:pos="1980" w:val="left"/>
        </w:tabs>
        <w:rPr>
          <w:sz w:val="20"/>
          <w:szCs w:val="20"/>
          <w:color w:val="auto"/>
        </w:rPr>
      </w:pPr>
      <w:r>
        <w:rPr>
          <w:rFonts w:ascii="Arial" w:cs="Arial" w:eastAsia="Arial" w:hAnsi="Arial"/>
          <w:sz w:val="17"/>
          <w:szCs w:val="17"/>
          <w:color w:val="auto"/>
        </w:rPr>
        <w:t xml:space="preserve">Filed by the Registrant </w:t>
      </w:r>
      <w:r>
        <w:rPr>
          <w:rFonts w:ascii="Times New Roman" w:cs="Times New Roman" w:eastAsia="Times New Roman" w:hAnsi="Times New Roman"/>
          <w:sz w:val="17"/>
          <w:szCs w:val="17"/>
          <w:color w:val="auto"/>
        </w:rPr>
        <w:t>x</w:t>
      </w:r>
      <w:r>
        <w:rPr>
          <w:rFonts w:ascii="Arial" w:cs="Arial" w:eastAsia="Arial" w:hAnsi="Arial"/>
          <w:sz w:val="17"/>
          <w:szCs w:val="17"/>
          <w:color w:val="auto"/>
        </w:rPr>
        <w:tab/>
        <w:t xml:space="preserve">Filed by a Party other than the Registrant </w:t>
      </w:r>
      <w:r>
        <w:rPr>
          <w:rFonts w:ascii="MS PGothic" w:cs="MS PGothic" w:eastAsia="MS PGothic" w:hAnsi="MS PGothic"/>
          <w:sz w:val="17"/>
          <w:szCs w:val="17"/>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00" w:lineRule="exact"/>
        <w:rPr>
          <w:sz w:val="24"/>
          <w:szCs w:val="24"/>
          <w:color w:val="auto"/>
        </w:rPr>
      </w:pPr>
    </w:p>
    <w:p>
      <w:pPr>
        <w:spacing w:after="0" w:line="305" w:lineRule="exact"/>
        <w:rPr>
          <w:sz w:val="24"/>
          <w:szCs w:val="24"/>
          <w:color w:val="auto"/>
        </w:rPr>
      </w:pPr>
    </w:p>
    <w:p>
      <w:pPr>
        <w:ind w:left="500" w:hanging="465"/>
        <w:spacing w:after="0"/>
        <w:tabs>
          <w:tab w:leader="none" w:pos="500"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Preliminary Proxy Statement</w:t>
      </w:r>
    </w:p>
    <w:p>
      <w:pPr>
        <w:ind w:left="500" w:hanging="465"/>
        <w:spacing w:after="0" w:line="233" w:lineRule="auto"/>
        <w:tabs>
          <w:tab w:leader="none" w:pos="500" w:val="left"/>
        </w:tabs>
        <w:numPr>
          <w:ilvl w:val="0"/>
          <w:numId w:val="2"/>
        </w:numPr>
        <w:rPr>
          <w:rFonts w:ascii="Times New Roman" w:cs="Times New Roman" w:eastAsia="Times New Roman" w:hAnsi="Times New Roman"/>
          <w:sz w:val="27"/>
          <w:szCs w:val="27"/>
          <w:color w:val="auto"/>
          <w:vertAlign w:val="superscript"/>
        </w:rPr>
      </w:pPr>
      <w:r>
        <w:rPr>
          <w:rFonts w:ascii="Arial" w:cs="Arial" w:eastAsia="Arial" w:hAnsi="Arial"/>
          <w:sz w:val="14"/>
          <w:szCs w:val="14"/>
          <w:color w:val="auto"/>
        </w:rPr>
        <w:t>Confidential, for Use of the Commission Only (as permitted by Rule 14a-6(e)(2))</w:t>
      </w:r>
    </w:p>
    <w:p>
      <w:pPr>
        <w:spacing w:after="0" w:line="98" w:lineRule="exact"/>
        <w:rPr>
          <w:rFonts w:ascii="Times New Roman" w:cs="Times New Roman" w:eastAsia="Times New Roman" w:hAnsi="Times New Roman"/>
          <w:sz w:val="27"/>
          <w:szCs w:val="27"/>
          <w:color w:val="auto"/>
          <w:vertAlign w:val="superscript"/>
        </w:rPr>
      </w:pPr>
    </w:p>
    <w:p>
      <w:pPr>
        <w:ind w:left="500" w:hanging="465"/>
        <w:spacing w:after="0" w:line="185" w:lineRule="auto"/>
        <w:tabs>
          <w:tab w:leader="none" w:pos="500" w:val="left"/>
        </w:tabs>
        <w:numPr>
          <w:ilvl w:val="0"/>
          <w:numId w:val="2"/>
        </w:numPr>
        <w:rPr>
          <w:rFonts w:ascii="Times New Roman" w:cs="Times New Roman" w:eastAsia="Times New Roman" w:hAnsi="Times New Roman"/>
          <w:sz w:val="21"/>
          <w:szCs w:val="21"/>
          <w:color w:val="auto"/>
          <w:vertAlign w:val="superscript"/>
        </w:rPr>
      </w:pPr>
      <w:r>
        <w:rPr>
          <w:rFonts w:ascii="Arial" w:cs="Arial" w:eastAsia="Arial" w:hAnsi="Arial"/>
          <w:sz w:val="11"/>
          <w:szCs w:val="11"/>
          <w:color w:val="auto"/>
        </w:rPr>
        <w:t>Definitive Proxy Statement</w:t>
      </w:r>
    </w:p>
    <w:p>
      <w:pPr>
        <w:spacing w:after="0" w:line="103" w:lineRule="exact"/>
        <w:rPr>
          <w:rFonts w:ascii="Times New Roman" w:cs="Times New Roman" w:eastAsia="Times New Roman" w:hAnsi="Times New Roman"/>
          <w:sz w:val="21"/>
          <w:szCs w:val="21"/>
          <w:color w:val="auto"/>
          <w:vertAlign w:val="superscript"/>
        </w:rPr>
      </w:pPr>
    </w:p>
    <w:p>
      <w:pPr>
        <w:ind w:left="500" w:hanging="465"/>
        <w:spacing w:after="0"/>
        <w:tabs>
          <w:tab w:leader="none" w:pos="500" w:val="left"/>
        </w:tabs>
        <w:numPr>
          <w:ilvl w:val="0"/>
          <w:numId w:val="2"/>
        </w:numPr>
        <w:rPr>
          <w:rFonts w:ascii="Times New Roman" w:cs="Times New Roman" w:eastAsia="Times New Roman" w:hAnsi="Times New Roman"/>
          <w:sz w:val="14"/>
          <w:szCs w:val="14"/>
          <w:color w:val="auto"/>
        </w:rPr>
      </w:pPr>
      <w:r>
        <w:rPr>
          <w:rFonts w:ascii="Arial" w:cs="Arial" w:eastAsia="Arial" w:hAnsi="Arial"/>
          <w:sz w:val="14"/>
          <w:szCs w:val="14"/>
          <w:color w:val="auto"/>
        </w:rPr>
        <w:t>Definitive Additional Materials</w:t>
      </w:r>
    </w:p>
    <w:p>
      <w:pPr>
        <w:spacing w:after="0" w:line="122" w:lineRule="exact"/>
        <w:rPr>
          <w:rFonts w:ascii="Times New Roman" w:cs="Times New Roman" w:eastAsia="Times New Roman" w:hAnsi="Times New Roman"/>
          <w:sz w:val="14"/>
          <w:szCs w:val="14"/>
          <w:color w:val="auto"/>
        </w:rPr>
      </w:pPr>
    </w:p>
    <w:p>
      <w:pPr>
        <w:ind w:left="500" w:hanging="465"/>
        <w:spacing w:after="0"/>
        <w:tabs>
          <w:tab w:leader="none" w:pos="500" w:val="left"/>
        </w:tabs>
        <w:numPr>
          <w:ilvl w:val="0"/>
          <w:numId w:val="2"/>
        </w:numPr>
        <w:rPr>
          <w:rFonts w:ascii="Times New Roman" w:cs="Times New Roman" w:eastAsia="Times New Roman" w:hAnsi="Times New Roman"/>
          <w:sz w:val="14"/>
          <w:szCs w:val="14"/>
          <w:color w:val="auto"/>
        </w:rPr>
      </w:pPr>
      <w:r>
        <w:rPr>
          <w:rFonts w:ascii="Arial" w:cs="Arial" w:eastAsia="Arial" w:hAnsi="Arial"/>
          <w:sz w:val="14"/>
          <w:szCs w:val="14"/>
          <w:color w:val="auto"/>
        </w:rPr>
        <w:t>Soliciting Material Pursuant to §240.14a-12</w:t>
      </w:r>
    </w:p>
    <w:p>
      <w:pPr>
        <w:spacing w:after="0" w:line="200" w:lineRule="exact"/>
        <w:rPr>
          <w:sz w:val="24"/>
          <w:szCs w:val="24"/>
          <w:color w:val="auto"/>
        </w:rPr>
      </w:pPr>
    </w:p>
    <w:p>
      <w:pPr>
        <w:spacing w:after="0" w:line="321"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ectPr>
          <w:pgSz w:w="11900" w:h="16838" w:orient="portrait"/>
          <w:cols w:equalWidth="0" w:num="1">
            <w:col w:w="10219"/>
          </w:cols>
          <w:pgMar w:left="240" w:top="659" w:right="1440" w:bottom="1440" w:gutter="0" w:footer="0" w:header="0"/>
        </w:sectPr>
      </w:pPr>
    </w:p>
    <w:bookmarkStart w:id="1" w:name="page2"/>
    <w:bookmarkEnd w:id="1"/>
    <w:p>
      <w:pPr>
        <w:ind w:left="5"/>
        <w:spacing w:after="0"/>
        <w:rPr>
          <w:sz w:val="20"/>
          <w:szCs w:val="20"/>
          <w:color w:val="auto"/>
        </w:rPr>
      </w:pPr>
      <w:r>
        <w:rPr>
          <w:rFonts w:ascii="Arial" w:cs="Arial" w:eastAsia="Arial" w:hAnsi="Arial"/>
          <w:sz w:val="14"/>
          <w:szCs w:val="14"/>
          <w:color w:val="auto"/>
        </w:rPr>
        <w:t>Payment of Filing Fee (Check the appropriate box):</w:t>
      </w:r>
    </w:p>
    <w:p>
      <w:pPr>
        <w:spacing w:after="0" w:line="16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x</w:t>
      </w:r>
    </w:p>
    <w:p>
      <w:pPr>
        <w:spacing w:after="0" w:line="13" w:lineRule="exact"/>
        <w:rPr>
          <w:sz w:val="20"/>
          <w:szCs w:val="20"/>
          <w:color w:val="auto"/>
        </w:rPr>
      </w:pPr>
    </w:p>
    <w:p>
      <w:pPr>
        <w:ind w:left="485"/>
        <w:spacing w:after="0"/>
        <w:rPr>
          <w:sz w:val="20"/>
          <w:szCs w:val="20"/>
          <w:color w:val="auto"/>
        </w:rPr>
      </w:pPr>
      <w:r>
        <w:rPr>
          <w:rFonts w:ascii="Arial" w:cs="Arial" w:eastAsia="Arial" w:hAnsi="Arial"/>
          <w:sz w:val="14"/>
          <w:szCs w:val="14"/>
          <w:color w:val="auto"/>
        </w:rPr>
        <w:t>No fee required.</w:t>
      </w:r>
    </w:p>
    <w:p>
      <w:pPr>
        <w:spacing w:after="0" w:line="98" w:lineRule="exact"/>
        <w:rPr>
          <w:sz w:val="20"/>
          <w:szCs w:val="20"/>
          <w:color w:val="auto"/>
        </w:rPr>
      </w:pPr>
    </w:p>
    <w:p>
      <w:pPr>
        <w:ind w:left="485" w:hanging="485"/>
        <w:spacing w:after="0"/>
        <w:tabs>
          <w:tab w:leader="none" w:pos="485" w:val="left"/>
        </w:tabs>
        <w:numPr>
          <w:ilvl w:val="0"/>
          <w:numId w:val="3"/>
        </w:numPr>
        <w:rPr>
          <w:rFonts w:ascii="Times New Roman" w:cs="Times New Roman" w:eastAsia="Times New Roman" w:hAnsi="Times New Roman"/>
          <w:sz w:val="27"/>
          <w:szCs w:val="27"/>
          <w:color w:val="auto"/>
          <w:vertAlign w:val="superscript"/>
        </w:rPr>
      </w:pPr>
      <w:r>
        <w:rPr>
          <w:rFonts w:ascii="Arial" w:cs="Arial" w:eastAsia="Arial" w:hAnsi="Arial"/>
          <w:sz w:val="14"/>
          <w:szCs w:val="14"/>
          <w:color w:val="auto"/>
        </w:rPr>
        <w:t>Fee computed on table below per Exchange Act Rules 14a-6(i)(4) and 0-11.</w:t>
      </w:r>
    </w:p>
    <w:p>
      <w:pPr>
        <w:spacing w:after="0" w:line="97" w:lineRule="exact"/>
        <w:rPr>
          <w:rFonts w:ascii="Times New Roman" w:cs="Times New Roman" w:eastAsia="Times New Roman" w:hAnsi="Times New Roman"/>
          <w:sz w:val="27"/>
          <w:szCs w:val="27"/>
          <w:color w:val="auto"/>
          <w:vertAlign w:val="superscript"/>
        </w:rPr>
      </w:pPr>
    </w:p>
    <w:p>
      <w:pPr>
        <w:ind w:left="1045" w:hanging="452"/>
        <w:spacing w:after="0" w:line="227" w:lineRule="auto"/>
        <w:tabs>
          <w:tab w:leader="none" w:pos="1045" w:val="left"/>
        </w:tabs>
        <w:numPr>
          <w:ilvl w:val="1"/>
          <w:numId w:val="3"/>
        </w:numPr>
        <w:rPr>
          <w:rFonts w:ascii="Arial" w:cs="Arial" w:eastAsia="Arial" w:hAnsi="Arial"/>
          <w:sz w:val="27"/>
          <w:szCs w:val="27"/>
          <w:color w:val="auto"/>
          <w:vertAlign w:val="superscript"/>
        </w:rPr>
      </w:pPr>
      <w:r>
        <w:rPr>
          <w:rFonts w:ascii="Arial" w:cs="Arial" w:eastAsia="Arial" w:hAnsi="Arial"/>
          <w:sz w:val="14"/>
          <w:szCs w:val="14"/>
          <w:color w:val="auto"/>
        </w:rPr>
        <w:t>Title of each class of securities to which transaction applies:</w:t>
      </w:r>
    </w:p>
    <w:p>
      <w:pPr>
        <w:spacing w:after="0" w:line="297" w:lineRule="exact"/>
        <w:rPr>
          <w:rFonts w:ascii="Arial" w:cs="Arial" w:eastAsia="Arial" w:hAnsi="Arial"/>
          <w:sz w:val="27"/>
          <w:szCs w:val="27"/>
          <w:color w:val="auto"/>
          <w:vertAlign w:val="superscript"/>
        </w:rPr>
      </w:pPr>
    </w:p>
    <w:p>
      <w:pPr>
        <w:ind w:left="1045" w:hanging="452"/>
        <w:spacing w:after="0"/>
        <w:tabs>
          <w:tab w:leader="none" w:pos="1045" w:val="left"/>
        </w:tabs>
        <w:numPr>
          <w:ilvl w:val="1"/>
          <w:numId w:val="3"/>
        </w:numPr>
        <w:rPr>
          <w:rFonts w:ascii="Arial" w:cs="Arial" w:eastAsia="Arial" w:hAnsi="Arial"/>
          <w:sz w:val="27"/>
          <w:szCs w:val="27"/>
          <w:color w:val="auto"/>
          <w:vertAlign w:val="superscript"/>
        </w:rPr>
      </w:pPr>
      <w:r>
        <w:rPr>
          <w:rFonts w:ascii="Arial" w:cs="Arial" w:eastAsia="Arial" w:hAnsi="Arial"/>
          <w:sz w:val="14"/>
          <w:szCs w:val="14"/>
          <w:color w:val="auto"/>
        </w:rPr>
        <w:t>Aggregate number of securities to which transaction applies:</w:t>
      </w:r>
    </w:p>
    <w:p>
      <w:pPr>
        <w:spacing w:after="0" w:line="359" w:lineRule="exact"/>
        <w:rPr>
          <w:rFonts w:ascii="Arial" w:cs="Arial" w:eastAsia="Arial" w:hAnsi="Arial"/>
          <w:sz w:val="27"/>
          <w:szCs w:val="27"/>
          <w:color w:val="auto"/>
          <w:vertAlign w:val="superscript"/>
        </w:rPr>
      </w:pPr>
    </w:p>
    <w:p>
      <w:pPr>
        <w:ind w:left="1045" w:hanging="452"/>
        <w:spacing w:after="0" w:line="250" w:lineRule="auto"/>
        <w:tabs>
          <w:tab w:leader="none" w:pos="1045" w:val="left"/>
        </w:tabs>
        <w:numPr>
          <w:ilvl w:val="1"/>
          <w:numId w:val="3"/>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90" w:lineRule="exact"/>
        <w:rPr>
          <w:rFonts w:ascii="Arial" w:cs="Arial" w:eastAsia="Arial" w:hAnsi="Arial"/>
          <w:sz w:val="14"/>
          <w:szCs w:val="14"/>
          <w:color w:val="auto"/>
        </w:rPr>
      </w:pPr>
    </w:p>
    <w:p>
      <w:pPr>
        <w:ind w:left="1045" w:hanging="452"/>
        <w:spacing w:after="0"/>
        <w:tabs>
          <w:tab w:leader="none" w:pos="1045" w:val="left"/>
        </w:tabs>
        <w:numPr>
          <w:ilvl w:val="1"/>
          <w:numId w:val="3"/>
        </w:numPr>
        <w:rPr>
          <w:rFonts w:ascii="Arial" w:cs="Arial" w:eastAsia="Arial" w:hAnsi="Arial"/>
          <w:sz w:val="27"/>
          <w:szCs w:val="27"/>
          <w:color w:val="auto"/>
          <w:vertAlign w:val="superscript"/>
        </w:rPr>
      </w:pPr>
      <w:r>
        <w:rPr>
          <w:rFonts w:ascii="Arial" w:cs="Arial" w:eastAsia="Arial" w:hAnsi="Arial"/>
          <w:sz w:val="14"/>
          <w:szCs w:val="14"/>
          <w:color w:val="auto"/>
        </w:rPr>
        <w:t>Proposed maximum aggregate value of transaction:</w:t>
      </w:r>
    </w:p>
    <w:p>
      <w:pPr>
        <w:spacing w:after="0" w:line="297" w:lineRule="exact"/>
        <w:rPr>
          <w:rFonts w:ascii="Arial" w:cs="Arial" w:eastAsia="Arial" w:hAnsi="Arial"/>
          <w:sz w:val="27"/>
          <w:szCs w:val="27"/>
          <w:color w:val="auto"/>
          <w:vertAlign w:val="superscript"/>
        </w:rPr>
      </w:pPr>
    </w:p>
    <w:p>
      <w:pPr>
        <w:ind w:left="1045" w:hanging="452"/>
        <w:spacing w:after="0"/>
        <w:tabs>
          <w:tab w:leader="none" w:pos="1045" w:val="left"/>
        </w:tabs>
        <w:numPr>
          <w:ilvl w:val="1"/>
          <w:numId w:val="3"/>
        </w:numPr>
        <w:rPr>
          <w:rFonts w:ascii="Arial" w:cs="Arial" w:eastAsia="Arial" w:hAnsi="Arial"/>
          <w:sz w:val="27"/>
          <w:szCs w:val="27"/>
          <w:color w:val="auto"/>
          <w:vertAlign w:val="superscript"/>
        </w:rPr>
      </w:pPr>
      <w:r>
        <w:rPr>
          <w:rFonts w:ascii="Arial" w:cs="Arial" w:eastAsia="Arial" w:hAnsi="Arial"/>
          <w:sz w:val="14"/>
          <w:szCs w:val="14"/>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213360</wp:posOffset>
            </wp:positionV>
            <wp:extent cx="6946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-172085</wp:posOffset>
            </wp:positionV>
            <wp:extent cx="6946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-557530</wp:posOffset>
            </wp:positionV>
            <wp:extent cx="6946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-995045</wp:posOffset>
            </wp:positionV>
            <wp:extent cx="6946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-1381125</wp:posOffset>
            </wp:positionV>
            <wp:extent cx="69462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o</w:t>
      </w:r>
    </w:p>
    <w:p>
      <w:pPr>
        <w:spacing w:after="0" w:line="13" w:lineRule="exact"/>
        <w:rPr>
          <w:sz w:val="20"/>
          <w:szCs w:val="20"/>
          <w:color w:val="auto"/>
        </w:rPr>
      </w:pPr>
    </w:p>
    <w:p>
      <w:pPr>
        <w:ind w:left="485"/>
        <w:spacing w:after="0"/>
        <w:rPr>
          <w:sz w:val="20"/>
          <w:szCs w:val="20"/>
          <w:color w:val="auto"/>
        </w:rPr>
      </w:pPr>
      <w:r>
        <w:rPr>
          <w:rFonts w:ascii="Arial" w:cs="Arial" w:eastAsia="Arial" w:hAnsi="Arial"/>
          <w:sz w:val="14"/>
          <w:szCs w:val="14"/>
          <w:color w:val="auto"/>
        </w:rPr>
        <w:t>Fee paid previously with preliminary materials.</w:t>
      </w:r>
    </w:p>
    <w:p>
      <w:pPr>
        <w:spacing w:after="0" w:line="147" w:lineRule="exact"/>
        <w:rPr>
          <w:sz w:val="20"/>
          <w:szCs w:val="20"/>
          <w:color w:val="auto"/>
        </w:rPr>
      </w:pPr>
    </w:p>
    <w:p>
      <w:pPr>
        <w:ind w:left="465" w:right="40" w:hanging="465"/>
        <w:spacing w:after="0" w:line="249" w:lineRule="auto"/>
        <w:tabs>
          <w:tab w:leader="none" w:pos="465"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5" w:lineRule="exact"/>
        <w:rPr>
          <w:rFonts w:ascii="Times New Roman" w:cs="Times New Roman" w:eastAsia="Times New Roman" w:hAnsi="Times New Roman"/>
          <w:sz w:val="14"/>
          <w:szCs w:val="14"/>
          <w:color w:val="auto"/>
        </w:rPr>
      </w:pPr>
    </w:p>
    <w:p>
      <w:pPr>
        <w:ind w:left="1045" w:hanging="452"/>
        <w:spacing w:after="0"/>
        <w:tabs>
          <w:tab w:leader="none" w:pos="1045" w:val="left"/>
        </w:tabs>
        <w:numPr>
          <w:ilvl w:val="1"/>
          <w:numId w:val="4"/>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00" w:lineRule="exact"/>
        <w:rPr>
          <w:rFonts w:ascii="Arial" w:cs="Arial" w:eastAsia="Arial" w:hAnsi="Arial"/>
          <w:sz w:val="14"/>
          <w:szCs w:val="14"/>
          <w:color w:val="auto"/>
        </w:rPr>
      </w:pPr>
    </w:p>
    <w:p>
      <w:pPr>
        <w:spacing w:after="0" w:line="246" w:lineRule="exact"/>
        <w:rPr>
          <w:rFonts w:ascii="Arial" w:cs="Arial" w:eastAsia="Arial" w:hAnsi="Arial"/>
          <w:sz w:val="14"/>
          <w:szCs w:val="14"/>
          <w:color w:val="auto"/>
        </w:rPr>
      </w:pPr>
    </w:p>
    <w:p>
      <w:pPr>
        <w:ind w:left="1045" w:hanging="452"/>
        <w:spacing w:after="0"/>
        <w:tabs>
          <w:tab w:leader="none" w:pos="1045" w:val="left"/>
        </w:tabs>
        <w:numPr>
          <w:ilvl w:val="1"/>
          <w:numId w:val="4"/>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00" w:lineRule="exact"/>
        <w:rPr>
          <w:rFonts w:ascii="Arial" w:cs="Arial" w:eastAsia="Arial" w:hAnsi="Arial"/>
          <w:sz w:val="14"/>
          <w:szCs w:val="14"/>
          <w:color w:val="auto"/>
        </w:rPr>
      </w:pPr>
    </w:p>
    <w:p>
      <w:pPr>
        <w:spacing w:after="0" w:line="246" w:lineRule="exact"/>
        <w:rPr>
          <w:rFonts w:ascii="Arial" w:cs="Arial" w:eastAsia="Arial" w:hAnsi="Arial"/>
          <w:sz w:val="14"/>
          <w:szCs w:val="14"/>
          <w:color w:val="auto"/>
        </w:rPr>
      </w:pPr>
    </w:p>
    <w:p>
      <w:pPr>
        <w:ind w:left="1045" w:hanging="452"/>
        <w:spacing w:after="0"/>
        <w:tabs>
          <w:tab w:leader="none" w:pos="1045" w:val="left"/>
        </w:tabs>
        <w:numPr>
          <w:ilvl w:val="1"/>
          <w:numId w:val="4"/>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00" w:lineRule="exact"/>
        <w:rPr>
          <w:rFonts w:ascii="Arial" w:cs="Arial" w:eastAsia="Arial" w:hAnsi="Arial"/>
          <w:sz w:val="14"/>
          <w:szCs w:val="14"/>
          <w:color w:val="auto"/>
        </w:rPr>
      </w:pPr>
    </w:p>
    <w:p>
      <w:pPr>
        <w:spacing w:after="0" w:line="246" w:lineRule="exact"/>
        <w:rPr>
          <w:rFonts w:ascii="Arial" w:cs="Arial" w:eastAsia="Arial" w:hAnsi="Arial"/>
          <w:sz w:val="14"/>
          <w:szCs w:val="14"/>
          <w:color w:val="auto"/>
        </w:rPr>
      </w:pPr>
    </w:p>
    <w:p>
      <w:pPr>
        <w:ind w:left="1045" w:hanging="452"/>
        <w:spacing w:after="0"/>
        <w:tabs>
          <w:tab w:leader="none" w:pos="1045" w:val="left"/>
        </w:tabs>
        <w:numPr>
          <w:ilvl w:val="1"/>
          <w:numId w:val="4"/>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225425</wp:posOffset>
            </wp:positionV>
            <wp:extent cx="69462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-159385</wp:posOffset>
            </wp:positionV>
            <wp:extent cx="69462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-545465</wp:posOffset>
            </wp:positionV>
            <wp:extent cx="69462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-931545</wp:posOffset>
            </wp:positionV>
            <wp:extent cx="69462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25"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9200" w:type="dxa"/>
            <w:vAlign w:val="bottom"/>
          </w:tcPr>
          <w:p>
            <w:pPr>
              <w:ind w:left="380"/>
              <w:spacing w:after="0"/>
              <w:rPr>
                <w:sz w:val="20"/>
                <w:szCs w:val="20"/>
                <w:color w:val="auto"/>
              </w:rPr>
            </w:pPr>
            <w:r>
              <w:rPr>
                <w:rFonts w:ascii="Arial" w:cs="Arial" w:eastAsia="Arial" w:hAnsi="Arial"/>
                <w:sz w:val="14"/>
                <w:szCs w:val="14"/>
                <w:b w:val="1"/>
                <w:bCs w:val="1"/>
                <w:color w:val="auto"/>
                <w:w w:val="96"/>
              </w:rPr>
              <w:t>Persons who are to respond to the collection of information contained in this form are not required to respond unless the form displays a</w:t>
            </w:r>
          </w:p>
        </w:tc>
      </w:tr>
      <w:tr>
        <w:trPr>
          <w:trHeight w:val="190"/>
        </w:trPr>
        <w:tc>
          <w:tcPr>
            <w:tcW w:w="1440" w:type="dxa"/>
            <w:vAlign w:val="bottom"/>
          </w:tcPr>
          <w:p>
            <w:pPr>
              <w:spacing w:after="0"/>
              <w:rPr>
                <w:sz w:val="20"/>
                <w:szCs w:val="20"/>
                <w:color w:val="auto"/>
              </w:rPr>
            </w:pPr>
            <w:r>
              <w:rPr>
                <w:rFonts w:ascii="Arial" w:cs="Arial" w:eastAsia="Arial" w:hAnsi="Arial"/>
                <w:sz w:val="14"/>
                <w:szCs w:val="14"/>
                <w:color w:val="auto"/>
              </w:rPr>
              <w:t>SEC 1913 (11-01)</w:t>
            </w:r>
          </w:p>
        </w:tc>
        <w:tc>
          <w:tcPr>
            <w:tcW w:w="9200" w:type="dxa"/>
            <w:vAlign w:val="bottom"/>
          </w:tcPr>
          <w:p>
            <w:pPr>
              <w:ind w:left="380"/>
              <w:spacing w:after="0"/>
              <w:rPr>
                <w:sz w:val="20"/>
                <w:szCs w:val="20"/>
                <w:color w:val="auto"/>
              </w:rPr>
            </w:pPr>
            <w:r>
              <w:rPr>
                <w:rFonts w:ascii="Arial" w:cs="Arial" w:eastAsia="Arial" w:hAnsi="Arial"/>
                <w:sz w:val="14"/>
                <w:szCs w:val="14"/>
                <w:b w:val="1"/>
                <w:bCs w:val="1"/>
                <w:color w:val="auto"/>
              </w:rPr>
              <w:t>currently valid OMB control number.</w:t>
            </w:r>
          </w:p>
        </w:tc>
      </w:tr>
    </w:tbl>
    <w:p>
      <w:pPr>
        <w:sectPr>
          <w:pgSz w:w="11900" w:h="16838" w:orient="portrait"/>
          <w:cols w:equalWidth="0" w:num="1">
            <w:col w:w="11305"/>
          </w:cols>
          <w:pgMar w:left="275" w:top="906" w:right="3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4116705" cy="2238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11670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639"/>
        <w:spacing w:after="0" w:line="312" w:lineRule="auto"/>
        <w:rPr>
          <w:sz w:val="20"/>
          <w:szCs w:val="20"/>
          <w:color w:val="auto"/>
        </w:rPr>
      </w:pPr>
      <w:r>
        <w:rPr>
          <w:rFonts w:ascii="Arial" w:cs="Arial" w:eastAsia="Arial" w:hAnsi="Arial"/>
          <w:sz w:val="57"/>
          <w:szCs w:val="57"/>
          <w:b w:val="1"/>
          <w:bCs w:val="1"/>
          <w:color w:val="auto"/>
        </w:rPr>
        <w:t>Notice of 2019 Annual Meeting of Shareholders and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Your vote is important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Please vote online, by telephone, or by signing, dating, and returning the enclosed proxy card by mail.</w:t>
      </w:r>
    </w:p>
    <w:p>
      <w:pPr>
        <w:sectPr>
          <w:pgSz w:w="11900" w:h="16838" w:orient="portrait"/>
          <w:cols w:equalWidth="0" w:num="1">
            <w:col w:w="10219"/>
          </w:cols>
          <w:pgMar w:left="240" w:top="1440" w:right="1440"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00ABE8"/>
        </w:rPr>
        <w:t>Table of Contents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EE2724"/>
        </w:rPr>
        <w:t>Notice of Annual Meeting of Shareholders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EE2724"/>
        </w:rPr>
        <w:t>Proxy Statement Summary</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EE2724"/>
        </w:rPr>
        <w:t>Governance</w:t>
      </w:r>
    </w:p>
    <w:p>
      <w:pPr>
        <w:spacing w:after="0" w:line="107" w:lineRule="exact"/>
        <w:rPr>
          <w:sz w:val="20"/>
          <w:szCs w:val="20"/>
          <w:color w:val="auto"/>
        </w:rPr>
      </w:pPr>
    </w:p>
    <w:p>
      <w:pPr>
        <w:ind w:left="380"/>
        <w:spacing w:after="0"/>
        <w:rPr>
          <w:rFonts w:ascii="Arial" w:cs="Arial" w:eastAsia="Arial" w:hAnsi="Arial"/>
          <w:sz w:val="14"/>
          <w:szCs w:val="14"/>
          <w:b w:val="1"/>
          <w:bCs w:val="1"/>
          <w:color w:val="auto"/>
        </w:rPr>
      </w:pPr>
      <w:hyperlink w:anchor="page12">
        <w:r>
          <w:rPr>
            <w:rFonts w:ascii="Arial" w:cs="Arial" w:eastAsia="Arial" w:hAnsi="Arial"/>
            <w:sz w:val="14"/>
            <w:szCs w:val="14"/>
            <w:b w:val="1"/>
            <w:bCs w:val="1"/>
            <w:color w:val="auto"/>
          </w:rPr>
          <w:t>Item 1 - Election of Directors</w:t>
        </w:r>
      </w:hyperlink>
    </w:p>
    <w:p>
      <w:pPr>
        <w:spacing w:after="0" w:line="138" w:lineRule="exact"/>
        <w:rPr>
          <w:sz w:val="20"/>
          <w:szCs w:val="20"/>
          <w:color w:val="auto"/>
        </w:rPr>
      </w:pPr>
    </w:p>
    <w:p>
      <w:pPr>
        <w:ind w:left="380"/>
        <w:spacing w:after="0"/>
        <w:rPr>
          <w:rFonts w:ascii="Arial" w:cs="Arial" w:eastAsia="Arial" w:hAnsi="Arial"/>
          <w:sz w:val="14"/>
          <w:szCs w:val="14"/>
          <w:color w:val="auto"/>
        </w:rPr>
      </w:pPr>
      <w:hyperlink w:anchor="page13">
        <w:r>
          <w:rPr>
            <w:rFonts w:ascii="Arial" w:cs="Arial" w:eastAsia="Arial" w:hAnsi="Arial"/>
            <w:sz w:val="14"/>
            <w:szCs w:val="14"/>
            <w:color w:val="auto"/>
          </w:rPr>
          <w:t>Board Operations and Governance</w:t>
        </w:r>
      </w:hyperlink>
    </w:p>
    <w:p>
      <w:pPr>
        <w:spacing w:after="0" w:line="136" w:lineRule="exact"/>
        <w:rPr>
          <w:sz w:val="20"/>
          <w:szCs w:val="20"/>
          <w:color w:val="auto"/>
        </w:rPr>
      </w:pPr>
    </w:p>
    <w:p>
      <w:pPr>
        <w:ind w:left="380"/>
        <w:spacing w:after="0"/>
        <w:rPr>
          <w:rFonts w:ascii="Arial" w:cs="Arial" w:eastAsia="Arial" w:hAnsi="Arial"/>
          <w:sz w:val="14"/>
          <w:szCs w:val="14"/>
          <w:color w:val="auto"/>
        </w:rPr>
      </w:pPr>
      <w:hyperlink w:anchor="page22">
        <w:r>
          <w:rPr>
            <w:rFonts w:ascii="Arial" w:cs="Arial" w:eastAsia="Arial" w:hAnsi="Arial"/>
            <w:sz w:val="14"/>
            <w:szCs w:val="14"/>
            <w:color w:val="auto"/>
          </w:rPr>
          <w:t>Director Qualifications and Nomination Process</w:t>
        </w:r>
      </w:hyperlink>
    </w:p>
    <w:p>
      <w:pPr>
        <w:spacing w:after="0" w:line="136" w:lineRule="exact"/>
        <w:rPr>
          <w:sz w:val="20"/>
          <w:szCs w:val="20"/>
          <w:color w:val="auto"/>
        </w:rPr>
      </w:pPr>
    </w:p>
    <w:p>
      <w:pPr>
        <w:ind w:left="380"/>
        <w:spacing w:after="0"/>
        <w:rPr>
          <w:rFonts w:ascii="Arial" w:cs="Arial" w:eastAsia="Arial" w:hAnsi="Arial"/>
          <w:sz w:val="14"/>
          <w:szCs w:val="14"/>
          <w:color w:val="auto"/>
        </w:rPr>
      </w:pPr>
      <w:hyperlink w:anchor="page23">
        <w:r>
          <w:rPr>
            <w:rFonts w:ascii="Arial" w:cs="Arial" w:eastAsia="Arial" w:hAnsi="Arial"/>
            <w:sz w:val="14"/>
            <w:szCs w:val="14"/>
            <w:color w:val="auto"/>
          </w:rPr>
          <w:t>Director Compensation</w:t>
        </w:r>
      </w:hyperlink>
    </w:p>
    <w:p>
      <w:pPr>
        <w:spacing w:after="0" w:line="136" w:lineRule="exact"/>
        <w:rPr>
          <w:sz w:val="20"/>
          <w:szCs w:val="20"/>
          <w:color w:val="auto"/>
        </w:rPr>
      </w:pPr>
    </w:p>
    <w:p>
      <w:pPr>
        <w:ind w:left="380"/>
        <w:spacing w:after="0"/>
        <w:rPr>
          <w:rFonts w:ascii="Arial" w:cs="Arial" w:eastAsia="Arial" w:hAnsi="Arial"/>
          <w:sz w:val="14"/>
          <w:szCs w:val="14"/>
          <w:color w:val="auto"/>
        </w:rPr>
      </w:pPr>
      <w:hyperlink w:anchor="page25">
        <w:r>
          <w:rPr>
            <w:rFonts w:ascii="Arial" w:cs="Arial" w:eastAsia="Arial" w:hAnsi="Arial"/>
            <w:sz w:val="14"/>
            <w:szCs w:val="14"/>
            <w:color w:val="auto"/>
          </w:rPr>
          <w:t>Director Independence</w:t>
        </w:r>
      </w:hyperlink>
    </w:p>
    <w:p>
      <w:pPr>
        <w:spacing w:after="0" w:line="136" w:lineRule="exact"/>
        <w:rPr>
          <w:sz w:val="20"/>
          <w:szCs w:val="20"/>
          <w:color w:val="auto"/>
        </w:rPr>
      </w:pPr>
    </w:p>
    <w:p>
      <w:pPr>
        <w:ind w:left="380"/>
        <w:spacing w:after="0"/>
        <w:rPr>
          <w:rFonts w:ascii="Arial" w:cs="Arial" w:eastAsia="Arial" w:hAnsi="Arial"/>
          <w:sz w:val="14"/>
          <w:szCs w:val="14"/>
          <w:color w:val="auto"/>
        </w:rPr>
      </w:pPr>
      <w:hyperlink w:anchor="page26">
        <w:r>
          <w:rPr>
            <w:rFonts w:ascii="Arial" w:cs="Arial" w:eastAsia="Arial" w:hAnsi="Arial"/>
            <w:sz w:val="14"/>
            <w:szCs w:val="14"/>
            <w:color w:val="auto"/>
          </w:rPr>
          <w:t>Committees of the Board of Directors</w:t>
        </w:r>
      </w:hyperlink>
    </w:p>
    <w:p>
      <w:pPr>
        <w:spacing w:after="0" w:line="136" w:lineRule="exact"/>
        <w:rPr>
          <w:sz w:val="20"/>
          <w:szCs w:val="20"/>
          <w:color w:val="auto"/>
        </w:rPr>
      </w:pPr>
    </w:p>
    <w:p>
      <w:pPr>
        <w:ind w:left="380"/>
        <w:spacing w:after="0"/>
        <w:rPr>
          <w:rFonts w:ascii="Arial" w:cs="Arial" w:eastAsia="Arial" w:hAnsi="Arial"/>
          <w:sz w:val="14"/>
          <w:szCs w:val="14"/>
          <w:color w:val="auto"/>
        </w:rPr>
      </w:pPr>
      <w:hyperlink w:anchor="page27">
        <w:r>
          <w:rPr>
            <w:rFonts w:ascii="Arial" w:cs="Arial" w:eastAsia="Arial" w:hAnsi="Arial"/>
            <w:sz w:val="14"/>
            <w:szCs w:val="14"/>
            <w:color w:val="auto"/>
          </w:rPr>
          <w:t>Membership and Meetings of the Board and Its Committees</w:t>
        </w:r>
      </w:hyperlink>
    </w:p>
    <w:p>
      <w:pPr>
        <w:spacing w:after="0" w:line="136" w:lineRule="exact"/>
        <w:rPr>
          <w:sz w:val="20"/>
          <w:szCs w:val="20"/>
          <w:color w:val="auto"/>
        </w:rPr>
      </w:pPr>
    </w:p>
    <w:p>
      <w:pPr>
        <w:ind w:left="380"/>
        <w:spacing w:after="0"/>
        <w:rPr>
          <w:rFonts w:ascii="Arial" w:cs="Arial" w:eastAsia="Arial" w:hAnsi="Arial"/>
          <w:sz w:val="14"/>
          <w:szCs w:val="14"/>
          <w:color w:val="auto"/>
        </w:rPr>
      </w:pPr>
      <w:hyperlink w:anchor="page29">
        <w:r>
          <w:rPr>
            <w:rFonts w:ascii="Arial" w:cs="Arial" w:eastAsia="Arial" w:hAnsi="Arial"/>
            <w:sz w:val="14"/>
            <w:szCs w:val="14"/>
            <w:color w:val="auto"/>
          </w:rPr>
          <w:t>Board Oversight of Compliance and Risk Management</w:t>
        </w:r>
      </w:hyperlink>
    </w:p>
    <w:p>
      <w:pPr>
        <w:spacing w:after="0" w:line="136" w:lineRule="exact"/>
        <w:rPr>
          <w:sz w:val="20"/>
          <w:szCs w:val="20"/>
          <w:color w:val="auto"/>
        </w:rPr>
      </w:pPr>
    </w:p>
    <w:p>
      <w:pPr>
        <w:ind w:left="380"/>
        <w:spacing w:after="0"/>
        <w:rPr>
          <w:rFonts w:ascii="Arial" w:cs="Arial" w:eastAsia="Arial" w:hAnsi="Arial"/>
          <w:sz w:val="14"/>
          <w:szCs w:val="14"/>
          <w:color w:val="auto"/>
        </w:rPr>
      </w:pPr>
      <w:hyperlink w:anchor="page29">
        <w:r>
          <w:rPr>
            <w:rFonts w:ascii="Arial" w:cs="Arial" w:eastAsia="Arial" w:hAnsi="Arial"/>
            <w:sz w:val="14"/>
            <w:szCs w:val="14"/>
            <w:color w:val="auto"/>
          </w:rPr>
          <w:t>Highlights of the Company's Corporate Governance</w:t>
        </w:r>
      </w:hyperlink>
    </w:p>
    <w:p>
      <w:pPr>
        <w:spacing w:after="0" w:line="94"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EE2724"/>
        </w:rPr>
        <w:t>Shareholder Engagement on Governance Issues</w:t>
      </w:r>
    </w:p>
    <w:p>
      <w:pPr>
        <w:spacing w:after="0" w:line="109" w:lineRule="exact"/>
        <w:rPr>
          <w:sz w:val="20"/>
          <w:szCs w:val="20"/>
          <w:color w:val="auto"/>
        </w:rPr>
      </w:pPr>
    </w:p>
    <w:p>
      <w:pPr>
        <w:ind w:left="380" w:right="1840"/>
        <w:spacing w:after="0" w:line="411" w:lineRule="auto"/>
        <w:rPr>
          <w:rFonts w:ascii="Arial" w:cs="Arial" w:eastAsia="Arial" w:hAnsi="Arial"/>
          <w:sz w:val="14"/>
          <w:szCs w:val="14"/>
          <w:color w:val="auto"/>
        </w:rPr>
      </w:pPr>
      <w:hyperlink w:anchor="page33">
        <w:r>
          <w:rPr>
            <w:rFonts w:ascii="Arial" w:cs="Arial" w:eastAsia="Arial" w:hAnsi="Arial"/>
            <w:sz w:val="14"/>
            <w:szCs w:val="14"/>
            <w:color w:val="auto"/>
          </w:rPr>
          <w:t xml:space="preserve">Prior Management Proposals to Eliminate Classified Board </w:t>
        </w:r>
      </w:hyperlink>
      <w:r>
        <w:rPr>
          <w:rFonts w:ascii="Arial" w:cs="Arial" w:eastAsia="Arial" w:hAnsi="Arial"/>
          <w:sz w:val="14"/>
          <w:szCs w:val="14"/>
          <w:color w:val="auto"/>
        </w:rPr>
        <w:t xml:space="preserve">and Supermajority Voting Provisions </w:t>
      </w:r>
      <w:hyperlink w:anchor="page33">
        <w:r>
          <w:rPr>
            <w:rFonts w:ascii="Arial" w:cs="Arial" w:eastAsia="Arial" w:hAnsi="Arial"/>
            <w:sz w:val="14"/>
            <w:szCs w:val="14"/>
            <w:color w:val="auto"/>
          </w:rPr>
          <w:t>Shareholder Proposals and Nominations</w:t>
        </w:r>
      </w:hyperlink>
    </w:p>
    <w:p>
      <w:pPr>
        <w:spacing w:after="0" w:line="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EE2724"/>
        </w:rPr>
        <w:t>Ownership of Company Stock</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EE2724"/>
        </w:rPr>
        <w:t>Compensation</w:t>
      </w:r>
    </w:p>
    <w:p>
      <w:pPr>
        <w:spacing w:after="0" w:line="107" w:lineRule="exact"/>
        <w:rPr>
          <w:sz w:val="20"/>
          <w:szCs w:val="20"/>
          <w:color w:val="auto"/>
        </w:rPr>
      </w:pPr>
    </w:p>
    <w:p>
      <w:pPr>
        <w:ind w:left="380"/>
        <w:spacing w:after="0"/>
        <w:rPr>
          <w:rFonts w:ascii="Arial" w:cs="Arial" w:eastAsia="Arial" w:hAnsi="Arial"/>
          <w:sz w:val="14"/>
          <w:szCs w:val="14"/>
          <w:b w:val="1"/>
          <w:bCs w:val="1"/>
          <w:color w:val="auto"/>
        </w:rPr>
      </w:pPr>
      <w:hyperlink w:anchor="page36">
        <w:r>
          <w:rPr>
            <w:rFonts w:ascii="Arial" w:cs="Arial" w:eastAsia="Arial" w:hAnsi="Arial"/>
            <w:sz w:val="14"/>
            <w:szCs w:val="14"/>
            <w:b w:val="1"/>
            <w:bCs w:val="1"/>
            <w:color w:val="auto"/>
          </w:rPr>
          <w:t>Item 2 - Advisory Vote on Compensation Paid to Named Executive Officers</w:t>
        </w:r>
      </w:hyperlink>
    </w:p>
    <w:p>
      <w:pPr>
        <w:spacing w:after="0" w:line="138" w:lineRule="exact"/>
        <w:rPr>
          <w:sz w:val="20"/>
          <w:szCs w:val="20"/>
          <w:color w:val="auto"/>
        </w:rPr>
      </w:pPr>
    </w:p>
    <w:p>
      <w:pPr>
        <w:ind w:left="380"/>
        <w:spacing w:after="0"/>
        <w:rPr>
          <w:rFonts w:ascii="Arial" w:cs="Arial" w:eastAsia="Arial" w:hAnsi="Arial"/>
          <w:sz w:val="14"/>
          <w:szCs w:val="14"/>
          <w:color w:val="auto"/>
        </w:rPr>
      </w:pPr>
      <w:hyperlink w:anchor="page37">
        <w:r>
          <w:rPr>
            <w:rFonts w:ascii="Arial" w:cs="Arial" w:eastAsia="Arial" w:hAnsi="Arial"/>
            <w:sz w:val="14"/>
            <w:szCs w:val="14"/>
            <w:color w:val="auto"/>
          </w:rPr>
          <w:t>Compensation Discussion and Analysis</w:t>
        </w:r>
      </w:hyperlink>
    </w:p>
    <w:p>
      <w:pPr>
        <w:spacing w:after="0" w:line="136" w:lineRule="exact"/>
        <w:rPr>
          <w:sz w:val="20"/>
          <w:szCs w:val="20"/>
          <w:color w:val="auto"/>
        </w:rPr>
      </w:pPr>
    </w:p>
    <w:p>
      <w:pPr>
        <w:ind w:left="380"/>
        <w:spacing w:after="0"/>
        <w:rPr>
          <w:rFonts w:ascii="Arial" w:cs="Arial" w:eastAsia="Arial" w:hAnsi="Arial"/>
          <w:sz w:val="14"/>
          <w:szCs w:val="14"/>
          <w:color w:val="auto"/>
        </w:rPr>
      </w:pPr>
      <w:hyperlink w:anchor="page56">
        <w:r>
          <w:rPr>
            <w:rFonts w:ascii="Arial" w:cs="Arial" w:eastAsia="Arial" w:hAnsi="Arial"/>
            <w:sz w:val="14"/>
            <w:szCs w:val="14"/>
            <w:color w:val="auto"/>
          </w:rPr>
          <w:t>Executive Compensation</w:t>
        </w:r>
      </w:hyperlink>
    </w:p>
    <w:p>
      <w:pPr>
        <w:spacing w:after="0" w:line="136" w:lineRule="exact"/>
        <w:rPr>
          <w:sz w:val="20"/>
          <w:szCs w:val="20"/>
          <w:color w:val="auto"/>
        </w:rPr>
      </w:pPr>
    </w:p>
    <w:p>
      <w:pPr>
        <w:ind w:left="380"/>
        <w:spacing w:after="0"/>
        <w:rPr>
          <w:rFonts w:ascii="Arial" w:cs="Arial" w:eastAsia="Arial" w:hAnsi="Arial"/>
          <w:sz w:val="14"/>
          <w:szCs w:val="14"/>
          <w:color w:val="auto"/>
        </w:rPr>
      </w:pPr>
      <w:hyperlink w:anchor="page67">
        <w:r>
          <w:rPr>
            <w:rFonts w:ascii="Arial" w:cs="Arial" w:eastAsia="Arial" w:hAnsi="Arial"/>
            <w:sz w:val="14"/>
            <w:szCs w:val="14"/>
            <w:color w:val="auto"/>
          </w:rPr>
          <w:t>Compensation Committee Matters</w:t>
        </w:r>
      </w:hyperlink>
    </w:p>
    <w:p>
      <w:pPr>
        <w:spacing w:after="0" w:line="9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EE2724"/>
        </w:rPr>
        <w:t>Audit Matters</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Item 3 - Proposal to Ratify the Appointment of Principal Independent Auditor</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EE2724"/>
        </w:rPr>
        <w:t>Management Proposals</w:t>
      </w:r>
    </w:p>
    <w:p>
      <w:pPr>
        <w:spacing w:after="0" w:line="161" w:lineRule="exact"/>
        <w:rPr>
          <w:sz w:val="20"/>
          <w:szCs w:val="20"/>
          <w:color w:val="auto"/>
        </w:rPr>
      </w:pPr>
    </w:p>
    <w:p>
      <w:pPr>
        <w:ind w:left="360"/>
        <w:spacing w:after="0"/>
        <w:rPr>
          <w:rFonts w:ascii="Arial" w:cs="Arial" w:eastAsia="Arial" w:hAnsi="Arial"/>
          <w:sz w:val="14"/>
          <w:szCs w:val="14"/>
          <w:b w:val="1"/>
          <w:bCs w:val="1"/>
          <w:color w:val="auto"/>
        </w:rPr>
      </w:pPr>
      <w:hyperlink w:anchor="page71">
        <w:r>
          <w:rPr>
            <w:rFonts w:ascii="Arial" w:cs="Arial" w:eastAsia="Arial" w:hAnsi="Arial"/>
            <w:sz w:val="14"/>
            <w:szCs w:val="14"/>
            <w:b w:val="1"/>
            <w:bCs w:val="1"/>
            <w:color w:val="auto"/>
          </w:rPr>
          <w:t xml:space="preserve">Item 4 - </w:t>
        </w:r>
      </w:hyperlink>
      <w:r>
        <w:rPr>
          <w:rFonts w:ascii="Arial" w:cs="Arial" w:eastAsia="Arial" w:hAnsi="Arial"/>
          <w:sz w:val="14"/>
          <w:szCs w:val="14"/>
          <w:b w:val="1"/>
          <w:bCs w:val="1"/>
          <w:color w:val="auto"/>
        </w:rPr>
        <w:t>Proposal to Amend the Company’s Articles of Incorporation to Eliminate the Classified Board Structure</w:t>
      </w:r>
    </w:p>
    <w:p>
      <w:pPr>
        <w:spacing w:after="0" w:line="136" w:lineRule="exact"/>
        <w:rPr>
          <w:sz w:val="20"/>
          <w:szCs w:val="20"/>
          <w:color w:val="auto"/>
        </w:rPr>
      </w:pPr>
    </w:p>
    <w:p>
      <w:pPr>
        <w:ind w:left="360"/>
        <w:spacing w:after="0"/>
        <w:rPr>
          <w:rFonts w:ascii="Arial" w:cs="Arial" w:eastAsia="Arial" w:hAnsi="Arial"/>
          <w:sz w:val="12"/>
          <w:szCs w:val="12"/>
          <w:b w:val="1"/>
          <w:bCs w:val="1"/>
          <w:color w:val="auto"/>
        </w:rPr>
      </w:pPr>
      <w:hyperlink w:anchor="page72">
        <w:r>
          <w:rPr>
            <w:rFonts w:ascii="Arial" w:cs="Arial" w:eastAsia="Arial" w:hAnsi="Arial"/>
            <w:sz w:val="12"/>
            <w:szCs w:val="12"/>
            <w:b w:val="1"/>
            <w:bCs w:val="1"/>
            <w:color w:val="auto"/>
          </w:rPr>
          <w:t xml:space="preserve">Item 5 -  </w:t>
        </w:r>
      </w:hyperlink>
      <w:r>
        <w:rPr>
          <w:rFonts w:ascii="Arial" w:cs="Arial" w:eastAsia="Arial" w:hAnsi="Arial"/>
          <w:sz w:val="12"/>
          <w:szCs w:val="12"/>
          <w:b w:val="1"/>
          <w:bCs w:val="1"/>
          <w:color w:val="auto"/>
        </w:rPr>
        <w:t>Proposal to Amend the Company's Articles of Incorporation to Eliminate All Supermajority Voting Provisions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EE2724"/>
        </w:rPr>
        <w:t>Shareholder Proposals</w:t>
      </w:r>
    </w:p>
    <w:p>
      <w:pPr>
        <w:spacing w:after="0" w:line="107" w:lineRule="exact"/>
        <w:rPr>
          <w:sz w:val="20"/>
          <w:szCs w:val="20"/>
          <w:color w:val="auto"/>
        </w:rPr>
      </w:pPr>
    </w:p>
    <w:p>
      <w:pPr>
        <w:ind w:left="360"/>
        <w:spacing w:after="0"/>
        <w:rPr>
          <w:rFonts w:ascii="Arial" w:cs="Arial" w:eastAsia="Arial" w:hAnsi="Arial"/>
          <w:sz w:val="12"/>
          <w:szCs w:val="12"/>
          <w:b w:val="1"/>
          <w:bCs w:val="1"/>
          <w:color w:val="auto"/>
        </w:rPr>
      </w:pPr>
      <w:hyperlink w:anchor="page76">
        <w:r>
          <w:rPr>
            <w:rFonts w:ascii="Arial" w:cs="Arial" w:eastAsia="Arial" w:hAnsi="Arial"/>
            <w:sz w:val="12"/>
            <w:szCs w:val="12"/>
            <w:b w:val="1"/>
            <w:bCs w:val="1"/>
            <w:color w:val="auto"/>
          </w:rPr>
          <w:t xml:space="preserve">Item </w:t>
        </w:r>
      </w:hyperlink>
      <w:r>
        <w:rPr>
          <w:rFonts w:ascii="Arial" w:cs="Arial" w:eastAsia="Arial" w:hAnsi="Arial"/>
          <w:sz w:val="12"/>
          <w:szCs w:val="12"/>
          <w:b w:val="1"/>
          <w:bCs w:val="1"/>
          <w:color w:val="auto"/>
        </w:rPr>
        <w:t>6 - Requesting Implementation of a Policy to Not Fund, Conduct, or Commission the Use of the Forced Swim Test</w:t>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Item 7 - Requesting a Report Regarding Direct and Indirect Political Expenditures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EE2724"/>
        </w:rPr>
        <w:t>Other Information</w:t>
      </w:r>
    </w:p>
    <w:p>
      <w:pPr>
        <w:spacing w:after="0" w:line="109" w:lineRule="exact"/>
        <w:rPr>
          <w:sz w:val="20"/>
          <w:szCs w:val="20"/>
          <w:color w:val="auto"/>
        </w:rPr>
      </w:pPr>
    </w:p>
    <w:p>
      <w:pPr>
        <w:ind w:left="380"/>
        <w:spacing w:after="0"/>
        <w:rPr>
          <w:rFonts w:ascii="Arial" w:cs="Arial" w:eastAsia="Arial" w:hAnsi="Arial"/>
          <w:sz w:val="14"/>
          <w:szCs w:val="14"/>
          <w:color w:val="auto"/>
        </w:rPr>
      </w:pPr>
      <w:hyperlink w:anchor="page77">
        <w:r>
          <w:rPr>
            <w:rFonts w:ascii="Arial" w:cs="Arial" w:eastAsia="Arial" w:hAnsi="Arial"/>
            <w:sz w:val="14"/>
            <w:szCs w:val="14"/>
            <w:color w:val="auto"/>
          </w:rPr>
          <w:t>Meeting and Voting Logistics</w:t>
        </w:r>
      </w:hyperlink>
    </w:p>
    <w:p>
      <w:pPr>
        <w:spacing w:after="0" w:line="136" w:lineRule="exact"/>
        <w:rPr>
          <w:sz w:val="20"/>
          <w:szCs w:val="20"/>
          <w:color w:val="auto"/>
        </w:rPr>
      </w:pPr>
    </w:p>
    <w:p>
      <w:pPr>
        <w:ind w:left="380"/>
        <w:spacing w:after="0"/>
        <w:rPr>
          <w:rFonts w:ascii="Arial" w:cs="Arial" w:eastAsia="Arial" w:hAnsi="Arial"/>
          <w:sz w:val="14"/>
          <w:szCs w:val="14"/>
          <w:color w:val="auto"/>
        </w:rPr>
      </w:pPr>
      <w:hyperlink w:anchor="page80">
        <w:r>
          <w:rPr>
            <w:rFonts w:ascii="Arial" w:cs="Arial" w:eastAsia="Arial" w:hAnsi="Arial"/>
            <w:sz w:val="14"/>
            <w:szCs w:val="14"/>
            <w:color w:val="auto"/>
          </w:rPr>
          <w:t>Other Matters</w:t>
        </w:r>
      </w:hyperlink>
    </w:p>
    <w:p>
      <w:pPr>
        <w:spacing w:after="0" w:line="81" w:lineRule="exact"/>
        <w:rPr>
          <w:sz w:val="20"/>
          <w:szCs w:val="20"/>
          <w:color w:val="auto"/>
        </w:rPr>
      </w:pPr>
    </w:p>
    <w:p>
      <w:pPr>
        <w:ind w:left="40" w:right="520"/>
        <w:spacing w:after="0" w:line="260" w:lineRule="auto"/>
        <w:rPr>
          <w:sz w:val="20"/>
          <w:szCs w:val="20"/>
          <w:color w:val="auto"/>
        </w:rPr>
      </w:pPr>
      <w:r>
        <w:rPr>
          <w:rFonts w:ascii="Arial" w:cs="Arial" w:eastAsia="Arial" w:hAnsi="Arial"/>
          <w:sz w:val="20"/>
          <w:szCs w:val="20"/>
          <w:b w:val="1"/>
          <w:bCs w:val="1"/>
          <w:color w:val="EE2724"/>
        </w:rPr>
        <w:t>Appendix A - Summary of Adjustments Related to the Annual Cash Bonus and Performance Award</w:t>
      </w:r>
    </w:p>
    <w:p>
      <w:pPr>
        <w:spacing w:after="0" w:line="1" w:lineRule="exact"/>
        <w:rPr>
          <w:sz w:val="20"/>
          <w:szCs w:val="20"/>
          <w:color w:val="auto"/>
        </w:rPr>
      </w:pPr>
    </w:p>
    <w:p>
      <w:pPr>
        <w:ind w:left="40" w:right="340"/>
        <w:spacing w:after="0" w:line="363" w:lineRule="auto"/>
        <w:rPr>
          <w:sz w:val="20"/>
          <w:szCs w:val="20"/>
          <w:color w:val="auto"/>
        </w:rPr>
      </w:pPr>
      <w:r>
        <w:rPr>
          <w:rFonts w:ascii="Arial" w:cs="Arial" w:eastAsia="Arial" w:hAnsi="Arial"/>
          <w:sz w:val="20"/>
          <w:szCs w:val="20"/>
          <w:b w:val="1"/>
          <w:bCs w:val="1"/>
          <w:color w:val="EE2724"/>
        </w:rPr>
        <w:t>Appendix B - Proposed Amendments to the Company's Articles of Incorporation Directions and Parking</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jc w:val="right"/>
        <w:ind w:right="1479"/>
        <w:spacing w:after="0"/>
        <w:rPr>
          <w:rFonts w:ascii="Arial" w:cs="Arial" w:eastAsia="Arial" w:hAnsi="Arial"/>
          <w:sz w:val="22"/>
          <w:szCs w:val="22"/>
          <w:color w:val="auto"/>
        </w:rPr>
      </w:pPr>
      <w:hyperlink w:anchor="page5">
        <w:r>
          <w:rPr>
            <w:rFonts w:ascii="Arial" w:cs="Arial" w:eastAsia="Arial" w:hAnsi="Arial"/>
            <w:sz w:val="22"/>
            <w:szCs w:val="22"/>
            <w:color w:val="auto"/>
          </w:rPr>
          <w:t>P1</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6">
        <w:r>
          <w:rPr>
            <w:rFonts w:ascii="Arial" w:cs="Arial" w:eastAsia="Arial" w:hAnsi="Arial"/>
            <w:sz w:val="22"/>
            <w:szCs w:val="22"/>
            <w:color w:val="auto"/>
          </w:rPr>
          <w:t>P2</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12">
        <w:r>
          <w:rPr>
            <w:rFonts w:ascii="Arial" w:cs="Arial" w:eastAsia="Arial" w:hAnsi="Arial"/>
            <w:sz w:val="22"/>
            <w:szCs w:val="22"/>
            <w:color w:val="auto"/>
          </w:rPr>
          <w:t>P8</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12">
        <w:r>
          <w:rPr>
            <w:rFonts w:ascii="Arial" w:cs="Arial" w:eastAsia="Arial" w:hAnsi="Arial"/>
            <w:sz w:val="22"/>
            <w:szCs w:val="22"/>
            <w:color w:val="auto"/>
          </w:rPr>
          <w:t>P8</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13">
        <w:r>
          <w:rPr>
            <w:rFonts w:ascii="Arial" w:cs="Arial" w:eastAsia="Arial" w:hAnsi="Arial"/>
            <w:sz w:val="22"/>
            <w:szCs w:val="22"/>
            <w:color w:val="auto"/>
          </w:rPr>
          <w:t>P9</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22">
        <w:r>
          <w:rPr>
            <w:rFonts w:ascii="Arial" w:cs="Arial" w:eastAsia="Arial" w:hAnsi="Arial"/>
            <w:sz w:val="22"/>
            <w:szCs w:val="22"/>
            <w:color w:val="auto"/>
          </w:rPr>
          <w:t>P18</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23">
        <w:r>
          <w:rPr>
            <w:rFonts w:ascii="Arial" w:cs="Arial" w:eastAsia="Arial" w:hAnsi="Arial"/>
            <w:sz w:val="22"/>
            <w:szCs w:val="22"/>
            <w:color w:val="auto"/>
          </w:rPr>
          <w:t>P19</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25">
        <w:r>
          <w:rPr>
            <w:rFonts w:ascii="Arial" w:cs="Arial" w:eastAsia="Arial" w:hAnsi="Arial"/>
            <w:sz w:val="22"/>
            <w:szCs w:val="22"/>
            <w:color w:val="auto"/>
          </w:rPr>
          <w:t>P21</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26">
        <w:r>
          <w:rPr>
            <w:rFonts w:ascii="Arial" w:cs="Arial" w:eastAsia="Arial" w:hAnsi="Arial"/>
            <w:sz w:val="22"/>
            <w:szCs w:val="22"/>
            <w:color w:val="auto"/>
          </w:rPr>
          <w:t>P22</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27">
        <w:r>
          <w:rPr>
            <w:rFonts w:ascii="Arial" w:cs="Arial" w:eastAsia="Arial" w:hAnsi="Arial"/>
            <w:sz w:val="22"/>
            <w:szCs w:val="22"/>
            <w:color w:val="auto"/>
          </w:rPr>
          <w:t>P23</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29">
        <w:r>
          <w:rPr>
            <w:rFonts w:ascii="Arial" w:cs="Arial" w:eastAsia="Arial" w:hAnsi="Arial"/>
            <w:sz w:val="22"/>
            <w:szCs w:val="22"/>
            <w:color w:val="auto"/>
          </w:rPr>
          <w:t>P25</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29">
        <w:r>
          <w:rPr>
            <w:rFonts w:ascii="Arial" w:cs="Arial" w:eastAsia="Arial" w:hAnsi="Arial"/>
            <w:sz w:val="22"/>
            <w:szCs w:val="22"/>
            <w:color w:val="auto"/>
          </w:rPr>
          <w:t>P25</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33">
        <w:r>
          <w:rPr>
            <w:rFonts w:ascii="Arial" w:cs="Arial" w:eastAsia="Arial" w:hAnsi="Arial"/>
            <w:sz w:val="22"/>
            <w:szCs w:val="22"/>
            <w:color w:val="auto"/>
          </w:rPr>
          <w:t>P29</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33">
        <w:r>
          <w:rPr>
            <w:rFonts w:ascii="Arial" w:cs="Arial" w:eastAsia="Arial" w:hAnsi="Arial"/>
            <w:sz w:val="22"/>
            <w:szCs w:val="22"/>
            <w:color w:val="auto"/>
          </w:rPr>
          <w:t>P29</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33">
        <w:r>
          <w:rPr>
            <w:rFonts w:ascii="Arial" w:cs="Arial" w:eastAsia="Arial" w:hAnsi="Arial"/>
            <w:sz w:val="22"/>
            <w:szCs w:val="22"/>
            <w:color w:val="auto"/>
          </w:rPr>
          <w:t>P29</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35">
        <w:r>
          <w:rPr>
            <w:rFonts w:ascii="Arial" w:cs="Arial" w:eastAsia="Arial" w:hAnsi="Arial"/>
            <w:sz w:val="22"/>
            <w:szCs w:val="22"/>
            <w:color w:val="auto"/>
          </w:rPr>
          <w:t>P31</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36">
        <w:r>
          <w:rPr>
            <w:rFonts w:ascii="Arial" w:cs="Arial" w:eastAsia="Arial" w:hAnsi="Arial"/>
            <w:sz w:val="22"/>
            <w:szCs w:val="22"/>
            <w:color w:val="auto"/>
          </w:rPr>
          <w:t>P32</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36">
        <w:r>
          <w:rPr>
            <w:rFonts w:ascii="Arial" w:cs="Arial" w:eastAsia="Arial" w:hAnsi="Arial"/>
            <w:sz w:val="22"/>
            <w:szCs w:val="22"/>
            <w:color w:val="auto"/>
          </w:rPr>
          <w:t>P32</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37">
        <w:r>
          <w:rPr>
            <w:rFonts w:ascii="Arial" w:cs="Arial" w:eastAsia="Arial" w:hAnsi="Arial"/>
            <w:sz w:val="22"/>
            <w:szCs w:val="22"/>
            <w:color w:val="auto"/>
          </w:rPr>
          <w:t>P33</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56">
        <w:r>
          <w:rPr>
            <w:rFonts w:ascii="Arial" w:cs="Arial" w:eastAsia="Arial" w:hAnsi="Arial"/>
            <w:sz w:val="22"/>
            <w:szCs w:val="22"/>
            <w:color w:val="auto"/>
          </w:rPr>
          <w:t>P52</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67">
        <w:r>
          <w:rPr>
            <w:rFonts w:ascii="Arial" w:cs="Arial" w:eastAsia="Arial" w:hAnsi="Arial"/>
            <w:sz w:val="22"/>
            <w:szCs w:val="22"/>
            <w:color w:val="auto"/>
          </w:rPr>
          <w:t>P63</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69">
        <w:r>
          <w:rPr>
            <w:rFonts w:ascii="Arial" w:cs="Arial" w:eastAsia="Arial" w:hAnsi="Arial"/>
            <w:sz w:val="22"/>
            <w:szCs w:val="22"/>
            <w:color w:val="auto"/>
          </w:rPr>
          <w:t>P65</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69">
        <w:r>
          <w:rPr>
            <w:rFonts w:ascii="Arial" w:cs="Arial" w:eastAsia="Arial" w:hAnsi="Arial"/>
            <w:sz w:val="22"/>
            <w:szCs w:val="22"/>
            <w:color w:val="auto"/>
          </w:rPr>
          <w:t>P65</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71">
        <w:r>
          <w:rPr>
            <w:rFonts w:ascii="Arial" w:cs="Arial" w:eastAsia="Arial" w:hAnsi="Arial"/>
            <w:sz w:val="22"/>
            <w:szCs w:val="22"/>
            <w:color w:val="auto"/>
          </w:rPr>
          <w:t>P67</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71">
        <w:r>
          <w:rPr>
            <w:rFonts w:ascii="Arial" w:cs="Arial" w:eastAsia="Arial" w:hAnsi="Arial"/>
            <w:sz w:val="22"/>
            <w:szCs w:val="22"/>
            <w:color w:val="auto"/>
          </w:rPr>
          <w:t>P67</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72">
        <w:r>
          <w:rPr>
            <w:rFonts w:ascii="Arial" w:cs="Arial" w:eastAsia="Arial" w:hAnsi="Arial"/>
            <w:sz w:val="22"/>
            <w:szCs w:val="22"/>
            <w:color w:val="auto"/>
          </w:rPr>
          <w:t>P68</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74">
        <w:r>
          <w:rPr>
            <w:rFonts w:ascii="Arial" w:cs="Arial" w:eastAsia="Arial" w:hAnsi="Arial"/>
            <w:sz w:val="22"/>
            <w:szCs w:val="22"/>
            <w:color w:val="auto"/>
          </w:rPr>
          <w:t>P70</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76">
        <w:r>
          <w:rPr>
            <w:rFonts w:ascii="Arial" w:cs="Arial" w:eastAsia="Arial" w:hAnsi="Arial"/>
            <w:sz w:val="22"/>
            <w:szCs w:val="22"/>
            <w:color w:val="auto"/>
          </w:rPr>
          <w:t>P72</w:t>
        </w:r>
      </w:hyperlink>
    </w:p>
    <w:p>
      <w:pPr>
        <w:spacing w:after="0" w:line="44" w:lineRule="exact"/>
        <w:rPr>
          <w:sz w:val="20"/>
          <w:szCs w:val="20"/>
          <w:color w:val="auto"/>
        </w:rPr>
      </w:pPr>
    </w:p>
    <w:p>
      <w:pPr>
        <w:jc w:val="right"/>
        <w:ind w:right="1479"/>
        <w:spacing w:after="0"/>
        <w:rPr>
          <w:rFonts w:ascii="Arial" w:cs="Arial" w:eastAsia="Arial" w:hAnsi="Arial"/>
          <w:sz w:val="22"/>
          <w:szCs w:val="22"/>
          <w:color w:val="auto"/>
        </w:rPr>
      </w:pPr>
      <w:hyperlink w:anchor="page76">
        <w:r>
          <w:rPr>
            <w:rFonts w:ascii="Arial" w:cs="Arial" w:eastAsia="Arial" w:hAnsi="Arial"/>
            <w:sz w:val="22"/>
            <w:szCs w:val="22"/>
            <w:color w:val="auto"/>
          </w:rPr>
          <w:t>P72</w:t>
        </w:r>
      </w:hyperlink>
    </w:p>
    <w:p>
      <w:pPr>
        <w:spacing w:after="0" w:line="287" w:lineRule="exact"/>
        <w:rPr>
          <w:sz w:val="20"/>
          <w:szCs w:val="20"/>
          <w:color w:val="auto"/>
        </w:rPr>
      </w:pPr>
    </w:p>
    <w:p>
      <w:pPr>
        <w:spacing w:after="0"/>
        <w:rPr>
          <w:rFonts w:ascii="Arial" w:cs="Arial" w:eastAsia="Arial" w:hAnsi="Arial"/>
          <w:sz w:val="22"/>
          <w:szCs w:val="22"/>
          <w:color w:val="auto"/>
        </w:rPr>
      </w:pPr>
      <w:hyperlink w:anchor="page77">
        <w:r>
          <w:rPr>
            <w:rFonts w:ascii="Arial" w:cs="Arial" w:eastAsia="Arial" w:hAnsi="Arial"/>
            <w:sz w:val="22"/>
            <w:szCs w:val="22"/>
            <w:color w:val="auto"/>
          </w:rPr>
          <w:t>P73</w:t>
        </w:r>
      </w:hyperlink>
    </w:p>
    <w:p>
      <w:pPr>
        <w:spacing w:after="0" w:line="44" w:lineRule="exact"/>
        <w:rPr>
          <w:sz w:val="20"/>
          <w:szCs w:val="20"/>
          <w:color w:val="auto"/>
        </w:rPr>
      </w:pPr>
    </w:p>
    <w:p>
      <w:pPr>
        <w:spacing w:after="0"/>
        <w:rPr>
          <w:rFonts w:ascii="Arial" w:cs="Arial" w:eastAsia="Arial" w:hAnsi="Arial"/>
          <w:sz w:val="22"/>
          <w:szCs w:val="22"/>
          <w:color w:val="auto"/>
        </w:rPr>
      </w:pPr>
      <w:hyperlink w:anchor="page77">
        <w:r>
          <w:rPr>
            <w:rFonts w:ascii="Arial" w:cs="Arial" w:eastAsia="Arial" w:hAnsi="Arial"/>
            <w:sz w:val="22"/>
            <w:szCs w:val="22"/>
            <w:color w:val="auto"/>
          </w:rPr>
          <w:t>P73</w:t>
        </w:r>
      </w:hyperlink>
    </w:p>
    <w:p>
      <w:pPr>
        <w:spacing w:after="0" w:line="44" w:lineRule="exact"/>
        <w:rPr>
          <w:sz w:val="20"/>
          <w:szCs w:val="20"/>
          <w:color w:val="auto"/>
        </w:rPr>
      </w:pPr>
    </w:p>
    <w:p>
      <w:pPr>
        <w:spacing w:after="0"/>
        <w:rPr>
          <w:rFonts w:ascii="Arial" w:cs="Arial" w:eastAsia="Arial" w:hAnsi="Arial"/>
          <w:sz w:val="22"/>
          <w:szCs w:val="22"/>
          <w:color w:val="auto"/>
        </w:rPr>
      </w:pPr>
      <w:hyperlink w:anchor="page80">
        <w:r>
          <w:rPr>
            <w:rFonts w:ascii="Arial" w:cs="Arial" w:eastAsia="Arial" w:hAnsi="Arial"/>
            <w:sz w:val="22"/>
            <w:szCs w:val="22"/>
            <w:color w:val="auto"/>
          </w:rPr>
          <w:t>P76</w:t>
        </w:r>
      </w:hyperlink>
    </w:p>
    <w:p>
      <w:pPr>
        <w:spacing w:after="0" w:line="233" w:lineRule="exact"/>
        <w:rPr>
          <w:sz w:val="20"/>
          <w:szCs w:val="20"/>
          <w:color w:val="auto"/>
        </w:rPr>
      </w:pPr>
    </w:p>
    <w:p>
      <w:pPr>
        <w:spacing w:after="0"/>
        <w:rPr>
          <w:rFonts w:ascii="Arial" w:cs="Arial" w:eastAsia="Arial" w:hAnsi="Arial"/>
          <w:sz w:val="22"/>
          <w:szCs w:val="22"/>
          <w:color w:val="auto"/>
        </w:rPr>
      </w:pPr>
      <w:hyperlink w:anchor="page81">
        <w:r>
          <w:rPr>
            <w:rFonts w:ascii="Arial" w:cs="Arial" w:eastAsia="Arial" w:hAnsi="Arial"/>
            <w:sz w:val="22"/>
            <w:szCs w:val="22"/>
            <w:color w:val="auto"/>
          </w:rPr>
          <w:t>P77</w:t>
        </w:r>
      </w:hyperlink>
    </w:p>
    <w:p>
      <w:pPr>
        <w:spacing w:after="0" w:line="44" w:lineRule="exact"/>
        <w:rPr>
          <w:sz w:val="20"/>
          <w:szCs w:val="20"/>
          <w:color w:val="auto"/>
        </w:rPr>
      </w:pPr>
    </w:p>
    <w:p>
      <w:pPr>
        <w:spacing w:after="0"/>
        <w:rPr>
          <w:rFonts w:ascii="Arial" w:cs="Arial" w:eastAsia="Arial" w:hAnsi="Arial"/>
          <w:sz w:val="22"/>
          <w:szCs w:val="22"/>
          <w:color w:val="auto"/>
        </w:rPr>
      </w:pPr>
      <w:hyperlink w:anchor="page83">
        <w:r>
          <w:rPr>
            <w:rFonts w:ascii="Arial" w:cs="Arial" w:eastAsia="Arial" w:hAnsi="Arial"/>
            <w:sz w:val="22"/>
            <w:szCs w:val="22"/>
            <w:color w:val="auto"/>
          </w:rPr>
          <w:t>P79</w:t>
        </w:r>
      </w:hyperlink>
    </w:p>
    <w:p>
      <w:pPr>
        <w:spacing w:after="0" w:line="44" w:lineRule="exact"/>
        <w:rPr>
          <w:sz w:val="20"/>
          <w:szCs w:val="20"/>
          <w:color w:val="auto"/>
        </w:rPr>
      </w:pPr>
    </w:p>
    <w:p>
      <w:pPr>
        <w:spacing w:after="0"/>
        <w:rPr>
          <w:rFonts w:ascii="Arial" w:cs="Arial" w:eastAsia="Arial" w:hAnsi="Arial"/>
          <w:sz w:val="22"/>
          <w:szCs w:val="22"/>
          <w:color w:val="auto"/>
        </w:rPr>
      </w:pPr>
      <w:hyperlink w:anchor="page87">
        <w:r>
          <w:rPr>
            <w:rFonts w:ascii="Arial" w:cs="Arial" w:eastAsia="Arial" w:hAnsi="Arial"/>
            <w:sz w:val="22"/>
            <w:szCs w:val="22"/>
            <w:color w:val="auto"/>
          </w:rPr>
          <w:t>P83</w:t>
        </w:r>
      </w:hyperlink>
    </w:p>
    <w:p>
      <w:pPr>
        <w:sectPr>
          <w:pgSz w:w="11900" w:h="16838" w:orient="portrait"/>
          <w:cols w:equalWidth="0" w:num="2">
            <w:col w:w="7940" w:space="400"/>
            <w:col w:w="1879"/>
          </w:cols>
          <w:pgMar w:left="240" w:top="554" w:right="1440"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EF3729"/>
        </w:rPr>
        <w:t>Notice of 2019 Annual Meeting of Shareholders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To the holders of Common Stock of Eli Lilly and Company: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2019 Annual Meeting of Shareholders of Eli Lilly and Company will be held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198120</wp:posOffset>
            </wp:positionV>
            <wp:extent cx="7152005"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2005" cy="488315"/>
                    </a:xfrm>
                    <a:prstGeom prst="rect">
                      <a:avLst/>
                    </a:prstGeom>
                    <a:noFill/>
                  </pic:spPr>
                </pic:pic>
              </a:graphicData>
            </a:graphic>
          </wp:anchor>
        </w:drawing>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2120" w:type="dxa"/>
            <w:vAlign w:val="bottom"/>
          </w:tcPr>
          <w:p>
            <w:pPr>
              <w:spacing w:after="0"/>
              <w:rPr>
                <w:sz w:val="20"/>
                <w:szCs w:val="20"/>
                <w:color w:val="auto"/>
              </w:rPr>
            </w:pPr>
            <w:r>
              <w:rPr>
                <w:rFonts w:ascii="Arial" w:cs="Arial" w:eastAsia="Arial" w:hAnsi="Arial"/>
                <w:sz w:val="14"/>
                <w:szCs w:val="14"/>
                <w:b w:val="1"/>
                <w:bCs w:val="1"/>
                <w:color w:val="00ABE8"/>
              </w:rPr>
              <w:t>TIME AND DATE</w:t>
            </w:r>
          </w:p>
        </w:tc>
        <w:tc>
          <w:tcPr>
            <w:tcW w:w="2660" w:type="dxa"/>
            <w:vAlign w:val="bottom"/>
          </w:tcPr>
          <w:p>
            <w:pPr>
              <w:ind w:left="600"/>
              <w:spacing w:after="0"/>
              <w:rPr>
                <w:sz w:val="20"/>
                <w:szCs w:val="20"/>
                <w:color w:val="auto"/>
              </w:rPr>
            </w:pPr>
            <w:r>
              <w:rPr>
                <w:rFonts w:ascii="Arial" w:cs="Arial" w:eastAsia="Arial" w:hAnsi="Arial"/>
                <w:sz w:val="14"/>
                <w:szCs w:val="14"/>
                <w:b w:val="1"/>
                <w:bCs w:val="1"/>
                <w:color w:val="00ABE8"/>
              </w:rPr>
              <w:t>LOCATION</w:t>
            </w:r>
          </w:p>
        </w:tc>
        <w:tc>
          <w:tcPr>
            <w:tcW w:w="4340" w:type="dxa"/>
            <w:vAlign w:val="bottom"/>
          </w:tcPr>
          <w:p>
            <w:pPr>
              <w:ind w:left="420"/>
              <w:spacing w:after="0"/>
              <w:rPr>
                <w:sz w:val="20"/>
                <w:szCs w:val="20"/>
                <w:color w:val="auto"/>
              </w:rPr>
            </w:pPr>
            <w:r>
              <w:rPr>
                <w:rFonts w:ascii="Arial" w:cs="Arial" w:eastAsia="Arial" w:hAnsi="Arial"/>
                <w:sz w:val="14"/>
                <w:szCs w:val="14"/>
                <w:b w:val="1"/>
                <w:bCs w:val="1"/>
                <w:color w:val="00ABE8"/>
              </w:rPr>
              <w:t>WHO CAN VOTE</w:t>
            </w:r>
          </w:p>
        </w:tc>
      </w:tr>
      <w:tr>
        <w:trPr>
          <w:trHeight w:val="174"/>
        </w:trPr>
        <w:tc>
          <w:tcPr>
            <w:tcW w:w="2120" w:type="dxa"/>
            <w:vAlign w:val="bottom"/>
          </w:tcPr>
          <w:p>
            <w:pPr>
              <w:spacing w:after="0"/>
              <w:rPr>
                <w:sz w:val="20"/>
                <w:szCs w:val="20"/>
                <w:color w:val="auto"/>
              </w:rPr>
            </w:pPr>
            <w:r>
              <w:rPr>
                <w:rFonts w:ascii="Arial" w:cs="Arial" w:eastAsia="Arial" w:hAnsi="Arial"/>
                <w:sz w:val="14"/>
                <w:szCs w:val="14"/>
                <w:color w:val="auto"/>
              </w:rPr>
              <w:t>11:00 a.m. EDT, Monday,</w:t>
            </w:r>
          </w:p>
        </w:tc>
        <w:tc>
          <w:tcPr>
            <w:tcW w:w="2660" w:type="dxa"/>
            <w:vAlign w:val="bottom"/>
          </w:tcPr>
          <w:p>
            <w:pPr>
              <w:ind w:left="600"/>
              <w:spacing w:after="0"/>
              <w:rPr>
                <w:sz w:val="20"/>
                <w:szCs w:val="20"/>
                <w:color w:val="auto"/>
              </w:rPr>
            </w:pPr>
            <w:r>
              <w:rPr>
                <w:rFonts w:ascii="Arial" w:cs="Arial" w:eastAsia="Arial" w:hAnsi="Arial"/>
                <w:sz w:val="14"/>
                <w:szCs w:val="14"/>
                <w:color w:val="auto"/>
              </w:rPr>
              <w:t>The Lilly Center Auditorium</w:t>
            </w:r>
          </w:p>
        </w:tc>
        <w:tc>
          <w:tcPr>
            <w:tcW w:w="4340" w:type="dxa"/>
            <w:vAlign w:val="bottom"/>
          </w:tcPr>
          <w:p>
            <w:pPr>
              <w:ind w:left="420"/>
              <w:spacing w:after="0"/>
              <w:rPr>
                <w:sz w:val="20"/>
                <w:szCs w:val="20"/>
                <w:color w:val="auto"/>
              </w:rPr>
            </w:pPr>
            <w:r>
              <w:rPr>
                <w:rFonts w:ascii="Arial" w:cs="Arial" w:eastAsia="Arial" w:hAnsi="Arial"/>
                <w:sz w:val="14"/>
                <w:szCs w:val="14"/>
                <w:color w:val="auto"/>
                <w:w w:val="95"/>
              </w:rPr>
              <w:t>Shareholders of record at close of business on February 26, 2019</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May 6, 2019</w:t>
            </w:r>
          </w:p>
        </w:tc>
        <w:tc>
          <w:tcPr>
            <w:tcW w:w="2660" w:type="dxa"/>
            <w:vAlign w:val="bottom"/>
          </w:tcPr>
          <w:p>
            <w:pPr>
              <w:ind w:left="600"/>
              <w:spacing w:after="0" w:line="149" w:lineRule="exact"/>
              <w:rPr>
                <w:sz w:val="20"/>
                <w:szCs w:val="20"/>
                <w:color w:val="auto"/>
              </w:rPr>
            </w:pPr>
            <w:r>
              <w:rPr>
                <w:rFonts w:ascii="Arial" w:cs="Arial" w:eastAsia="Arial" w:hAnsi="Arial"/>
                <w:sz w:val="14"/>
                <w:szCs w:val="14"/>
                <w:color w:val="auto"/>
              </w:rPr>
              <w:t>Lilly Corporate Center</w:t>
            </w:r>
          </w:p>
        </w:tc>
        <w:tc>
          <w:tcPr>
            <w:tcW w:w="4340" w:type="dxa"/>
            <w:vAlign w:val="bottom"/>
          </w:tcPr>
          <w:p>
            <w:pPr>
              <w:spacing w:after="0"/>
              <w:rPr>
                <w:sz w:val="12"/>
                <w:szCs w:val="12"/>
                <w:color w:val="auto"/>
              </w:rPr>
            </w:pPr>
          </w:p>
        </w:tc>
      </w:tr>
      <w:tr>
        <w:trPr>
          <w:trHeight w:val="180"/>
        </w:trPr>
        <w:tc>
          <w:tcPr>
            <w:tcW w:w="2120" w:type="dxa"/>
            <w:vAlign w:val="bottom"/>
          </w:tcPr>
          <w:p>
            <w:pPr>
              <w:spacing w:after="0"/>
              <w:rPr>
                <w:sz w:val="15"/>
                <w:szCs w:val="15"/>
                <w:color w:val="auto"/>
              </w:rPr>
            </w:pPr>
          </w:p>
        </w:tc>
        <w:tc>
          <w:tcPr>
            <w:tcW w:w="2660" w:type="dxa"/>
            <w:vAlign w:val="bottom"/>
          </w:tcPr>
          <w:p>
            <w:pPr>
              <w:ind w:left="600"/>
              <w:spacing w:after="0"/>
              <w:rPr>
                <w:sz w:val="20"/>
                <w:szCs w:val="20"/>
                <w:color w:val="auto"/>
              </w:rPr>
            </w:pPr>
            <w:r>
              <w:rPr>
                <w:rFonts w:ascii="Arial" w:cs="Arial" w:eastAsia="Arial" w:hAnsi="Arial"/>
                <w:sz w:val="14"/>
                <w:szCs w:val="14"/>
                <w:color w:val="auto"/>
              </w:rPr>
              <w:t>Indianapolis, Indiana 46285</w:t>
            </w:r>
          </w:p>
        </w:tc>
        <w:tc>
          <w:tcPr>
            <w:tcW w:w="4340" w:type="dxa"/>
            <w:vAlign w:val="bottom"/>
          </w:tcPr>
          <w:p>
            <w:pPr>
              <w:spacing w:after="0"/>
              <w:rPr>
                <w:sz w:val="15"/>
                <w:szCs w:val="15"/>
                <w:color w:val="auto"/>
              </w:rPr>
            </w:pPr>
          </w:p>
        </w:tc>
      </w:tr>
    </w:tbl>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This proxy statement is dated March 22, 2019, and is first being sent or given to our shareholders on or about that date.</w:t>
      </w:r>
    </w:p>
    <w:p>
      <w:pPr>
        <w:sectPr>
          <w:pgSz w:w="11900" w:h="16838" w:orient="portrait"/>
          <w:cols w:equalWidth="0" w:num="1">
            <w:col w:w="11380"/>
          </w:cols>
          <w:pgMar w:left="240" w:top="340" w:right="27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00ABE8"/>
        </w:rPr>
        <w:t>ITEMS OF BUSINESS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Management Proposals</w:t>
      </w:r>
    </w:p>
    <w:p>
      <w:pPr>
        <w:spacing w:after="0" w:line="50" w:lineRule="exact"/>
        <w:rPr>
          <w:sz w:val="20"/>
          <w:szCs w:val="20"/>
          <w:color w:val="auto"/>
        </w:rPr>
      </w:pPr>
    </w:p>
    <w:p>
      <w:pPr>
        <w:ind w:left="680" w:right="360" w:hanging="545"/>
        <w:spacing w:after="0" w:line="250" w:lineRule="auto"/>
        <w:tabs>
          <w:tab w:leader="none" w:pos="660" w:val="left"/>
        </w:tabs>
        <w:rPr>
          <w:sz w:val="20"/>
          <w:szCs w:val="20"/>
          <w:color w:val="auto"/>
        </w:rPr>
      </w:pPr>
      <w:r>
        <w:rPr>
          <w:rFonts w:ascii="Arial" w:cs="Arial" w:eastAsia="Arial" w:hAnsi="Arial"/>
          <w:sz w:val="14"/>
          <w:szCs w:val="14"/>
          <w:b w:val="1"/>
          <w:bCs w:val="1"/>
          <w:color w:val="EE2724"/>
        </w:rPr>
        <w:t>Item 1</w:t>
      </w:r>
      <w:r>
        <w:rPr>
          <w:sz w:val="20"/>
          <w:szCs w:val="20"/>
          <w:color w:val="auto"/>
        </w:rPr>
        <w:tab/>
      </w:r>
      <w:r>
        <w:rPr>
          <w:rFonts w:ascii="Arial" w:cs="Arial" w:eastAsia="Arial" w:hAnsi="Arial"/>
          <w:sz w:val="14"/>
          <w:szCs w:val="14"/>
          <w:color w:val="auto"/>
        </w:rPr>
        <w:t>Election of the four directors listed in the proxy statement to serve three-year terms</w:t>
      </w:r>
    </w:p>
    <w:p>
      <w:pPr>
        <w:spacing w:after="0" w:line="16" w:lineRule="exact"/>
        <w:rPr>
          <w:sz w:val="20"/>
          <w:szCs w:val="20"/>
          <w:color w:val="auto"/>
        </w:rPr>
      </w:pPr>
    </w:p>
    <w:p>
      <w:pPr>
        <w:ind w:left="680" w:right="540" w:hanging="545"/>
        <w:spacing w:after="0" w:line="250" w:lineRule="auto"/>
        <w:tabs>
          <w:tab w:leader="none" w:pos="660" w:val="left"/>
        </w:tabs>
        <w:rPr>
          <w:sz w:val="20"/>
          <w:szCs w:val="20"/>
          <w:color w:val="auto"/>
        </w:rPr>
      </w:pPr>
      <w:r>
        <w:rPr>
          <w:rFonts w:ascii="Arial" w:cs="Arial" w:eastAsia="Arial" w:hAnsi="Arial"/>
          <w:sz w:val="14"/>
          <w:szCs w:val="14"/>
          <w:b w:val="1"/>
          <w:bCs w:val="1"/>
          <w:color w:val="EE2724"/>
        </w:rPr>
        <w:t>Item 2</w:t>
      </w:r>
      <w:r>
        <w:rPr>
          <w:sz w:val="20"/>
          <w:szCs w:val="20"/>
          <w:color w:val="auto"/>
        </w:rPr>
        <w:tab/>
      </w:r>
      <w:r>
        <w:rPr>
          <w:rFonts w:ascii="Arial" w:cs="Arial" w:eastAsia="Arial" w:hAnsi="Arial"/>
          <w:sz w:val="14"/>
          <w:szCs w:val="14"/>
          <w:color w:val="auto"/>
        </w:rPr>
        <w:t>Approval, by non-binding vote, of the compensation paid to the company's named executive officers</w:t>
      </w:r>
    </w:p>
    <w:p>
      <w:pPr>
        <w:spacing w:after="0" w:line="16" w:lineRule="exact"/>
        <w:rPr>
          <w:sz w:val="20"/>
          <w:szCs w:val="20"/>
          <w:color w:val="auto"/>
        </w:rPr>
      </w:pPr>
    </w:p>
    <w:p>
      <w:pPr>
        <w:ind w:left="680" w:right="40" w:hanging="545"/>
        <w:spacing w:after="0" w:line="250" w:lineRule="auto"/>
        <w:tabs>
          <w:tab w:leader="none" w:pos="660" w:val="left"/>
        </w:tabs>
        <w:rPr>
          <w:sz w:val="20"/>
          <w:szCs w:val="20"/>
          <w:color w:val="auto"/>
        </w:rPr>
      </w:pPr>
      <w:r>
        <w:rPr>
          <w:rFonts w:ascii="Arial" w:cs="Arial" w:eastAsia="Arial" w:hAnsi="Arial"/>
          <w:sz w:val="14"/>
          <w:szCs w:val="14"/>
          <w:b w:val="1"/>
          <w:bCs w:val="1"/>
          <w:color w:val="EE2724"/>
        </w:rPr>
        <w:t>Item 3</w:t>
      </w:r>
      <w:r>
        <w:rPr>
          <w:sz w:val="20"/>
          <w:szCs w:val="20"/>
          <w:color w:val="auto"/>
        </w:rPr>
        <w:tab/>
      </w:r>
      <w:r>
        <w:rPr>
          <w:rFonts w:ascii="Arial" w:cs="Arial" w:eastAsia="Arial" w:hAnsi="Arial"/>
          <w:sz w:val="14"/>
          <w:szCs w:val="14"/>
          <w:color w:val="auto"/>
        </w:rPr>
        <w:t>Ratification of Ernst &amp; Young LLP as the principal independent auditors for 2019</w:t>
      </w:r>
    </w:p>
    <w:p>
      <w:pPr>
        <w:spacing w:after="0" w:line="16" w:lineRule="exact"/>
        <w:rPr>
          <w:sz w:val="20"/>
          <w:szCs w:val="20"/>
          <w:color w:val="auto"/>
        </w:rPr>
      </w:pPr>
    </w:p>
    <w:p>
      <w:pPr>
        <w:ind w:left="680" w:right="180" w:hanging="545"/>
        <w:spacing w:after="0" w:line="250" w:lineRule="auto"/>
        <w:tabs>
          <w:tab w:leader="none" w:pos="660" w:val="left"/>
        </w:tabs>
        <w:rPr>
          <w:sz w:val="20"/>
          <w:szCs w:val="20"/>
          <w:color w:val="auto"/>
        </w:rPr>
      </w:pPr>
      <w:r>
        <w:rPr>
          <w:rFonts w:ascii="Arial" w:cs="Arial" w:eastAsia="Arial" w:hAnsi="Arial"/>
          <w:sz w:val="14"/>
          <w:szCs w:val="14"/>
          <w:b w:val="1"/>
          <w:bCs w:val="1"/>
          <w:color w:val="EE2724"/>
        </w:rPr>
        <w:t>Item 4</w:t>
      </w:r>
      <w:r>
        <w:rPr>
          <w:sz w:val="20"/>
          <w:szCs w:val="20"/>
          <w:color w:val="auto"/>
        </w:rPr>
        <w:tab/>
      </w:r>
      <w:r>
        <w:rPr>
          <w:rFonts w:ascii="Arial" w:cs="Arial" w:eastAsia="Arial" w:hAnsi="Arial"/>
          <w:sz w:val="14"/>
          <w:szCs w:val="14"/>
          <w:color w:val="auto"/>
        </w:rPr>
        <w:t>Approve amendments to the Articles of Incorporation to eliminate the classified board structure</w:t>
      </w:r>
    </w:p>
    <w:p>
      <w:pPr>
        <w:spacing w:after="0" w:line="16" w:lineRule="exact"/>
        <w:rPr>
          <w:sz w:val="20"/>
          <w:szCs w:val="20"/>
          <w:color w:val="auto"/>
        </w:rPr>
      </w:pPr>
    </w:p>
    <w:p>
      <w:pPr>
        <w:ind w:left="680" w:right="220" w:hanging="545"/>
        <w:spacing w:after="0" w:line="250" w:lineRule="auto"/>
        <w:tabs>
          <w:tab w:leader="none" w:pos="660" w:val="left"/>
        </w:tabs>
        <w:rPr>
          <w:sz w:val="20"/>
          <w:szCs w:val="20"/>
          <w:color w:val="auto"/>
        </w:rPr>
      </w:pPr>
      <w:r>
        <w:rPr>
          <w:rFonts w:ascii="Arial" w:cs="Arial" w:eastAsia="Arial" w:hAnsi="Arial"/>
          <w:sz w:val="14"/>
          <w:szCs w:val="14"/>
          <w:b w:val="1"/>
          <w:bCs w:val="1"/>
          <w:color w:val="EE2724"/>
        </w:rPr>
        <w:t>Item 5</w:t>
      </w:r>
      <w:r>
        <w:rPr>
          <w:sz w:val="20"/>
          <w:szCs w:val="20"/>
          <w:color w:val="auto"/>
        </w:rPr>
        <w:tab/>
      </w:r>
      <w:r>
        <w:rPr>
          <w:rFonts w:ascii="Arial" w:cs="Arial" w:eastAsia="Arial" w:hAnsi="Arial"/>
          <w:sz w:val="14"/>
          <w:szCs w:val="14"/>
          <w:color w:val="auto"/>
        </w:rPr>
        <w:t>Approve amendments to the Articles of Incorporation to eliminate all supermajority voting provisions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Shareholder Proposals</w:t>
      </w:r>
    </w:p>
    <w:p>
      <w:pPr>
        <w:spacing w:after="0" w:line="50" w:lineRule="exact"/>
        <w:rPr>
          <w:sz w:val="20"/>
          <w:szCs w:val="20"/>
          <w:color w:val="auto"/>
        </w:rPr>
      </w:pPr>
    </w:p>
    <w:p>
      <w:pPr>
        <w:ind w:left="680" w:hanging="545"/>
        <w:spacing w:after="0" w:line="250" w:lineRule="auto"/>
        <w:tabs>
          <w:tab w:leader="none" w:pos="660" w:val="left"/>
        </w:tabs>
        <w:rPr>
          <w:sz w:val="20"/>
          <w:szCs w:val="20"/>
          <w:color w:val="auto"/>
        </w:rPr>
      </w:pPr>
      <w:r>
        <w:rPr>
          <w:rFonts w:ascii="Arial" w:cs="Arial" w:eastAsia="Arial" w:hAnsi="Arial"/>
          <w:sz w:val="14"/>
          <w:szCs w:val="14"/>
          <w:b w:val="1"/>
          <w:bCs w:val="1"/>
          <w:color w:val="EE2724"/>
        </w:rPr>
        <w:t>Item 6</w:t>
      </w:r>
      <w:r>
        <w:rPr>
          <w:sz w:val="20"/>
          <w:szCs w:val="20"/>
          <w:color w:val="auto"/>
        </w:rPr>
        <w:tab/>
      </w:r>
      <w:r>
        <w:rPr>
          <w:rFonts w:ascii="Arial" w:cs="Arial" w:eastAsia="Arial" w:hAnsi="Arial"/>
          <w:sz w:val="14"/>
          <w:szCs w:val="14"/>
          <w:color w:val="auto"/>
        </w:rPr>
        <w:t>Shareholder proposal requesting implementation of a policy to not fund, conduct, or commission the use of the forced swim test</w:t>
      </w:r>
    </w:p>
    <w:p>
      <w:pPr>
        <w:spacing w:after="0" w:line="16" w:lineRule="exact"/>
        <w:rPr>
          <w:sz w:val="20"/>
          <w:szCs w:val="20"/>
          <w:color w:val="auto"/>
        </w:rPr>
      </w:pPr>
    </w:p>
    <w:p>
      <w:pPr>
        <w:ind w:left="680" w:right="100" w:hanging="545"/>
        <w:spacing w:after="0" w:line="250" w:lineRule="auto"/>
        <w:tabs>
          <w:tab w:leader="none" w:pos="660" w:val="left"/>
        </w:tabs>
        <w:rPr>
          <w:sz w:val="20"/>
          <w:szCs w:val="20"/>
          <w:color w:val="auto"/>
        </w:rPr>
      </w:pPr>
      <w:r>
        <w:rPr>
          <w:rFonts w:ascii="Arial" w:cs="Arial" w:eastAsia="Arial" w:hAnsi="Arial"/>
          <w:sz w:val="14"/>
          <w:szCs w:val="14"/>
          <w:b w:val="1"/>
          <w:bCs w:val="1"/>
          <w:color w:val="EE2724"/>
        </w:rPr>
        <w:t>Item 7</w:t>
      </w:r>
      <w:r>
        <w:rPr>
          <w:sz w:val="20"/>
          <w:szCs w:val="20"/>
          <w:color w:val="auto"/>
        </w:rPr>
        <w:tab/>
      </w:r>
      <w:r>
        <w:rPr>
          <w:rFonts w:ascii="Arial" w:cs="Arial" w:eastAsia="Arial" w:hAnsi="Arial"/>
          <w:sz w:val="14"/>
          <w:szCs w:val="14"/>
          <w:color w:val="auto"/>
        </w:rPr>
        <w:t>Shareholder proposal requesting a report regarding direct and indirect political expenditures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2360" w:val="left"/>
        </w:tabs>
        <w:rPr>
          <w:sz w:val="20"/>
          <w:szCs w:val="20"/>
          <w:color w:val="auto"/>
        </w:rPr>
      </w:pPr>
      <w:r>
        <w:rPr>
          <w:rFonts w:ascii="Arial" w:cs="Arial" w:eastAsia="Arial" w:hAnsi="Arial"/>
          <w:sz w:val="14"/>
          <w:szCs w:val="14"/>
          <w:b w:val="1"/>
          <w:bCs w:val="1"/>
          <w:color w:val="auto"/>
        </w:rPr>
        <w:t>Board Voting Recommendation</w:t>
      </w:r>
      <w:r>
        <w:rPr>
          <w:sz w:val="20"/>
          <w:szCs w:val="20"/>
          <w:color w:val="auto"/>
        </w:rPr>
        <w:tab/>
      </w:r>
      <w:r>
        <w:rPr>
          <w:rFonts w:ascii="Arial" w:cs="Arial" w:eastAsia="Arial" w:hAnsi="Arial"/>
          <w:sz w:val="12"/>
          <w:szCs w:val="12"/>
          <w:b w:val="1"/>
          <w:bCs w:val="1"/>
          <w:color w:val="auto"/>
        </w:rPr>
        <w:t>Page Reference</w:t>
      </w:r>
    </w:p>
    <w:p>
      <w:pPr>
        <w:spacing w:after="0" w:line="42" w:lineRule="exact"/>
        <w:rPr>
          <w:sz w:val="20"/>
          <w:szCs w:val="20"/>
          <w:color w:val="auto"/>
        </w:rPr>
      </w:pPr>
    </w:p>
    <w:p>
      <w:pPr>
        <w:jc w:val="center"/>
        <w:ind w:right="4160"/>
        <w:spacing w:after="0"/>
        <w:rPr>
          <w:sz w:val="20"/>
          <w:szCs w:val="20"/>
          <w:color w:val="auto"/>
        </w:rPr>
      </w:pPr>
      <w:r>
        <w:rPr>
          <w:rFonts w:ascii="Arial" w:cs="Arial" w:eastAsia="Arial" w:hAnsi="Arial"/>
          <w:sz w:val="14"/>
          <w:szCs w:val="14"/>
          <w:b w:val="1"/>
          <w:bCs w:val="1"/>
          <w:color w:val="auto"/>
        </w:rPr>
        <w:t>FOR</w:t>
      </w:r>
    </w:p>
    <w:p>
      <w:pPr>
        <w:spacing w:after="0" w:line="6" w:lineRule="exact"/>
        <w:rPr>
          <w:sz w:val="20"/>
          <w:szCs w:val="20"/>
          <w:color w:val="auto"/>
        </w:rPr>
      </w:pPr>
    </w:p>
    <w:p>
      <w:pPr>
        <w:jc w:val="center"/>
        <w:ind w:right="4120"/>
        <w:spacing w:after="0"/>
        <w:rPr>
          <w:sz w:val="20"/>
          <w:szCs w:val="20"/>
          <w:color w:val="auto"/>
        </w:rPr>
      </w:pPr>
      <w:r>
        <w:rPr>
          <w:rFonts w:ascii="Arial" w:cs="Arial" w:eastAsia="Arial" w:hAnsi="Arial"/>
          <w:sz w:val="14"/>
          <w:szCs w:val="14"/>
          <w:color w:val="auto"/>
        </w:rPr>
        <w:t>each of the Director Nominees</w:t>
      </w:r>
    </w:p>
    <w:p>
      <w:pPr>
        <w:spacing w:after="0" w:line="91"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FOR</w:t>
      </w:r>
    </w:p>
    <w:p>
      <w:pPr>
        <w:spacing w:after="0" w:line="190"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FOR</w:t>
      </w:r>
    </w:p>
    <w:p>
      <w:pPr>
        <w:spacing w:after="0" w:line="190"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FOR</w:t>
      </w:r>
    </w:p>
    <w:p>
      <w:pPr>
        <w:spacing w:after="0" w:line="190"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FOR</w:t>
      </w:r>
    </w:p>
    <w:p>
      <w:pPr>
        <w:spacing w:after="0" w:line="200" w:lineRule="exact"/>
        <w:rPr>
          <w:sz w:val="20"/>
          <w:szCs w:val="20"/>
          <w:color w:val="auto"/>
        </w:rPr>
      </w:pPr>
    </w:p>
    <w:p>
      <w:pPr>
        <w:spacing w:after="0" w:line="260"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AGAINST</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AGAINST</w:t>
      </w:r>
    </w:p>
    <w:p>
      <w:pPr>
        <w:spacing w:after="0" w:line="286" w:lineRule="exact"/>
        <w:rPr>
          <w:sz w:val="20"/>
          <w:szCs w:val="20"/>
          <w:color w:val="auto"/>
        </w:rPr>
      </w:pPr>
    </w:p>
    <w:p>
      <w:pPr>
        <w:sectPr>
          <w:pgSz w:w="11900" w:h="16838" w:orient="portrait"/>
          <w:cols w:equalWidth="0" w:num="2">
            <w:col w:w="4960" w:space="260"/>
            <w:col w:w="6160"/>
          </w:cols>
          <w:pgMar w:left="240" w:top="340" w:right="279" w:bottom="1440" w:gutter="0" w:footer="0" w:header="0"/>
          <w:type w:val="continuous"/>
        </w:sectPr>
      </w:pPr>
    </w:p>
    <w:p>
      <w:pPr>
        <w:spacing w:after="0" w:line="263" w:lineRule="auto"/>
        <w:rPr>
          <w:sz w:val="20"/>
          <w:szCs w:val="20"/>
          <w:color w:val="auto"/>
        </w:rPr>
      </w:pPr>
      <w:r>
        <w:rPr>
          <w:rFonts w:ascii="Arial" w:cs="Arial" w:eastAsia="Arial" w:hAnsi="Arial"/>
          <w:sz w:val="17"/>
          <w:szCs w:val="17"/>
          <w:b w:val="1"/>
          <w:bCs w:val="1"/>
          <w:color w:val="EE2724"/>
        </w:rPr>
        <w:t>There is a new admission procedure for attending the annual meeting this year</w:t>
      </w:r>
      <w:r>
        <w:rPr>
          <w:rFonts w:ascii="Arial" w:cs="Arial" w:eastAsia="Arial" w:hAnsi="Arial"/>
          <w:sz w:val="17"/>
          <w:szCs w:val="17"/>
          <w:color w:val="000000"/>
        </w:rPr>
        <w:t>. To gain admission, you must have an admission ticket. You must</w:t>
      </w:r>
      <w:r>
        <w:rPr>
          <w:rFonts w:ascii="Arial" w:cs="Arial" w:eastAsia="Arial" w:hAnsi="Arial"/>
          <w:sz w:val="17"/>
          <w:szCs w:val="17"/>
          <w:b w:val="1"/>
          <w:bCs w:val="1"/>
          <w:color w:val="EE2724"/>
        </w:rPr>
        <w:t xml:space="preserve"> </w:t>
      </w:r>
      <w:r>
        <w:rPr>
          <w:rFonts w:ascii="Arial" w:cs="Arial" w:eastAsia="Arial" w:hAnsi="Arial"/>
          <w:sz w:val="17"/>
          <w:szCs w:val="17"/>
          <w:color w:val="000000"/>
        </w:rPr>
        <w:t>pre-register for the meeting to receive your admission ticket. Your request for an admission ticket must be received before 5:00 p.m. EDT on April 30, 2019. For further details on the new admission process and for information regarding how to attend the meeting, see the section titled "Meeting and Voting Logistics" for more information.</w:t>
      </w:r>
    </w:p>
    <w:p>
      <w:pPr>
        <w:spacing w:after="0" w:line="158" w:lineRule="exact"/>
        <w:rPr>
          <w:sz w:val="20"/>
          <w:szCs w:val="20"/>
          <w:color w:val="auto"/>
        </w:rPr>
      </w:pPr>
    </w:p>
    <w:p>
      <w:pPr>
        <w:ind w:right="720"/>
        <w:spacing w:after="0" w:line="292" w:lineRule="auto"/>
        <w:rPr>
          <w:sz w:val="20"/>
          <w:szCs w:val="20"/>
          <w:color w:val="auto"/>
        </w:rPr>
      </w:pPr>
      <w:r>
        <w:rPr>
          <w:rFonts w:ascii="Arial" w:cs="Arial" w:eastAsia="Arial" w:hAnsi="Arial"/>
          <w:sz w:val="17"/>
          <w:szCs w:val="17"/>
          <w:color w:val="auto"/>
        </w:rPr>
        <w:t>Every shareholder vote is important. If you are unable to attend the meeting in person, please sign, date, and return your proxy card or voting instructions by mail, or vote by telephone or online promptly so that a quorum may be represented at the meeting.</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Bronwen L. Mantlo</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Secretary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March 22, 2019</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Indianapolis, Indiana</w:t>
      </w:r>
    </w:p>
    <w:p>
      <w:pPr>
        <w:spacing w:after="0" w:line="188" w:lineRule="exact"/>
        <w:rPr>
          <w:sz w:val="20"/>
          <w:szCs w:val="20"/>
          <w:color w:val="auto"/>
        </w:rPr>
      </w:pPr>
    </w:p>
    <w:p>
      <w:pPr>
        <w:ind w:right="700"/>
        <w:spacing w:after="0" w:line="304" w:lineRule="auto"/>
        <w:rPr>
          <w:sz w:val="20"/>
          <w:szCs w:val="20"/>
          <w:color w:val="auto"/>
        </w:rPr>
      </w:pPr>
      <w:r>
        <w:rPr>
          <w:rFonts w:ascii="Arial" w:cs="Arial" w:eastAsia="Arial" w:hAnsi="Arial"/>
          <w:sz w:val="17"/>
          <w:szCs w:val="17"/>
          <w:color w:val="FF0000"/>
        </w:rPr>
        <w:t xml:space="preserve">Important notice regarding the availability of proxy materials for the shareholder meeting to be held May 6, 2019: The annual report and proxy statement are available at </w:t>
      </w:r>
      <w:r>
        <w:rPr>
          <w:rFonts w:ascii="Arial" w:cs="Arial" w:eastAsia="Arial" w:hAnsi="Arial"/>
          <w:sz w:val="17"/>
          <w:szCs w:val="17"/>
          <w:b w:val="1"/>
          <w:bCs w:val="1"/>
          <w:color w:val="00ABE8"/>
        </w:rPr>
        <w:t>lilly.com/2018-annual-report</w:t>
      </w:r>
      <w:r>
        <w:rPr>
          <w:rFonts w:ascii="Arial" w:cs="Arial" w:eastAsia="Arial" w:hAnsi="Arial"/>
          <w:sz w:val="17"/>
          <w:szCs w:val="17"/>
          <w:color w:val="EE2724"/>
        </w:rPr>
        <w:t>.</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P1</w:t>
      </w:r>
    </w:p>
    <w:p>
      <w:pPr>
        <w:sectPr>
          <w:pgSz w:w="11900" w:h="16838" w:orient="portrait"/>
          <w:cols w:equalWidth="0" w:num="1">
            <w:col w:w="11380"/>
          </w:cols>
          <w:pgMar w:left="240" w:top="340" w:right="2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32"/>
          <w:szCs w:val="32"/>
          <w:b w:val="1"/>
          <w:bCs w:val="1"/>
          <w:color w:val="EF3729"/>
        </w:rPr>
        <w:t>Proxy Statement Summary</w:t>
      </w: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What is New in This Year's Proxy Statement</w:t>
      </w:r>
    </w:p>
    <w:p>
      <w:pPr>
        <w:spacing w:after="0" w:line="41"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In May 2018, R. David Hoover retired from the board and in December 2018, we welcomed Karen Walker to the board. Ms. Walker is the senior vice president and chief marketing officer at Cisco Systems. Her 20-plus years in the information technology industry have included senior field and marketing leadership roles in Europe, North America, and the Asia Pacific region. Ellen Marram will be retiring from the board in May 2019 and as of that time, Juan Luciano will serve as the board’s lead independent director.</w:t>
      </w:r>
    </w:p>
    <w:p>
      <w:pPr>
        <w:spacing w:after="0" w:line="16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 xml:space="preserve">The board has approved, and recommends that the shareholders approve, the following management proposals at this year's meeting. The board recommends approval of amendments to the company’s articles of incorporation to eliminate the classified board structure (see </w:t>
      </w:r>
      <w:r>
        <w:rPr>
          <w:rFonts w:ascii="Arial" w:cs="Arial" w:eastAsia="Arial" w:hAnsi="Arial"/>
          <w:sz w:val="17"/>
          <w:szCs w:val="17"/>
          <w:u w:val="single" w:color="auto"/>
          <w:color w:val="auto"/>
        </w:rPr>
        <w:t>Item 4</w:t>
      </w:r>
      <w:r>
        <w:rPr>
          <w:rFonts w:ascii="Arial" w:cs="Arial" w:eastAsia="Arial" w:hAnsi="Arial"/>
          <w:sz w:val="17"/>
          <w:szCs w:val="17"/>
          <w:color w:val="auto"/>
        </w:rPr>
        <w:t xml:space="preserve"> herein) and to eliminate supermajority voting provisions (see </w:t>
      </w:r>
      <w:r>
        <w:rPr>
          <w:rFonts w:ascii="Arial" w:cs="Arial" w:eastAsia="Arial" w:hAnsi="Arial"/>
          <w:sz w:val="17"/>
          <w:szCs w:val="17"/>
          <w:u w:val="single" w:color="auto"/>
          <w:color w:val="auto"/>
        </w:rPr>
        <w:t>Item 5</w:t>
      </w:r>
      <w:r>
        <w:rPr>
          <w:rFonts w:ascii="Arial" w:cs="Arial" w:eastAsia="Arial" w:hAnsi="Arial"/>
          <w:sz w:val="17"/>
          <w:szCs w:val="17"/>
          <w:color w:val="auto"/>
        </w:rPr>
        <w:t xml:space="preserve"> herein). The board believes these two proposals balance shareholder interests and demonstrate its accountability and willingness to take steps that address shareholder-expressed concerns.</w:t>
      </w:r>
    </w:p>
    <w:p>
      <w:pPr>
        <w:spacing w:after="0" w:line="156"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color w:val="auto"/>
        </w:rPr>
        <w:t>This year the board updated its conflict of interest policy to clarify that a director must disclose his or her relationship with Lilly to the director’s employer and any other organization with which the director has a relationship of trust and where the relationship with our company is relevant. In addition, the policy clarifies that directors must follow the internal conflict of interest policies and procedures of each such organization.</w:t>
      </w:r>
    </w:p>
    <w:p>
      <w:pPr>
        <w:spacing w:after="0" w:line="246"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Highlights of 2018 Company Performance</w:t>
      </w:r>
    </w:p>
    <w:p>
      <w:pPr>
        <w:spacing w:after="0" w:line="27"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The following provides a brief look at our 2018 performance in three dimensions: operating performance, progress with our innovation pipeline; and shareholder return (both absolute and relative). See our 2018 annual report on Form 10-K for more details.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Performance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Performance highlights:</w:t>
      </w:r>
    </w:p>
    <w:p>
      <w:pPr>
        <w:spacing w:after="0" w:line="3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2018 revenue increased 7 percent to approximately $24.6 billion.</w:t>
      </w:r>
    </w:p>
    <w:p>
      <w:pPr>
        <w:spacing w:after="0" w:line="29"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2018 earnings per share (EPS) on a reported basis were $3.13, compared to a 2017 EPS loss on a reported basis of $0.19.</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2018 EPS increased 30 percent on a non-GAAP basis to $5.55.</w:t>
      </w:r>
    </w:p>
    <w:p>
      <w:pPr>
        <w:spacing w:after="0" w:line="188" w:lineRule="exact"/>
        <w:rPr>
          <w:sz w:val="20"/>
          <w:szCs w:val="20"/>
          <w:color w:val="auto"/>
        </w:rPr>
      </w:pPr>
    </w:p>
    <w:p>
      <w:pPr>
        <w:ind w:right="620"/>
        <w:spacing w:after="0" w:line="292" w:lineRule="auto"/>
        <w:rPr>
          <w:sz w:val="20"/>
          <w:szCs w:val="20"/>
          <w:color w:val="auto"/>
        </w:rPr>
      </w:pPr>
      <w:r>
        <w:rPr>
          <w:rFonts w:ascii="Arial" w:cs="Arial" w:eastAsia="Arial" w:hAnsi="Arial"/>
          <w:sz w:val="17"/>
          <w:szCs w:val="17"/>
          <w:color w:val="auto"/>
        </w:rPr>
        <w:t>A reconciliation of measures prepared in accordance with generally accepted accounting principles (GAAP) and externally reported non-GAAP measures is included in Appendix A.</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Innovation and Business Development Progress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We made significant pipeline advances in 2018, including:</w:t>
      </w:r>
    </w:p>
    <w:p>
      <w:pPr>
        <w:spacing w:after="0" w:line="3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U.S. and EU approval of Emgality™ (galcanezumab-gnlm) for the preventive treatment of migraine in adults.</w:t>
      </w:r>
    </w:p>
    <w:p>
      <w:pPr>
        <w:spacing w:after="0" w:line="29" w:lineRule="exact"/>
        <w:rPr>
          <w:rFonts w:ascii="Arial" w:cs="Arial" w:eastAsia="Arial" w:hAnsi="Arial"/>
          <w:sz w:val="17"/>
          <w:szCs w:val="17"/>
          <w:color w:val="auto"/>
        </w:rPr>
      </w:pPr>
    </w:p>
    <w:p>
      <w:pPr>
        <w:ind w:left="660" w:right="400" w:hanging="328"/>
        <w:spacing w:after="0" w:line="24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EU approval of Verzenio™ (abemaciclib) and approval in Japan of Verzenio® for the treatment of certain types of advanced or metastatic breast cancer.</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U.S. approval of the 2-mg dose of Olumiant® (baricitinib) for the treatment of adults with moderately-to-severely active rheumatoid arthritis.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also had significant business development engagement in 2018, including:</w:t>
      </w:r>
    </w:p>
    <w:p>
      <w:pPr>
        <w:spacing w:after="0" w:line="6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Launched an initial public offering of Elanco Animal Health, Inc.</w:t>
      </w:r>
    </w:p>
    <w:p>
      <w:pPr>
        <w:spacing w:after="0" w:line="29" w:lineRule="exact"/>
        <w:rPr>
          <w:rFonts w:ascii="Arial" w:cs="Arial" w:eastAsia="Arial" w:hAnsi="Arial"/>
          <w:sz w:val="17"/>
          <w:szCs w:val="17"/>
          <w:color w:val="auto"/>
        </w:rPr>
      </w:pPr>
    </w:p>
    <w:p>
      <w:pPr>
        <w:ind w:left="660" w:hanging="328"/>
        <w:spacing w:after="0" w:line="25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number of licenses, research collaborations, and acquisitions that will strengthen our pipeline, including the acquisition of ARMO BioSciences, an immuno-oncology company, and its lead product candidate pegilodecakin, which has demonstrated clinical benefit as a single agent, and in combination with both chemotherapy and checkpoint inhibitor therapy, across several tumor types.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P2</w:t>
      </w:r>
    </w:p>
    <w:p>
      <w:pPr>
        <w:sectPr>
          <w:pgSz w:w="11900" w:h="16838" w:orient="portrait"/>
          <w:cols w:equalWidth="0" w:num="1">
            <w:col w:w="11400"/>
          </w:cols>
          <w:pgMar w:left="240" w:top="543" w:right="2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Shareholder Returns</w:t>
      </w:r>
    </w:p>
    <w:p>
      <w:pPr>
        <w:spacing w:after="0" w:line="2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generated strong s (share price appreciation plus dividends, reinvested quarterly) through year-end 2018. Our returns significantly exceeded both the compensation peer group and the S&amp;P 500 across the time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252730</wp:posOffset>
            </wp:positionV>
            <wp:extent cx="4288155" cy="3207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88155"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P3</w:t>
      </w:r>
    </w:p>
    <w:p>
      <w:pPr>
        <w:sectPr>
          <w:pgSz w:w="11900" w:h="16838" w:orient="portrait"/>
          <w:cols w:equalWidth="0" w:num="1">
            <w:col w:w="11280"/>
          </w:cols>
          <w:pgMar w:left="240" w:top="554" w:right="379" w:bottom="1440" w:gutter="0" w:footer="0" w:header="0"/>
        </w:sectPr>
      </w:pPr>
    </w:p>
    <w:bookmarkStart w:id="7" w:name="page8"/>
    <w:bookmarkEnd w:id="7"/>
    <w:p>
      <w:pPr>
        <w:spacing w:after="0"/>
        <w:rPr>
          <w:sz w:val="20"/>
          <w:szCs w:val="20"/>
          <w:color w:val="auto"/>
        </w:rPr>
      </w:pPr>
      <w:r>
        <w:rPr>
          <w:rFonts w:ascii="Arial" w:cs="Arial" w:eastAsia="Arial" w:hAnsi="Arial"/>
          <w:sz w:val="27"/>
          <w:szCs w:val="27"/>
          <w:b w:val="1"/>
          <w:bCs w:val="1"/>
          <w:color w:val="EF3729"/>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111125</wp:posOffset>
            </wp:positionV>
            <wp:extent cx="7160895"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360045"/>
                    </a:xfrm>
                    <a:prstGeom prst="rect">
                      <a:avLst/>
                    </a:prstGeom>
                    <a:noFill/>
                  </pic:spPr>
                </pic:pic>
              </a:graphicData>
            </a:graphic>
          </wp:anchor>
        </w:drawing>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Item 1: Election of Directors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Further information see page </w:t>
      </w:r>
      <w:r>
        <w:rPr>
          <w:rFonts w:ascii="Arial" w:cs="Arial" w:eastAsia="Arial" w:hAnsi="Arial"/>
          <w:sz w:val="14"/>
          <w:szCs w:val="14"/>
          <w:b w:val="1"/>
          <w:bCs w:val="1"/>
          <w:color w:val="00ABE8"/>
        </w:rPr>
        <w: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shd w:val="clear" w:color="auto" w:fill="C8C9CB"/>
          </w:tcPr>
          <w:p>
            <w:pPr>
              <w:spacing w:after="0"/>
              <w:rPr>
                <w:sz w:val="17"/>
                <w:szCs w:val="17"/>
                <w:color w:val="auto"/>
              </w:rPr>
            </w:pPr>
          </w:p>
        </w:tc>
        <w:tc>
          <w:tcPr>
            <w:tcW w:w="1680" w:type="dxa"/>
            <w:vAlign w:val="bottom"/>
            <w:shd w:val="clear" w:color="auto" w:fill="C8C9CB"/>
          </w:tcPr>
          <w:p>
            <w:pPr>
              <w:spacing w:after="0"/>
              <w:rPr>
                <w:sz w:val="17"/>
                <w:szCs w:val="17"/>
                <w:color w:val="auto"/>
              </w:rPr>
            </w:pPr>
          </w:p>
        </w:tc>
        <w:tc>
          <w:tcPr>
            <w:tcW w:w="1580" w:type="dxa"/>
            <w:vAlign w:val="bottom"/>
            <w:vMerge w:val="restart"/>
            <w:shd w:val="clear" w:color="auto" w:fill="C8C9CB"/>
          </w:tcPr>
          <w:p>
            <w:pPr>
              <w:jc w:val="center"/>
              <w:spacing w:after="0"/>
              <w:rPr>
                <w:sz w:val="20"/>
                <w:szCs w:val="20"/>
                <w:color w:val="auto"/>
              </w:rPr>
            </w:pPr>
            <w:r>
              <w:rPr>
                <w:rFonts w:ascii="Arial" w:cs="Arial" w:eastAsia="Arial" w:hAnsi="Arial"/>
                <w:sz w:val="16"/>
                <w:szCs w:val="16"/>
                <w:b w:val="1"/>
                <w:bCs w:val="1"/>
                <w:color w:val="00ABE8"/>
              </w:rPr>
              <w:t>Management</w:t>
            </w:r>
          </w:p>
        </w:tc>
        <w:tc>
          <w:tcPr>
            <w:tcW w:w="1320" w:type="dxa"/>
            <w:vAlign w:val="bottom"/>
            <w:shd w:val="clear" w:color="auto" w:fill="C8C9CB"/>
          </w:tcPr>
          <w:p>
            <w:pPr>
              <w:ind w:left="140"/>
              <w:spacing w:after="0"/>
              <w:rPr>
                <w:sz w:val="20"/>
                <w:szCs w:val="20"/>
                <w:color w:val="auto"/>
              </w:rPr>
            </w:pPr>
            <w:r>
              <w:rPr>
                <w:rFonts w:ascii="Arial" w:cs="Arial" w:eastAsia="Arial" w:hAnsi="Arial"/>
                <w:sz w:val="16"/>
                <w:szCs w:val="16"/>
                <w:b w:val="1"/>
                <w:bCs w:val="1"/>
                <w:color w:val="00ABE8"/>
              </w:rPr>
              <w:t>Vote required</w:t>
            </w:r>
          </w:p>
        </w:tc>
        <w:tc>
          <w:tcPr>
            <w:tcW w:w="0" w:type="dxa"/>
            <w:vAlign w:val="bottom"/>
          </w:tcPr>
          <w:p>
            <w:pPr>
              <w:spacing w:after="0"/>
              <w:rPr>
                <w:sz w:val="1"/>
                <w:szCs w:val="1"/>
                <w:color w:val="auto"/>
              </w:rPr>
            </w:pPr>
          </w:p>
        </w:tc>
      </w:tr>
      <w:tr>
        <w:trPr>
          <w:trHeight w:val="95"/>
        </w:trPr>
        <w:tc>
          <w:tcPr>
            <w:tcW w:w="4080" w:type="dxa"/>
            <w:vAlign w:val="bottom"/>
            <w:vMerge w:val="restart"/>
            <w:shd w:val="clear" w:color="auto" w:fill="C8C9CB"/>
          </w:tcPr>
          <w:p>
            <w:pPr>
              <w:ind w:left="1460"/>
              <w:spacing w:after="0"/>
              <w:rPr>
                <w:sz w:val="20"/>
                <w:szCs w:val="20"/>
                <w:color w:val="auto"/>
              </w:rPr>
            </w:pPr>
            <w:r>
              <w:rPr>
                <w:rFonts w:ascii="Arial" w:cs="Arial" w:eastAsia="Arial" w:hAnsi="Arial"/>
                <w:sz w:val="16"/>
                <w:szCs w:val="16"/>
                <w:b w:val="1"/>
                <w:bCs w:val="1"/>
                <w:color w:val="auto"/>
              </w:rPr>
              <w:t>Name and principal occupation</w:t>
            </w:r>
          </w:p>
        </w:tc>
        <w:tc>
          <w:tcPr>
            <w:tcW w:w="1680" w:type="dxa"/>
            <w:vAlign w:val="bottom"/>
            <w:vMerge w:val="restart"/>
            <w:shd w:val="clear" w:color="auto" w:fill="C8C9CB"/>
          </w:tcPr>
          <w:p>
            <w:pPr>
              <w:ind w:left="80"/>
              <w:spacing w:after="0"/>
              <w:rPr>
                <w:sz w:val="20"/>
                <w:szCs w:val="20"/>
                <w:color w:val="auto"/>
              </w:rPr>
            </w:pPr>
            <w:r>
              <w:rPr>
                <w:rFonts w:ascii="Arial" w:cs="Arial" w:eastAsia="Arial" w:hAnsi="Arial"/>
                <w:sz w:val="16"/>
                <w:szCs w:val="16"/>
                <w:b w:val="1"/>
                <w:bCs w:val="1"/>
                <w:color w:val="auto"/>
              </w:rPr>
              <w:t>Public boards</w:t>
            </w:r>
          </w:p>
        </w:tc>
        <w:tc>
          <w:tcPr>
            <w:tcW w:w="1580" w:type="dxa"/>
            <w:vAlign w:val="bottom"/>
            <w:vMerge w:val="continue"/>
            <w:shd w:val="clear" w:color="auto" w:fill="C8C9CB"/>
          </w:tcPr>
          <w:p>
            <w:pPr>
              <w:spacing w:after="0"/>
              <w:rPr>
                <w:sz w:val="8"/>
                <w:szCs w:val="8"/>
                <w:color w:val="auto"/>
              </w:rPr>
            </w:pPr>
          </w:p>
        </w:tc>
        <w:tc>
          <w:tcPr>
            <w:tcW w:w="1320" w:type="dxa"/>
            <w:vAlign w:val="bottom"/>
            <w:vMerge w:val="restart"/>
            <w:shd w:val="clear" w:color="auto" w:fill="C8C9CB"/>
          </w:tcPr>
          <w:p>
            <w:pPr>
              <w:jc w:val="center"/>
              <w:spacing w:after="0"/>
              <w:rPr>
                <w:sz w:val="20"/>
                <w:szCs w:val="20"/>
                <w:color w:val="auto"/>
              </w:rPr>
            </w:pPr>
            <w:r>
              <w:rPr>
                <w:rFonts w:ascii="Arial" w:cs="Arial" w:eastAsia="Arial" w:hAnsi="Arial"/>
                <w:sz w:val="16"/>
                <w:szCs w:val="16"/>
                <w:b w:val="1"/>
                <w:bCs w:val="1"/>
                <w:color w:val="00ABE8"/>
                <w:w w:val="99"/>
              </w:rPr>
              <w:t>to pass</w:t>
            </w:r>
          </w:p>
        </w:tc>
        <w:tc>
          <w:tcPr>
            <w:tcW w:w="0" w:type="dxa"/>
            <w:vAlign w:val="bottom"/>
          </w:tcPr>
          <w:p>
            <w:pPr>
              <w:spacing w:after="0"/>
              <w:rPr>
                <w:sz w:val="1"/>
                <w:szCs w:val="1"/>
                <w:color w:val="auto"/>
              </w:rPr>
            </w:pPr>
          </w:p>
        </w:tc>
      </w:tr>
      <w:tr>
        <w:trPr>
          <w:trHeight w:val="134"/>
        </w:trPr>
        <w:tc>
          <w:tcPr>
            <w:tcW w:w="4080" w:type="dxa"/>
            <w:vAlign w:val="bottom"/>
            <w:vMerge w:val="continue"/>
            <w:shd w:val="clear" w:color="auto" w:fill="C8C9CB"/>
          </w:tcPr>
          <w:p>
            <w:pPr>
              <w:spacing w:after="0"/>
              <w:rPr>
                <w:sz w:val="11"/>
                <w:szCs w:val="11"/>
                <w:color w:val="auto"/>
              </w:rPr>
            </w:pPr>
          </w:p>
        </w:tc>
        <w:tc>
          <w:tcPr>
            <w:tcW w:w="1680" w:type="dxa"/>
            <w:vAlign w:val="bottom"/>
            <w:vMerge w:val="continue"/>
            <w:shd w:val="clear" w:color="auto" w:fill="C8C9CB"/>
          </w:tcPr>
          <w:p>
            <w:pPr>
              <w:spacing w:after="0"/>
              <w:rPr>
                <w:sz w:val="11"/>
                <w:szCs w:val="11"/>
                <w:color w:val="auto"/>
              </w:rPr>
            </w:pPr>
          </w:p>
        </w:tc>
        <w:tc>
          <w:tcPr>
            <w:tcW w:w="1580" w:type="dxa"/>
            <w:vAlign w:val="bottom"/>
            <w:vMerge w:val="restart"/>
            <w:shd w:val="clear" w:color="auto" w:fill="C8C9CB"/>
          </w:tcPr>
          <w:p>
            <w:pPr>
              <w:jc w:val="center"/>
              <w:spacing w:after="0"/>
              <w:rPr>
                <w:sz w:val="20"/>
                <w:szCs w:val="20"/>
                <w:color w:val="auto"/>
              </w:rPr>
            </w:pPr>
            <w:r>
              <w:rPr>
                <w:rFonts w:ascii="Arial" w:cs="Arial" w:eastAsia="Arial" w:hAnsi="Arial"/>
                <w:sz w:val="16"/>
                <w:szCs w:val="16"/>
                <w:b w:val="1"/>
                <w:bCs w:val="1"/>
                <w:color w:val="00ABE8"/>
              </w:rPr>
              <w:t>recommendation</w:t>
            </w:r>
          </w:p>
        </w:tc>
        <w:tc>
          <w:tcPr>
            <w:tcW w:w="1320" w:type="dxa"/>
            <w:vAlign w:val="bottom"/>
            <w:vMerge w:val="continue"/>
            <w:shd w:val="clear" w:color="auto" w:fill="C8C9CB"/>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80" w:type="dxa"/>
            <w:vAlign w:val="bottom"/>
            <w:shd w:val="clear" w:color="auto" w:fill="C8C9CB"/>
          </w:tcPr>
          <w:p>
            <w:pPr>
              <w:spacing w:after="0"/>
              <w:rPr>
                <w:sz w:val="8"/>
                <w:szCs w:val="8"/>
                <w:color w:val="auto"/>
              </w:rPr>
            </w:pPr>
          </w:p>
        </w:tc>
        <w:tc>
          <w:tcPr>
            <w:tcW w:w="1680" w:type="dxa"/>
            <w:vAlign w:val="bottom"/>
            <w:shd w:val="clear" w:color="auto" w:fill="C8C9CB"/>
          </w:tcPr>
          <w:p>
            <w:pPr>
              <w:spacing w:after="0"/>
              <w:rPr>
                <w:sz w:val="8"/>
                <w:szCs w:val="8"/>
                <w:color w:val="auto"/>
              </w:rPr>
            </w:pPr>
          </w:p>
        </w:tc>
        <w:tc>
          <w:tcPr>
            <w:tcW w:w="1580" w:type="dxa"/>
            <w:vAlign w:val="bottom"/>
            <w:vMerge w:val="continue"/>
            <w:shd w:val="clear" w:color="auto" w:fill="C8C9CB"/>
          </w:tcPr>
          <w:p>
            <w:pPr>
              <w:spacing w:after="0"/>
              <w:rPr>
                <w:sz w:val="8"/>
                <w:szCs w:val="8"/>
                <w:color w:val="auto"/>
              </w:rPr>
            </w:pPr>
          </w:p>
        </w:tc>
        <w:tc>
          <w:tcPr>
            <w:tcW w:w="1320" w:type="dxa"/>
            <w:vAlign w:val="bottom"/>
            <w:shd w:val="clear" w:color="auto" w:fill="C8C9CB"/>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80" w:type="dxa"/>
            <w:vAlign w:val="bottom"/>
            <w:shd w:val="clear" w:color="auto" w:fill="C8C9CB"/>
          </w:tcPr>
          <w:p>
            <w:pPr>
              <w:spacing w:after="0"/>
              <w:rPr>
                <w:sz w:val="8"/>
                <w:szCs w:val="8"/>
                <w:color w:val="auto"/>
              </w:rPr>
            </w:pPr>
          </w:p>
        </w:tc>
        <w:tc>
          <w:tcPr>
            <w:tcW w:w="1680" w:type="dxa"/>
            <w:vAlign w:val="bottom"/>
            <w:shd w:val="clear" w:color="auto" w:fill="C8C9CB"/>
          </w:tcPr>
          <w:p>
            <w:pPr>
              <w:spacing w:after="0"/>
              <w:rPr>
                <w:sz w:val="8"/>
                <w:szCs w:val="8"/>
                <w:color w:val="auto"/>
              </w:rPr>
            </w:pPr>
          </w:p>
        </w:tc>
        <w:tc>
          <w:tcPr>
            <w:tcW w:w="1580" w:type="dxa"/>
            <w:vAlign w:val="bottom"/>
            <w:shd w:val="clear" w:color="auto" w:fill="C8C9CB"/>
          </w:tcPr>
          <w:p>
            <w:pPr>
              <w:spacing w:after="0"/>
              <w:rPr>
                <w:sz w:val="8"/>
                <w:szCs w:val="8"/>
                <w:color w:val="auto"/>
              </w:rPr>
            </w:pPr>
          </w:p>
        </w:tc>
        <w:tc>
          <w:tcPr>
            <w:tcW w:w="1320" w:type="dxa"/>
            <w:vAlign w:val="bottom"/>
            <w:shd w:val="clear" w:color="auto" w:fill="C8C9CB"/>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4080" w:type="dxa"/>
            <w:vAlign w:val="bottom"/>
          </w:tcPr>
          <w:p>
            <w:pPr>
              <w:ind w:left="1460"/>
              <w:spacing w:after="0"/>
              <w:rPr>
                <w:sz w:val="20"/>
                <w:szCs w:val="20"/>
                <w:color w:val="auto"/>
              </w:rPr>
            </w:pPr>
            <w:r>
              <w:rPr>
                <w:rFonts w:ascii="Arial" w:cs="Arial" w:eastAsia="Arial" w:hAnsi="Arial"/>
                <w:sz w:val="16"/>
                <w:szCs w:val="16"/>
                <w:b w:val="1"/>
                <w:bCs w:val="1"/>
                <w:color w:val="auto"/>
              </w:rPr>
              <w:t>Ralph Alvarez, 63</w:t>
            </w:r>
          </w:p>
        </w:tc>
        <w:tc>
          <w:tcPr>
            <w:tcW w:w="16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4080" w:type="dxa"/>
            <w:vAlign w:val="bottom"/>
          </w:tcPr>
          <w:p>
            <w:pPr>
              <w:ind w:left="1460"/>
              <w:spacing w:after="0"/>
              <w:rPr>
                <w:sz w:val="20"/>
                <w:szCs w:val="20"/>
                <w:color w:val="auto"/>
              </w:rPr>
            </w:pPr>
            <w:r>
              <w:rPr>
                <w:rFonts w:ascii="Arial" w:cs="Arial" w:eastAsia="Arial" w:hAnsi="Arial"/>
                <w:sz w:val="14"/>
                <w:szCs w:val="14"/>
                <w:color w:val="auto"/>
              </w:rPr>
              <w:t>Operating Partner,</w:t>
            </w:r>
          </w:p>
        </w:tc>
        <w:tc>
          <w:tcPr>
            <w:tcW w:w="1680" w:type="dxa"/>
            <w:vAlign w:val="bottom"/>
            <w:vMerge w:val="restart"/>
          </w:tcPr>
          <w:p>
            <w:pPr>
              <w:ind w:left="80"/>
              <w:spacing w:after="0"/>
              <w:rPr>
                <w:sz w:val="20"/>
                <w:szCs w:val="20"/>
                <w:color w:val="auto"/>
              </w:rPr>
            </w:pPr>
            <w:r>
              <w:rPr>
                <w:rFonts w:ascii="Arial" w:cs="Arial" w:eastAsia="Arial" w:hAnsi="Arial"/>
                <w:sz w:val="14"/>
                <w:szCs w:val="14"/>
                <w:color w:val="auto"/>
              </w:rPr>
              <w:t>Lowe's Companies, Inc.</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80" w:type="dxa"/>
            <w:vAlign w:val="bottom"/>
          </w:tcPr>
          <w:p>
            <w:pPr>
              <w:ind w:left="1460"/>
              <w:spacing w:after="0"/>
              <w:rPr>
                <w:sz w:val="20"/>
                <w:szCs w:val="20"/>
                <w:color w:val="auto"/>
              </w:rPr>
            </w:pPr>
            <w:r>
              <w:rPr>
                <w:rFonts w:ascii="Arial" w:cs="Arial" w:eastAsia="Arial" w:hAnsi="Arial"/>
                <w:sz w:val="14"/>
                <w:szCs w:val="14"/>
                <w:color w:val="auto"/>
              </w:rPr>
              <w:t>Advent International Corporation</w:t>
            </w:r>
          </w:p>
        </w:tc>
        <w:tc>
          <w:tcPr>
            <w:tcW w:w="1680" w:type="dxa"/>
            <w:vAlign w:val="bottom"/>
            <w:vMerge w:val="continue"/>
          </w:tcPr>
          <w:p>
            <w:pPr>
              <w:spacing w:after="0"/>
              <w:rPr>
                <w:sz w:val="15"/>
                <w:szCs w:val="15"/>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Vote FOR</w:t>
            </w:r>
          </w:p>
        </w:tc>
        <w:tc>
          <w:tcPr>
            <w:tcW w:w="1320" w:type="dxa"/>
            <w:vAlign w:val="bottom"/>
          </w:tcPr>
          <w:p>
            <w:pPr>
              <w:jc w:val="center"/>
              <w:spacing w:after="0" w:line="179" w:lineRule="exact"/>
              <w:rPr>
                <w:sz w:val="20"/>
                <w:szCs w:val="20"/>
                <w:color w:val="auto"/>
              </w:rPr>
            </w:pPr>
            <w:r>
              <w:rPr>
                <w:rFonts w:ascii="Arial" w:cs="Arial" w:eastAsia="Arial" w:hAnsi="Arial"/>
                <w:sz w:val="16"/>
                <w:szCs w:val="16"/>
                <w:b w:val="1"/>
                <w:bCs w:val="1"/>
                <w:color w:val="auto"/>
              </w:rPr>
              <w:t>Majority of</w:t>
            </w:r>
          </w:p>
        </w:tc>
        <w:tc>
          <w:tcPr>
            <w:tcW w:w="0" w:type="dxa"/>
            <w:vAlign w:val="bottom"/>
          </w:tcPr>
          <w:p>
            <w:pPr>
              <w:spacing w:after="0"/>
              <w:rPr>
                <w:sz w:val="1"/>
                <w:szCs w:val="1"/>
                <w:color w:val="auto"/>
              </w:rPr>
            </w:pPr>
          </w:p>
        </w:tc>
      </w:tr>
      <w:tr>
        <w:trPr>
          <w:trHeight w:val="91"/>
        </w:trPr>
        <w:tc>
          <w:tcPr>
            <w:tcW w:w="4080" w:type="dxa"/>
            <w:vAlign w:val="bottom"/>
            <w:vMerge w:val="restart"/>
          </w:tcPr>
          <w:p>
            <w:pPr>
              <w:ind w:left="1460"/>
              <w:spacing w:after="0"/>
              <w:rPr>
                <w:sz w:val="20"/>
                <w:szCs w:val="20"/>
                <w:color w:val="auto"/>
              </w:rPr>
            </w:pPr>
            <w:r>
              <w:rPr>
                <w:rFonts w:ascii="Arial" w:cs="Arial" w:eastAsia="Arial" w:hAnsi="Arial"/>
                <w:sz w:val="14"/>
                <w:szCs w:val="14"/>
                <w:color w:val="auto"/>
              </w:rPr>
              <w:t>Director since 2009</w:t>
            </w:r>
          </w:p>
        </w:tc>
        <w:tc>
          <w:tcPr>
            <w:tcW w:w="1680" w:type="dxa"/>
            <w:vAlign w:val="bottom"/>
          </w:tcPr>
          <w:p>
            <w:pPr>
              <w:ind w:left="80"/>
              <w:spacing w:after="0" w:line="92" w:lineRule="exact"/>
              <w:rPr>
                <w:sz w:val="20"/>
                <w:szCs w:val="20"/>
                <w:color w:val="auto"/>
              </w:rPr>
            </w:pPr>
            <w:r>
              <w:rPr>
                <w:rFonts w:ascii="Arial" w:cs="Arial" w:eastAsia="Arial" w:hAnsi="Arial"/>
                <w:sz w:val="10"/>
                <w:szCs w:val="10"/>
                <w:color w:val="auto"/>
              </w:rPr>
              <w:t>Dunkin' Brands Group,</w:t>
            </w:r>
          </w:p>
        </w:tc>
        <w:tc>
          <w:tcPr>
            <w:tcW w:w="1580" w:type="dxa"/>
            <w:vAlign w:val="bottom"/>
            <w:vMerge w:val="continue"/>
          </w:tcPr>
          <w:p>
            <w:pPr>
              <w:spacing w:after="0"/>
              <w:rPr>
                <w:sz w:val="7"/>
                <w:szCs w:val="7"/>
                <w:color w:val="auto"/>
              </w:rPr>
            </w:pPr>
          </w:p>
        </w:tc>
        <w:tc>
          <w:tcPr>
            <w:tcW w:w="132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votes cast</w:t>
            </w:r>
          </w:p>
        </w:tc>
        <w:tc>
          <w:tcPr>
            <w:tcW w:w="0" w:type="dxa"/>
            <w:vAlign w:val="bottom"/>
          </w:tcPr>
          <w:p>
            <w:pPr>
              <w:spacing w:after="0"/>
              <w:rPr>
                <w:sz w:val="1"/>
                <w:szCs w:val="1"/>
                <w:color w:val="auto"/>
              </w:rPr>
            </w:pPr>
          </w:p>
        </w:tc>
      </w:tr>
      <w:tr>
        <w:trPr>
          <w:trHeight w:val="180"/>
        </w:trPr>
        <w:tc>
          <w:tcPr>
            <w:tcW w:w="4080" w:type="dxa"/>
            <w:vAlign w:val="bottom"/>
            <w:vMerge w:val="continue"/>
          </w:tcPr>
          <w:p>
            <w:pPr>
              <w:spacing w:after="0"/>
              <w:rPr>
                <w:sz w:val="15"/>
                <w:szCs w:val="15"/>
                <w:color w:val="auto"/>
              </w:rPr>
            </w:pPr>
          </w:p>
        </w:tc>
        <w:tc>
          <w:tcPr>
            <w:tcW w:w="1680" w:type="dxa"/>
            <w:vAlign w:val="bottom"/>
          </w:tcPr>
          <w:p>
            <w:pPr>
              <w:ind w:left="80"/>
              <w:spacing w:after="0"/>
              <w:rPr>
                <w:sz w:val="20"/>
                <w:szCs w:val="20"/>
                <w:color w:val="auto"/>
              </w:rPr>
            </w:pPr>
            <w:r>
              <w:rPr>
                <w:rFonts w:ascii="Arial" w:cs="Arial" w:eastAsia="Arial" w:hAnsi="Arial"/>
                <w:sz w:val="14"/>
                <w:szCs w:val="14"/>
                <w:color w:val="auto"/>
              </w:rPr>
              <w:t>Inc.</w:t>
            </w:r>
          </w:p>
        </w:tc>
        <w:tc>
          <w:tcPr>
            <w:tcW w:w="15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4080" w:type="dxa"/>
            <w:vAlign w:val="bottom"/>
            <w:tcBorders>
              <w:bottom w:val="single" w:sz="8" w:color="C8C9CB"/>
            </w:tcBorders>
          </w:tcPr>
          <w:p>
            <w:pPr>
              <w:spacing w:after="0"/>
              <w:rPr>
                <w:sz w:val="24"/>
                <w:szCs w:val="24"/>
                <w:color w:val="auto"/>
              </w:rPr>
            </w:pPr>
          </w:p>
        </w:tc>
        <w:tc>
          <w:tcPr>
            <w:tcW w:w="1680" w:type="dxa"/>
            <w:vAlign w:val="bottom"/>
            <w:tcBorders>
              <w:bottom w:val="single" w:sz="8" w:color="C8C9CB"/>
            </w:tcBorders>
          </w:tcPr>
          <w:p>
            <w:pPr>
              <w:spacing w:after="0"/>
              <w:rPr>
                <w:sz w:val="24"/>
                <w:szCs w:val="24"/>
                <w:color w:val="auto"/>
              </w:rPr>
            </w:pPr>
          </w:p>
        </w:tc>
        <w:tc>
          <w:tcPr>
            <w:tcW w:w="1580" w:type="dxa"/>
            <w:vAlign w:val="bottom"/>
            <w:tcBorders>
              <w:bottom w:val="single" w:sz="8" w:color="C8C9CB"/>
            </w:tcBorders>
          </w:tcPr>
          <w:p>
            <w:pPr>
              <w:spacing w:after="0"/>
              <w:rPr>
                <w:sz w:val="24"/>
                <w:szCs w:val="24"/>
                <w:color w:val="auto"/>
              </w:rPr>
            </w:pPr>
          </w:p>
        </w:tc>
        <w:tc>
          <w:tcPr>
            <w:tcW w:w="1320" w:type="dxa"/>
            <w:vAlign w:val="bottom"/>
            <w:tcBorders>
              <w:bottom w:val="single" w:sz="8" w:color="C8C9CB"/>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F4F6F6"/>
          </w:tcPr>
          <w:p>
            <w:pPr>
              <w:ind w:left="1460"/>
              <w:spacing w:after="0"/>
              <w:rPr>
                <w:sz w:val="20"/>
                <w:szCs w:val="20"/>
                <w:color w:val="auto"/>
              </w:rPr>
            </w:pPr>
            <w:r>
              <w:rPr>
                <w:rFonts w:ascii="Arial" w:cs="Arial" w:eastAsia="Arial" w:hAnsi="Arial"/>
                <w:sz w:val="16"/>
                <w:szCs w:val="16"/>
                <w:b w:val="1"/>
                <w:bCs w:val="1"/>
                <w:color w:val="auto"/>
              </w:rPr>
              <w:t>Carolyn R. Bertozzi, Ph.D., 52</w:t>
            </w:r>
          </w:p>
        </w:tc>
        <w:tc>
          <w:tcPr>
            <w:tcW w:w="1680" w:type="dxa"/>
            <w:vAlign w:val="bottom"/>
            <w:shd w:val="clear" w:color="auto" w:fill="F4F6F6"/>
          </w:tcPr>
          <w:p>
            <w:pPr>
              <w:spacing w:after="0"/>
              <w:rPr>
                <w:sz w:val="21"/>
                <w:szCs w:val="21"/>
                <w:color w:val="auto"/>
              </w:rPr>
            </w:pPr>
          </w:p>
        </w:tc>
        <w:tc>
          <w:tcPr>
            <w:tcW w:w="1580" w:type="dxa"/>
            <w:vAlign w:val="bottom"/>
            <w:shd w:val="clear" w:color="auto" w:fill="F4F6F6"/>
          </w:tcPr>
          <w:p>
            <w:pPr>
              <w:spacing w:after="0"/>
              <w:rPr>
                <w:sz w:val="21"/>
                <w:szCs w:val="21"/>
                <w:color w:val="auto"/>
              </w:rPr>
            </w:pPr>
          </w:p>
        </w:tc>
        <w:tc>
          <w:tcPr>
            <w:tcW w:w="1320" w:type="dxa"/>
            <w:vAlign w:val="bottom"/>
            <w:shd w:val="clear" w:color="auto" w:fill="F4F6F6"/>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4080" w:type="dxa"/>
            <w:vAlign w:val="bottom"/>
            <w:shd w:val="clear" w:color="auto" w:fill="F4F6F6"/>
          </w:tcPr>
          <w:p>
            <w:pPr>
              <w:ind w:left="1460"/>
              <w:spacing w:after="0"/>
              <w:rPr>
                <w:sz w:val="20"/>
                <w:szCs w:val="20"/>
                <w:color w:val="auto"/>
              </w:rPr>
            </w:pPr>
            <w:r>
              <w:rPr>
                <w:rFonts w:ascii="Arial" w:cs="Arial" w:eastAsia="Arial" w:hAnsi="Arial"/>
                <w:sz w:val="14"/>
                <w:szCs w:val="14"/>
                <w:color w:val="auto"/>
                <w:w w:val="99"/>
              </w:rPr>
              <w:t>Professor of Chemistry and Investigator of</w:t>
            </w:r>
          </w:p>
        </w:tc>
        <w:tc>
          <w:tcPr>
            <w:tcW w:w="1680" w:type="dxa"/>
            <w:vAlign w:val="bottom"/>
            <w:shd w:val="clear" w:color="auto" w:fill="F4F6F6"/>
          </w:tcPr>
          <w:p>
            <w:pPr>
              <w:spacing w:after="0"/>
              <w:rPr>
                <w:sz w:val="14"/>
                <w:szCs w:val="14"/>
                <w:color w:val="auto"/>
              </w:rPr>
            </w:pPr>
          </w:p>
        </w:tc>
        <w:tc>
          <w:tcPr>
            <w:tcW w:w="1580" w:type="dxa"/>
            <w:vAlign w:val="bottom"/>
            <w:shd w:val="clear" w:color="auto" w:fill="F4F6F6"/>
          </w:tcPr>
          <w:p>
            <w:pPr>
              <w:spacing w:after="0"/>
              <w:rPr>
                <w:sz w:val="14"/>
                <w:szCs w:val="14"/>
                <w:color w:val="auto"/>
              </w:rPr>
            </w:pPr>
          </w:p>
        </w:tc>
        <w:tc>
          <w:tcPr>
            <w:tcW w:w="1320" w:type="dxa"/>
            <w:vAlign w:val="bottom"/>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F4F6F6"/>
          </w:tcPr>
          <w:p>
            <w:pPr>
              <w:ind w:left="1460"/>
              <w:spacing w:after="0"/>
              <w:rPr>
                <w:sz w:val="20"/>
                <w:szCs w:val="20"/>
                <w:color w:val="auto"/>
              </w:rPr>
            </w:pPr>
            <w:r>
              <w:rPr>
                <w:rFonts w:ascii="Arial" w:cs="Arial" w:eastAsia="Arial" w:hAnsi="Arial"/>
                <w:sz w:val="14"/>
                <w:szCs w:val="14"/>
                <w:color w:val="auto"/>
              </w:rPr>
              <w:t>the Howard Hughes Medical Institute,</w:t>
            </w:r>
          </w:p>
        </w:tc>
        <w:tc>
          <w:tcPr>
            <w:tcW w:w="1680" w:type="dxa"/>
            <w:vAlign w:val="bottom"/>
            <w:vMerge w:val="restart"/>
            <w:shd w:val="clear" w:color="auto" w:fill="F4F6F6"/>
          </w:tcPr>
          <w:p>
            <w:pPr>
              <w:ind w:left="80"/>
              <w:spacing w:after="0"/>
              <w:rPr>
                <w:sz w:val="20"/>
                <w:szCs w:val="20"/>
                <w:color w:val="auto"/>
              </w:rPr>
            </w:pPr>
            <w:r>
              <w:rPr>
                <w:rFonts w:ascii="Arial" w:cs="Arial" w:eastAsia="Arial" w:hAnsi="Arial"/>
                <w:sz w:val="14"/>
                <w:szCs w:val="14"/>
                <w:color w:val="auto"/>
              </w:rPr>
              <w:t>Catalent</w:t>
            </w:r>
          </w:p>
        </w:tc>
        <w:tc>
          <w:tcPr>
            <w:tcW w:w="1580" w:type="dxa"/>
            <w:vAlign w:val="bottom"/>
            <w:vMerge w:val="restart"/>
            <w:shd w:val="clear" w:color="auto" w:fill="F4F6F6"/>
          </w:tcPr>
          <w:p>
            <w:pPr>
              <w:jc w:val="center"/>
              <w:spacing w:after="0"/>
              <w:rPr>
                <w:sz w:val="20"/>
                <w:szCs w:val="20"/>
                <w:color w:val="auto"/>
              </w:rPr>
            </w:pPr>
            <w:r>
              <w:rPr>
                <w:rFonts w:ascii="Arial" w:cs="Arial" w:eastAsia="Arial" w:hAnsi="Arial"/>
                <w:sz w:val="16"/>
                <w:szCs w:val="16"/>
                <w:b w:val="1"/>
                <w:bCs w:val="1"/>
                <w:color w:val="auto"/>
                <w:w w:val="98"/>
              </w:rPr>
              <w:t>Vote FOR</w:t>
            </w:r>
          </w:p>
        </w:tc>
        <w:tc>
          <w:tcPr>
            <w:tcW w:w="1320" w:type="dxa"/>
            <w:vAlign w:val="bottom"/>
            <w:shd w:val="clear" w:color="auto" w:fill="F4F6F6"/>
          </w:tcPr>
          <w:p>
            <w:pPr>
              <w:jc w:val="center"/>
              <w:spacing w:after="0"/>
              <w:rPr>
                <w:sz w:val="20"/>
                <w:szCs w:val="20"/>
                <w:color w:val="auto"/>
              </w:rPr>
            </w:pPr>
            <w:r>
              <w:rPr>
                <w:rFonts w:ascii="Arial" w:cs="Arial" w:eastAsia="Arial" w:hAnsi="Arial"/>
                <w:sz w:val="16"/>
                <w:szCs w:val="16"/>
                <w:b w:val="1"/>
                <w:bCs w:val="1"/>
                <w:color w:val="auto"/>
              </w:rPr>
              <w:t>Majority of</w:t>
            </w:r>
          </w:p>
        </w:tc>
        <w:tc>
          <w:tcPr>
            <w:tcW w:w="0" w:type="dxa"/>
            <w:vAlign w:val="bottom"/>
          </w:tcPr>
          <w:p>
            <w:pPr>
              <w:spacing w:after="0"/>
              <w:rPr>
                <w:sz w:val="1"/>
                <w:szCs w:val="1"/>
                <w:color w:val="auto"/>
              </w:rPr>
            </w:pPr>
          </w:p>
        </w:tc>
      </w:tr>
      <w:tr>
        <w:trPr>
          <w:trHeight w:val="180"/>
        </w:trPr>
        <w:tc>
          <w:tcPr>
            <w:tcW w:w="4080" w:type="dxa"/>
            <w:vAlign w:val="bottom"/>
            <w:shd w:val="clear" w:color="auto" w:fill="F4F6F6"/>
          </w:tcPr>
          <w:p>
            <w:pPr>
              <w:ind w:left="1460"/>
              <w:spacing w:after="0"/>
              <w:rPr>
                <w:sz w:val="20"/>
                <w:szCs w:val="20"/>
                <w:color w:val="auto"/>
              </w:rPr>
            </w:pPr>
            <w:r>
              <w:rPr>
                <w:rFonts w:ascii="Arial" w:cs="Arial" w:eastAsia="Arial" w:hAnsi="Arial"/>
                <w:sz w:val="14"/>
                <w:szCs w:val="14"/>
                <w:color w:val="auto"/>
              </w:rPr>
              <w:t>Stanford University</w:t>
            </w:r>
          </w:p>
        </w:tc>
        <w:tc>
          <w:tcPr>
            <w:tcW w:w="1680" w:type="dxa"/>
            <w:vAlign w:val="bottom"/>
            <w:vMerge w:val="continue"/>
            <w:shd w:val="clear" w:color="auto" w:fill="F4F6F6"/>
          </w:tcPr>
          <w:p>
            <w:pPr>
              <w:spacing w:after="0"/>
              <w:rPr>
                <w:sz w:val="15"/>
                <w:szCs w:val="15"/>
                <w:color w:val="auto"/>
              </w:rPr>
            </w:pPr>
          </w:p>
        </w:tc>
        <w:tc>
          <w:tcPr>
            <w:tcW w:w="1580" w:type="dxa"/>
            <w:vAlign w:val="bottom"/>
            <w:vMerge w:val="continue"/>
            <w:shd w:val="clear" w:color="auto" w:fill="F4F6F6"/>
          </w:tcPr>
          <w:p>
            <w:pPr>
              <w:spacing w:after="0"/>
              <w:rPr>
                <w:sz w:val="15"/>
                <w:szCs w:val="15"/>
                <w:color w:val="auto"/>
              </w:rPr>
            </w:pPr>
          </w:p>
        </w:tc>
        <w:tc>
          <w:tcPr>
            <w:tcW w:w="1320" w:type="dxa"/>
            <w:vAlign w:val="bottom"/>
            <w:vMerge w:val="restart"/>
            <w:shd w:val="clear" w:color="auto" w:fill="F4F6F6"/>
          </w:tcPr>
          <w:p>
            <w:pPr>
              <w:ind w:left="300"/>
              <w:spacing w:after="0"/>
              <w:rPr>
                <w:sz w:val="20"/>
                <w:szCs w:val="20"/>
                <w:color w:val="auto"/>
              </w:rPr>
            </w:pPr>
            <w:r>
              <w:rPr>
                <w:rFonts w:ascii="Arial" w:cs="Arial" w:eastAsia="Arial" w:hAnsi="Arial"/>
                <w:sz w:val="16"/>
                <w:szCs w:val="16"/>
                <w:b w:val="1"/>
                <w:bCs w:val="1"/>
                <w:color w:val="auto"/>
              </w:rPr>
              <w:t>votes cast</w:t>
            </w:r>
          </w:p>
        </w:tc>
        <w:tc>
          <w:tcPr>
            <w:tcW w:w="0" w:type="dxa"/>
            <w:vAlign w:val="bottom"/>
          </w:tcPr>
          <w:p>
            <w:pPr>
              <w:spacing w:after="0"/>
              <w:rPr>
                <w:sz w:val="1"/>
                <w:szCs w:val="1"/>
                <w:color w:val="auto"/>
              </w:rPr>
            </w:pPr>
          </w:p>
        </w:tc>
      </w:tr>
      <w:tr>
        <w:trPr>
          <w:trHeight w:val="69"/>
        </w:trPr>
        <w:tc>
          <w:tcPr>
            <w:tcW w:w="4080" w:type="dxa"/>
            <w:vAlign w:val="bottom"/>
            <w:vMerge w:val="restart"/>
            <w:shd w:val="clear" w:color="auto" w:fill="F4F6F6"/>
          </w:tcPr>
          <w:p>
            <w:pPr>
              <w:ind w:left="1460"/>
              <w:spacing w:after="0"/>
              <w:rPr>
                <w:sz w:val="20"/>
                <w:szCs w:val="20"/>
                <w:color w:val="auto"/>
              </w:rPr>
            </w:pPr>
            <w:r>
              <w:rPr>
                <w:rFonts w:ascii="Arial" w:cs="Arial" w:eastAsia="Arial" w:hAnsi="Arial"/>
                <w:sz w:val="14"/>
                <w:szCs w:val="14"/>
                <w:color w:val="auto"/>
              </w:rPr>
              <w:t>Director since 2017</w:t>
            </w:r>
          </w:p>
        </w:tc>
        <w:tc>
          <w:tcPr>
            <w:tcW w:w="1680" w:type="dxa"/>
            <w:vAlign w:val="bottom"/>
            <w:shd w:val="clear" w:color="auto" w:fill="F4F6F6"/>
          </w:tcPr>
          <w:p>
            <w:pPr>
              <w:spacing w:after="0"/>
              <w:rPr>
                <w:sz w:val="5"/>
                <w:szCs w:val="5"/>
                <w:color w:val="auto"/>
              </w:rPr>
            </w:pPr>
          </w:p>
        </w:tc>
        <w:tc>
          <w:tcPr>
            <w:tcW w:w="1580" w:type="dxa"/>
            <w:vAlign w:val="bottom"/>
            <w:shd w:val="clear" w:color="auto" w:fill="F4F6F6"/>
          </w:tcPr>
          <w:p>
            <w:pPr>
              <w:spacing w:after="0"/>
              <w:rPr>
                <w:sz w:val="5"/>
                <w:szCs w:val="5"/>
                <w:color w:val="auto"/>
              </w:rPr>
            </w:pPr>
          </w:p>
        </w:tc>
        <w:tc>
          <w:tcPr>
            <w:tcW w:w="1320" w:type="dxa"/>
            <w:vAlign w:val="bottom"/>
            <w:vMerge w:val="continue"/>
            <w:shd w:val="clear" w:color="auto" w:fill="F4F6F6"/>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4080" w:type="dxa"/>
            <w:vAlign w:val="bottom"/>
            <w:vMerge w:val="continue"/>
            <w:shd w:val="clear" w:color="auto" w:fill="F4F6F6"/>
          </w:tcPr>
          <w:p>
            <w:pPr>
              <w:spacing w:after="0"/>
              <w:rPr>
                <w:sz w:val="10"/>
                <w:szCs w:val="10"/>
                <w:color w:val="auto"/>
              </w:rPr>
            </w:pPr>
          </w:p>
        </w:tc>
        <w:tc>
          <w:tcPr>
            <w:tcW w:w="1680" w:type="dxa"/>
            <w:vAlign w:val="bottom"/>
            <w:shd w:val="clear" w:color="auto" w:fill="F4F6F6"/>
          </w:tcPr>
          <w:p>
            <w:pPr>
              <w:spacing w:after="0"/>
              <w:rPr>
                <w:sz w:val="10"/>
                <w:szCs w:val="10"/>
                <w:color w:val="auto"/>
              </w:rPr>
            </w:pPr>
          </w:p>
        </w:tc>
        <w:tc>
          <w:tcPr>
            <w:tcW w:w="1580" w:type="dxa"/>
            <w:vAlign w:val="bottom"/>
            <w:shd w:val="clear" w:color="auto" w:fill="F4F6F6"/>
          </w:tcPr>
          <w:p>
            <w:pPr>
              <w:spacing w:after="0"/>
              <w:rPr>
                <w:sz w:val="10"/>
                <w:szCs w:val="10"/>
                <w:color w:val="auto"/>
              </w:rPr>
            </w:pPr>
          </w:p>
        </w:tc>
        <w:tc>
          <w:tcPr>
            <w:tcW w:w="1320" w:type="dxa"/>
            <w:vAlign w:val="bottom"/>
            <w:shd w:val="clear" w:color="auto" w:fill="F4F6F6"/>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4080" w:type="dxa"/>
            <w:vAlign w:val="bottom"/>
            <w:tcBorders>
              <w:bottom w:val="single" w:sz="8" w:color="C8C9CB"/>
            </w:tcBorders>
            <w:shd w:val="clear" w:color="auto" w:fill="F4F6F6"/>
          </w:tcPr>
          <w:p>
            <w:pPr>
              <w:spacing w:after="0"/>
              <w:rPr>
                <w:sz w:val="24"/>
                <w:szCs w:val="24"/>
                <w:color w:val="auto"/>
              </w:rPr>
            </w:pPr>
          </w:p>
        </w:tc>
        <w:tc>
          <w:tcPr>
            <w:tcW w:w="1680" w:type="dxa"/>
            <w:vAlign w:val="bottom"/>
            <w:tcBorders>
              <w:bottom w:val="single" w:sz="8" w:color="C8C9CB"/>
            </w:tcBorders>
            <w:shd w:val="clear" w:color="auto" w:fill="F4F6F6"/>
          </w:tcPr>
          <w:p>
            <w:pPr>
              <w:spacing w:after="0"/>
              <w:rPr>
                <w:sz w:val="24"/>
                <w:szCs w:val="24"/>
                <w:color w:val="auto"/>
              </w:rPr>
            </w:pPr>
          </w:p>
        </w:tc>
        <w:tc>
          <w:tcPr>
            <w:tcW w:w="1580" w:type="dxa"/>
            <w:vAlign w:val="bottom"/>
            <w:tcBorders>
              <w:bottom w:val="single" w:sz="8" w:color="C8C9CB"/>
            </w:tcBorders>
            <w:shd w:val="clear" w:color="auto" w:fill="F4F6F6"/>
          </w:tcPr>
          <w:p>
            <w:pPr>
              <w:spacing w:after="0"/>
              <w:rPr>
                <w:sz w:val="24"/>
                <w:szCs w:val="24"/>
                <w:color w:val="auto"/>
              </w:rPr>
            </w:pPr>
          </w:p>
        </w:tc>
        <w:tc>
          <w:tcPr>
            <w:tcW w:w="1320" w:type="dxa"/>
            <w:vAlign w:val="bottom"/>
            <w:tcBorders>
              <w:bottom w:val="single" w:sz="8" w:color="C8C9CB"/>
            </w:tcBorders>
            <w:shd w:val="clear" w:color="auto" w:fill="F4F6F6"/>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80" w:type="dxa"/>
            <w:vAlign w:val="bottom"/>
          </w:tcPr>
          <w:p>
            <w:pPr>
              <w:ind w:left="1460"/>
              <w:spacing w:after="0"/>
              <w:rPr>
                <w:sz w:val="20"/>
                <w:szCs w:val="20"/>
                <w:color w:val="auto"/>
              </w:rPr>
            </w:pPr>
            <w:r>
              <w:rPr>
                <w:rFonts w:ascii="Arial" w:cs="Arial" w:eastAsia="Arial" w:hAnsi="Arial"/>
                <w:sz w:val="16"/>
                <w:szCs w:val="16"/>
                <w:b w:val="1"/>
                <w:bCs w:val="1"/>
                <w:color w:val="auto"/>
              </w:rPr>
              <w:t>Juan R. Luciano, 57</w:t>
            </w:r>
          </w:p>
        </w:tc>
        <w:tc>
          <w:tcPr>
            <w:tcW w:w="16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080" w:type="dxa"/>
            <w:vAlign w:val="bottom"/>
          </w:tcPr>
          <w:p>
            <w:pPr>
              <w:ind w:left="1460"/>
              <w:spacing w:after="0"/>
              <w:rPr>
                <w:sz w:val="20"/>
                <w:szCs w:val="20"/>
                <w:color w:val="auto"/>
              </w:rPr>
            </w:pPr>
            <w:r>
              <w:rPr>
                <w:rFonts w:ascii="Arial" w:cs="Arial" w:eastAsia="Arial" w:hAnsi="Arial"/>
                <w:sz w:val="14"/>
                <w:szCs w:val="14"/>
                <w:color w:val="auto"/>
              </w:rPr>
              <w:t>Chairman and Chief Executive Officer,</w:t>
            </w:r>
          </w:p>
        </w:tc>
        <w:tc>
          <w:tcPr>
            <w:tcW w:w="1680" w:type="dxa"/>
            <w:vAlign w:val="bottom"/>
            <w:vMerge w:val="restart"/>
          </w:tcPr>
          <w:p>
            <w:pPr>
              <w:ind w:left="80"/>
              <w:spacing w:after="0"/>
              <w:rPr>
                <w:sz w:val="20"/>
                <w:szCs w:val="20"/>
                <w:color w:val="auto"/>
              </w:rPr>
            </w:pPr>
            <w:r>
              <w:rPr>
                <w:rFonts w:ascii="Arial" w:cs="Arial" w:eastAsia="Arial" w:hAnsi="Arial"/>
                <w:sz w:val="14"/>
                <w:szCs w:val="14"/>
                <w:color w:val="auto"/>
              </w:rPr>
              <w:t>Archer Daniels Midland</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80" w:type="dxa"/>
            <w:vAlign w:val="bottom"/>
            <w:vMerge w:val="restart"/>
          </w:tcPr>
          <w:p>
            <w:pPr>
              <w:ind w:left="1460"/>
              <w:spacing w:after="0"/>
              <w:rPr>
                <w:sz w:val="20"/>
                <w:szCs w:val="20"/>
                <w:color w:val="auto"/>
              </w:rPr>
            </w:pPr>
            <w:r>
              <w:rPr>
                <w:rFonts w:ascii="Arial" w:cs="Arial" w:eastAsia="Arial" w:hAnsi="Arial"/>
                <w:sz w:val="14"/>
                <w:szCs w:val="14"/>
                <w:color w:val="auto"/>
              </w:rPr>
              <w:t>Archer Daniels Midland Company</w:t>
            </w:r>
          </w:p>
        </w:tc>
        <w:tc>
          <w:tcPr>
            <w:tcW w:w="16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Majority of</w:t>
            </w:r>
          </w:p>
        </w:tc>
        <w:tc>
          <w:tcPr>
            <w:tcW w:w="0" w:type="dxa"/>
            <w:vAlign w:val="bottom"/>
          </w:tcPr>
          <w:p>
            <w:pPr>
              <w:spacing w:after="0"/>
              <w:rPr>
                <w:sz w:val="1"/>
                <w:szCs w:val="1"/>
                <w:color w:val="auto"/>
              </w:rPr>
            </w:pPr>
          </w:p>
        </w:tc>
      </w:tr>
      <w:tr>
        <w:trPr>
          <w:trHeight w:val="145"/>
        </w:trPr>
        <w:tc>
          <w:tcPr>
            <w:tcW w:w="4080" w:type="dxa"/>
            <w:vAlign w:val="bottom"/>
            <w:vMerge w:val="continue"/>
          </w:tcPr>
          <w:p>
            <w:pPr>
              <w:spacing w:after="0"/>
              <w:rPr>
                <w:sz w:val="12"/>
                <w:szCs w:val="12"/>
                <w:color w:val="auto"/>
              </w:rPr>
            </w:pPr>
          </w:p>
        </w:tc>
        <w:tc>
          <w:tcPr>
            <w:tcW w:w="1680" w:type="dxa"/>
            <w:vAlign w:val="bottom"/>
          </w:tcPr>
          <w:p>
            <w:pPr>
              <w:ind w:left="80"/>
              <w:spacing w:after="0" w:line="145" w:lineRule="exact"/>
              <w:rPr>
                <w:sz w:val="20"/>
                <w:szCs w:val="20"/>
                <w:color w:val="auto"/>
              </w:rPr>
            </w:pPr>
            <w:r>
              <w:rPr>
                <w:rFonts w:ascii="Arial" w:cs="Arial" w:eastAsia="Arial" w:hAnsi="Arial"/>
                <w:sz w:val="14"/>
                <w:szCs w:val="14"/>
                <w:color w:val="auto"/>
              </w:rPr>
              <w:t>Company</w:t>
            </w: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Vote FOR</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80" w:type="dxa"/>
            <w:vAlign w:val="bottom"/>
            <w:vMerge w:val="restart"/>
          </w:tcPr>
          <w:p>
            <w:pPr>
              <w:ind w:left="1460"/>
              <w:spacing w:after="0"/>
              <w:rPr>
                <w:sz w:val="20"/>
                <w:szCs w:val="20"/>
                <w:color w:val="auto"/>
              </w:rPr>
            </w:pPr>
            <w:r>
              <w:rPr>
                <w:rFonts w:ascii="Arial" w:cs="Arial" w:eastAsia="Arial" w:hAnsi="Arial"/>
                <w:sz w:val="14"/>
                <w:szCs w:val="14"/>
                <w:color w:val="auto"/>
              </w:rPr>
              <w:t>Director since 2016</w:t>
            </w:r>
          </w:p>
        </w:tc>
        <w:tc>
          <w:tcPr>
            <w:tcW w:w="1680" w:type="dxa"/>
            <w:vAlign w:val="bottom"/>
            <w:vMerge w:val="restart"/>
          </w:tcPr>
          <w:p>
            <w:pPr>
              <w:ind w:left="80"/>
              <w:spacing w:after="0"/>
              <w:rPr>
                <w:sz w:val="20"/>
                <w:szCs w:val="20"/>
                <w:color w:val="auto"/>
              </w:rPr>
            </w:pPr>
            <w:r>
              <w:rPr>
                <w:rFonts w:ascii="Arial" w:cs="Arial" w:eastAsia="Arial" w:hAnsi="Arial"/>
                <w:sz w:val="14"/>
                <w:szCs w:val="14"/>
                <w:color w:val="auto"/>
              </w:rPr>
              <w:t>Wilmar International</w:t>
            </w:r>
          </w:p>
        </w:tc>
        <w:tc>
          <w:tcPr>
            <w:tcW w:w="1580" w:type="dxa"/>
            <w:vAlign w:val="bottom"/>
            <w:vMerge w:val="continue"/>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votes cast</w:t>
            </w:r>
          </w:p>
        </w:tc>
        <w:tc>
          <w:tcPr>
            <w:tcW w:w="0" w:type="dxa"/>
            <w:vAlign w:val="bottom"/>
          </w:tcPr>
          <w:p>
            <w:pPr>
              <w:spacing w:after="0"/>
              <w:rPr>
                <w:sz w:val="1"/>
                <w:szCs w:val="1"/>
                <w:color w:val="auto"/>
              </w:rPr>
            </w:pPr>
          </w:p>
        </w:tc>
      </w:tr>
      <w:tr>
        <w:trPr>
          <w:trHeight w:val="75"/>
        </w:trPr>
        <w:tc>
          <w:tcPr>
            <w:tcW w:w="4080" w:type="dxa"/>
            <w:vAlign w:val="bottom"/>
            <w:vMerge w:val="continue"/>
          </w:tcPr>
          <w:p>
            <w:pPr>
              <w:spacing w:after="0"/>
              <w:rPr>
                <w:sz w:val="6"/>
                <w:szCs w:val="6"/>
                <w:color w:val="auto"/>
              </w:rPr>
            </w:pPr>
          </w:p>
        </w:tc>
        <w:tc>
          <w:tcPr>
            <w:tcW w:w="168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1680" w:type="dxa"/>
            <w:vAlign w:val="bottom"/>
          </w:tcPr>
          <w:p>
            <w:pPr>
              <w:ind w:left="80"/>
              <w:spacing w:after="0"/>
              <w:rPr>
                <w:sz w:val="20"/>
                <w:szCs w:val="20"/>
                <w:color w:val="auto"/>
              </w:rPr>
            </w:pPr>
            <w:r>
              <w:rPr>
                <w:rFonts w:ascii="Arial" w:cs="Arial" w:eastAsia="Arial" w:hAnsi="Arial"/>
                <w:sz w:val="14"/>
                <w:szCs w:val="14"/>
                <w:color w:val="auto"/>
              </w:rPr>
              <w:t>(alternate director)</w:t>
            </w:r>
          </w:p>
        </w:tc>
        <w:tc>
          <w:tcPr>
            <w:tcW w:w="1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4080" w:type="dxa"/>
            <w:vAlign w:val="bottom"/>
            <w:tcBorders>
              <w:bottom w:val="single" w:sz="8" w:color="C8C9CB"/>
            </w:tcBorders>
          </w:tcPr>
          <w:p>
            <w:pPr>
              <w:spacing w:after="0"/>
              <w:rPr>
                <w:sz w:val="24"/>
                <w:szCs w:val="24"/>
                <w:color w:val="auto"/>
              </w:rPr>
            </w:pPr>
          </w:p>
        </w:tc>
        <w:tc>
          <w:tcPr>
            <w:tcW w:w="1680" w:type="dxa"/>
            <w:vAlign w:val="bottom"/>
            <w:tcBorders>
              <w:bottom w:val="single" w:sz="8" w:color="C8C9CB"/>
            </w:tcBorders>
          </w:tcPr>
          <w:p>
            <w:pPr>
              <w:spacing w:after="0"/>
              <w:rPr>
                <w:sz w:val="24"/>
                <w:szCs w:val="24"/>
                <w:color w:val="auto"/>
              </w:rPr>
            </w:pPr>
          </w:p>
        </w:tc>
        <w:tc>
          <w:tcPr>
            <w:tcW w:w="1580" w:type="dxa"/>
            <w:vAlign w:val="bottom"/>
            <w:tcBorders>
              <w:bottom w:val="single" w:sz="8" w:color="C8C9CB"/>
            </w:tcBorders>
          </w:tcPr>
          <w:p>
            <w:pPr>
              <w:spacing w:after="0"/>
              <w:rPr>
                <w:sz w:val="24"/>
                <w:szCs w:val="24"/>
                <w:color w:val="auto"/>
              </w:rPr>
            </w:pPr>
          </w:p>
        </w:tc>
        <w:tc>
          <w:tcPr>
            <w:tcW w:w="1320" w:type="dxa"/>
            <w:vAlign w:val="bottom"/>
            <w:tcBorders>
              <w:bottom w:val="single" w:sz="8" w:color="C8C9CB"/>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F4F6F6"/>
          </w:tcPr>
          <w:p>
            <w:pPr>
              <w:ind w:left="1460"/>
              <w:spacing w:after="0"/>
              <w:rPr>
                <w:sz w:val="20"/>
                <w:szCs w:val="20"/>
                <w:color w:val="auto"/>
              </w:rPr>
            </w:pPr>
            <w:r>
              <w:rPr>
                <w:rFonts w:ascii="Arial" w:cs="Arial" w:eastAsia="Arial" w:hAnsi="Arial"/>
                <w:sz w:val="16"/>
                <w:szCs w:val="16"/>
                <w:b w:val="1"/>
                <w:bCs w:val="1"/>
                <w:color w:val="auto"/>
              </w:rPr>
              <w:t xml:space="preserve">Kathi P. Seifert, </w:t>
            </w:r>
            <w:r>
              <w:rPr>
                <w:rFonts w:ascii="Arial" w:cs="Arial" w:eastAsia="Arial" w:hAnsi="Arial"/>
                <w:sz w:val="16"/>
                <w:szCs w:val="16"/>
                <w:b w:val="1"/>
                <w:bCs w:val="1"/>
                <w:color w:val="auto"/>
                <w:highlight w:val="white"/>
              </w:rPr>
              <w:t>69</w:t>
            </w:r>
          </w:p>
        </w:tc>
        <w:tc>
          <w:tcPr>
            <w:tcW w:w="1680" w:type="dxa"/>
            <w:vAlign w:val="bottom"/>
            <w:shd w:val="clear" w:color="auto" w:fill="F4F6F6"/>
          </w:tcPr>
          <w:p>
            <w:pPr>
              <w:spacing w:after="0"/>
              <w:rPr>
                <w:sz w:val="21"/>
                <w:szCs w:val="21"/>
                <w:color w:val="auto"/>
              </w:rPr>
            </w:pPr>
          </w:p>
        </w:tc>
        <w:tc>
          <w:tcPr>
            <w:tcW w:w="1580" w:type="dxa"/>
            <w:vAlign w:val="bottom"/>
            <w:shd w:val="clear" w:color="auto" w:fill="F4F6F6"/>
          </w:tcPr>
          <w:p>
            <w:pPr>
              <w:spacing w:after="0"/>
              <w:rPr>
                <w:sz w:val="21"/>
                <w:szCs w:val="21"/>
                <w:color w:val="auto"/>
              </w:rPr>
            </w:pPr>
          </w:p>
        </w:tc>
        <w:tc>
          <w:tcPr>
            <w:tcW w:w="1320" w:type="dxa"/>
            <w:vAlign w:val="bottom"/>
            <w:shd w:val="clear" w:color="auto" w:fill="F4F6F6"/>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4080" w:type="dxa"/>
            <w:vAlign w:val="bottom"/>
            <w:shd w:val="clear" w:color="auto" w:fill="F4F6F6"/>
          </w:tcPr>
          <w:p>
            <w:pPr>
              <w:ind w:left="1460"/>
              <w:spacing w:after="0"/>
              <w:rPr>
                <w:sz w:val="20"/>
                <w:szCs w:val="20"/>
                <w:color w:val="auto"/>
              </w:rPr>
            </w:pPr>
            <w:r>
              <w:rPr>
                <w:rFonts w:ascii="Arial" w:cs="Arial" w:eastAsia="Arial" w:hAnsi="Arial"/>
                <w:sz w:val="14"/>
                <w:szCs w:val="14"/>
                <w:color w:val="auto"/>
              </w:rPr>
              <w:t>Retired Executive Vice President,</w:t>
            </w:r>
          </w:p>
        </w:tc>
        <w:tc>
          <w:tcPr>
            <w:tcW w:w="1680" w:type="dxa"/>
            <w:vAlign w:val="bottom"/>
            <w:shd w:val="clear" w:color="auto" w:fill="F4F6F6"/>
          </w:tcPr>
          <w:p>
            <w:pPr>
              <w:spacing w:after="0"/>
              <w:rPr>
                <w:sz w:val="14"/>
                <w:szCs w:val="14"/>
                <w:color w:val="auto"/>
              </w:rPr>
            </w:pPr>
          </w:p>
        </w:tc>
        <w:tc>
          <w:tcPr>
            <w:tcW w:w="1580" w:type="dxa"/>
            <w:vAlign w:val="bottom"/>
            <w:shd w:val="clear" w:color="auto" w:fill="F4F6F6"/>
          </w:tcPr>
          <w:p>
            <w:pPr>
              <w:spacing w:after="0"/>
              <w:rPr>
                <w:sz w:val="14"/>
                <w:szCs w:val="14"/>
                <w:color w:val="auto"/>
              </w:rPr>
            </w:pPr>
          </w:p>
        </w:tc>
        <w:tc>
          <w:tcPr>
            <w:tcW w:w="1320" w:type="dxa"/>
            <w:vAlign w:val="bottom"/>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80" w:type="dxa"/>
            <w:vAlign w:val="bottom"/>
            <w:shd w:val="clear" w:color="auto" w:fill="F4F6F6"/>
          </w:tcPr>
          <w:p>
            <w:pPr>
              <w:ind w:left="1460"/>
              <w:spacing w:after="0"/>
              <w:rPr>
                <w:sz w:val="20"/>
                <w:szCs w:val="20"/>
                <w:color w:val="auto"/>
              </w:rPr>
            </w:pPr>
            <w:r>
              <w:rPr>
                <w:rFonts w:ascii="Arial" w:cs="Arial" w:eastAsia="Arial" w:hAnsi="Arial"/>
                <w:sz w:val="14"/>
                <w:szCs w:val="14"/>
                <w:color w:val="auto"/>
              </w:rPr>
              <w:t>Kimberly-Clark Corporation</w:t>
            </w:r>
          </w:p>
        </w:tc>
        <w:tc>
          <w:tcPr>
            <w:tcW w:w="1680" w:type="dxa"/>
            <w:vAlign w:val="bottom"/>
            <w:shd w:val="clear" w:color="auto" w:fill="F4F6F6"/>
          </w:tcPr>
          <w:p>
            <w:pPr>
              <w:ind w:left="80"/>
              <w:spacing w:after="0"/>
              <w:rPr>
                <w:sz w:val="20"/>
                <w:szCs w:val="20"/>
                <w:color w:val="auto"/>
              </w:rPr>
            </w:pPr>
            <w:r>
              <w:rPr>
                <w:rFonts w:ascii="Arial" w:cs="Arial" w:eastAsia="Arial" w:hAnsi="Arial"/>
                <w:sz w:val="14"/>
                <w:szCs w:val="14"/>
                <w:color w:val="auto"/>
              </w:rPr>
              <w:t>Investors Community</w:t>
            </w:r>
          </w:p>
        </w:tc>
        <w:tc>
          <w:tcPr>
            <w:tcW w:w="1580" w:type="dxa"/>
            <w:vAlign w:val="bottom"/>
            <w:vMerge w:val="restart"/>
            <w:shd w:val="clear" w:color="auto" w:fill="F4F6F6"/>
          </w:tcPr>
          <w:p>
            <w:pPr>
              <w:jc w:val="center"/>
              <w:spacing w:after="0"/>
              <w:rPr>
                <w:sz w:val="20"/>
                <w:szCs w:val="20"/>
                <w:color w:val="auto"/>
              </w:rPr>
            </w:pPr>
            <w:r>
              <w:rPr>
                <w:rFonts w:ascii="Arial" w:cs="Arial" w:eastAsia="Arial" w:hAnsi="Arial"/>
                <w:sz w:val="16"/>
                <w:szCs w:val="16"/>
                <w:b w:val="1"/>
                <w:bCs w:val="1"/>
                <w:color w:val="auto"/>
                <w:w w:val="98"/>
              </w:rPr>
              <w:t>Vote FOR</w:t>
            </w:r>
          </w:p>
        </w:tc>
        <w:tc>
          <w:tcPr>
            <w:tcW w:w="1320" w:type="dxa"/>
            <w:vAlign w:val="bottom"/>
            <w:shd w:val="clear" w:color="auto" w:fill="F4F6F6"/>
          </w:tcPr>
          <w:p>
            <w:pPr>
              <w:jc w:val="center"/>
              <w:spacing w:after="0"/>
              <w:rPr>
                <w:sz w:val="20"/>
                <w:szCs w:val="20"/>
                <w:color w:val="auto"/>
              </w:rPr>
            </w:pPr>
            <w:r>
              <w:rPr>
                <w:rFonts w:ascii="Arial" w:cs="Arial" w:eastAsia="Arial" w:hAnsi="Arial"/>
                <w:sz w:val="16"/>
                <w:szCs w:val="16"/>
                <w:b w:val="1"/>
                <w:bCs w:val="1"/>
                <w:color w:val="auto"/>
              </w:rPr>
              <w:t>Majority of</w:t>
            </w:r>
          </w:p>
        </w:tc>
        <w:tc>
          <w:tcPr>
            <w:tcW w:w="0" w:type="dxa"/>
            <w:vAlign w:val="bottom"/>
          </w:tcPr>
          <w:p>
            <w:pPr>
              <w:spacing w:after="0"/>
              <w:rPr>
                <w:sz w:val="1"/>
                <w:szCs w:val="1"/>
                <w:color w:val="auto"/>
              </w:rPr>
            </w:pPr>
          </w:p>
        </w:tc>
      </w:tr>
      <w:tr>
        <w:trPr>
          <w:trHeight w:val="134"/>
        </w:trPr>
        <w:tc>
          <w:tcPr>
            <w:tcW w:w="4080" w:type="dxa"/>
            <w:vAlign w:val="bottom"/>
            <w:vMerge w:val="restart"/>
            <w:shd w:val="clear" w:color="auto" w:fill="F4F6F6"/>
          </w:tcPr>
          <w:p>
            <w:pPr>
              <w:ind w:left="1460"/>
              <w:spacing w:after="0"/>
              <w:rPr>
                <w:sz w:val="20"/>
                <w:szCs w:val="20"/>
                <w:color w:val="auto"/>
              </w:rPr>
            </w:pPr>
            <w:r>
              <w:rPr>
                <w:rFonts w:ascii="Arial" w:cs="Arial" w:eastAsia="Arial" w:hAnsi="Arial"/>
                <w:sz w:val="14"/>
                <w:szCs w:val="14"/>
                <w:color w:val="auto"/>
              </w:rPr>
              <w:t>Director since 1995</w:t>
            </w:r>
          </w:p>
        </w:tc>
        <w:tc>
          <w:tcPr>
            <w:tcW w:w="1680" w:type="dxa"/>
            <w:vAlign w:val="bottom"/>
            <w:vMerge w:val="restart"/>
            <w:shd w:val="clear" w:color="auto" w:fill="F4F6F6"/>
          </w:tcPr>
          <w:p>
            <w:pPr>
              <w:ind w:left="80"/>
              <w:spacing w:after="0"/>
              <w:rPr>
                <w:sz w:val="20"/>
                <w:szCs w:val="20"/>
                <w:color w:val="auto"/>
              </w:rPr>
            </w:pPr>
            <w:r>
              <w:rPr>
                <w:rFonts w:ascii="Arial" w:cs="Arial" w:eastAsia="Arial" w:hAnsi="Arial"/>
                <w:sz w:val="14"/>
                <w:szCs w:val="14"/>
                <w:color w:val="auto"/>
              </w:rPr>
              <w:t>Bank</w:t>
            </w:r>
          </w:p>
        </w:tc>
        <w:tc>
          <w:tcPr>
            <w:tcW w:w="1580" w:type="dxa"/>
            <w:vAlign w:val="bottom"/>
            <w:vMerge w:val="continue"/>
            <w:shd w:val="clear" w:color="auto" w:fill="F4F6F6"/>
          </w:tcPr>
          <w:p>
            <w:pPr>
              <w:spacing w:after="0"/>
              <w:rPr>
                <w:sz w:val="11"/>
                <w:szCs w:val="11"/>
                <w:color w:val="auto"/>
              </w:rPr>
            </w:pPr>
          </w:p>
        </w:tc>
        <w:tc>
          <w:tcPr>
            <w:tcW w:w="1320" w:type="dxa"/>
            <w:vAlign w:val="bottom"/>
            <w:vMerge w:val="restart"/>
            <w:shd w:val="clear" w:color="auto" w:fill="F4F6F6"/>
          </w:tcPr>
          <w:p>
            <w:pPr>
              <w:ind w:left="300"/>
              <w:spacing w:after="0"/>
              <w:rPr>
                <w:sz w:val="20"/>
                <w:szCs w:val="20"/>
                <w:color w:val="auto"/>
              </w:rPr>
            </w:pPr>
            <w:r>
              <w:rPr>
                <w:rFonts w:ascii="Arial" w:cs="Arial" w:eastAsia="Arial" w:hAnsi="Arial"/>
                <w:sz w:val="16"/>
                <w:szCs w:val="16"/>
                <w:b w:val="1"/>
                <w:bCs w:val="1"/>
                <w:color w:val="auto"/>
              </w:rPr>
              <w:t>votes cast</w:t>
            </w:r>
          </w:p>
        </w:tc>
        <w:tc>
          <w:tcPr>
            <w:tcW w:w="0" w:type="dxa"/>
            <w:vAlign w:val="bottom"/>
          </w:tcPr>
          <w:p>
            <w:pPr>
              <w:spacing w:after="0"/>
              <w:rPr>
                <w:sz w:val="1"/>
                <w:szCs w:val="1"/>
                <w:color w:val="auto"/>
              </w:rPr>
            </w:pPr>
          </w:p>
        </w:tc>
      </w:tr>
      <w:tr>
        <w:trPr>
          <w:trHeight w:val="95"/>
        </w:trPr>
        <w:tc>
          <w:tcPr>
            <w:tcW w:w="4080" w:type="dxa"/>
            <w:vAlign w:val="bottom"/>
            <w:vMerge w:val="continue"/>
            <w:shd w:val="clear" w:color="auto" w:fill="F4F6F6"/>
          </w:tcPr>
          <w:p>
            <w:pPr>
              <w:spacing w:after="0"/>
              <w:rPr>
                <w:sz w:val="8"/>
                <w:szCs w:val="8"/>
                <w:color w:val="auto"/>
              </w:rPr>
            </w:pPr>
          </w:p>
        </w:tc>
        <w:tc>
          <w:tcPr>
            <w:tcW w:w="1680" w:type="dxa"/>
            <w:vAlign w:val="bottom"/>
            <w:vMerge w:val="continue"/>
            <w:shd w:val="clear" w:color="auto" w:fill="F4F6F6"/>
          </w:tcPr>
          <w:p>
            <w:pPr>
              <w:spacing w:after="0"/>
              <w:rPr>
                <w:sz w:val="8"/>
                <w:szCs w:val="8"/>
                <w:color w:val="auto"/>
              </w:rPr>
            </w:pPr>
          </w:p>
        </w:tc>
        <w:tc>
          <w:tcPr>
            <w:tcW w:w="1580" w:type="dxa"/>
            <w:vAlign w:val="bottom"/>
            <w:shd w:val="clear" w:color="auto" w:fill="F4F6F6"/>
          </w:tcPr>
          <w:p>
            <w:pPr>
              <w:spacing w:after="0"/>
              <w:rPr>
                <w:sz w:val="8"/>
                <w:szCs w:val="8"/>
                <w:color w:val="auto"/>
              </w:rPr>
            </w:pPr>
          </w:p>
        </w:tc>
        <w:tc>
          <w:tcPr>
            <w:tcW w:w="1320" w:type="dxa"/>
            <w:vAlign w:val="bottom"/>
            <w:vMerge w:val="continue"/>
            <w:shd w:val="clear" w:color="auto" w:fill="F4F6F6"/>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4080" w:type="dxa"/>
            <w:vAlign w:val="bottom"/>
            <w:tcBorders>
              <w:bottom w:val="single" w:sz="8" w:color="C8C9CB"/>
            </w:tcBorders>
            <w:shd w:val="clear" w:color="auto" w:fill="F4F6F6"/>
          </w:tcPr>
          <w:p>
            <w:pPr>
              <w:spacing w:after="0"/>
              <w:rPr>
                <w:sz w:val="24"/>
                <w:szCs w:val="24"/>
                <w:color w:val="auto"/>
              </w:rPr>
            </w:pPr>
          </w:p>
        </w:tc>
        <w:tc>
          <w:tcPr>
            <w:tcW w:w="1680" w:type="dxa"/>
            <w:vAlign w:val="bottom"/>
            <w:tcBorders>
              <w:bottom w:val="single" w:sz="8" w:color="C8C9CB"/>
            </w:tcBorders>
            <w:shd w:val="clear" w:color="auto" w:fill="F4F6F6"/>
          </w:tcPr>
          <w:p>
            <w:pPr>
              <w:spacing w:after="0"/>
              <w:rPr>
                <w:sz w:val="24"/>
                <w:szCs w:val="24"/>
                <w:color w:val="auto"/>
              </w:rPr>
            </w:pPr>
          </w:p>
        </w:tc>
        <w:tc>
          <w:tcPr>
            <w:tcW w:w="1580" w:type="dxa"/>
            <w:vAlign w:val="bottom"/>
            <w:tcBorders>
              <w:bottom w:val="single" w:sz="8" w:color="C8C9CB"/>
            </w:tcBorders>
            <w:shd w:val="clear" w:color="auto" w:fill="F4F6F6"/>
          </w:tcPr>
          <w:p>
            <w:pPr>
              <w:spacing w:after="0"/>
              <w:rPr>
                <w:sz w:val="24"/>
                <w:szCs w:val="24"/>
                <w:color w:val="auto"/>
              </w:rPr>
            </w:pPr>
          </w:p>
        </w:tc>
        <w:tc>
          <w:tcPr>
            <w:tcW w:w="1320" w:type="dxa"/>
            <w:vAlign w:val="bottom"/>
            <w:tcBorders>
              <w:bottom w:val="single" w:sz="8" w:color="C8C9CB"/>
            </w:tcBorders>
            <w:shd w:val="clear" w:color="auto" w:fill="F4F6F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-3275330</wp:posOffset>
            </wp:positionV>
            <wp:extent cx="788670" cy="3249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8670" cy="324993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Corporate Governance Policies Reflect Best Practices</w:t>
      </w:r>
    </w:p>
    <w:p>
      <w:pPr>
        <w:spacing w:after="0" w:line="25" w:lineRule="exact"/>
        <w:rPr>
          <w:sz w:val="20"/>
          <w:szCs w:val="20"/>
          <w:color w:val="auto"/>
        </w:rPr>
      </w:pPr>
    </w:p>
    <w:p>
      <w:pPr>
        <w:ind w:left="140" w:hanging="132"/>
        <w:spacing w:after="0"/>
        <w:tabs>
          <w:tab w:leader="none" w:pos="1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Our board membership is characterized by leadership, experience, and diversity.</w:t>
      </w:r>
    </w:p>
    <w:p>
      <w:pPr>
        <w:spacing w:after="0" w:line="6"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13 of our 14 directors, and the members of all board committees, are independent.</w:t>
      </w:r>
    </w:p>
    <w:p>
      <w:pPr>
        <w:spacing w:after="0" w:line="6"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We have a strong, independent, clearly defined lead </w:t>
      </w:r>
      <w:r>
        <w:rPr>
          <w:rFonts w:ascii="Arial" w:cs="Arial" w:eastAsia="Arial" w:hAnsi="Arial"/>
          <w:sz w:val="16"/>
          <w:szCs w:val="16"/>
          <w:color w:val="auto"/>
        </w:rPr>
        <w:t>independent</w:t>
      </w:r>
      <w:r>
        <w:rPr>
          <w:rFonts w:ascii="Arial" w:cs="Arial" w:eastAsia="Arial" w:hAnsi="Arial"/>
          <w:sz w:val="17"/>
          <w:szCs w:val="17"/>
          <w:color w:val="auto"/>
        </w:rPr>
        <w:t xml:space="preserve"> director role.</w:t>
      </w:r>
    </w:p>
    <w:p>
      <w:pPr>
        <w:spacing w:after="0" w:line="6"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Updated conflict of interest policy clarifies when Lilly board service must be disclosed.</w:t>
      </w:r>
    </w:p>
    <w:p>
      <w:pPr>
        <w:spacing w:after="0" w:line="6"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We are committed to board refreshment and seek to balance continuity and fresh perspectives.</w:t>
      </w:r>
    </w:p>
    <w:p>
      <w:pPr>
        <w:spacing w:after="0" w:line="6"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We conduct orientation and continuing education programs for directors.</w:t>
      </w:r>
    </w:p>
    <w:p>
      <w:pPr>
        <w:spacing w:after="0" w:line="6"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We have an annual cap on director compensation.</w:t>
      </w:r>
    </w:p>
    <w:p>
      <w:pPr>
        <w:spacing w:after="0" w:line="6"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Our board conducts a robust annual assessment of board performance, including an annual assessment of each individual director.</w:t>
      </w:r>
    </w:p>
    <w:p>
      <w:pPr>
        <w:spacing w:after="0" w:line="6"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We have a majority voting standard and resignation policy for the election of directors in uncontested</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elections.</w:t>
      </w:r>
    </w:p>
    <w:p>
      <w:pPr>
        <w:spacing w:after="0" w:line="7" w:lineRule="exact"/>
        <w:rPr>
          <w:sz w:val="20"/>
          <w:szCs w:val="20"/>
          <w:color w:val="auto"/>
        </w:rPr>
      </w:pPr>
    </w:p>
    <w:p>
      <w:pPr>
        <w:ind w:left="340" w:hanging="332"/>
        <w:spacing w:after="0" w:line="248" w:lineRule="auto"/>
        <w:tabs>
          <w:tab w:leader="none" w:pos="144"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Our board values active shareholder engagement. As a result, we have put forward for consideration at this year's annual meeting management proposals to eliminate our classified board structure and supermajority voting provisions.</w:t>
      </w:r>
    </w:p>
    <w:p>
      <w:pPr>
        <w:ind w:left="140" w:hanging="132"/>
        <w:spacing w:after="0"/>
        <w:tabs>
          <w:tab w:leader="none" w:pos="14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We have no shareholder rights plan (“poison pill”).</w:t>
      </w:r>
    </w:p>
    <w:p>
      <w:pPr>
        <w:spacing w:after="0" w:line="6"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The charters of the committees of the board clearly establish the committees’ respective roles and responsibilities.</w:t>
      </w:r>
    </w:p>
    <w:p>
      <w:pPr>
        <w:spacing w:after="0" w:line="6"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Our board holds executive sessions of the independent directors at every regular board meeting and most committee meetings.</w:t>
      </w:r>
    </w:p>
    <w:p>
      <w:pPr>
        <w:spacing w:after="0" w:line="6"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Our independent directors have direct access to management and sole discretion to hire independent advisors at the company’s expense.</w:t>
      </w:r>
    </w:p>
    <w:p>
      <w:pPr>
        <w:spacing w:after="0" w:line="22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P4</w:t>
      </w:r>
    </w:p>
    <w:p>
      <w:pPr>
        <w:sectPr>
          <w:pgSz w:w="11900" w:h="16838" w:orient="portrait"/>
          <w:cols w:equalWidth="0" w:num="1">
            <w:col w:w="11000"/>
          </w:cols>
          <w:pgMar w:left="240" w:top="559" w:right="659" w:bottom="1440" w:gutter="0" w:footer="0" w:header="0"/>
        </w:sectPr>
      </w:pPr>
    </w:p>
    <w:bookmarkStart w:id="8" w:name="page9"/>
    <w:bookmarkEnd w:id="8"/>
    <w:p>
      <w:pPr>
        <w:ind w:left="340" w:hanging="332"/>
        <w:spacing w:after="0" w:line="261" w:lineRule="auto"/>
        <w:tabs>
          <w:tab w:leader="none" w:pos="144"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Our independent directors select and evaluate our CEO and ensure we have a strong succession plan for executive officer roles. Our Compensation Committee determines the compensation for our CEO </w:t>
      </w:r>
      <w:r>
        <w:rPr>
          <w:rFonts w:ascii="Arial" w:cs="Arial" w:eastAsia="Arial" w:hAnsi="Arial"/>
          <w:sz w:val="16"/>
          <w:szCs w:val="16"/>
          <w:color w:val="auto"/>
        </w:rPr>
        <w:t>and</w:t>
      </w:r>
      <w:r>
        <w:rPr>
          <w:rFonts w:ascii="Arial" w:cs="Arial" w:eastAsia="Arial" w:hAnsi="Arial"/>
          <w:sz w:val="17"/>
          <w:szCs w:val="17"/>
          <w:color w:val="auto"/>
        </w:rPr>
        <w:t xml:space="preserve"> other executive officers.</w:t>
      </w:r>
    </w:p>
    <w:p>
      <w:pPr>
        <w:spacing w:after="0" w:line="1"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Our board actively oversees and approves our corporate strategy.</w:t>
      </w:r>
    </w:p>
    <w:p>
      <w:pPr>
        <w:spacing w:after="0" w:line="6"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Our board has a longstanding commitment to corporate responsibility.</w:t>
      </w:r>
    </w:p>
    <w:p>
      <w:pPr>
        <w:spacing w:after="0" w:line="6"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Our board oversees compliance and enterprise risk management practices.</w:t>
      </w:r>
    </w:p>
    <w:p>
      <w:pPr>
        <w:spacing w:after="0" w:line="6"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We have a comprehensive code of ethical and legal business conduct applicable to our board and all</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employees worldwide. This code is reviewed and approved annually by the board.</w:t>
      </w:r>
    </w:p>
    <w:p>
      <w:pPr>
        <w:spacing w:after="0" w:line="7" w:lineRule="exact"/>
        <w:rPr>
          <w:sz w:val="20"/>
          <w:szCs w:val="20"/>
          <w:color w:val="auto"/>
        </w:rPr>
      </w:pPr>
    </w:p>
    <w:p>
      <w:pPr>
        <w:ind w:left="340" w:right="20" w:hanging="332"/>
        <w:spacing w:after="0" w:line="248" w:lineRule="auto"/>
        <w:tabs>
          <w:tab w:leader="none" w:pos="144"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have a supplemental code for our CEO and all members of financial management, in recognition of their unique responsibilities to ensure proper accounting, financial reporting, internal controls, and financial stewardship.</w:t>
      </w:r>
    </w:p>
    <w:p>
      <w:pPr>
        <w:ind w:left="140" w:hanging="132"/>
        <w:spacing w:after="0"/>
        <w:tabs>
          <w:tab w:leader="none" w:pos="14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have strong governance and disclosure of corporate political spending.</w:t>
      </w:r>
    </w:p>
    <w:p>
      <w:pPr>
        <w:spacing w:after="0" w:line="6"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have transparent public policy engagement.</w:t>
      </w:r>
    </w:p>
    <w:p>
      <w:pPr>
        <w:spacing w:after="0" w:line="6" w:lineRule="exact"/>
        <w:rPr>
          <w:rFonts w:ascii="Times New Roman" w:cs="Times New Roman" w:eastAsia="Times New Roman" w:hAnsi="Times New Roman"/>
          <w:sz w:val="17"/>
          <w:szCs w:val="17"/>
          <w:color w:val="auto"/>
        </w:rPr>
      </w:pPr>
    </w:p>
    <w:p>
      <w:pPr>
        <w:ind w:left="140" w:hanging="132"/>
        <w:spacing w:after="0"/>
        <w:tabs>
          <w:tab w:leader="none" w:pos="14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have meaningful stock ownership and retention guidelines for our directors and executive officers.</w:t>
      </w:r>
    </w:p>
    <w:p>
      <w:pPr>
        <w:sectPr>
          <w:pgSz w:w="11900" w:h="16838" w:orient="portrait"/>
          <w:cols w:equalWidth="0" w:num="1">
            <w:col w:w="11340"/>
          </w:cols>
          <w:pgMar w:left="240" w:top="557" w:right="319" w:bottom="1440" w:gutter="0" w:footer="0" w:header="0"/>
        </w:sectPr>
      </w:pPr>
    </w:p>
    <w:p>
      <w:pPr>
        <w:spacing w:after="0" w:line="365"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111125</wp:posOffset>
            </wp:positionV>
            <wp:extent cx="4305300" cy="702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05300" cy="702945"/>
                    </a:xfrm>
                    <a:prstGeom prst="rect">
                      <a:avLst/>
                    </a:prstGeom>
                    <a:noFill/>
                  </pic:spPr>
                </pic:pic>
              </a:graphicData>
            </a:graphic>
          </wp:anchor>
        </w:drawing>
      </w:r>
    </w:p>
    <w:p>
      <w:pPr>
        <w:spacing w:after="0" w:line="163" w:lineRule="exact"/>
        <w:rPr>
          <w:sz w:val="20"/>
          <w:szCs w:val="20"/>
          <w:color w:val="auto"/>
        </w:rPr>
      </w:pPr>
    </w:p>
    <w:p>
      <w:pPr>
        <w:ind w:left="380" w:right="1820"/>
        <w:spacing w:after="0" w:line="278" w:lineRule="auto"/>
        <w:rPr>
          <w:sz w:val="20"/>
          <w:szCs w:val="20"/>
          <w:color w:val="auto"/>
        </w:rPr>
      </w:pPr>
      <w:r>
        <w:rPr>
          <w:rFonts w:ascii="Arial" w:cs="Arial" w:eastAsia="Arial" w:hAnsi="Arial"/>
          <w:sz w:val="20"/>
          <w:szCs w:val="20"/>
          <w:b w:val="1"/>
          <w:bCs w:val="1"/>
          <w:color w:val="auto"/>
        </w:rPr>
        <w:t>Item 2: Advisory Vote on Compensation Paid to Named Executive Officers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 xml:space="preserve">Further information see page </w:t>
      </w:r>
      <w:r>
        <w:rPr>
          <w:rFonts w:ascii="Arial" w:cs="Arial" w:eastAsia="Arial" w:hAnsi="Arial"/>
          <w:sz w:val="14"/>
          <w:szCs w:val="14"/>
          <w:b w:val="1"/>
          <w:bCs w:val="1"/>
          <w:color w:val="00ABE8"/>
        </w:rPr>
        <w:t>--</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Executive Compensation Programs Reflect Best Practices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2040" w:type="dxa"/>
            <w:vAlign w:val="bottom"/>
            <w:tcBorders>
              <w:top w:val="single" w:sz="8" w:color="F4F6F6"/>
            </w:tcBorders>
          </w:tcPr>
          <w:p>
            <w:pPr>
              <w:jc w:val="center"/>
              <w:ind w:left="139"/>
              <w:spacing w:after="0"/>
              <w:rPr>
                <w:sz w:val="20"/>
                <w:szCs w:val="20"/>
                <w:color w:val="auto"/>
              </w:rPr>
            </w:pPr>
            <w:r>
              <w:rPr>
                <w:rFonts w:ascii="Arial" w:cs="Arial" w:eastAsia="Arial" w:hAnsi="Arial"/>
                <w:sz w:val="16"/>
                <w:szCs w:val="16"/>
                <w:b w:val="1"/>
                <w:bCs w:val="1"/>
                <w:color w:val="00ABE8"/>
              </w:rPr>
              <w:t>Management</w:t>
            </w:r>
          </w:p>
        </w:tc>
        <w:tc>
          <w:tcPr>
            <w:tcW w:w="1960" w:type="dxa"/>
            <w:vAlign w:val="bottom"/>
            <w:tcBorders>
              <w:top w:val="single" w:sz="8" w:color="F4F6F6"/>
              <w:right w:val="single" w:sz="8" w:color="F4F6F6"/>
            </w:tcBorders>
          </w:tcPr>
          <w:p>
            <w:pPr>
              <w:jc w:val="center"/>
              <w:ind w:left="99"/>
              <w:spacing w:after="0"/>
              <w:rPr>
                <w:sz w:val="20"/>
                <w:szCs w:val="20"/>
                <w:color w:val="auto"/>
              </w:rPr>
            </w:pPr>
            <w:r>
              <w:rPr>
                <w:rFonts w:ascii="Arial" w:cs="Arial" w:eastAsia="Arial" w:hAnsi="Arial"/>
                <w:sz w:val="16"/>
                <w:szCs w:val="16"/>
                <w:b w:val="1"/>
                <w:bCs w:val="1"/>
                <w:color w:val="00ABE8"/>
              </w:rPr>
              <w:t>Vote required to pass</w:t>
            </w:r>
          </w:p>
        </w:tc>
        <w:tc>
          <w:tcPr>
            <w:tcW w:w="0" w:type="dxa"/>
            <w:vAlign w:val="bottom"/>
          </w:tcPr>
          <w:p>
            <w:pPr>
              <w:spacing w:after="0"/>
              <w:rPr>
                <w:sz w:val="1"/>
                <w:szCs w:val="1"/>
                <w:color w:val="auto"/>
              </w:rPr>
            </w:pPr>
          </w:p>
        </w:tc>
      </w:tr>
      <w:tr>
        <w:trPr>
          <w:trHeight w:val="229"/>
        </w:trPr>
        <w:tc>
          <w:tcPr>
            <w:tcW w:w="2040" w:type="dxa"/>
            <w:vAlign w:val="bottom"/>
          </w:tcPr>
          <w:p>
            <w:pPr>
              <w:jc w:val="center"/>
              <w:ind w:left="139"/>
              <w:spacing w:after="0"/>
              <w:rPr>
                <w:sz w:val="20"/>
                <w:szCs w:val="20"/>
                <w:color w:val="auto"/>
              </w:rPr>
            </w:pPr>
            <w:r>
              <w:rPr>
                <w:rFonts w:ascii="Arial" w:cs="Arial" w:eastAsia="Arial" w:hAnsi="Arial"/>
                <w:sz w:val="16"/>
                <w:szCs w:val="16"/>
                <w:b w:val="1"/>
                <w:bCs w:val="1"/>
                <w:color w:val="00ABE8"/>
              </w:rPr>
              <w:t>recommendation</w:t>
            </w:r>
          </w:p>
        </w:tc>
        <w:tc>
          <w:tcPr>
            <w:tcW w:w="1960" w:type="dxa"/>
            <w:vAlign w:val="bottom"/>
            <w:tcBorders>
              <w:right w:val="single" w:sz="8" w:color="F4F6F6"/>
            </w:tcBorders>
            <w:vMerge w:val="restart"/>
          </w:tcPr>
          <w:p>
            <w:pPr>
              <w:jc w:val="center"/>
              <w:ind w:left="119"/>
              <w:spacing w:after="0"/>
              <w:rPr>
                <w:sz w:val="20"/>
                <w:szCs w:val="20"/>
                <w:color w:val="auto"/>
              </w:rPr>
            </w:pPr>
            <w:r>
              <w:rPr>
                <w:rFonts w:ascii="Arial" w:cs="Arial" w:eastAsia="Arial" w:hAnsi="Arial"/>
                <w:sz w:val="16"/>
                <w:szCs w:val="16"/>
                <w:color w:val="auto"/>
              </w:rPr>
              <w:t>Majority of votes cast</w:t>
            </w:r>
          </w:p>
        </w:tc>
        <w:tc>
          <w:tcPr>
            <w:tcW w:w="0" w:type="dxa"/>
            <w:vAlign w:val="bottom"/>
          </w:tcPr>
          <w:p>
            <w:pPr>
              <w:spacing w:after="0"/>
              <w:rPr>
                <w:sz w:val="1"/>
                <w:szCs w:val="1"/>
                <w:color w:val="auto"/>
              </w:rPr>
            </w:pPr>
          </w:p>
        </w:tc>
      </w:tr>
      <w:tr>
        <w:trPr>
          <w:trHeight w:val="181"/>
        </w:trPr>
        <w:tc>
          <w:tcPr>
            <w:tcW w:w="2040" w:type="dxa"/>
            <w:vAlign w:val="bottom"/>
            <w:vMerge w:val="restart"/>
          </w:tcPr>
          <w:p>
            <w:pPr>
              <w:jc w:val="center"/>
              <w:ind w:left="119"/>
              <w:spacing w:after="0"/>
              <w:rPr>
                <w:sz w:val="20"/>
                <w:szCs w:val="20"/>
                <w:color w:val="auto"/>
              </w:rPr>
            </w:pPr>
            <w:r>
              <w:rPr>
                <w:rFonts w:ascii="Arial" w:cs="Arial" w:eastAsia="Arial" w:hAnsi="Arial"/>
                <w:sz w:val="16"/>
                <w:szCs w:val="16"/>
                <w:b w:val="1"/>
                <w:bCs w:val="1"/>
                <w:color w:val="auto"/>
                <w:w w:val="98"/>
              </w:rPr>
              <w:t>Vote FOR</w:t>
            </w:r>
          </w:p>
        </w:tc>
        <w:tc>
          <w:tcPr>
            <w:tcW w:w="1960" w:type="dxa"/>
            <w:vAlign w:val="bottom"/>
            <w:tcBorders>
              <w:right w:val="single" w:sz="8" w:color="F4F6F6"/>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40" w:type="dxa"/>
            <w:vAlign w:val="bottom"/>
            <w:vMerge w:val="continue"/>
          </w:tcPr>
          <w:p>
            <w:pPr>
              <w:spacing w:after="0"/>
              <w:rPr>
                <w:sz w:val="17"/>
                <w:szCs w:val="17"/>
                <w:color w:val="auto"/>
              </w:rPr>
            </w:pPr>
          </w:p>
        </w:tc>
        <w:tc>
          <w:tcPr>
            <w:tcW w:w="1960" w:type="dxa"/>
            <w:vAlign w:val="bottom"/>
            <w:tcBorders>
              <w:right w:val="single" w:sz="8" w:color="F4F6F6"/>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40" w:type="dxa"/>
            <w:vAlign w:val="bottom"/>
            <w:tcBorders>
              <w:bottom w:val="single" w:sz="8" w:color="F4F6F6"/>
            </w:tcBorders>
          </w:tcPr>
          <w:p>
            <w:pPr>
              <w:spacing w:after="0"/>
              <w:rPr>
                <w:sz w:val="24"/>
                <w:szCs w:val="24"/>
                <w:color w:val="auto"/>
              </w:rPr>
            </w:pPr>
          </w:p>
        </w:tc>
        <w:tc>
          <w:tcPr>
            <w:tcW w:w="1960" w:type="dxa"/>
            <w:vAlign w:val="bottom"/>
            <w:tcBorders>
              <w:bottom w:val="single" w:sz="8" w:color="F4F6F6"/>
              <w:right w:val="single" w:sz="8" w:color="F4F6F6"/>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520" w:lineRule="exact"/>
        <w:rPr>
          <w:sz w:val="20"/>
          <w:szCs w:val="20"/>
          <w:color w:val="auto"/>
        </w:rPr>
      </w:pPr>
    </w:p>
    <w:p>
      <w:pPr>
        <w:sectPr>
          <w:pgSz w:w="11900" w:h="16838" w:orient="portrait"/>
          <w:cols w:equalWidth="0" w:num="2">
            <w:col w:w="6400" w:space="720"/>
            <w:col w:w="4220"/>
          </w:cols>
          <w:pgMar w:left="240" w:top="557" w:right="319" w:bottom="1440" w:gutter="0" w:footer="0" w:header="0"/>
          <w:type w:val="continuous"/>
        </w:sectPr>
      </w:pPr>
    </w:p>
    <w:p>
      <w:pPr>
        <w:ind w:left="340" w:right="200" w:hanging="332"/>
        <w:spacing w:after="0" w:line="248" w:lineRule="auto"/>
        <w:tabs>
          <w:tab w:leader="none" w:pos="340" w:val="left"/>
        </w:tabs>
        <w:numPr>
          <w:ilvl w:val="0"/>
          <w:numId w:val="12"/>
        </w:numPr>
        <w:rPr>
          <w:rFonts w:ascii="Times New Roman" w:cs="Times New Roman" w:eastAsia="Times New Roman" w:hAnsi="Times New Roman"/>
          <w:sz w:val="17"/>
          <w:szCs w:val="17"/>
          <w:b w:val="1"/>
          <w:bCs w:val="1"/>
          <w:color w:val="auto"/>
        </w:rPr>
      </w:pPr>
      <w:r>
        <w:rPr>
          <w:rFonts w:ascii="Arial" w:cs="Arial" w:eastAsia="Arial" w:hAnsi="Arial"/>
          <w:sz w:val="17"/>
          <w:szCs w:val="17"/>
          <w:color w:val="auto"/>
        </w:rPr>
        <w:t>We have had strong shareholder support of our compensation practices: in 2018, over 97 percent of shares cast voted in favor of our executive compensation programs.</w:t>
      </w:r>
    </w:p>
    <w:p>
      <w:pPr>
        <w:ind w:left="340" w:right="40" w:hanging="332"/>
        <w:spacing w:after="0" w:line="252" w:lineRule="auto"/>
        <w:tabs>
          <w:tab w:leader="none" w:pos="340" w:val="left"/>
        </w:tabs>
        <w:numPr>
          <w:ilvl w:val="0"/>
          <w:numId w:val="12"/>
        </w:numPr>
        <w:rPr>
          <w:rFonts w:ascii="Times New Roman" w:cs="Times New Roman" w:eastAsia="Times New Roman" w:hAnsi="Times New Roman"/>
          <w:sz w:val="17"/>
          <w:szCs w:val="17"/>
          <w:b w:val="1"/>
          <w:bCs w:val="1"/>
          <w:color w:val="auto"/>
        </w:rPr>
      </w:pPr>
      <w:r>
        <w:rPr>
          <w:rFonts w:ascii="Arial" w:cs="Arial" w:eastAsia="Arial" w:hAnsi="Arial"/>
          <w:sz w:val="17"/>
          <w:szCs w:val="17"/>
          <w:color w:val="auto"/>
        </w:rPr>
        <w:t>Our compensation programs are designed to align with shareholder interests and link pay to performance through a blend of short- and long-term performance measures.</w:t>
      </w:r>
    </w:p>
    <w:p>
      <w:pPr>
        <w:ind w:left="340" w:right="200" w:hanging="332"/>
        <w:spacing w:after="0" w:line="257" w:lineRule="auto"/>
        <w:tabs>
          <w:tab w:leader="none" w:pos="3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7"/>
          <w:szCs w:val="17"/>
          <w:color w:val="auto"/>
        </w:rPr>
        <w:t>Our Compensation Committee annually reviews our compensation programs to ensure they provide incentives to deliver long-term, sustainable business results while discouraging excessive risk-taking or other adverse behaviors.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7"/>
          <w:szCs w:val="17"/>
          <w:color w:val="auto"/>
        </w:rPr>
        <w:t>We have a broad compensation recovery policy that applies to all executives and covers a wide range of misconduct.</w:t>
      </w:r>
    </w:p>
    <w:p>
      <w:pPr>
        <w:spacing w:after="0" w:line="9" w:lineRule="exact"/>
        <w:rPr>
          <w:rFonts w:ascii="Times New Roman" w:cs="Times New Roman" w:eastAsia="Times New Roman" w:hAnsi="Times New Roman"/>
          <w:sz w:val="18"/>
          <w:szCs w:val="18"/>
          <w:color w:val="auto"/>
        </w:rPr>
      </w:pPr>
    </w:p>
    <w:p>
      <w:pPr>
        <w:ind w:left="340" w:right="140" w:hanging="332"/>
        <w:spacing w:after="0" w:line="257" w:lineRule="auto"/>
        <w:tabs>
          <w:tab w:leader="none" w:pos="3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7"/>
          <w:szCs w:val="17"/>
          <w:color w:val="auto"/>
        </w:rPr>
        <w:t>Our executive officers are subject to robust stock ownership and retention guidelines and are prohibited from hedging or pledging their company stock.</w:t>
      </w:r>
    </w:p>
    <w:p>
      <w:pPr>
        <w:spacing w:after="0" w:line="1" w:lineRule="exact"/>
        <w:rPr>
          <w:rFonts w:ascii="Times New Roman" w:cs="Times New Roman" w:eastAsia="Times New Roman" w:hAnsi="Times New Roman"/>
          <w:sz w:val="18"/>
          <w:szCs w:val="18"/>
          <w:color w:val="auto"/>
        </w:rPr>
      </w:pPr>
    </w:p>
    <w:p>
      <w:pPr>
        <w:ind w:left="340" w:right="320" w:hanging="332"/>
        <w:spacing w:after="0" w:line="257" w:lineRule="auto"/>
        <w:tabs>
          <w:tab w:leader="none" w:pos="3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7"/>
          <w:szCs w:val="17"/>
          <w:color w:val="auto"/>
        </w:rPr>
        <w:t>We do not have "top hat" retirement plans—supplemental plans are open to all employees and are limited to restoring benefits lost due to IRS limits on qualified plans.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7"/>
          <w:szCs w:val="17"/>
          <w:color w:val="auto"/>
        </w:rPr>
        <w:t>We do not provide tax gross-ups to executive officers (except for limited gross-ups related to international assignments).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7"/>
          <w:szCs w:val="17"/>
          <w:color w:val="auto"/>
        </w:rPr>
        <w:t>We have a very restrictive policy on perquisites.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7"/>
          <w:szCs w:val="17"/>
          <w:color w:val="auto"/>
        </w:rPr>
        <w:t>Our severance plans related to change-in-control generally require a double trigger.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7"/>
          <w:szCs w:val="17"/>
          <w:color w:val="auto"/>
        </w:rPr>
        <w:t>We do not have employment agreements with any of our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Summary for 2018</w:t>
      </w:r>
    </w:p>
    <w:p>
      <w:pPr>
        <w:spacing w:after="0" w:line="25"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color w:val="auto"/>
        </w:rPr>
        <w:t>At the time the total target compensation was established at the end of 2017, target compensation for our named executive officers (the six officers whose compensation is disclosed in this proxy statement) was in the middle range of the company's peer group. Incentive compensation payouts exceeded target, consistent with the company's strong performance in 2018.</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for Performance</w:t>
      </w:r>
    </w:p>
    <w:p>
      <w:pPr>
        <w:spacing w:after="0" w:line="25" w:lineRule="exact"/>
        <w:rPr>
          <w:sz w:val="20"/>
          <w:szCs w:val="20"/>
          <w:color w:val="auto"/>
        </w:rPr>
      </w:pPr>
    </w:p>
    <w:p>
      <w:pPr>
        <w:ind w:right="420"/>
        <w:spacing w:after="0" w:line="256" w:lineRule="auto"/>
        <w:rPr>
          <w:sz w:val="20"/>
          <w:szCs w:val="20"/>
          <w:color w:val="auto"/>
        </w:rPr>
      </w:pPr>
      <w:r>
        <w:rPr>
          <w:rFonts w:ascii="Arial" w:cs="Arial" w:eastAsia="Arial" w:hAnsi="Arial"/>
          <w:sz w:val="17"/>
          <w:szCs w:val="17"/>
          <w:color w:val="auto"/>
        </w:rPr>
        <w:t>As described in the Compensation Discussion and Analysis (CD&amp;A), we link our incentive pay programs to a balanced mix of measures on three dimensions of company performance: operating performance; progress with our innovation pipeline; and shareholder return (both absolute and relative).</w:t>
      </w:r>
    </w:p>
    <w:p>
      <w:pPr>
        <w:spacing w:after="0" w:line="163"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color w:val="auto"/>
        </w:rPr>
        <w:t>The summary below highlights how our incentive pay programs are intended to align with company performance. Please also see Appendix A for any adjustments that were made to EPS for incentive compensation programs.</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P5</w:t>
      </w:r>
    </w:p>
    <w:p>
      <w:pPr>
        <w:sectPr>
          <w:pgSz w:w="11900" w:h="16838" w:orient="portrait"/>
          <w:cols w:equalWidth="0" w:num="1">
            <w:col w:w="11340"/>
          </w:cols>
          <w:pgMar w:left="240" w:top="557" w:right="3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b w:val="1"/>
          <w:bCs w:val="1"/>
          <w:color w:val="EE2724"/>
        </w:rPr>
        <w:t>2018 Cash Bonus Plan Multiple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The company exceeded its annual cash bonus targets for revenue, EPS, and pipeline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137160</wp:posOffset>
            </wp:positionV>
            <wp:extent cx="5368290" cy="2229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6829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*Performance multiples are capped at 2.0.</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EE2724"/>
        </w:rPr>
        <w:t>2017-2018 Performance Award Multiple</w:t>
      </w:r>
    </w:p>
    <w:p>
      <w:pPr>
        <w:spacing w:after="0" w:line="31"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We exceeded the EPS growth targets under our Performance Award program, which has targets based on expected EPS growth of peer companies over a two-year period. This performance resulted in a performance award payout above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115570</wp:posOffset>
            </wp:positionV>
            <wp:extent cx="5299710" cy="2452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9971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EE2724"/>
        </w:rPr>
        <w:t>2016-2018 Shareholder Value Award Multiple</w:t>
      </w:r>
    </w:p>
    <w:p>
      <w:pPr>
        <w:spacing w:after="0" w:line="3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Our stock price growth exceeded the target range (17.7% to 30.2%) under our Shareholder Value Award program, which is based on expected large-cap company returns over a three-year period. This performance resulted in a Shareholder Value Award payout above target.</w:t>
      </w:r>
    </w:p>
    <w:p>
      <w:pPr>
        <w:spacing w:after="0" w:line="200" w:lineRule="exact"/>
        <w:rPr>
          <w:sz w:val="20"/>
          <w:szCs w:val="20"/>
          <w:color w:val="auto"/>
        </w:rPr>
      </w:pP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P6</w:t>
      </w:r>
    </w:p>
    <w:p>
      <w:pPr>
        <w:sectPr>
          <w:pgSz w:w="11900" w:h="16838" w:orient="portrait"/>
          <w:cols w:equalWidth="0" w:num="1">
            <w:col w:w="11260"/>
          </w:cols>
          <w:pgMar w:left="240" w:top="758" w:right="39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1135380</wp:posOffset>
            </wp:positionH>
            <wp:positionV relativeFrom="page">
              <wp:posOffset>372110</wp:posOffset>
            </wp:positionV>
            <wp:extent cx="5299710" cy="2452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9971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6835140" cy="840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5140" cy="840740"/>
                    </a:xfrm>
                    <a:prstGeom prst="rect">
                      <a:avLst/>
                    </a:prstGeom>
                    <a:noFill/>
                  </pic:spPr>
                </pic:pic>
              </a:graphicData>
            </a:graphic>
          </wp:anchor>
        </w:drawing>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20"/>
                <w:szCs w:val="20"/>
                <w:b w:val="1"/>
                <w:bCs w:val="1"/>
                <w:color w:val="auto"/>
              </w:rPr>
              <w:t>Item 3: Ratification of Appointment of Principal</w:t>
            </w:r>
          </w:p>
        </w:tc>
        <w:tc>
          <w:tcPr>
            <w:tcW w:w="2960" w:type="dxa"/>
            <w:vAlign w:val="bottom"/>
          </w:tcPr>
          <w:p>
            <w:pPr>
              <w:jc w:val="center"/>
              <w:ind w:left="1079"/>
              <w:spacing w:after="0"/>
              <w:rPr>
                <w:sz w:val="20"/>
                <w:szCs w:val="20"/>
                <w:color w:val="auto"/>
              </w:rPr>
            </w:pPr>
            <w:r>
              <w:rPr>
                <w:rFonts w:ascii="Arial" w:cs="Arial" w:eastAsia="Arial" w:hAnsi="Arial"/>
                <w:sz w:val="16"/>
                <w:szCs w:val="16"/>
                <w:b w:val="1"/>
                <w:bCs w:val="1"/>
                <w:color w:val="00ABE8"/>
              </w:rPr>
              <w:t>Management</w:t>
            </w:r>
          </w:p>
        </w:tc>
        <w:tc>
          <w:tcPr>
            <w:tcW w:w="1900" w:type="dxa"/>
            <w:vAlign w:val="bottom"/>
          </w:tcPr>
          <w:p>
            <w:pPr>
              <w:jc w:val="center"/>
              <w:ind w:left="179"/>
              <w:spacing w:after="0"/>
              <w:rPr>
                <w:sz w:val="20"/>
                <w:szCs w:val="20"/>
                <w:color w:val="auto"/>
              </w:rPr>
            </w:pPr>
            <w:r>
              <w:rPr>
                <w:rFonts w:ascii="Arial" w:cs="Arial" w:eastAsia="Arial" w:hAnsi="Arial"/>
                <w:sz w:val="16"/>
                <w:szCs w:val="16"/>
                <w:b w:val="1"/>
                <w:bCs w:val="1"/>
                <w:color w:val="00ABE8"/>
              </w:rPr>
              <w:t>Vote required to pass</w:t>
            </w:r>
          </w:p>
        </w:tc>
        <w:tc>
          <w:tcPr>
            <w:tcW w:w="0" w:type="dxa"/>
            <w:vAlign w:val="bottom"/>
          </w:tcPr>
          <w:p>
            <w:pPr>
              <w:spacing w:after="0"/>
              <w:rPr>
                <w:sz w:val="1"/>
                <w:szCs w:val="1"/>
                <w:color w:val="auto"/>
              </w:rPr>
            </w:pPr>
          </w:p>
        </w:tc>
      </w:tr>
      <w:tr>
        <w:trPr>
          <w:trHeight w:val="290"/>
        </w:trPr>
        <w:tc>
          <w:tcPr>
            <w:tcW w:w="5820" w:type="dxa"/>
            <w:vAlign w:val="bottom"/>
          </w:tcPr>
          <w:p>
            <w:pPr>
              <w:spacing w:after="0"/>
              <w:rPr>
                <w:sz w:val="20"/>
                <w:szCs w:val="20"/>
                <w:color w:val="auto"/>
              </w:rPr>
            </w:pPr>
            <w:r>
              <w:rPr>
                <w:rFonts w:ascii="Arial" w:cs="Arial" w:eastAsia="Arial" w:hAnsi="Arial"/>
                <w:sz w:val="20"/>
                <w:szCs w:val="20"/>
                <w:b w:val="1"/>
                <w:bCs w:val="1"/>
                <w:color w:val="auto"/>
              </w:rPr>
              <w:t>Independent Auditor</w:t>
            </w:r>
          </w:p>
        </w:tc>
        <w:tc>
          <w:tcPr>
            <w:tcW w:w="2960" w:type="dxa"/>
            <w:vAlign w:val="bottom"/>
          </w:tcPr>
          <w:p>
            <w:pPr>
              <w:jc w:val="center"/>
              <w:ind w:left="1059"/>
              <w:spacing w:after="0"/>
              <w:rPr>
                <w:sz w:val="20"/>
                <w:szCs w:val="20"/>
                <w:color w:val="auto"/>
              </w:rPr>
            </w:pPr>
            <w:r>
              <w:rPr>
                <w:rFonts w:ascii="Arial" w:cs="Arial" w:eastAsia="Arial" w:hAnsi="Arial"/>
                <w:sz w:val="16"/>
                <w:szCs w:val="16"/>
                <w:b w:val="1"/>
                <w:bCs w:val="1"/>
                <w:color w:val="00ABE8"/>
              </w:rPr>
              <w:t>recommendation</w:t>
            </w:r>
          </w:p>
        </w:tc>
        <w:tc>
          <w:tcPr>
            <w:tcW w:w="1900" w:type="dxa"/>
            <w:vAlign w:val="bottom"/>
            <w:vMerge w:val="restart"/>
          </w:tcPr>
          <w:p>
            <w:pPr>
              <w:jc w:val="center"/>
              <w:ind w:left="179"/>
              <w:spacing w:after="0"/>
              <w:rPr>
                <w:sz w:val="20"/>
                <w:szCs w:val="20"/>
                <w:color w:val="auto"/>
              </w:rPr>
            </w:pPr>
            <w:r>
              <w:rPr>
                <w:rFonts w:ascii="Arial" w:cs="Arial" w:eastAsia="Arial" w:hAnsi="Arial"/>
                <w:sz w:val="16"/>
                <w:szCs w:val="16"/>
                <w:color w:val="auto"/>
              </w:rPr>
              <w:t>Majority of votes cast</w:t>
            </w:r>
          </w:p>
        </w:tc>
        <w:tc>
          <w:tcPr>
            <w:tcW w:w="0" w:type="dxa"/>
            <w:vAlign w:val="bottom"/>
          </w:tcPr>
          <w:p>
            <w:pPr>
              <w:spacing w:after="0"/>
              <w:rPr>
                <w:sz w:val="1"/>
                <w:szCs w:val="1"/>
                <w:color w:val="auto"/>
              </w:rPr>
            </w:pPr>
          </w:p>
        </w:tc>
      </w:tr>
      <w:tr>
        <w:trPr>
          <w:trHeight w:val="113"/>
        </w:trPr>
        <w:tc>
          <w:tcPr>
            <w:tcW w:w="5820" w:type="dxa"/>
            <w:vAlign w:val="bottom"/>
          </w:tcPr>
          <w:p>
            <w:pPr>
              <w:spacing w:after="0"/>
              <w:rPr>
                <w:sz w:val="9"/>
                <w:szCs w:val="9"/>
                <w:color w:val="auto"/>
              </w:rPr>
            </w:pPr>
          </w:p>
        </w:tc>
        <w:tc>
          <w:tcPr>
            <w:tcW w:w="2960" w:type="dxa"/>
            <w:vAlign w:val="bottom"/>
            <w:vMerge w:val="restart"/>
          </w:tcPr>
          <w:p>
            <w:pPr>
              <w:jc w:val="center"/>
              <w:ind w:left="1079"/>
              <w:spacing w:after="0"/>
              <w:rPr>
                <w:sz w:val="20"/>
                <w:szCs w:val="20"/>
                <w:color w:val="auto"/>
              </w:rPr>
            </w:pPr>
            <w:r>
              <w:rPr>
                <w:rFonts w:ascii="Arial" w:cs="Arial" w:eastAsia="Arial" w:hAnsi="Arial"/>
                <w:sz w:val="16"/>
                <w:szCs w:val="16"/>
                <w:b w:val="1"/>
                <w:bCs w:val="1"/>
                <w:color w:val="auto"/>
                <w:w w:val="98"/>
              </w:rPr>
              <w:t>Vote FOR</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Further information see page </w:t>
            </w:r>
            <w:r>
              <w:rPr>
                <w:rFonts w:ascii="Arial" w:cs="Arial" w:eastAsia="Arial" w:hAnsi="Arial"/>
                <w:sz w:val="14"/>
                <w:szCs w:val="14"/>
                <w:b w:val="1"/>
                <w:bCs w:val="1"/>
                <w:color w:val="00ABE8"/>
              </w:rPr>
              <w:t>--</w:t>
            </w:r>
          </w:p>
        </w:tc>
        <w:tc>
          <w:tcPr>
            <w:tcW w:w="296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820" w:type="dxa"/>
            <w:vAlign w:val="bottom"/>
            <w:vMerge w:val="continue"/>
          </w:tcPr>
          <w:p>
            <w:pPr>
              <w:spacing w:after="0"/>
              <w:rPr>
                <w:sz w:val="5"/>
                <w:szCs w:val="5"/>
                <w:color w:val="auto"/>
              </w:rPr>
            </w:pPr>
          </w:p>
        </w:tc>
        <w:tc>
          <w:tcPr>
            <w:tcW w:w="29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Management Proposals</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00" w:type="dxa"/>
            <w:vAlign w:val="bottom"/>
            <w:tcBorders>
              <w:top w:val="single" w:sz="8" w:color="F4F6F6"/>
              <w:left w:val="single" w:sz="8" w:color="F4F6F6"/>
            </w:tcBorders>
          </w:tcPr>
          <w:p>
            <w:pPr>
              <w:ind w:left="40"/>
              <w:spacing w:after="0" w:line="216" w:lineRule="exact"/>
              <w:rPr>
                <w:sz w:val="20"/>
                <w:szCs w:val="20"/>
                <w:color w:val="auto"/>
              </w:rPr>
            </w:pPr>
            <w:r>
              <w:rPr>
                <w:rFonts w:ascii="Arial" w:cs="Arial" w:eastAsia="Arial" w:hAnsi="Arial"/>
                <w:sz w:val="20"/>
                <w:szCs w:val="20"/>
                <w:b w:val="1"/>
                <w:bCs w:val="1"/>
                <w:color w:val="auto"/>
              </w:rPr>
              <w:t>Item 4: Approval of Amendments to the Articles of</w:t>
            </w:r>
          </w:p>
        </w:tc>
        <w:tc>
          <w:tcPr>
            <w:tcW w:w="3220" w:type="dxa"/>
            <w:vAlign w:val="bottom"/>
            <w:tcBorders>
              <w:top w:val="single" w:sz="8" w:color="F4F6F6"/>
            </w:tcBorders>
          </w:tcPr>
          <w:p>
            <w:pPr>
              <w:jc w:val="center"/>
              <w:ind w:left="1338"/>
              <w:spacing w:after="0"/>
              <w:rPr>
                <w:sz w:val="20"/>
                <w:szCs w:val="20"/>
                <w:color w:val="auto"/>
              </w:rPr>
            </w:pPr>
            <w:r>
              <w:rPr>
                <w:rFonts w:ascii="Arial" w:cs="Arial" w:eastAsia="Arial" w:hAnsi="Arial"/>
                <w:sz w:val="16"/>
                <w:szCs w:val="16"/>
                <w:b w:val="1"/>
                <w:bCs w:val="1"/>
                <w:color w:val="00ABE8"/>
              </w:rPr>
              <w:t>Management</w:t>
            </w:r>
          </w:p>
        </w:tc>
        <w:tc>
          <w:tcPr>
            <w:tcW w:w="1960" w:type="dxa"/>
            <w:vAlign w:val="bottom"/>
            <w:tcBorders>
              <w:top w:val="single" w:sz="8" w:color="F4F6F6"/>
              <w:right w:val="single" w:sz="8" w:color="F4F6F6"/>
            </w:tcBorders>
          </w:tcPr>
          <w:p>
            <w:pPr>
              <w:jc w:val="center"/>
              <w:ind w:left="119"/>
              <w:spacing w:after="0"/>
              <w:rPr>
                <w:sz w:val="20"/>
                <w:szCs w:val="20"/>
                <w:color w:val="auto"/>
              </w:rPr>
            </w:pPr>
            <w:r>
              <w:rPr>
                <w:rFonts w:ascii="Arial" w:cs="Arial" w:eastAsia="Arial" w:hAnsi="Arial"/>
                <w:sz w:val="16"/>
                <w:szCs w:val="16"/>
                <w:b w:val="1"/>
                <w:bCs w:val="1"/>
                <w:color w:val="00ABE8"/>
              </w:rPr>
              <w:t>Vote required to pass</w:t>
            </w:r>
          </w:p>
        </w:tc>
        <w:tc>
          <w:tcPr>
            <w:tcW w:w="0" w:type="dxa"/>
            <w:vAlign w:val="bottom"/>
          </w:tcPr>
          <w:p>
            <w:pPr>
              <w:spacing w:after="0"/>
              <w:rPr>
                <w:sz w:val="1"/>
                <w:szCs w:val="1"/>
                <w:color w:val="auto"/>
              </w:rPr>
            </w:pPr>
          </w:p>
        </w:tc>
      </w:tr>
      <w:tr>
        <w:trPr>
          <w:trHeight w:val="290"/>
        </w:trPr>
        <w:tc>
          <w:tcPr>
            <w:tcW w:w="5600" w:type="dxa"/>
            <w:vAlign w:val="bottom"/>
            <w:tcBorders>
              <w:left w:val="single" w:sz="8" w:color="F4F6F6"/>
            </w:tcBorders>
          </w:tcPr>
          <w:p>
            <w:pPr>
              <w:ind w:left="40"/>
              <w:spacing w:after="0"/>
              <w:rPr>
                <w:sz w:val="20"/>
                <w:szCs w:val="20"/>
                <w:color w:val="auto"/>
              </w:rPr>
            </w:pPr>
            <w:r>
              <w:rPr>
                <w:rFonts w:ascii="Arial" w:cs="Arial" w:eastAsia="Arial" w:hAnsi="Arial"/>
                <w:sz w:val="20"/>
                <w:szCs w:val="20"/>
                <w:b w:val="1"/>
                <w:bCs w:val="1"/>
                <w:color w:val="auto"/>
              </w:rPr>
              <w:t>Incorporation to Eliminate the Classified Board Structure</w:t>
            </w:r>
          </w:p>
        </w:tc>
        <w:tc>
          <w:tcPr>
            <w:tcW w:w="3220" w:type="dxa"/>
            <w:vAlign w:val="bottom"/>
          </w:tcPr>
          <w:p>
            <w:pPr>
              <w:jc w:val="center"/>
              <w:ind w:left="1318"/>
              <w:spacing w:after="0"/>
              <w:rPr>
                <w:sz w:val="20"/>
                <w:szCs w:val="20"/>
                <w:color w:val="auto"/>
              </w:rPr>
            </w:pPr>
            <w:r>
              <w:rPr>
                <w:rFonts w:ascii="Arial" w:cs="Arial" w:eastAsia="Arial" w:hAnsi="Arial"/>
                <w:sz w:val="16"/>
                <w:szCs w:val="16"/>
                <w:b w:val="1"/>
                <w:bCs w:val="1"/>
                <w:color w:val="00ABE8"/>
              </w:rPr>
              <w:t>recommendation</w:t>
            </w:r>
          </w:p>
        </w:tc>
        <w:tc>
          <w:tcPr>
            <w:tcW w:w="1960" w:type="dxa"/>
            <w:vAlign w:val="bottom"/>
            <w:tcBorders>
              <w:right w:val="single" w:sz="8" w:color="F4F6F6"/>
            </w:tcBorders>
            <w:vMerge w:val="restart"/>
          </w:tcPr>
          <w:p>
            <w:pPr>
              <w:jc w:val="center"/>
              <w:ind w:left="119"/>
              <w:spacing w:after="0"/>
              <w:rPr>
                <w:sz w:val="20"/>
                <w:szCs w:val="20"/>
                <w:color w:val="auto"/>
              </w:rPr>
            </w:pPr>
            <w:r>
              <w:rPr>
                <w:rFonts w:ascii="Arial" w:cs="Arial" w:eastAsia="Arial" w:hAnsi="Arial"/>
                <w:sz w:val="16"/>
                <w:szCs w:val="16"/>
                <w:color w:val="auto"/>
              </w:rPr>
              <w:t>80% of outstanding</w:t>
            </w:r>
          </w:p>
        </w:tc>
        <w:tc>
          <w:tcPr>
            <w:tcW w:w="0" w:type="dxa"/>
            <w:vAlign w:val="bottom"/>
          </w:tcPr>
          <w:p>
            <w:pPr>
              <w:spacing w:after="0"/>
              <w:rPr>
                <w:sz w:val="1"/>
                <w:szCs w:val="1"/>
                <w:color w:val="auto"/>
              </w:rPr>
            </w:pPr>
          </w:p>
        </w:tc>
      </w:tr>
      <w:tr>
        <w:trPr>
          <w:trHeight w:val="83"/>
        </w:trPr>
        <w:tc>
          <w:tcPr>
            <w:tcW w:w="5600" w:type="dxa"/>
            <w:vAlign w:val="bottom"/>
            <w:tcBorders>
              <w:left w:val="single" w:sz="8" w:color="F4F6F6"/>
            </w:tcBorders>
          </w:tcPr>
          <w:p>
            <w:pPr>
              <w:spacing w:after="0"/>
              <w:rPr>
                <w:sz w:val="7"/>
                <w:szCs w:val="7"/>
                <w:color w:val="auto"/>
              </w:rPr>
            </w:pPr>
          </w:p>
        </w:tc>
        <w:tc>
          <w:tcPr>
            <w:tcW w:w="3220" w:type="dxa"/>
            <w:vAlign w:val="bottom"/>
            <w:vMerge w:val="restart"/>
          </w:tcPr>
          <w:p>
            <w:pPr>
              <w:jc w:val="center"/>
              <w:ind w:left="1338"/>
              <w:spacing w:after="0"/>
              <w:rPr>
                <w:sz w:val="20"/>
                <w:szCs w:val="20"/>
                <w:color w:val="auto"/>
              </w:rPr>
            </w:pPr>
            <w:r>
              <w:rPr>
                <w:rFonts w:ascii="Arial" w:cs="Arial" w:eastAsia="Arial" w:hAnsi="Arial"/>
                <w:sz w:val="16"/>
                <w:szCs w:val="16"/>
                <w:b w:val="1"/>
                <w:bCs w:val="1"/>
                <w:color w:val="auto"/>
                <w:w w:val="98"/>
              </w:rPr>
              <w:t>Vote FOR</w:t>
            </w:r>
          </w:p>
        </w:tc>
        <w:tc>
          <w:tcPr>
            <w:tcW w:w="1960" w:type="dxa"/>
            <w:vAlign w:val="bottom"/>
            <w:tcBorders>
              <w:right w:val="single" w:sz="8" w:color="F4F6F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5600" w:type="dxa"/>
            <w:vAlign w:val="bottom"/>
            <w:tcBorders>
              <w:left w:val="single" w:sz="8" w:color="F4F6F6"/>
            </w:tcBorders>
            <w:vMerge w:val="restart"/>
          </w:tcPr>
          <w:p>
            <w:pPr>
              <w:ind w:left="40"/>
              <w:spacing w:after="0"/>
              <w:rPr>
                <w:sz w:val="20"/>
                <w:szCs w:val="20"/>
                <w:color w:val="auto"/>
              </w:rPr>
            </w:pPr>
            <w:r>
              <w:rPr>
                <w:rFonts w:ascii="Arial" w:cs="Arial" w:eastAsia="Arial" w:hAnsi="Arial"/>
                <w:sz w:val="14"/>
                <w:szCs w:val="14"/>
                <w:b w:val="1"/>
                <w:bCs w:val="1"/>
                <w:color w:val="auto"/>
              </w:rPr>
              <w:t xml:space="preserve">Further information see page </w:t>
            </w:r>
            <w:r>
              <w:rPr>
                <w:rFonts w:ascii="Arial" w:cs="Arial" w:eastAsia="Arial" w:hAnsi="Arial"/>
                <w:sz w:val="14"/>
                <w:szCs w:val="14"/>
                <w:b w:val="1"/>
                <w:bCs w:val="1"/>
                <w:color w:val="00ABE8"/>
              </w:rPr>
              <w:t>--</w:t>
            </w:r>
          </w:p>
        </w:tc>
        <w:tc>
          <w:tcPr>
            <w:tcW w:w="3220" w:type="dxa"/>
            <w:vAlign w:val="bottom"/>
            <w:vMerge w:val="continue"/>
          </w:tcPr>
          <w:p>
            <w:pPr>
              <w:spacing w:after="0"/>
              <w:rPr>
                <w:sz w:val="19"/>
                <w:szCs w:val="19"/>
                <w:color w:val="auto"/>
              </w:rPr>
            </w:pPr>
          </w:p>
        </w:tc>
        <w:tc>
          <w:tcPr>
            <w:tcW w:w="1960" w:type="dxa"/>
            <w:vAlign w:val="bottom"/>
            <w:tcBorders>
              <w:right w:val="single" w:sz="8" w:color="F4F6F6"/>
            </w:tcBorders>
          </w:tcPr>
          <w:p>
            <w:pPr>
              <w:jc w:val="center"/>
              <w:ind w:left="119"/>
              <w:spacing w:after="0"/>
              <w:rPr>
                <w:sz w:val="20"/>
                <w:szCs w:val="20"/>
                <w:color w:val="auto"/>
              </w:rPr>
            </w:pPr>
            <w:r>
              <w:rPr>
                <w:rFonts w:ascii="Arial" w:cs="Arial" w:eastAsia="Arial" w:hAnsi="Arial"/>
                <w:sz w:val="16"/>
                <w:szCs w:val="16"/>
                <w:color w:val="auto"/>
                <w:w w:val="99"/>
              </w:rPr>
              <w:t>shares</w:t>
            </w:r>
          </w:p>
        </w:tc>
        <w:tc>
          <w:tcPr>
            <w:tcW w:w="0" w:type="dxa"/>
            <w:vAlign w:val="bottom"/>
          </w:tcPr>
          <w:p>
            <w:pPr>
              <w:spacing w:after="0"/>
              <w:rPr>
                <w:sz w:val="1"/>
                <w:szCs w:val="1"/>
                <w:color w:val="auto"/>
              </w:rPr>
            </w:pPr>
          </w:p>
        </w:tc>
      </w:tr>
      <w:tr>
        <w:trPr>
          <w:trHeight w:val="60"/>
        </w:trPr>
        <w:tc>
          <w:tcPr>
            <w:tcW w:w="5600" w:type="dxa"/>
            <w:vAlign w:val="bottom"/>
            <w:tcBorders>
              <w:left w:val="single" w:sz="8" w:color="F4F6F6"/>
            </w:tcBorders>
            <w:vMerge w:val="continue"/>
          </w:tcPr>
          <w:p>
            <w:pPr>
              <w:spacing w:after="0"/>
              <w:rPr>
                <w:sz w:val="5"/>
                <w:szCs w:val="5"/>
                <w:color w:val="auto"/>
              </w:rPr>
            </w:pPr>
          </w:p>
        </w:tc>
        <w:tc>
          <w:tcPr>
            <w:tcW w:w="3220" w:type="dxa"/>
            <w:vAlign w:val="bottom"/>
          </w:tcPr>
          <w:p>
            <w:pPr>
              <w:spacing w:after="0"/>
              <w:rPr>
                <w:sz w:val="5"/>
                <w:szCs w:val="5"/>
                <w:color w:val="auto"/>
              </w:rPr>
            </w:pPr>
          </w:p>
        </w:tc>
        <w:tc>
          <w:tcPr>
            <w:tcW w:w="1960" w:type="dxa"/>
            <w:vAlign w:val="bottom"/>
            <w:tcBorders>
              <w:right w:val="single" w:sz="8" w:color="F4F6F6"/>
            </w:tcBorders>
          </w:tcPr>
          <w:p>
            <w:pPr>
              <w:spacing w:after="0"/>
              <w:rPr>
                <w:sz w:val="5"/>
                <w:szCs w:val="5"/>
                <w:color w:val="auto"/>
              </w:rPr>
            </w:pPr>
          </w:p>
        </w:tc>
        <w:tc>
          <w:tcPr>
            <w:tcW w:w="0" w:type="dxa"/>
            <w:vAlign w:val="bottom"/>
          </w:tcPr>
          <w:p>
            <w:pPr>
              <w:spacing w:after="0"/>
              <w:rPr>
                <w:sz w:val="1"/>
                <w:szCs w:val="1"/>
                <w:color w:val="auto"/>
              </w:rPr>
            </w:pPr>
          </w:p>
        </w:tc>
      </w:tr>
      <w:tr>
        <w:trPr>
          <w:trHeight w:val="434"/>
        </w:trPr>
        <w:tc>
          <w:tcPr>
            <w:tcW w:w="5600" w:type="dxa"/>
            <w:vAlign w:val="bottom"/>
            <w:tcBorders>
              <w:left w:val="single" w:sz="8" w:color="F4F6F6"/>
              <w:bottom w:val="single" w:sz="8" w:color="F4F6F6"/>
            </w:tcBorders>
          </w:tcPr>
          <w:p>
            <w:pPr>
              <w:spacing w:after="0"/>
              <w:rPr>
                <w:sz w:val="24"/>
                <w:szCs w:val="24"/>
                <w:color w:val="auto"/>
              </w:rPr>
            </w:pPr>
          </w:p>
        </w:tc>
        <w:tc>
          <w:tcPr>
            <w:tcW w:w="3220" w:type="dxa"/>
            <w:vAlign w:val="bottom"/>
            <w:tcBorders>
              <w:bottom w:val="single" w:sz="8" w:color="F4F6F6"/>
            </w:tcBorders>
          </w:tcPr>
          <w:p>
            <w:pPr>
              <w:spacing w:after="0"/>
              <w:rPr>
                <w:sz w:val="24"/>
                <w:szCs w:val="24"/>
                <w:color w:val="auto"/>
              </w:rPr>
            </w:pPr>
          </w:p>
        </w:tc>
        <w:tc>
          <w:tcPr>
            <w:tcW w:w="1960" w:type="dxa"/>
            <w:vAlign w:val="bottom"/>
            <w:tcBorders>
              <w:bottom w:val="single" w:sz="8" w:color="F4F6F6"/>
              <w:right w:val="single" w:sz="8" w:color="F4F6F6"/>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600" w:type="dxa"/>
            <w:vAlign w:val="bottom"/>
            <w:tcBorders>
              <w:bottom w:val="single" w:sz="8" w:color="F4F6F6"/>
            </w:tcBorders>
          </w:tcPr>
          <w:p>
            <w:pPr>
              <w:spacing w:after="0"/>
              <w:rPr>
                <w:sz w:val="24"/>
                <w:szCs w:val="24"/>
                <w:color w:val="auto"/>
              </w:rPr>
            </w:pPr>
          </w:p>
        </w:tc>
        <w:tc>
          <w:tcPr>
            <w:tcW w:w="3220" w:type="dxa"/>
            <w:vAlign w:val="bottom"/>
            <w:tcBorders>
              <w:bottom w:val="single" w:sz="8" w:color="F4F6F6"/>
            </w:tcBorders>
          </w:tcPr>
          <w:p>
            <w:pPr>
              <w:spacing w:after="0"/>
              <w:rPr>
                <w:sz w:val="24"/>
                <w:szCs w:val="24"/>
                <w:color w:val="auto"/>
              </w:rPr>
            </w:pPr>
          </w:p>
        </w:tc>
        <w:tc>
          <w:tcPr>
            <w:tcW w:w="1960" w:type="dxa"/>
            <w:vAlign w:val="bottom"/>
            <w:tcBorders>
              <w:bottom w:val="single" w:sz="8" w:color="F4F6F6"/>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0" w:type="dxa"/>
            <w:vAlign w:val="bottom"/>
            <w:tcBorders>
              <w:left w:val="single" w:sz="8" w:color="F4F6F6"/>
            </w:tcBorders>
          </w:tcPr>
          <w:p>
            <w:pPr>
              <w:ind w:left="40"/>
              <w:spacing w:after="0" w:line="196" w:lineRule="exact"/>
              <w:rPr>
                <w:sz w:val="20"/>
                <w:szCs w:val="20"/>
                <w:color w:val="auto"/>
              </w:rPr>
            </w:pPr>
            <w:r>
              <w:rPr>
                <w:rFonts w:ascii="Arial" w:cs="Arial" w:eastAsia="Arial" w:hAnsi="Arial"/>
                <w:sz w:val="20"/>
                <w:szCs w:val="20"/>
                <w:b w:val="1"/>
                <w:bCs w:val="1"/>
                <w:color w:val="auto"/>
              </w:rPr>
              <w:t>Item 5: Approval of Amendments to the Articles of</w:t>
            </w:r>
          </w:p>
        </w:tc>
        <w:tc>
          <w:tcPr>
            <w:tcW w:w="3220" w:type="dxa"/>
            <w:vAlign w:val="bottom"/>
          </w:tcPr>
          <w:p>
            <w:pPr>
              <w:jc w:val="center"/>
              <w:ind w:left="1338"/>
              <w:spacing w:after="0"/>
              <w:rPr>
                <w:sz w:val="20"/>
                <w:szCs w:val="20"/>
                <w:color w:val="auto"/>
              </w:rPr>
            </w:pPr>
            <w:r>
              <w:rPr>
                <w:rFonts w:ascii="Arial" w:cs="Arial" w:eastAsia="Arial" w:hAnsi="Arial"/>
                <w:sz w:val="16"/>
                <w:szCs w:val="16"/>
                <w:b w:val="1"/>
                <w:bCs w:val="1"/>
                <w:color w:val="00ABE8"/>
              </w:rPr>
              <w:t>Management</w:t>
            </w:r>
          </w:p>
        </w:tc>
        <w:tc>
          <w:tcPr>
            <w:tcW w:w="1960" w:type="dxa"/>
            <w:vAlign w:val="bottom"/>
            <w:tcBorders>
              <w:right w:val="single" w:sz="8" w:color="F4F6F6"/>
            </w:tcBorders>
          </w:tcPr>
          <w:p>
            <w:pPr>
              <w:jc w:val="center"/>
              <w:ind w:left="119"/>
              <w:spacing w:after="0"/>
              <w:rPr>
                <w:sz w:val="20"/>
                <w:szCs w:val="20"/>
                <w:color w:val="auto"/>
              </w:rPr>
            </w:pPr>
            <w:r>
              <w:rPr>
                <w:rFonts w:ascii="Arial" w:cs="Arial" w:eastAsia="Arial" w:hAnsi="Arial"/>
                <w:sz w:val="16"/>
                <w:szCs w:val="16"/>
                <w:b w:val="1"/>
                <w:bCs w:val="1"/>
                <w:color w:val="00ABE8"/>
              </w:rPr>
              <w:t>Vote required to pass</w:t>
            </w:r>
          </w:p>
        </w:tc>
        <w:tc>
          <w:tcPr>
            <w:tcW w:w="0" w:type="dxa"/>
            <w:vAlign w:val="bottom"/>
          </w:tcPr>
          <w:p>
            <w:pPr>
              <w:spacing w:after="0"/>
              <w:rPr>
                <w:sz w:val="1"/>
                <w:szCs w:val="1"/>
                <w:color w:val="auto"/>
              </w:rPr>
            </w:pPr>
          </w:p>
        </w:tc>
      </w:tr>
      <w:tr>
        <w:trPr>
          <w:trHeight w:val="290"/>
        </w:trPr>
        <w:tc>
          <w:tcPr>
            <w:tcW w:w="5600" w:type="dxa"/>
            <w:vAlign w:val="bottom"/>
            <w:tcBorders>
              <w:left w:val="single" w:sz="8" w:color="F4F6F6"/>
            </w:tcBorders>
          </w:tcPr>
          <w:p>
            <w:pPr>
              <w:ind w:left="40"/>
              <w:spacing w:after="0"/>
              <w:rPr>
                <w:sz w:val="20"/>
                <w:szCs w:val="20"/>
                <w:color w:val="auto"/>
              </w:rPr>
            </w:pPr>
            <w:r>
              <w:rPr>
                <w:rFonts w:ascii="Arial" w:cs="Arial" w:eastAsia="Arial" w:hAnsi="Arial"/>
                <w:sz w:val="20"/>
                <w:szCs w:val="20"/>
                <w:b w:val="1"/>
                <w:bCs w:val="1"/>
                <w:color w:val="auto"/>
                <w:w w:val="98"/>
              </w:rPr>
              <w:t>Incorporation to Eliminate Supermajority Voting Provisions</w:t>
            </w:r>
          </w:p>
        </w:tc>
        <w:tc>
          <w:tcPr>
            <w:tcW w:w="3220" w:type="dxa"/>
            <w:vAlign w:val="bottom"/>
          </w:tcPr>
          <w:p>
            <w:pPr>
              <w:jc w:val="center"/>
              <w:ind w:left="1318"/>
              <w:spacing w:after="0"/>
              <w:rPr>
                <w:sz w:val="20"/>
                <w:szCs w:val="20"/>
                <w:color w:val="auto"/>
              </w:rPr>
            </w:pPr>
            <w:r>
              <w:rPr>
                <w:rFonts w:ascii="Arial" w:cs="Arial" w:eastAsia="Arial" w:hAnsi="Arial"/>
                <w:sz w:val="16"/>
                <w:szCs w:val="16"/>
                <w:b w:val="1"/>
                <w:bCs w:val="1"/>
                <w:color w:val="00ABE8"/>
              </w:rPr>
              <w:t>recommendation</w:t>
            </w:r>
          </w:p>
        </w:tc>
        <w:tc>
          <w:tcPr>
            <w:tcW w:w="1960" w:type="dxa"/>
            <w:vAlign w:val="bottom"/>
            <w:tcBorders>
              <w:right w:val="single" w:sz="8" w:color="F4F6F6"/>
            </w:tcBorders>
            <w:vMerge w:val="restart"/>
          </w:tcPr>
          <w:p>
            <w:pPr>
              <w:jc w:val="center"/>
              <w:ind w:left="119"/>
              <w:spacing w:after="0"/>
              <w:rPr>
                <w:sz w:val="20"/>
                <w:szCs w:val="20"/>
                <w:color w:val="auto"/>
              </w:rPr>
            </w:pPr>
            <w:r>
              <w:rPr>
                <w:rFonts w:ascii="Arial" w:cs="Arial" w:eastAsia="Arial" w:hAnsi="Arial"/>
                <w:sz w:val="16"/>
                <w:szCs w:val="16"/>
                <w:color w:val="auto"/>
              </w:rPr>
              <w:t>80% of outstanding</w:t>
            </w:r>
          </w:p>
        </w:tc>
        <w:tc>
          <w:tcPr>
            <w:tcW w:w="0" w:type="dxa"/>
            <w:vAlign w:val="bottom"/>
          </w:tcPr>
          <w:p>
            <w:pPr>
              <w:spacing w:after="0"/>
              <w:rPr>
                <w:sz w:val="1"/>
                <w:szCs w:val="1"/>
                <w:color w:val="auto"/>
              </w:rPr>
            </w:pPr>
          </w:p>
        </w:tc>
      </w:tr>
      <w:tr>
        <w:trPr>
          <w:trHeight w:val="83"/>
        </w:trPr>
        <w:tc>
          <w:tcPr>
            <w:tcW w:w="5600" w:type="dxa"/>
            <w:vAlign w:val="bottom"/>
            <w:tcBorders>
              <w:left w:val="single" w:sz="8" w:color="F4F6F6"/>
            </w:tcBorders>
          </w:tcPr>
          <w:p>
            <w:pPr>
              <w:spacing w:after="0"/>
              <w:rPr>
                <w:sz w:val="7"/>
                <w:szCs w:val="7"/>
                <w:color w:val="auto"/>
              </w:rPr>
            </w:pPr>
          </w:p>
        </w:tc>
        <w:tc>
          <w:tcPr>
            <w:tcW w:w="3220" w:type="dxa"/>
            <w:vAlign w:val="bottom"/>
            <w:vMerge w:val="restart"/>
          </w:tcPr>
          <w:p>
            <w:pPr>
              <w:jc w:val="center"/>
              <w:ind w:left="1338"/>
              <w:spacing w:after="0"/>
              <w:rPr>
                <w:sz w:val="20"/>
                <w:szCs w:val="20"/>
                <w:color w:val="auto"/>
              </w:rPr>
            </w:pPr>
            <w:r>
              <w:rPr>
                <w:rFonts w:ascii="Arial" w:cs="Arial" w:eastAsia="Arial" w:hAnsi="Arial"/>
                <w:sz w:val="16"/>
                <w:szCs w:val="16"/>
                <w:b w:val="1"/>
                <w:bCs w:val="1"/>
                <w:color w:val="auto"/>
                <w:w w:val="98"/>
              </w:rPr>
              <w:t>Vote FOR</w:t>
            </w:r>
          </w:p>
        </w:tc>
        <w:tc>
          <w:tcPr>
            <w:tcW w:w="1960" w:type="dxa"/>
            <w:vAlign w:val="bottom"/>
            <w:tcBorders>
              <w:right w:val="single" w:sz="8" w:color="F4F6F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5600" w:type="dxa"/>
            <w:vAlign w:val="bottom"/>
            <w:tcBorders>
              <w:left w:val="single" w:sz="8" w:color="F4F6F6"/>
            </w:tcBorders>
            <w:vMerge w:val="restart"/>
          </w:tcPr>
          <w:p>
            <w:pPr>
              <w:ind w:left="40"/>
              <w:spacing w:after="0"/>
              <w:rPr>
                <w:sz w:val="20"/>
                <w:szCs w:val="20"/>
                <w:color w:val="auto"/>
              </w:rPr>
            </w:pPr>
            <w:r>
              <w:rPr>
                <w:rFonts w:ascii="Arial" w:cs="Arial" w:eastAsia="Arial" w:hAnsi="Arial"/>
                <w:sz w:val="14"/>
                <w:szCs w:val="14"/>
                <w:b w:val="1"/>
                <w:bCs w:val="1"/>
                <w:color w:val="auto"/>
              </w:rPr>
              <w:t xml:space="preserve">Further information see page </w:t>
            </w:r>
            <w:r>
              <w:rPr>
                <w:rFonts w:ascii="Arial" w:cs="Arial" w:eastAsia="Arial" w:hAnsi="Arial"/>
                <w:sz w:val="14"/>
                <w:szCs w:val="14"/>
                <w:b w:val="1"/>
                <w:bCs w:val="1"/>
                <w:color w:val="00ABE8"/>
              </w:rPr>
              <w:t>--</w:t>
            </w:r>
          </w:p>
        </w:tc>
        <w:tc>
          <w:tcPr>
            <w:tcW w:w="3220" w:type="dxa"/>
            <w:vAlign w:val="bottom"/>
            <w:vMerge w:val="continue"/>
          </w:tcPr>
          <w:p>
            <w:pPr>
              <w:spacing w:after="0"/>
              <w:rPr>
                <w:sz w:val="19"/>
                <w:szCs w:val="19"/>
                <w:color w:val="auto"/>
              </w:rPr>
            </w:pPr>
          </w:p>
        </w:tc>
        <w:tc>
          <w:tcPr>
            <w:tcW w:w="1960" w:type="dxa"/>
            <w:vAlign w:val="bottom"/>
            <w:tcBorders>
              <w:right w:val="single" w:sz="8" w:color="F4F6F6"/>
            </w:tcBorders>
          </w:tcPr>
          <w:p>
            <w:pPr>
              <w:jc w:val="center"/>
              <w:ind w:left="119"/>
              <w:spacing w:after="0"/>
              <w:rPr>
                <w:sz w:val="20"/>
                <w:szCs w:val="20"/>
                <w:color w:val="auto"/>
              </w:rPr>
            </w:pPr>
            <w:r>
              <w:rPr>
                <w:rFonts w:ascii="Arial" w:cs="Arial" w:eastAsia="Arial" w:hAnsi="Arial"/>
                <w:sz w:val="16"/>
                <w:szCs w:val="16"/>
                <w:color w:val="auto"/>
                <w:w w:val="99"/>
              </w:rPr>
              <w:t>shares</w:t>
            </w:r>
          </w:p>
        </w:tc>
        <w:tc>
          <w:tcPr>
            <w:tcW w:w="0" w:type="dxa"/>
            <w:vAlign w:val="bottom"/>
          </w:tcPr>
          <w:p>
            <w:pPr>
              <w:spacing w:after="0"/>
              <w:rPr>
                <w:sz w:val="1"/>
                <w:szCs w:val="1"/>
                <w:color w:val="auto"/>
              </w:rPr>
            </w:pPr>
          </w:p>
        </w:tc>
      </w:tr>
      <w:tr>
        <w:trPr>
          <w:trHeight w:val="60"/>
        </w:trPr>
        <w:tc>
          <w:tcPr>
            <w:tcW w:w="5600" w:type="dxa"/>
            <w:vAlign w:val="bottom"/>
            <w:tcBorders>
              <w:left w:val="single" w:sz="8" w:color="F4F6F6"/>
            </w:tcBorders>
            <w:vMerge w:val="continue"/>
          </w:tcPr>
          <w:p>
            <w:pPr>
              <w:spacing w:after="0"/>
              <w:rPr>
                <w:sz w:val="5"/>
                <w:szCs w:val="5"/>
                <w:color w:val="auto"/>
              </w:rPr>
            </w:pPr>
          </w:p>
        </w:tc>
        <w:tc>
          <w:tcPr>
            <w:tcW w:w="3220" w:type="dxa"/>
            <w:vAlign w:val="bottom"/>
          </w:tcPr>
          <w:p>
            <w:pPr>
              <w:spacing w:after="0"/>
              <w:rPr>
                <w:sz w:val="5"/>
                <w:szCs w:val="5"/>
                <w:color w:val="auto"/>
              </w:rPr>
            </w:pPr>
          </w:p>
        </w:tc>
        <w:tc>
          <w:tcPr>
            <w:tcW w:w="1960" w:type="dxa"/>
            <w:vAlign w:val="bottom"/>
            <w:tcBorders>
              <w:right w:val="single" w:sz="8" w:color="F4F6F6"/>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5600" w:type="dxa"/>
            <w:vAlign w:val="bottom"/>
            <w:tcBorders>
              <w:left w:val="single" w:sz="8" w:color="F4F6F6"/>
              <w:bottom w:val="single" w:sz="8" w:color="F4F6F6"/>
            </w:tcBorders>
          </w:tcPr>
          <w:p>
            <w:pPr>
              <w:spacing w:after="0"/>
              <w:rPr>
                <w:sz w:val="18"/>
                <w:szCs w:val="18"/>
                <w:color w:val="auto"/>
              </w:rPr>
            </w:pPr>
          </w:p>
        </w:tc>
        <w:tc>
          <w:tcPr>
            <w:tcW w:w="3220" w:type="dxa"/>
            <w:vAlign w:val="bottom"/>
            <w:tcBorders>
              <w:bottom w:val="single" w:sz="8" w:color="F4F6F6"/>
            </w:tcBorders>
          </w:tcPr>
          <w:p>
            <w:pPr>
              <w:spacing w:after="0"/>
              <w:rPr>
                <w:sz w:val="18"/>
                <w:szCs w:val="18"/>
                <w:color w:val="auto"/>
              </w:rPr>
            </w:pPr>
          </w:p>
        </w:tc>
        <w:tc>
          <w:tcPr>
            <w:tcW w:w="1960" w:type="dxa"/>
            <w:vAlign w:val="bottom"/>
            <w:tcBorders>
              <w:bottom w:val="single" w:sz="8" w:color="F4F6F6"/>
              <w:right w:val="single" w:sz="8" w:color="F4F6F6"/>
            </w:tcBorders>
          </w:tcPr>
          <w:p>
            <w:pPr>
              <w:spacing w:after="0"/>
              <w:rPr>
                <w:sz w:val="18"/>
                <w:szCs w:val="18"/>
                <w:color w:val="auto"/>
              </w:rPr>
            </w:pPr>
          </w:p>
        </w:tc>
        <w:tc>
          <w:tcPr>
            <w:tcW w:w="0" w:type="dxa"/>
            <w:vAlign w:val="bottom"/>
          </w:tcPr>
          <w:p>
            <w:pPr>
              <w:spacing w:after="0"/>
              <w:rPr>
                <w:sz w:val="1"/>
                <w:szCs w:val="1"/>
                <w:color w:val="auto"/>
              </w:rPr>
            </w:pPr>
          </w:p>
        </w:tc>
      </w:tr>
      <w:tr>
        <w:trPr>
          <w:trHeight w:val="763"/>
        </w:trPr>
        <w:tc>
          <w:tcPr>
            <w:tcW w:w="560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P7</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1440" w:right="879" w:bottom="1440" w:gutter="0" w:footer="0" w:header="0"/>
        </w:sectPr>
      </w:pPr>
    </w:p>
    <w:bookmarkStart w:id="11" w:name="page12"/>
    <w:bookmarkEnd w:id="11"/>
    <w:p>
      <w:pPr>
        <w:spacing w:after="0"/>
        <w:rPr>
          <w:sz w:val="20"/>
          <w:szCs w:val="20"/>
          <w:color w:val="auto"/>
        </w:rPr>
      </w:pPr>
      <w:r>
        <w:rPr>
          <w:rFonts w:ascii="Arial" w:cs="Arial" w:eastAsia="Arial" w:hAnsi="Arial"/>
          <w:sz w:val="27"/>
          <w:szCs w:val="27"/>
          <w:b w:val="1"/>
          <w:bCs w:val="1"/>
          <w:color w:val="EF3729"/>
        </w:rPr>
        <w:t>Shareholder Proposals</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000" w:type="dxa"/>
            <w:vAlign w:val="bottom"/>
            <w:tcBorders>
              <w:top w:val="single" w:sz="8" w:color="F4F6F6"/>
              <w:left w:val="single" w:sz="8" w:color="F4F6F6"/>
            </w:tcBorders>
          </w:tcPr>
          <w:p>
            <w:pPr>
              <w:ind w:left="40"/>
              <w:spacing w:after="0" w:line="216" w:lineRule="exact"/>
              <w:rPr>
                <w:sz w:val="20"/>
                <w:szCs w:val="20"/>
                <w:color w:val="auto"/>
              </w:rPr>
            </w:pPr>
            <w:r>
              <w:rPr>
                <w:rFonts w:ascii="Arial" w:cs="Arial" w:eastAsia="Arial" w:hAnsi="Arial"/>
                <w:sz w:val="20"/>
                <w:szCs w:val="20"/>
                <w:b w:val="1"/>
                <w:bCs w:val="1"/>
                <w:color w:val="auto"/>
              </w:rPr>
              <w:t>Item 6: Shareholder Proposal Requesting Implementation of a Policy to</w:t>
            </w:r>
          </w:p>
        </w:tc>
        <w:tc>
          <w:tcPr>
            <w:tcW w:w="1820" w:type="dxa"/>
            <w:vAlign w:val="bottom"/>
            <w:tcBorders>
              <w:top w:val="single" w:sz="8" w:color="F4F6F6"/>
            </w:tcBorders>
          </w:tcPr>
          <w:p>
            <w:pPr>
              <w:jc w:val="center"/>
              <w:spacing w:after="0"/>
              <w:rPr>
                <w:sz w:val="20"/>
                <w:szCs w:val="20"/>
                <w:color w:val="auto"/>
              </w:rPr>
            </w:pPr>
            <w:r>
              <w:rPr>
                <w:rFonts w:ascii="Arial" w:cs="Arial" w:eastAsia="Arial" w:hAnsi="Arial"/>
                <w:sz w:val="16"/>
                <w:szCs w:val="16"/>
                <w:b w:val="1"/>
                <w:bCs w:val="1"/>
                <w:color w:val="00ABE8"/>
              </w:rPr>
              <w:t>Management</w:t>
            </w:r>
          </w:p>
        </w:tc>
        <w:tc>
          <w:tcPr>
            <w:tcW w:w="1960" w:type="dxa"/>
            <w:vAlign w:val="bottom"/>
            <w:tcBorders>
              <w:top w:val="single" w:sz="8" w:color="F4F6F6"/>
              <w:right w:val="single" w:sz="8" w:color="F4F6F6"/>
            </w:tcBorders>
          </w:tcPr>
          <w:p>
            <w:pPr>
              <w:jc w:val="center"/>
              <w:ind w:left="119"/>
              <w:spacing w:after="0"/>
              <w:rPr>
                <w:sz w:val="20"/>
                <w:szCs w:val="20"/>
                <w:color w:val="auto"/>
              </w:rPr>
            </w:pPr>
            <w:r>
              <w:rPr>
                <w:rFonts w:ascii="Arial" w:cs="Arial" w:eastAsia="Arial" w:hAnsi="Arial"/>
                <w:sz w:val="16"/>
                <w:szCs w:val="16"/>
                <w:b w:val="1"/>
                <w:bCs w:val="1"/>
                <w:color w:val="00ABE8"/>
              </w:rPr>
              <w:t>Vote required to pass</w:t>
            </w:r>
          </w:p>
        </w:tc>
        <w:tc>
          <w:tcPr>
            <w:tcW w:w="0" w:type="dxa"/>
            <w:vAlign w:val="bottom"/>
          </w:tcPr>
          <w:p>
            <w:pPr>
              <w:spacing w:after="0"/>
              <w:rPr>
                <w:sz w:val="1"/>
                <w:szCs w:val="1"/>
                <w:color w:val="auto"/>
              </w:rPr>
            </w:pPr>
          </w:p>
        </w:tc>
      </w:tr>
      <w:tr>
        <w:trPr>
          <w:trHeight w:val="290"/>
        </w:trPr>
        <w:tc>
          <w:tcPr>
            <w:tcW w:w="7000" w:type="dxa"/>
            <w:vAlign w:val="bottom"/>
            <w:tcBorders>
              <w:left w:val="single" w:sz="8" w:color="F4F6F6"/>
            </w:tcBorders>
          </w:tcPr>
          <w:p>
            <w:pPr>
              <w:ind w:left="40"/>
              <w:spacing w:after="0"/>
              <w:rPr>
                <w:sz w:val="20"/>
                <w:szCs w:val="20"/>
                <w:color w:val="auto"/>
              </w:rPr>
            </w:pPr>
            <w:r>
              <w:rPr>
                <w:rFonts w:ascii="Arial" w:cs="Arial" w:eastAsia="Arial" w:hAnsi="Arial"/>
                <w:sz w:val="20"/>
                <w:szCs w:val="20"/>
                <w:b w:val="1"/>
                <w:bCs w:val="1"/>
                <w:color w:val="auto"/>
              </w:rPr>
              <w:t>Not Fund, Conduct or Commission the Use of the Forced Swim Test</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00ABE8"/>
              </w:rPr>
              <w:t>recommendation</w:t>
            </w:r>
          </w:p>
        </w:tc>
        <w:tc>
          <w:tcPr>
            <w:tcW w:w="1960" w:type="dxa"/>
            <w:vAlign w:val="bottom"/>
            <w:tcBorders>
              <w:right w:val="single" w:sz="8" w:color="F4F6F6"/>
            </w:tcBorders>
            <w:vMerge w:val="restart"/>
          </w:tcPr>
          <w:p>
            <w:pPr>
              <w:jc w:val="center"/>
              <w:ind w:left="119"/>
              <w:spacing w:after="0"/>
              <w:rPr>
                <w:sz w:val="20"/>
                <w:szCs w:val="20"/>
                <w:color w:val="auto"/>
              </w:rPr>
            </w:pPr>
            <w:r>
              <w:rPr>
                <w:rFonts w:ascii="Arial" w:cs="Arial" w:eastAsia="Arial" w:hAnsi="Arial"/>
                <w:sz w:val="16"/>
                <w:szCs w:val="16"/>
                <w:color w:val="auto"/>
              </w:rPr>
              <w:t>Majority of votes cast</w:t>
            </w:r>
          </w:p>
        </w:tc>
        <w:tc>
          <w:tcPr>
            <w:tcW w:w="0" w:type="dxa"/>
            <w:vAlign w:val="bottom"/>
          </w:tcPr>
          <w:p>
            <w:pPr>
              <w:spacing w:after="0"/>
              <w:rPr>
                <w:sz w:val="1"/>
                <w:szCs w:val="1"/>
                <w:color w:val="auto"/>
              </w:rPr>
            </w:pPr>
          </w:p>
        </w:tc>
      </w:tr>
      <w:tr>
        <w:trPr>
          <w:trHeight w:val="113"/>
        </w:trPr>
        <w:tc>
          <w:tcPr>
            <w:tcW w:w="7000" w:type="dxa"/>
            <w:vAlign w:val="bottom"/>
            <w:tcBorders>
              <w:left w:val="single" w:sz="8" w:color="F4F6F6"/>
            </w:tcBorders>
          </w:tcPr>
          <w:p>
            <w:pPr>
              <w:spacing w:after="0"/>
              <w:rPr>
                <w:sz w:val="9"/>
                <w:szCs w:val="9"/>
                <w:color w:val="auto"/>
              </w:rPr>
            </w:pPr>
          </w:p>
        </w:tc>
        <w:tc>
          <w:tcPr>
            <w:tcW w:w="1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Vote AGAINST</w:t>
            </w:r>
          </w:p>
        </w:tc>
        <w:tc>
          <w:tcPr>
            <w:tcW w:w="1960" w:type="dxa"/>
            <w:vAlign w:val="bottom"/>
            <w:tcBorders>
              <w:right w:val="single" w:sz="8" w:color="F4F6F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7000" w:type="dxa"/>
            <w:vAlign w:val="bottom"/>
            <w:tcBorders>
              <w:left w:val="single" w:sz="8" w:color="F4F6F6"/>
            </w:tcBorders>
            <w:vMerge w:val="restart"/>
          </w:tcPr>
          <w:p>
            <w:pPr>
              <w:ind w:left="40"/>
              <w:spacing w:after="0"/>
              <w:rPr>
                <w:sz w:val="20"/>
                <w:szCs w:val="20"/>
                <w:color w:val="auto"/>
              </w:rPr>
            </w:pPr>
            <w:r>
              <w:rPr>
                <w:rFonts w:ascii="Arial" w:cs="Arial" w:eastAsia="Arial" w:hAnsi="Arial"/>
                <w:sz w:val="14"/>
                <w:szCs w:val="14"/>
                <w:b w:val="1"/>
                <w:bCs w:val="1"/>
                <w:color w:val="auto"/>
              </w:rPr>
              <w:t xml:space="preserve">Further information see page </w:t>
            </w:r>
            <w:r>
              <w:rPr>
                <w:rFonts w:ascii="Arial" w:cs="Arial" w:eastAsia="Arial" w:hAnsi="Arial"/>
                <w:sz w:val="14"/>
                <w:szCs w:val="14"/>
                <w:b w:val="1"/>
                <w:bCs w:val="1"/>
                <w:color w:val="00ABE8"/>
              </w:rPr>
              <w:t>--</w:t>
            </w:r>
          </w:p>
        </w:tc>
        <w:tc>
          <w:tcPr>
            <w:tcW w:w="1820" w:type="dxa"/>
            <w:vAlign w:val="bottom"/>
            <w:vMerge w:val="continue"/>
          </w:tcPr>
          <w:p>
            <w:pPr>
              <w:spacing w:after="0"/>
              <w:rPr>
                <w:sz w:val="17"/>
                <w:szCs w:val="17"/>
                <w:color w:val="auto"/>
              </w:rPr>
            </w:pPr>
          </w:p>
        </w:tc>
        <w:tc>
          <w:tcPr>
            <w:tcW w:w="1960" w:type="dxa"/>
            <w:vAlign w:val="bottom"/>
            <w:tcBorders>
              <w:right w:val="single" w:sz="8" w:color="F4F6F6"/>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000" w:type="dxa"/>
            <w:vAlign w:val="bottom"/>
            <w:tcBorders>
              <w:left w:val="single" w:sz="8" w:color="F4F6F6"/>
            </w:tcBorders>
            <w:vMerge w:val="continue"/>
          </w:tcPr>
          <w:p>
            <w:pPr>
              <w:spacing w:after="0"/>
              <w:rPr>
                <w:sz w:val="5"/>
                <w:szCs w:val="5"/>
                <w:color w:val="auto"/>
              </w:rPr>
            </w:pPr>
          </w:p>
        </w:tc>
        <w:tc>
          <w:tcPr>
            <w:tcW w:w="1820" w:type="dxa"/>
            <w:vAlign w:val="bottom"/>
          </w:tcPr>
          <w:p>
            <w:pPr>
              <w:spacing w:after="0"/>
              <w:rPr>
                <w:sz w:val="5"/>
                <w:szCs w:val="5"/>
                <w:color w:val="auto"/>
              </w:rPr>
            </w:pPr>
          </w:p>
        </w:tc>
        <w:tc>
          <w:tcPr>
            <w:tcW w:w="1960" w:type="dxa"/>
            <w:vAlign w:val="bottom"/>
            <w:tcBorders>
              <w:right w:val="single" w:sz="8" w:color="F4F6F6"/>
            </w:tcBorders>
          </w:tcPr>
          <w:p>
            <w:pPr>
              <w:spacing w:after="0"/>
              <w:rPr>
                <w:sz w:val="5"/>
                <w:szCs w:val="5"/>
                <w:color w:val="auto"/>
              </w:rPr>
            </w:pPr>
          </w:p>
        </w:tc>
        <w:tc>
          <w:tcPr>
            <w:tcW w:w="0" w:type="dxa"/>
            <w:vAlign w:val="bottom"/>
          </w:tcPr>
          <w:p>
            <w:pPr>
              <w:spacing w:after="0"/>
              <w:rPr>
                <w:sz w:val="1"/>
                <w:szCs w:val="1"/>
                <w:color w:val="auto"/>
              </w:rPr>
            </w:pPr>
          </w:p>
        </w:tc>
      </w:tr>
      <w:tr>
        <w:trPr>
          <w:trHeight w:val="434"/>
        </w:trPr>
        <w:tc>
          <w:tcPr>
            <w:tcW w:w="7000" w:type="dxa"/>
            <w:vAlign w:val="bottom"/>
            <w:tcBorders>
              <w:left w:val="single" w:sz="8" w:color="F4F6F6"/>
              <w:bottom w:val="single" w:sz="8" w:color="F4F6F6"/>
            </w:tcBorders>
          </w:tcPr>
          <w:p>
            <w:pPr>
              <w:spacing w:after="0"/>
              <w:rPr>
                <w:sz w:val="24"/>
                <w:szCs w:val="24"/>
                <w:color w:val="auto"/>
              </w:rPr>
            </w:pPr>
          </w:p>
        </w:tc>
        <w:tc>
          <w:tcPr>
            <w:tcW w:w="1820" w:type="dxa"/>
            <w:vAlign w:val="bottom"/>
            <w:tcBorders>
              <w:bottom w:val="single" w:sz="8" w:color="F4F6F6"/>
            </w:tcBorders>
          </w:tcPr>
          <w:p>
            <w:pPr>
              <w:spacing w:after="0"/>
              <w:rPr>
                <w:sz w:val="24"/>
                <w:szCs w:val="24"/>
                <w:color w:val="auto"/>
              </w:rPr>
            </w:pPr>
          </w:p>
        </w:tc>
        <w:tc>
          <w:tcPr>
            <w:tcW w:w="1960" w:type="dxa"/>
            <w:vAlign w:val="bottom"/>
            <w:tcBorders>
              <w:bottom w:val="single" w:sz="8" w:color="F4F6F6"/>
              <w:right w:val="single" w:sz="8" w:color="F4F6F6"/>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000" w:type="dxa"/>
            <w:vAlign w:val="bottom"/>
            <w:tcBorders>
              <w:bottom w:val="single" w:sz="8" w:color="F4F6F6"/>
            </w:tcBorders>
          </w:tcPr>
          <w:p>
            <w:pPr>
              <w:spacing w:after="0"/>
              <w:rPr>
                <w:sz w:val="24"/>
                <w:szCs w:val="24"/>
                <w:color w:val="auto"/>
              </w:rPr>
            </w:pPr>
          </w:p>
        </w:tc>
        <w:tc>
          <w:tcPr>
            <w:tcW w:w="1820" w:type="dxa"/>
            <w:vAlign w:val="bottom"/>
            <w:tcBorders>
              <w:bottom w:val="single" w:sz="8" w:color="F4F6F6"/>
            </w:tcBorders>
          </w:tcPr>
          <w:p>
            <w:pPr>
              <w:spacing w:after="0"/>
              <w:rPr>
                <w:sz w:val="24"/>
                <w:szCs w:val="24"/>
                <w:color w:val="auto"/>
              </w:rPr>
            </w:pPr>
          </w:p>
        </w:tc>
        <w:tc>
          <w:tcPr>
            <w:tcW w:w="1960" w:type="dxa"/>
            <w:vAlign w:val="bottom"/>
            <w:tcBorders>
              <w:bottom w:val="single" w:sz="8" w:color="F4F6F6"/>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0" w:type="dxa"/>
            <w:vAlign w:val="bottom"/>
            <w:tcBorders>
              <w:left w:val="single" w:sz="8" w:color="F4F6F6"/>
            </w:tcBorders>
          </w:tcPr>
          <w:p>
            <w:pPr>
              <w:ind w:left="40"/>
              <w:spacing w:after="0" w:line="196" w:lineRule="exact"/>
              <w:rPr>
                <w:sz w:val="20"/>
                <w:szCs w:val="20"/>
                <w:color w:val="auto"/>
              </w:rPr>
            </w:pPr>
            <w:r>
              <w:rPr>
                <w:rFonts w:ascii="Arial" w:cs="Arial" w:eastAsia="Arial" w:hAnsi="Arial"/>
                <w:sz w:val="20"/>
                <w:szCs w:val="20"/>
                <w:b w:val="1"/>
                <w:bCs w:val="1"/>
                <w:color w:val="auto"/>
              </w:rPr>
              <w:t>Item 7: Shareholder Proposal Requesting a Report Regarding Direct</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00ABE8"/>
              </w:rPr>
              <w:t>Management</w:t>
            </w:r>
          </w:p>
        </w:tc>
        <w:tc>
          <w:tcPr>
            <w:tcW w:w="1960" w:type="dxa"/>
            <w:vAlign w:val="bottom"/>
            <w:tcBorders>
              <w:right w:val="single" w:sz="8" w:color="F4F6F6"/>
            </w:tcBorders>
          </w:tcPr>
          <w:p>
            <w:pPr>
              <w:jc w:val="center"/>
              <w:ind w:left="119"/>
              <w:spacing w:after="0"/>
              <w:rPr>
                <w:sz w:val="20"/>
                <w:szCs w:val="20"/>
                <w:color w:val="auto"/>
              </w:rPr>
            </w:pPr>
            <w:r>
              <w:rPr>
                <w:rFonts w:ascii="Arial" w:cs="Arial" w:eastAsia="Arial" w:hAnsi="Arial"/>
                <w:sz w:val="16"/>
                <w:szCs w:val="16"/>
                <w:b w:val="1"/>
                <w:bCs w:val="1"/>
                <w:color w:val="00ABE8"/>
              </w:rPr>
              <w:t>Vote required to pass</w:t>
            </w:r>
          </w:p>
        </w:tc>
        <w:tc>
          <w:tcPr>
            <w:tcW w:w="0" w:type="dxa"/>
            <w:vAlign w:val="bottom"/>
          </w:tcPr>
          <w:p>
            <w:pPr>
              <w:spacing w:after="0"/>
              <w:rPr>
                <w:sz w:val="1"/>
                <w:szCs w:val="1"/>
                <w:color w:val="auto"/>
              </w:rPr>
            </w:pPr>
          </w:p>
        </w:tc>
      </w:tr>
      <w:tr>
        <w:trPr>
          <w:trHeight w:val="290"/>
        </w:trPr>
        <w:tc>
          <w:tcPr>
            <w:tcW w:w="7000" w:type="dxa"/>
            <w:vAlign w:val="bottom"/>
            <w:tcBorders>
              <w:left w:val="single" w:sz="8" w:color="F4F6F6"/>
            </w:tcBorders>
          </w:tcPr>
          <w:p>
            <w:pPr>
              <w:ind w:left="40"/>
              <w:spacing w:after="0"/>
              <w:rPr>
                <w:sz w:val="20"/>
                <w:szCs w:val="20"/>
                <w:color w:val="auto"/>
              </w:rPr>
            </w:pPr>
            <w:r>
              <w:rPr>
                <w:rFonts w:ascii="Arial" w:cs="Arial" w:eastAsia="Arial" w:hAnsi="Arial"/>
                <w:sz w:val="20"/>
                <w:szCs w:val="20"/>
                <w:b w:val="1"/>
                <w:bCs w:val="1"/>
                <w:color w:val="auto"/>
              </w:rPr>
              <w:t>and Indirect Political Contributions</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00ABE8"/>
              </w:rPr>
              <w:t>recommendation</w:t>
            </w:r>
          </w:p>
        </w:tc>
        <w:tc>
          <w:tcPr>
            <w:tcW w:w="1960" w:type="dxa"/>
            <w:vAlign w:val="bottom"/>
            <w:tcBorders>
              <w:right w:val="single" w:sz="8" w:color="F4F6F6"/>
            </w:tcBorders>
            <w:vMerge w:val="restart"/>
          </w:tcPr>
          <w:p>
            <w:pPr>
              <w:jc w:val="center"/>
              <w:ind w:left="119"/>
              <w:spacing w:after="0"/>
              <w:rPr>
                <w:sz w:val="20"/>
                <w:szCs w:val="20"/>
                <w:color w:val="auto"/>
              </w:rPr>
            </w:pPr>
            <w:r>
              <w:rPr>
                <w:rFonts w:ascii="Arial" w:cs="Arial" w:eastAsia="Arial" w:hAnsi="Arial"/>
                <w:sz w:val="16"/>
                <w:szCs w:val="16"/>
                <w:color w:val="auto"/>
              </w:rPr>
              <w:t>Majority of votes cast</w:t>
            </w:r>
          </w:p>
        </w:tc>
        <w:tc>
          <w:tcPr>
            <w:tcW w:w="0" w:type="dxa"/>
            <w:vAlign w:val="bottom"/>
          </w:tcPr>
          <w:p>
            <w:pPr>
              <w:spacing w:after="0"/>
              <w:rPr>
                <w:sz w:val="1"/>
                <w:szCs w:val="1"/>
                <w:color w:val="auto"/>
              </w:rPr>
            </w:pPr>
          </w:p>
        </w:tc>
      </w:tr>
      <w:tr>
        <w:trPr>
          <w:trHeight w:val="113"/>
        </w:trPr>
        <w:tc>
          <w:tcPr>
            <w:tcW w:w="7000" w:type="dxa"/>
            <w:vAlign w:val="bottom"/>
            <w:tcBorders>
              <w:left w:val="single" w:sz="8" w:color="F4F6F6"/>
            </w:tcBorders>
          </w:tcPr>
          <w:p>
            <w:pPr>
              <w:spacing w:after="0"/>
              <w:rPr>
                <w:sz w:val="9"/>
                <w:szCs w:val="9"/>
                <w:color w:val="auto"/>
              </w:rPr>
            </w:pPr>
          </w:p>
        </w:tc>
        <w:tc>
          <w:tcPr>
            <w:tcW w:w="1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Vote AGAINST</w:t>
            </w:r>
          </w:p>
        </w:tc>
        <w:tc>
          <w:tcPr>
            <w:tcW w:w="1960" w:type="dxa"/>
            <w:vAlign w:val="bottom"/>
            <w:tcBorders>
              <w:right w:val="single" w:sz="8" w:color="F4F6F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7000" w:type="dxa"/>
            <w:vAlign w:val="bottom"/>
            <w:tcBorders>
              <w:left w:val="single" w:sz="8" w:color="F4F6F6"/>
            </w:tcBorders>
            <w:vMerge w:val="restart"/>
          </w:tcPr>
          <w:p>
            <w:pPr>
              <w:ind w:left="40"/>
              <w:spacing w:after="0"/>
              <w:rPr>
                <w:sz w:val="20"/>
                <w:szCs w:val="20"/>
                <w:color w:val="auto"/>
              </w:rPr>
            </w:pPr>
            <w:r>
              <w:rPr>
                <w:rFonts w:ascii="Arial" w:cs="Arial" w:eastAsia="Arial" w:hAnsi="Arial"/>
                <w:sz w:val="14"/>
                <w:szCs w:val="14"/>
                <w:b w:val="1"/>
                <w:bCs w:val="1"/>
                <w:color w:val="auto"/>
              </w:rPr>
              <w:t xml:space="preserve">Further information see page </w:t>
            </w:r>
            <w:r>
              <w:rPr>
                <w:rFonts w:ascii="Arial" w:cs="Arial" w:eastAsia="Arial" w:hAnsi="Arial"/>
                <w:sz w:val="14"/>
                <w:szCs w:val="14"/>
                <w:b w:val="1"/>
                <w:bCs w:val="1"/>
                <w:color w:val="00ABE8"/>
              </w:rPr>
              <w:t>--</w:t>
            </w:r>
          </w:p>
        </w:tc>
        <w:tc>
          <w:tcPr>
            <w:tcW w:w="1820" w:type="dxa"/>
            <w:vAlign w:val="bottom"/>
            <w:vMerge w:val="continue"/>
          </w:tcPr>
          <w:p>
            <w:pPr>
              <w:spacing w:after="0"/>
              <w:rPr>
                <w:sz w:val="17"/>
                <w:szCs w:val="17"/>
                <w:color w:val="auto"/>
              </w:rPr>
            </w:pPr>
          </w:p>
        </w:tc>
        <w:tc>
          <w:tcPr>
            <w:tcW w:w="1960" w:type="dxa"/>
            <w:vAlign w:val="bottom"/>
            <w:tcBorders>
              <w:right w:val="single" w:sz="8" w:color="F4F6F6"/>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000" w:type="dxa"/>
            <w:vAlign w:val="bottom"/>
            <w:tcBorders>
              <w:left w:val="single" w:sz="8" w:color="F4F6F6"/>
            </w:tcBorders>
            <w:vMerge w:val="continue"/>
          </w:tcPr>
          <w:p>
            <w:pPr>
              <w:spacing w:after="0"/>
              <w:rPr>
                <w:sz w:val="5"/>
                <w:szCs w:val="5"/>
                <w:color w:val="auto"/>
              </w:rPr>
            </w:pPr>
          </w:p>
        </w:tc>
        <w:tc>
          <w:tcPr>
            <w:tcW w:w="1820" w:type="dxa"/>
            <w:vAlign w:val="bottom"/>
          </w:tcPr>
          <w:p>
            <w:pPr>
              <w:spacing w:after="0"/>
              <w:rPr>
                <w:sz w:val="5"/>
                <w:szCs w:val="5"/>
                <w:color w:val="auto"/>
              </w:rPr>
            </w:pPr>
          </w:p>
        </w:tc>
        <w:tc>
          <w:tcPr>
            <w:tcW w:w="1960" w:type="dxa"/>
            <w:vAlign w:val="bottom"/>
            <w:tcBorders>
              <w:right w:val="single" w:sz="8" w:color="F4F6F6"/>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7000" w:type="dxa"/>
            <w:vAlign w:val="bottom"/>
            <w:tcBorders>
              <w:left w:val="single" w:sz="8" w:color="F4F6F6"/>
              <w:bottom w:val="single" w:sz="8" w:color="F4F6F6"/>
            </w:tcBorders>
          </w:tcPr>
          <w:p>
            <w:pPr>
              <w:spacing w:after="0"/>
              <w:rPr>
                <w:sz w:val="18"/>
                <w:szCs w:val="18"/>
                <w:color w:val="auto"/>
              </w:rPr>
            </w:pPr>
          </w:p>
        </w:tc>
        <w:tc>
          <w:tcPr>
            <w:tcW w:w="1820" w:type="dxa"/>
            <w:vAlign w:val="bottom"/>
            <w:tcBorders>
              <w:bottom w:val="single" w:sz="8" w:color="F4F6F6"/>
            </w:tcBorders>
          </w:tcPr>
          <w:p>
            <w:pPr>
              <w:spacing w:after="0"/>
              <w:rPr>
                <w:sz w:val="18"/>
                <w:szCs w:val="18"/>
                <w:color w:val="auto"/>
              </w:rPr>
            </w:pPr>
          </w:p>
        </w:tc>
        <w:tc>
          <w:tcPr>
            <w:tcW w:w="1960" w:type="dxa"/>
            <w:vAlign w:val="bottom"/>
            <w:tcBorders>
              <w:bottom w:val="single" w:sz="8" w:color="F4F6F6"/>
              <w:right w:val="single" w:sz="8" w:color="F4F6F6"/>
            </w:tcBorders>
          </w:tcPr>
          <w:p>
            <w:pPr>
              <w:spacing w:after="0"/>
              <w:rPr>
                <w:sz w:val="18"/>
                <w:szCs w:val="18"/>
                <w:color w:val="auto"/>
              </w:rPr>
            </w:pPr>
          </w:p>
        </w:tc>
        <w:tc>
          <w:tcPr>
            <w:tcW w:w="0" w:type="dxa"/>
            <w:vAlign w:val="bottom"/>
          </w:tcPr>
          <w:p>
            <w:pPr>
              <w:spacing w:after="0"/>
              <w:rPr>
                <w:sz w:val="1"/>
                <w:szCs w:val="1"/>
                <w:color w:val="auto"/>
              </w:rPr>
            </w:pPr>
          </w:p>
        </w:tc>
      </w:tr>
      <w:tr>
        <w:trPr>
          <w:trHeight w:val="674"/>
        </w:trPr>
        <w:tc>
          <w:tcPr>
            <w:tcW w:w="7000" w:type="dxa"/>
            <w:vAlign w:val="bottom"/>
          </w:tcPr>
          <w:p>
            <w:pPr>
              <w:spacing w:after="0"/>
              <w:rPr>
                <w:sz w:val="20"/>
                <w:szCs w:val="20"/>
                <w:color w:val="auto"/>
              </w:rPr>
            </w:pPr>
            <w:r>
              <w:rPr>
                <w:rFonts w:ascii="Arial" w:cs="Arial" w:eastAsia="Arial" w:hAnsi="Arial"/>
                <w:sz w:val="27"/>
                <w:szCs w:val="27"/>
                <w:b w:val="1"/>
                <w:bCs w:val="1"/>
                <w:color w:val="EF3729"/>
              </w:rPr>
              <w:t>Voting</w:t>
            </w:r>
          </w:p>
        </w:tc>
        <w:tc>
          <w:tcPr>
            <w:tcW w:w="1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7000" w:type="dxa"/>
            <w:vAlign w:val="bottom"/>
          </w:tcPr>
          <w:p>
            <w:pPr>
              <w:spacing w:after="0"/>
              <w:rPr>
                <w:sz w:val="20"/>
                <w:szCs w:val="20"/>
                <w:color w:val="auto"/>
              </w:rPr>
            </w:pPr>
            <w:r>
              <w:rPr>
                <w:rFonts w:ascii="Arial" w:cs="Arial" w:eastAsia="Arial" w:hAnsi="Arial"/>
                <w:sz w:val="23"/>
                <w:szCs w:val="23"/>
                <w:b w:val="1"/>
                <w:bCs w:val="1"/>
                <w:color w:val="1CA8E1"/>
              </w:rPr>
              <w:t>How to Vote in Advance of the Meeting</w:t>
            </w:r>
          </w:p>
        </w:tc>
        <w:tc>
          <w:tcPr>
            <w:tcW w:w="1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Even if you plan to attend the 2019 annual meeting in person, we encourage you to vote prior to the meeting via one of the methods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111125</wp:posOffset>
            </wp:positionV>
            <wp:extent cx="617220" cy="617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111125</wp:posOffset>
            </wp:positionV>
            <wp:extent cx="617220" cy="617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111125</wp:posOffset>
            </wp:positionV>
            <wp:extent cx="617220" cy="6172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320" w:type="dxa"/>
        <w:tblCellMar>
          <w:top w:w="0" w:type="dxa"/>
          <w:left w:w="0" w:type="dxa"/>
          <w:bottom w:w="0" w:type="dxa"/>
          <w:right w:w="0" w:type="dxa"/>
        </w:tblCellMar>
      </w:tblPr>
      <w:tr>
        <w:trPr>
          <w:trHeight w:val="263"/>
        </w:trPr>
        <w:tc>
          <w:tcPr>
            <w:tcW w:w="3480" w:type="dxa"/>
            <w:vAlign w:val="bottom"/>
          </w:tcPr>
          <w:p>
            <w:pPr>
              <w:jc w:val="center"/>
              <w:ind w:right="31"/>
              <w:spacing w:after="0"/>
              <w:rPr>
                <w:sz w:val="20"/>
                <w:szCs w:val="20"/>
                <w:color w:val="auto"/>
              </w:rPr>
            </w:pPr>
            <w:r>
              <w:rPr>
                <w:rFonts w:ascii="Arial" w:cs="Arial" w:eastAsia="Arial" w:hAnsi="Arial"/>
                <w:sz w:val="19"/>
                <w:szCs w:val="19"/>
                <w:b w:val="1"/>
                <w:bCs w:val="1"/>
                <w:color w:val="00ABE8"/>
              </w:rPr>
              <w:t>ONLINE</w:t>
            </w:r>
          </w:p>
        </w:tc>
        <w:tc>
          <w:tcPr>
            <w:tcW w:w="3860" w:type="dxa"/>
            <w:vAlign w:val="bottom"/>
          </w:tcPr>
          <w:p>
            <w:pPr>
              <w:jc w:val="center"/>
              <w:ind w:left="11"/>
              <w:spacing w:after="0"/>
              <w:rPr>
                <w:sz w:val="20"/>
                <w:szCs w:val="20"/>
                <w:color w:val="auto"/>
              </w:rPr>
            </w:pPr>
            <w:r>
              <w:rPr>
                <w:rFonts w:ascii="Arial" w:cs="Arial" w:eastAsia="Arial" w:hAnsi="Arial"/>
                <w:sz w:val="19"/>
                <w:szCs w:val="19"/>
                <w:b w:val="1"/>
                <w:bCs w:val="1"/>
                <w:color w:val="00ABE8"/>
              </w:rPr>
              <w:t>BY TELEPHONE</w:t>
            </w:r>
          </w:p>
        </w:tc>
        <w:tc>
          <w:tcPr>
            <w:tcW w:w="3620" w:type="dxa"/>
            <w:vAlign w:val="bottom"/>
          </w:tcPr>
          <w:p>
            <w:pPr>
              <w:jc w:val="center"/>
              <w:spacing w:after="0"/>
              <w:rPr>
                <w:sz w:val="20"/>
                <w:szCs w:val="20"/>
                <w:color w:val="auto"/>
              </w:rPr>
            </w:pPr>
            <w:r>
              <w:rPr>
                <w:rFonts w:ascii="Arial" w:cs="Arial" w:eastAsia="Arial" w:hAnsi="Arial"/>
                <w:sz w:val="19"/>
                <w:szCs w:val="19"/>
                <w:b w:val="1"/>
                <w:bCs w:val="1"/>
                <w:color w:val="00ABE8"/>
                <w:w w:val="99"/>
              </w:rPr>
              <w:t>BY MAIL</w:t>
            </w:r>
          </w:p>
        </w:tc>
      </w:tr>
      <w:tr>
        <w:trPr>
          <w:trHeight w:val="189"/>
        </w:trPr>
        <w:tc>
          <w:tcPr>
            <w:tcW w:w="3480" w:type="dxa"/>
            <w:vAlign w:val="bottom"/>
          </w:tcPr>
          <w:p>
            <w:pPr>
              <w:jc w:val="center"/>
              <w:ind w:right="51"/>
              <w:spacing w:after="0" w:line="189" w:lineRule="exact"/>
              <w:rPr>
                <w:sz w:val="20"/>
                <w:szCs w:val="20"/>
                <w:color w:val="auto"/>
              </w:rPr>
            </w:pPr>
            <w:r>
              <w:rPr>
                <w:rFonts w:ascii="Arial" w:cs="Arial" w:eastAsia="Arial" w:hAnsi="Arial"/>
                <w:sz w:val="17"/>
                <w:szCs w:val="17"/>
                <w:color w:val="auto"/>
              </w:rPr>
              <w:t>Visit the website listed on your proxy card or</w:t>
            </w:r>
          </w:p>
        </w:tc>
        <w:tc>
          <w:tcPr>
            <w:tcW w:w="3860" w:type="dxa"/>
            <w:vAlign w:val="bottom"/>
          </w:tcPr>
          <w:p>
            <w:pPr>
              <w:jc w:val="center"/>
              <w:ind w:left="11"/>
              <w:spacing w:after="0" w:line="189" w:lineRule="exact"/>
              <w:rPr>
                <w:sz w:val="20"/>
                <w:szCs w:val="20"/>
                <w:color w:val="auto"/>
              </w:rPr>
            </w:pPr>
            <w:r>
              <w:rPr>
                <w:rFonts w:ascii="Arial" w:cs="Arial" w:eastAsia="Arial" w:hAnsi="Arial"/>
                <w:sz w:val="17"/>
                <w:szCs w:val="17"/>
                <w:color w:val="auto"/>
              </w:rPr>
              <w:t>Call the telephone number on your proxy card or</w:t>
            </w:r>
          </w:p>
        </w:tc>
        <w:tc>
          <w:tcPr>
            <w:tcW w:w="3620" w:type="dxa"/>
            <w:vAlign w:val="bottom"/>
          </w:tcPr>
          <w:p>
            <w:pPr>
              <w:jc w:val="center"/>
              <w:spacing w:after="0" w:line="189" w:lineRule="exact"/>
              <w:rPr>
                <w:sz w:val="20"/>
                <w:szCs w:val="20"/>
                <w:color w:val="auto"/>
              </w:rPr>
            </w:pPr>
            <w:r>
              <w:rPr>
                <w:rFonts w:ascii="Arial" w:cs="Arial" w:eastAsia="Arial" w:hAnsi="Arial"/>
                <w:sz w:val="17"/>
                <w:szCs w:val="17"/>
                <w:color w:val="auto"/>
              </w:rPr>
              <w:t>Sign, date, and return your proxy card or voting</w:t>
            </w:r>
          </w:p>
        </w:tc>
      </w:tr>
      <w:tr>
        <w:trPr>
          <w:trHeight w:val="231"/>
        </w:trPr>
        <w:tc>
          <w:tcPr>
            <w:tcW w:w="3480" w:type="dxa"/>
            <w:vAlign w:val="bottom"/>
          </w:tcPr>
          <w:p>
            <w:pPr>
              <w:jc w:val="center"/>
              <w:ind w:right="51"/>
              <w:spacing w:after="0"/>
              <w:rPr>
                <w:sz w:val="20"/>
                <w:szCs w:val="20"/>
                <w:color w:val="auto"/>
              </w:rPr>
            </w:pPr>
            <w:r>
              <w:rPr>
                <w:rFonts w:ascii="Arial" w:cs="Arial" w:eastAsia="Arial" w:hAnsi="Arial"/>
                <w:sz w:val="17"/>
                <w:szCs w:val="17"/>
                <w:color w:val="auto"/>
                <w:w w:val="99"/>
              </w:rPr>
              <w:t>voting instruction form</w:t>
            </w:r>
          </w:p>
        </w:tc>
        <w:tc>
          <w:tcPr>
            <w:tcW w:w="3860" w:type="dxa"/>
            <w:vAlign w:val="bottom"/>
          </w:tcPr>
          <w:p>
            <w:pPr>
              <w:jc w:val="center"/>
              <w:ind w:left="11"/>
              <w:spacing w:after="0"/>
              <w:rPr>
                <w:sz w:val="20"/>
                <w:szCs w:val="20"/>
                <w:color w:val="auto"/>
              </w:rPr>
            </w:pPr>
            <w:r>
              <w:rPr>
                <w:rFonts w:ascii="Arial" w:cs="Arial" w:eastAsia="Arial" w:hAnsi="Arial"/>
                <w:sz w:val="17"/>
                <w:szCs w:val="17"/>
                <w:color w:val="auto"/>
              </w:rPr>
              <w:t>voting instruction form</w:t>
            </w:r>
          </w:p>
        </w:tc>
        <w:tc>
          <w:tcPr>
            <w:tcW w:w="3620" w:type="dxa"/>
            <w:vAlign w:val="bottom"/>
          </w:tcPr>
          <w:p>
            <w:pPr>
              <w:jc w:val="center"/>
              <w:spacing w:after="0"/>
              <w:rPr>
                <w:sz w:val="20"/>
                <w:szCs w:val="20"/>
                <w:color w:val="auto"/>
              </w:rPr>
            </w:pPr>
            <w:r>
              <w:rPr>
                <w:rFonts w:ascii="Arial" w:cs="Arial" w:eastAsia="Arial" w:hAnsi="Arial"/>
                <w:sz w:val="17"/>
                <w:szCs w:val="17"/>
                <w:color w:val="auto"/>
                <w:w w:val="99"/>
              </w:rPr>
              <w:t>instruction form</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Further information on how to vote is provided at the end of the proxy statement under "Other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Voting at our 2019 Annual Meeting</w:t>
      </w:r>
    </w:p>
    <w:p>
      <w:pPr>
        <w:spacing w:after="0" w:line="2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You may also opt to vote in person at the 2019 annual meeting, which will be held on Monday, May 6, 2019, at the Lilly Corporate Center, Indianapolis, IN 46285, at 11:00 a.m., EDT. See the section titled "Other Information" for more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Governance</w:t>
      </w:r>
    </w:p>
    <w:p>
      <w:pPr>
        <w:spacing w:after="0" w:line="81" w:lineRule="exact"/>
        <w:rPr>
          <w:sz w:val="20"/>
          <w:szCs w:val="20"/>
          <w:color w:val="auto"/>
        </w:rPr>
      </w:pPr>
    </w:p>
    <w:p>
      <w:pPr>
        <w:spacing w:after="0"/>
        <w:rPr>
          <w:sz w:val="20"/>
          <w:szCs w:val="20"/>
          <w:color w:val="auto"/>
        </w:rPr>
      </w:pPr>
      <w:r>
        <w:rPr>
          <w:rFonts w:ascii="Arial" w:cs="Arial" w:eastAsia="Arial" w:hAnsi="Arial"/>
          <w:sz w:val="25"/>
          <w:szCs w:val="25"/>
          <w:b w:val="1"/>
          <w:bCs w:val="1"/>
          <w:color w:val="1A3A6C"/>
        </w:rPr>
        <w:t>Item 1. Election of Directors</w:t>
      </w:r>
    </w:p>
    <w:p>
      <w:pPr>
        <w:spacing w:after="0" w:line="196"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Under the company’s articles of incorporation, the board is divided into three classes with approximately one-third of the directors standing for election each year. The term for directors to be elected this year will expire at the annual meeting of shareholders held in 2022. Each of the director nominees listed below has agreed to serve that term. The following sections provide information about our directors, including their qualifications, the director nomination process, and director compensation.</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P8</w:t>
      </w:r>
    </w:p>
    <w:p>
      <w:pPr>
        <w:sectPr>
          <w:pgSz w:w="11900" w:h="16838" w:orient="portrait"/>
          <w:cols w:equalWidth="0" w:num="1">
            <w:col w:w="11360"/>
          </w:cols>
          <w:pgMar w:left="240" w:top="559" w:right="299" w:bottom="1440" w:gutter="0" w:footer="0" w:header="0"/>
        </w:sectPr>
      </w:pPr>
    </w:p>
    <w:bookmarkStart w:id="12" w:name="page13"/>
    <w:bookmarkEnd w:id="12"/>
    <w:p>
      <w:pPr>
        <w:spacing w:after="0"/>
        <w:rPr>
          <w:sz w:val="20"/>
          <w:szCs w:val="20"/>
          <w:color w:val="auto"/>
        </w:rPr>
      </w:pPr>
      <w:r>
        <w:rPr>
          <w:rFonts w:ascii="Arial" w:cs="Arial" w:eastAsia="Arial" w:hAnsi="Arial"/>
          <w:sz w:val="27"/>
          <w:szCs w:val="27"/>
          <w:b w:val="1"/>
          <w:bCs w:val="1"/>
          <w:color w:val="EF3729"/>
        </w:rPr>
        <w:t>Board Recommendation on Item 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that you vote FOR each of the following nominees:</w:t>
      </w:r>
    </w:p>
    <w:p>
      <w:pPr>
        <w:spacing w:after="0" w:line="31" w:lineRule="exact"/>
        <w:rPr>
          <w:sz w:val="20"/>
          <w:szCs w:val="20"/>
          <w:color w:val="auto"/>
        </w:rPr>
      </w:pPr>
    </w:p>
    <w:p>
      <w:pPr>
        <w:ind w:left="340" w:hanging="170"/>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Ralph Alvarez</w:t>
      </w:r>
    </w:p>
    <w:p>
      <w:pPr>
        <w:spacing w:after="0" w:line="7" w:lineRule="exact"/>
        <w:rPr>
          <w:rFonts w:ascii="Arial" w:cs="Arial" w:eastAsia="Arial" w:hAnsi="Arial"/>
          <w:sz w:val="17"/>
          <w:szCs w:val="17"/>
          <w:color w:val="auto"/>
        </w:rPr>
      </w:pPr>
    </w:p>
    <w:p>
      <w:pPr>
        <w:ind w:left="340" w:hanging="170"/>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Carolyn R. Bertozzi, Ph.D.</w:t>
      </w:r>
    </w:p>
    <w:p>
      <w:pPr>
        <w:spacing w:after="0" w:line="7" w:lineRule="exact"/>
        <w:rPr>
          <w:rFonts w:ascii="Arial" w:cs="Arial" w:eastAsia="Arial" w:hAnsi="Arial"/>
          <w:sz w:val="17"/>
          <w:szCs w:val="17"/>
          <w:color w:val="auto"/>
        </w:rPr>
      </w:pPr>
    </w:p>
    <w:p>
      <w:pPr>
        <w:ind w:left="340" w:hanging="170"/>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Juan R. Luciano</w:t>
      </w:r>
    </w:p>
    <w:p>
      <w:pPr>
        <w:spacing w:after="0" w:line="7" w:lineRule="exact"/>
        <w:rPr>
          <w:rFonts w:ascii="Arial" w:cs="Arial" w:eastAsia="Arial" w:hAnsi="Arial"/>
          <w:sz w:val="17"/>
          <w:szCs w:val="17"/>
          <w:color w:val="auto"/>
        </w:rPr>
      </w:pPr>
    </w:p>
    <w:p>
      <w:pPr>
        <w:ind w:left="340" w:hanging="170"/>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Kathi P. Seifert</w:t>
      </w:r>
    </w:p>
    <w:p>
      <w:pPr>
        <w:spacing w:after="0" w:line="190"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Operations and Governance</w:t>
      </w:r>
    </w:p>
    <w:p>
      <w:pPr>
        <w:spacing w:after="0" w:line="214"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Board of Directors</w:t>
      </w:r>
    </w:p>
    <w:p>
      <w:pPr>
        <w:spacing w:after="0" w:line="27" w:lineRule="exact"/>
        <w:rPr>
          <w:sz w:val="20"/>
          <w:szCs w:val="20"/>
          <w:color w:val="auto"/>
        </w:rPr>
      </w:pPr>
    </w:p>
    <w:p>
      <w:pPr>
        <w:jc w:val="both"/>
        <w:ind w:right="80"/>
        <w:spacing w:after="0" w:line="256" w:lineRule="auto"/>
        <w:rPr>
          <w:sz w:val="20"/>
          <w:szCs w:val="20"/>
          <w:color w:val="auto"/>
        </w:rPr>
      </w:pPr>
      <w:r>
        <w:rPr>
          <w:rFonts w:ascii="Arial" w:cs="Arial" w:eastAsia="Arial" w:hAnsi="Arial"/>
          <w:sz w:val="17"/>
          <w:szCs w:val="17"/>
          <w:color w:val="auto"/>
        </w:rPr>
        <w:t>Each of our directors is elected to serve until his or her successor is duly elected and qualified. If a bona fide nominee set forth in this proxy statement is unable to serve or for good cause will not serve, proxy holders may vote for another nominee proposed by the board or, as an alternative, the board may reduce the number of directors to be elected at the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Director Biographies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Set forth below is information as of March 8, 2019, regarding the nominees for election, which has been confirmed by each of them for inclusion in this proxy statement. We have provided the most significant experiences, qualifications, attributes, and skills that led to the conclusion that each director or director nominee should serve as a director in light of our business and structure. Full biographies for each of our directors are available on our website at </w:t>
      </w:r>
      <w:r>
        <w:rPr>
          <w:rFonts w:ascii="Arial" w:cs="Arial" w:eastAsia="Arial" w:hAnsi="Arial"/>
          <w:sz w:val="17"/>
          <w:szCs w:val="17"/>
          <w:color w:val="EE2724"/>
        </w:rPr>
        <w:t>lilly.com/about/board-of-directors/Pages/board-of-directors.aspx</w:t>
      </w:r>
      <w:r>
        <w:rPr>
          <w:rFonts w:ascii="Arial" w:cs="Arial" w:eastAsia="Arial" w:hAnsi="Arial"/>
          <w:sz w:val="17"/>
          <w:szCs w:val="17"/>
          <w:color w:val="auto"/>
        </w:rPr>
        <w:t>.</w:t>
      </w:r>
    </w:p>
    <w:p>
      <w:pPr>
        <w:spacing w:after="0" w:line="16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No family relationship exists among any of our directors, director nominees, or executive officers. To the best of our knowledge, there are no pending material legal proceedings in which any of our directors or nominees for director, or any of their associates, is a party adverse to us or any of our affiliates, or has a material interest adverse to us or any of our affiliates. Additionally, to the best of our knowledge, there have been no events under any bankruptcy act, no criminal proceedings and no judgments, sanctions, or injunctions during the past 10 years that are material to the evaluation of the ability or integrity of any of our directors or nominees for director. There is no arrangement between any director or director nominee and any other person pursuant to which he or she was or is to be selected as a director or director nominee.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P9</w:t>
      </w:r>
    </w:p>
    <w:p>
      <w:pPr>
        <w:sectPr>
          <w:pgSz w:w="11900" w:h="16838" w:orient="portrait"/>
          <w:cols w:equalWidth="0" w:num="1">
            <w:col w:w="11400"/>
          </w:cols>
          <w:pgMar w:left="240" w:top="559" w:right="259" w:bottom="1440" w:gutter="0" w:footer="0" w:header="0"/>
        </w:sectPr>
      </w:pPr>
    </w:p>
    <w:bookmarkStart w:id="13" w:name="page14"/>
    <w:bookmarkEnd w:id="13"/>
    <w:p>
      <w:pPr>
        <w:spacing w:after="0"/>
        <w:rPr>
          <w:sz w:val="20"/>
          <w:szCs w:val="20"/>
          <w:color w:val="auto"/>
        </w:rPr>
      </w:pPr>
      <w:r>
        <w:rPr>
          <w:rFonts w:ascii="Arial" w:cs="Arial" w:eastAsia="Arial" w:hAnsi="Arial"/>
          <w:sz w:val="23"/>
          <w:szCs w:val="23"/>
          <w:b w:val="1"/>
          <w:bCs w:val="1"/>
          <w:color w:val="1CA8E1"/>
        </w:rPr>
        <w:t>Class of 2019</w:t>
      </w:r>
    </w:p>
    <w:p>
      <w:pPr>
        <w:spacing w:after="0" w:line="27"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color w:val="auto"/>
        </w:rPr>
        <w:t>The following four directors will seek election at this year's annual meeting. Three of these directors are standing for reelection; Carolyn Bertozzi is seeking election for the first time. See “Item 1. Election of Directors” above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90170</wp:posOffset>
            </wp:positionV>
            <wp:extent cx="591820" cy="5918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1820" cy="5918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640"/>
        <w:spacing w:after="0"/>
        <w:rPr>
          <w:sz w:val="20"/>
          <w:szCs w:val="20"/>
          <w:color w:val="auto"/>
        </w:rPr>
      </w:pPr>
      <w:r>
        <w:rPr>
          <w:rFonts w:ascii="Arial" w:cs="Arial" w:eastAsia="Arial" w:hAnsi="Arial"/>
          <w:sz w:val="27"/>
          <w:szCs w:val="27"/>
          <w:b w:val="1"/>
          <w:bCs w:val="1"/>
          <w:color w:val="EF3729"/>
        </w:rPr>
        <w:t>Ralph Alvarez</w:t>
      </w:r>
    </w:p>
    <w:p>
      <w:pPr>
        <w:spacing w:after="0" w:line="146"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xml:space="preserve">Age: 63, Director since 2009,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Compensation (chair); Science and Technology</w:t>
      </w: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520" w:type="dxa"/>
            <w:vAlign w:val="bottom"/>
            <w:tcBorders>
              <w:lef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PUBLIC BOARDS</w:t>
            </w:r>
          </w:p>
        </w:tc>
        <w:tc>
          <w:tcPr>
            <w:tcW w:w="350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BE8"/>
              </w:rPr>
              <w:t>PRIOR PUBLIC BOARDS</w:t>
            </w:r>
          </w:p>
        </w:tc>
        <w:tc>
          <w:tcPr>
            <w:tcW w:w="5420" w:type="dxa"/>
            <w:vAlign w:val="bottom"/>
            <w:tcBorders>
              <w:right w:val="single" w:sz="8" w:color="F4F6F6"/>
            </w:tcBorders>
            <w:shd w:val="clear" w:color="auto" w:fill="F4F6F6"/>
          </w:tcPr>
          <w:p>
            <w:pPr>
              <w:ind w:left="520"/>
              <w:spacing w:after="0"/>
              <w:rPr>
                <w:sz w:val="20"/>
                <w:szCs w:val="20"/>
                <w:color w:val="auto"/>
              </w:rPr>
            </w:pPr>
            <w:r>
              <w:rPr>
                <w:rFonts w:ascii="Arial" w:cs="Arial" w:eastAsia="Arial" w:hAnsi="Arial"/>
                <w:sz w:val="16"/>
                <w:szCs w:val="16"/>
                <w:b w:val="1"/>
                <w:bCs w:val="1"/>
                <w:color w:val="00ABE8"/>
              </w:rPr>
              <w:t>MEMBERSHIPS + OTHER ORGANIZATIONS</w:t>
            </w:r>
          </w:p>
        </w:tc>
        <w:tc>
          <w:tcPr>
            <w:tcW w:w="0" w:type="dxa"/>
            <w:vAlign w:val="bottom"/>
          </w:tcPr>
          <w:p>
            <w:pPr>
              <w:spacing w:after="0"/>
              <w:rPr>
                <w:sz w:val="1"/>
                <w:szCs w:val="1"/>
                <w:color w:val="auto"/>
              </w:rPr>
            </w:pPr>
          </w:p>
        </w:tc>
      </w:tr>
      <w:tr>
        <w:trPr>
          <w:trHeight w:val="228"/>
        </w:trPr>
        <w:tc>
          <w:tcPr>
            <w:tcW w:w="2520" w:type="dxa"/>
            <w:vAlign w:val="bottom"/>
            <w:tcBorders>
              <w:left w:val="single" w:sz="8" w:color="F4F6F6"/>
            </w:tcBorders>
            <w:vMerge w:val="restart"/>
          </w:tcPr>
          <w:p>
            <w:pPr>
              <w:ind w:left="40"/>
              <w:spacing w:after="0"/>
              <w:rPr>
                <w:sz w:val="20"/>
                <w:szCs w:val="20"/>
                <w:color w:val="auto"/>
              </w:rPr>
            </w:pPr>
            <w:r>
              <w:rPr>
                <w:rFonts w:ascii="Arial" w:cs="Arial" w:eastAsia="Arial" w:hAnsi="Arial"/>
                <w:sz w:val="16"/>
                <w:szCs w:val="16"/>
                <w:color w:val="auto"/>
              </w:rPr>
              <w:t>Lowe's Corporation, Inc.;</w:t>
            </w:r>
          </w:p>
        </w:tc>
        <w:tc>
          <w:tcPr>
            <w:tcW w:w="3500" w:type="dxa"/>
            <w:vAlign w:val="bottom"/>
          </w:tcPr>
          <w:p>
            <w:pPr>
              <w:ind w:left="20"/>
              <w:spacing w:after="0"/>
              <w:rPr>
                <w:sz w:val="20"/>
                <w:szCs w:val="20"/>
                <w:color w:val="auto"/>
              </w:rPr>
            </w:pPr>
            <w:r>
              <w:rPr>
                <w:rFonts w:ascii="Arial" w:cs="Arial" w:eastAsia="Arial" w:hAnsi="Arial"/>
                <w:sz w:val="16"/>
                <w:szCs w:val="16"/>
                <w:color w:val="auto"/>
              </w:rPr>
              <w:t>McDonald's Corporation; KeyCorp;</w:t>
            </w:r>
          </w:p>
        </w:tc>
        <w:tc>
          <w:tcPr>
            <w:tcW w:w="5420" w:type="dxa"/>
            <w:vAlign w:val="bottom"/>
            <w:tcBorders>
              <w:right w:val="single" w:sz="8" w:color="F4F6F6"/>
            </w:tcBorders>
          </w:tcPr>
          <w:p>
            <w:pPr>
              <w:ind w:left="520"/>
              <w:spacing w:after="0"/>
              <w:rPr>
                <w:sz w:val="20"/>
                <w:szCs w:val="20"/>
                <w:color w:val="auto"/>
              </w:rPr>
            </w:pPr>
            <w:r>
              <w:rPr>
                <w:rFonts w:ascii="Arial" w:cs="Arial" w:eastAsia="Arial" w:hAnsi="Arial"/>
                <w:sz w:val="16"/>
                <w:szCs w:val="16"/>
                <w:color w:val="auto"/>
              </w:rPr>
              <w:t>University of Miami: President's Council;</w:t>
            </w:r>
          </w:p>
        </w:tc>
        <w:tc>
          <w:tcPr>
            <w:tcW w:w="0" w:type="dxa"/>
            <w:vAlign w:val="bottom"/>
          </w:tcPr>
          <w:p>
            <w:pPr>
              <w:spacing w:after="0"/>
              <w:rPr>
                <w:sz w:val="1"/>
                <w:szCs w:val="1"/>
                <w:color w:val="auto"/>
              </w:rPr>
            </w:pPr>
          </w:p>
        </w:tc>
      </w:tr>
      <w:tr>
        <w:trPr>
          <w:trHeight w:val="189"/>
        </w:trPr>
        <w:tc>
          <w:tcPr>
            <w:tcW w:w="2520" w:type="dxa"/>
            <w:vAlign w:val="bottom"/>
            <w:tcBorders>
              <w:left w:val="single" w:sz="8" w:color="F4F6F6"/>
            </w:tcBorders>
            <w:vMerge w:val="continue"/>
          </w:tcPr>
          <w:p>
            <w:pPr>
              <w:spacing w:after="0"/>
              <w:rPr>
                <w:sz w:val="16"/>
                <w:szCs w:val="16"/>
                <w:color w:val="auto"/>
              </w:rPr>
            </w:pPr>
          </w:p>
        </w:tc>
        <w:tc>
          <w:tcPr>
            <w:tcW w:w="3500" w:type="dxa"/>
            <w:vAlign w:val="bottom"/>
          </w:tcPr>
          <w:p>
            <w:pPr>
              <w:spacing w:after="0"/>
              <w:rPr>
                <w:sz w:val="16"/>
                <w:szCs w:val="16"/>
                <w:color w:val="auto"/>
              </w:rPr>
            </w:pPr>
          </w:p>
        </w:tc>
        <w:tc>
          <w:tcPr>
            <w:tcW w:w="5420" w:type="dxa"/>
            <w:vAlign w:val="bottom"/>
            <w:tcBorders>
              <w:right w:val="single" w:sz="8" w:color="F4F6F6"/>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520" w:type="dxa"/>
            <w:vAlign w:val="bottom"/>
            <w:tcBorders>
              <w:left w:val="single" w:sz="8" w:color="F4F6F6"/>
            </w:tcBorders>
          </w:tcPr>
          <w:p>
            <w:pPr>
              <w:ind w:left="40"/>
              <w:spacing w:after="0"/>
              <w:rPr>
                <w:sz w:val="20"/>
                <w:szCs w:val="20"/>
                <w:color w:val="auto"/>
              </w:rPr>
            </w:pPr>
            <w:r>
              <w:rPr>
                <w:rFonts w:ascii="Arial" w:cs="Arial" w:eastAsia="Arial" w:hAnsi="Arial"/>
                <w:sz w:val="16"/>
                <w:szCs w:val="16"/>
                <w:color w:val="auto"/>
              </w:rPr>
              <w:t>Dunkin' Brand Group, Inc.</w:t>
            </w:r>
          </w:p>
        </w:tc>
        <w:tc>
          <w:tcPr>
            <w:tcW w:w="3500" w:type="dxa"/>
            <w:vAlign w:val="bottom"/>
          </w:tcPr>
          <w:p>
            <w:pPr>
              <w:ind w:left="20"/>
              <w:spacing w:after="0"/>
              <w:rPr>
                <w:sz w:val="20"/>
                <w:szCs w:val="20"/>
                <w:color w:val="auto"/>
              </w:rPr>
            </w:pPr>
            <w:r>
              <w:rPr>
                <w:rFonts w:ascii="Arial" w:cs="Arial" w:eastAsia="Arial" w:hAnsi="Arial"/>
                <w:sz w:val="16"/>
                <w:szCs w:val="16"/>
                <w:color w:val="auto"/>
              </w:rPr>
              <w:t>Skylark Co., Ltd; Realogy Holdings Corp.</w:t>
            </w:r>
          </w:p>
        </w:tc>
        <w:tc>
          <w:tcPr>
            <w:tcW w:w="5420" w:type="dxa"/>
            <w:vAlign w:val="bottom"/>
            <w:tcBorders>
              <w:right w:val="single" w:sz="8" w:color="F4F6F6"/>
            </w:tcBorders>
          </w:tcPr>
          <w:p>
            <w:pPr>
              <w:ind w:left="520"/>
              <w:spacing w:after="0"/>
              <w:rPr>
                <w:sz w:val="20"/>
                <w:szCs w:val="20"/>
                <w:color w:val="auto"/>
              </w:rPr>
            </w:pPr>
            <w:r>
              <w:rPr>
                <w:rFonts w:ascii="Arial" w:cs="Arial" w:eastAsia="Arial" w:hAnsi="Arial"/>
                <w:sz w:val="16"/>
                <w:szCs w:val="16"/>
                <w:color w:val="auto"/>
              </w:rPr>
              <w:t>School of Business Administration Board of</w:t>
            </w:r>
          </w:p>
        </w:tc>
        <w:tc>
          <w:tcPr>
            <w:tcW w:w="0" w:type="dxa"/>
            <w:vAlign w:val="bottom"/>
          </w:tcPr>
          <w:p>
            <w:pPr>
              <w:spacing w:after="0"/>
              <w:rPr>
                <w:sz w:val="1"/>
                <w:szCs w:val="1"/>
                <w:color w:val="auto"/>
              </w:rPr>
            </w:pPr>
          </w:p>
        </w:tc>
      </w:tr>
      <w:tr>
        <w:trPr>
          <w:trHeight w:val="243"/>
        </w:trPr>
        <w:tc>
          <w:tcPr>
            <w:tcW w:w="2520" w:type="dxa"/>
            <w:vAlign w:val="bottom"/>
            <w:tcBorders>
              <w:left w:val="single" w:sz="8" w:color="F4F6F6"/>
            </w:tcBorders>
          </w:tcPr>
          <w:p>
            <w:pPr>
              <w:spacing w:after="0"/>
              <w:rPr>
                <w:sz w:val="21"/>
                <w:szCs w:val="21"/>
                <w:color w:val="auto"/>
              </w:rPr>
            </w:pPr>
          </w:p>
        </w:tc>
        <w:tc>
          <w:tcPr>
            <w:tcW w:w="3500" w:type="dxa"/>
            <w:vAlign w:val="bottom"/>
          </w:tcPr>
          <w:p>
            <w:pPr>
              <w:spacing w:after="0"/>
              <w:rPr>
                <w:sz w:val="21"/>
                <w:szCs w:val="21"/>
                <w:color w:val="auto"/>
              </w:rPr>
            </w:pPr>
          </w:p>
        </w:tc>
        <w:tc>
          <w:tcPr>
            <w:tcW w:w="5420" w:type="dxa"/>
            <w:vAlign w:val="bottom"/>
            <w:tcBorders>
              <w:right w:val="single" w:sz="8" w:color="F4F6F6"/>
            </w:tcBorders>
          </w:tcPr>
          <w:p>
            <w:pPr>
              <w:ind w:left="520"/>
              <w:spacing w:after="0"/>
              <w:rPr>
                <w:sz w:val="20"/>
                <w:szCs w:val="20"/>
                <w:color w:val="auto"/>
              </w:rPr>
            </w:pPr>
            <w:r>
              <w:rPr>
                <w:rFonts w:ascii="Arial" w:cs="Arial" w:eastAsia="Arial" w:hAnsi="Arial"/>
                <w:sz w:val="16"/>
                <w:szCs w:val="16"/>
                <w:color w:val="auto"/>
              </w:rPr>
              <w:t>Overseers</w:t>
            </w:r>
          </w:p>
        </w:tc>
        <w:tc>
          <w:tcPr>
            <w:tcW w:w="0" w:type="dxa"/>
            <w:vAlign w:val="bottom"/>
          </w:tcPr>
          <w:p>
            <w:pPr>
              <w:spacing w:after="0"/>
              <w:rPr>
                <w:sz w:val="1"/>
                <w:szCs w:val="1"/>
                <w:color w:val="auto"/>
              </w:rPr>
            </w:pPr>
          </w:p>
        </w:tc>
      </w:tr>
      <w:tr>
        <w:trPr>
          <w:trHeight w:val="205"/>
        </w:trPr>
        <w:tc>
          <w:tcPr>
            <w:tcW w:w="2520" w:type="dxa"/>
            <w:vAlign w:val="bottom"/>
            <w:tcBorders>
              <w:left w:val="single" w:sz="8" w:color="F4F6F6"/>
            </w:tcBorders>
          </w:tcPr>
          <w:p>
            <w:pPr>
              <w:spacing w:after="0"/>
              <w:rPr>
                <w:sz w:val="17"/>
                <w:szCs w:val="17"/>
                <w:color w:val="auto"/>
              </w:rPr>
            </w:pPr>
          </w:p>
        </w:tc>
        <w:tc>
          <w:tcPr>
            <w:tcW w:w="3500" w:type="dxa"/>
            <w:vAlign w:val="bottom"/>
          </w:tcPr>
          <w:p>
            <w:pPr>
              <w:spacing w:after="0"/>
              <w:rPr>
                <w:sz w:val="17"/>
                <w:szCs w:val="17"/>
                <w:color w:val="auto"/>
              </w:rPr>
            </w:pPr>
          </w:p>
        </w:tc>
        <w:tc>
          <w:tcPr>
            <w:tcW w:w="5420" w:type="dxa"/>
            <w:vAlign w:val="bottom"/>
            <w:tcBorders>
              <w:right w:val="single" w:sz="8" w:color="F4F6F6"/>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5487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00ABE8"/>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54875" cy="1209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1209040"/>
                    </a:xfrm>
                    <a:prstGeom prst="rect">
                      <a:avLst/>
                    </a:prstGeom>
                    <a:noFill/>
                  </pic:spPr>
                </pic:pic>
              </a:graphicData>
            </a:graphic>
          </wp:anchor>
        </w:drawing>
      </w:r>
    </w:p>
    <w:p>
      <w:pPr>
        <w:spacing w:after="0" w:line="39" w:lineRule="exact"/>
        <w:rPr>
          <w:sz w:val="20"/>
          <w:szCs w:val="20"/>
          <w:color w:val="auto"/>
        </w:rPr>
      </w:pPr>
    </w:p>
    <w:p>
      <w:pPr>
        <w:ind w:left="160" w:hanging="111"/>
        <w:spacing w:after="0"/>
        <w:tabs>
          <w:tab w:leader="none" w:pos="1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Advent International Corporation, </w:t>
      </w:r>
      <w:r>
        <w:rPr>
          <w:rFonts w:ascii="Arial" w:cs="Arial" w:eastAsia="Arial" w:hAnsi="Arial"/>
          <w:sz w:val="16"/>
          <w:szCs w:val="16"/>
          <w:color w:val="auto"/>
        </w:rPr>
        <w:t>a leading global private equity firm</w:t>
      </w:r>
    </w:p>
    <w:p>
      <w:pPr>
        <w:spacing w:after="0" w:line="250" w:lineRule="exact"/>
        <w:rPr>
          <w:rFonts w:ascii="Arial" w:cs="Arial" w:eastAsia="Arial" w:hAnsi="Arial"/>
          <w:sz w:val="16"/>
          <w:szCs w:val="16"/>
          <w:color w:val="auto"/>
        </w:rPr>
      </w:pPr>
    </w:p>
    <w:p>
      <w:pPr>
        <w:ind w:left="380" w:hanging="106"/>
        <w:spacing w:after="0"/>
        <w:tabs>
          <w:tab w:leader="none" w:pos="3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Operating Partner (2017 - present)</w:t>
      </w:r>
    </w:p>
    <w:p>
      <w:pPr>
        <w:spacing w:after="0" w:line="57" w:lineRule="exact"/>
        <w:rPr>
          <w:rFonts w:ascii="Arial" w:cs="Arial" w:eastAsia="Arial" w:hAnsi="Arial"/>
          <w:sz w:val="16"/>
          <w:szCs w:val="16"/>
          <w:color w:val="auto"/>
        </w:rPr>
      </w:pPr>
    </w:p>
    <w:p>
      <w:pPr>
        <w:ind w:left="160" w:hanging="111"/>
        <w:spacing w:after="0"/>
        <w:tabs>
          <w:tab w:leader="none" w:pos="1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Skylark Co. Ltd., </w:t>
      </w:r>
      <w:r>
        <w:rPr>
          <w:rFonts w:ascii="Arial" w:cs="Arial" w:eastAsia="Arial" w:hAnsi="Arial"/>
          <w:sz w:val="16"/>
          <w:szCs w:val="16"/>
          <w:color w:val="auto"/>
        </w:rPr>
        <w:t>a leading restaurant operator in Japan</w:t>
      </w:r>
    </w:p>
    <w:p>
      <w:pPr>
        <w:spacing w:after="0" w:line="61" w:lineRule="exact"/>
        <w:rPr>
          <w:rFonts w:ascii="Arial" w:cs="Arial" w:eastAsia="Arial" w:hAnsi="Arial"/>
          <w:sz w:val="16"/>
          <w:szCs w:val="16"/>
          <w:b w:val="1"/>
          <w:bCs w:val="1"/>
          <w:color w:val="auto"/>
        </w:rPr>
      </w:pPr>
    </w:p>
    <w:p>
      <w:pPr>
        <w:ind w:left="380" w:hanging="106"/>
        <w:spacing w:after="0"/>
        <w:tabs>
          <w:tab w:leader="none" w:pos="3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Chairman of the Board (2013 - 2018)</w:t>
      </w:r>
    </w:p>
    <w:p>
      <w:pPr>
        <w:spacing w:after="0" w:line="57" w:lineRule="exact"/>
        <w:rPr>
          <w:rFonts w:ascii="Arial" w:cs="Arial" w:eastAsia="Arial" w:hAnsi="Arial"/>
          <w:sz w:val="16"/>
          <w:szCs w:val="16"/>
          <w:color w:val="auto"/>
        </w:rPr>
      </w:pPr>
    </w:p>
    <w:p>
      <w:pPr>
        <w:ind w:left="160" w:hanging="111"/>
        <w:spacing w:after="0"/>
        <w:tabs>
          <w:tab w:leader="none" w:pos="1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McDonald's Corporation</w:t>
      </w:r>
    </w:p>
    <w:p>
      <w:pPr>
        <w:spacing w:after="0" w:line="61" w:lineRule="exact"/>
        <w:rPr>
          <w:rFonts w:ascii="Arial" w:cs="Arial" w:eastAsia="Arial" w:hAnsi="Arial"/>
          <w:sz w:val="16"/>
          <w:szCs w:val="16"/>
          <w:color w:val="auto"/>
        </w:rPr>
      </w:pPr>
    </w:p>
    <w:p>
      <w:pPr>
        <w:ind w:left="380" w:hanging="106"/>
        <w:spacing w:after="0"/>
        <w:tabs>
          <w:tab w:leader="none" w:pos="3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President and Chief Operating Officer (2006 - 2009)</w:t>
      </w:r>
    </w:p>
    <w:p>
      <w:pPr>
        <w:spacing w:after="0" w:line="70"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6"/>
          <w:szCs w:val="16"/>
          <w:b w:val="1"/>
          <w:bCs w:val="1"/>
          <w:color w:val="00ABE8"/>
        </w:rPr>
        <w:t>QUALIFICATIONS</w:t>
      </w:r>
    </w:p>
    <w:p>
      <w:pPr>
        <w:spacing w:after="0" w:line="61" w:lineRule="exact"/>
        <w:rPr>
          <w:rFonts w:ascii="Arial" w:cs="Arial" w:eastAsia="Arial" w:hAnsi="Arial"/>
          <w:sz w:val="16"/>
          <w:szCs w:val="16"/>
          <w:color w:val="auto"/>
        </w:rPr>
      </w:pPr>
    </w:p>
    <w:p>
      <w:pPr>
        <w:ind w:left="40" w:right="2780"/>
        <w:spacing w:after="0" w:line="332" w:lineRule="auto"/>
        <w:rPr>
          <w:rFonts w:ascii="Arial" w:cs="Arial" w:eastAsia="Arial" w:hAnsi="Arial"/>
          <w:sz w:val="16"/>
          <w:szCs w:val="16"/>
          <w:color w:val="auto"/>
        </w:rPr>
      </w:pPr>
      <w:r>
        <w:rPr>
          <w:rFonts w:ascii="Arial" w:cs="Arial" w:eastAsia="Arial" w:hAnsi="Arial"/>
          <w:sz w:val="16"/>
          <w:szCs w:val="16"/>
          <w:color w:val="auto"/>
        </w:rPr>
        <w:t>Through his positions at Skylark Co., Ltd., and McDonald's Corporation, as well as with other global restaurant businesses, Mr. Alvarez has extensive experience in consumer marketing, global operations, international business, and strategic planning. His international experience includes a special focus on Japan and emerging markets. He also has extensive corporate governance experience through his service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254875" cy="626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626110"/>
                    </a:xfrm>
                    <a:prstGeom prst="rect">
                      <a:avLst/>
                    </a:prstGeom>
                    <a:noFill/>
                  </pic:spPr>
                </pic:pic>
              </a:graphicData>
            </a:graphic>
          </wp:anchor>
        </w:drawing>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P10</w:t>
      </w:r>
    </w:p>
    <w:p>
      <w:pPr>
        <w:sectPr>
          <w:pgSz w:w="11900" w:h="16838" w:orient="portrait"/>
          <w:cols w:equalWidth="0" w:num="1">
            <w:col w:w="11440"/>
          </w:cols>
          <w:pgMar w:left="240" w:top="557" w:right="219" w:bottom="1440" w:gutter="0" w:footer="0" w:header="0"/>
        </w:sectPr>
      </w:pPr>
    </w:p>
    <w:bookmarkStart w:id="14" w:name="page15"/>
    <w:bookmarkEnd w:id="14"/>
    <w:p>
      <w:pPr>
        <w:ind w:left="1620"/>
        <w:spacing w:after="0"/>
        <w:rPr>
          <w:sz w:val="20"/>
          <w:szCs w:val="20"/>
          <w:color w:val="auto"/>
        </w:rPr>
      </w:pPr>
      <w:r>
        <w:rPr>
          <w:rFonts w:ascii="Arial" w:cs="Arial" w:eastAsia="Arial" w:hAnsi="Arial"/>
          <w:sz w:val="27"/>
          <w:szCs w:val="27"/>
          <w:b w:val="1"/>
          <w:bCs w:val="1"/>
          <w:color w:val="EF3729"/>
        </w:rPr>
        <w:drawing>
          <wp:anchor simplePos="0" relativeHeight="251657728" behindDoc="1" locked="0" layoutInCell="0" allowOverlap="1">
            <wp:simplePos x="0" y="0"/>
            <wp:positionH relativeFrom="page">
              <wp:posOffset>372110</wp:posOffset>
            </wp:positionH>
            <wp:positionV relativeFrom="page">
              <wp:posOffset>474980</wp:posOffset>
            </wp:positionV>
            <wp:extent cx="591820" cy="5918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91820" cy="591820"/>
                    </a:xfrm>
                    <a:prstGeom prst="rect">
                      <a:avLst/>
                    </a:prstGeom>
                    <a:noFill/>
                  </pic:spPr>
                </pic:pic>
              </a:graphicData>
            </a:graphic>
          </wp:anchor>
        </w:drawing>
        <w:t>Carolyn R. Bertozzi, Ph.D.</w:t>
      </w:r>
    </w:p>
    <w:p>
      <w:pPr>
        <w:spacing w:after="0" w:line="146"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 xml:space="preserve">Age: 52, Director since 2017,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Public Policy and Compliance; Science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54875" cy="18440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1844040"/>
                    </a:xfrm>
                    <a:prstGeom prst="rect">
                      <a:avLst/>
                    </a:prstGeom>
                    <a:noFill/>
                  </pic:spPr>
                </pic:pic>
              </a:graphicData>
            </a:graphic>
          </wp:anchor>
        </w:drawing>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840" w:type="dxa"/>
            <w:vAlign w:val="bottom"/>
            <w:tcBorders>
              <w:left w:val="single" w:sz="8" w:color="F4F6F6"/>
              <w:bottom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PUBLIC BOARDS</w:t>
            </w:r>
          </w:p>
        </w:tc>
        <w:tc>
          <w:tcPr>
            <w:tcW w:w="2320" w:type="dxa"/>
            <w:vAlign w:val="bottom"/>
            <w:tcBorders>
              <w:bottom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NON-PROFIT BOARDS</w:t>
            </w:r>
          </w:p>
        </w:tc>
        <w:tc>
          <w:tcPr>
            <w:tcW w:w="7260" w:type="dxa"/>
            <w:vAlign w:val="bottom"/>
            <w:tcBorders>
              <w:bottom w:val="single" w:sz="8" w:color="F4F6F6"/>
            </w:tcBorders>
            <w:shd w:val="clear" w:color="auto" w:fill="F4F6F6"/>
          </w:tcPr>
          <w:p>
            <w:pPr>
              <w:ind w:left="340"/>
              <w:spacing w:after="0"/>
              <w:rPr>
                <w:sz w:val="20"/>
                <w:szCs w:val="20"/>
                <w:color w:val="auto"/>
              </w:rPr>
            </w:pPr>
            <w:r>
              <w:rPr>
                <w:rFonts w:ascii="Arial" w:cs="Arial" w:eastAsia="Arial" w:hAnsi="Arial"/>
                <w:sz w:val="16"/>
                <w:szCs w:val="16"/>
                <w:b w:val="1"/>
                <w:bCs w:val="1"/>
                <w:color w:val="00ABE8"/>
              </w:rPr>
              <w:t>MEMBERSHIPS + OTHER ORGANIZATIONS</w:t>
            </w:r>
          </w:p>
        </w:tc>
        <w:tc>
          <w:tcPr>
            <w:tcW w:w="20" w:type="dxa"/>
            <w:vAlign w:val="bottom"/>
            <w:tcBorders>
              <w:bottom w:val="single" w:sz="8" w:color="F4F6F6"/>
            </w:tcBorders>
          </w:tcPr>
          <w:p>
            <w:pPr>
              <w:spacing w:after="0"/>
              <w:rPr>
                <w:sz w:val="21"/>
                <w:szCs w:val="21"/>
                <w:color w:val="auto"/>
              </w:rPr>
            </w:pPr>
          </w:p>
        </w:tc>
      </w:tr>
      <w:tr>
        <w:trPr>
          <w:trHeight w:val="225"/>
        </w:trPr>
        <w:tc>
          <w:tcPr>
            <w:tcW w:w="1840" w:type="dxa"/>
            <w:vAlign w:val="bottom"/>
            <w:tcBorders>
              <w:left w:val="single" w:sz="8" w:color="F4F6F6"/>
            </w:tcBorders>
          </w:tcPr>
          <w:p>
            <w:pPr>
              <w:ind w:left="40"/>
              <w:spacing w:after="0"/>
              <w:rPr>
                <w:sz w:val="20"/>
                <w:szCs w:val="20"/>
                <w:color w:val="auto"/>
              </w:rPr>
            </w:pPr>
            <w:r>
              <w:rPr>
                <w:rFonts w:ascii="Arial" w:cs="Arial" w:eastAsia="Arial" w:hAnsi="Arial"/>
                <w:sz w:val="16"/>
                <w:szCs w:val="16"/>
                <w:color w:val="auto"/>
              </w:rPr>
              <w:t>Catalent</w:t>
            </w:r>
          </w:p>
        </w:tc>
        <w:tc>
          <w:tcPr>
            <w:tcW w:w="2320" w:type="dxa"/>
            <w:vAlign w:val="bottom"/>
          </w:tcPr>
          <w:p>
            <w:pPr>
              <w:ind w:left="40"/>
              <w:spacing w:after="0"/>
              <w:rPr>
                <w:sz w:val="20"/>
                <w:szCs w:val="20"/>
                <w:color w:val="auto"/>
              </w:rPr>
            </w:pPr>
            <w:r>
              <w:rPr>
                <w:rFonts w:ascii="Arial" w:cs="Arial" w:eastAsia="Arial" w:hAnsi="Arial"/>
                <w:sz w:val="16"/>
                <w:szCs w:val="16"/>
                <w:color w:val="auto"/>
              </w:rPr>
              <w:t>Grace Science Foundation;</w:t>
            </w:r>
          </w:p>
        </w:tc>
        <w:tc>
          <w:tcPr>
            <w:tcW w:w="7260" w:type="dxa"/>
            <w:vAlign w:val="bottom"/>
          </w:tcPr>
          <w:p>
            <w:pPr>
              <w:ind w:left="340"/>
              <w:spacing w:after="0"/>
              <w:rPr>
                <w:sz w:val="20"/>
                <w:szCs w:val="20"/>
                <w:color w:val="auto"/>
              </w:rPr>
            </w:pPr>
            <w:r>
              <w:rPr>
                <w:rFonts w:ascii="Arial" w:cs="Arial" w:eastAsia="Arial" w:hAnsi="Arial"/>
                <w:sz w:val="16"/>
                <w:szCs w:val="16"/>
                <w:color w:val="auto"/>
              </w:rPr>
              <w:t>American Chemical Society; American Society for Biochemistry and</w:t>
            </w:r>
          </w:p>
        </w:tc>
        <w:tc>
          <w:tcPr>
            <w:tcW w:w="20" w:type="dxa"/>
            <w:vAlign w:val="bottom"/>
          </w:tcPr>
          <w:p>
            <w:pPr>
              <w:spacing w:after="0"/>
              <w:rPr>
                <w:sz w:val="19"/>
                <w:szCs w:val="19"/>
                <w:color w:val="auto"/>
              </w:rPr>
            </w:pPr>
          </w:p>
        </w:tc>
      </w:tr>
      <w:tr>
        <w:trPr>
          <w:trHeight w:val="270"/>
        </w:trPr>
        <w:tc>
          <w:tcPr>
            <w:tcW w:w="1840" w:type="dxa"/>
            <w:vAlign w:val="bottom"/>
            <w:tcBorders>
              <w:left w:val="single" w:sz="8" w:color="F4F6F6"/>
            </w:tcBorders>
          </w:tcPr>
          <w:p>
            <w:pPr>
              <w:spacing w:after="0"/>
              <w:rPr>
                <w:sz w:val="23"/>
                <w:szCs w:val="23"/>
                <w:color w:val="auto"/>
              </w:rPr>
            </w:pPr>
          </w:p>
        </w:tc>
        <w:tc>
          <w:tcPr>
            <w:tcW w:w="2320" w:type="dxa"/>
            <w:vAlign w:val="bottom"/>
          </w:tcPr>
          <w:p>
            <w:pPr>
              <w:ind w:left="40"/>
              <w:spacing w:after="0"/>
              <w:rPr>
                <w:sz w:val="20"/>
                <w:szCs w:val="20"/>
                <w:color w:val="auto"/>
              </w:rPr>
            </w:pPr>
            <w:r>
              <w:rPr>
                <w:rFonts w:ascii="Arial" w:cs="Arial" w:eastAsia="Arial" w:hAnsi="Arial"/>
                <w:sz w:val="16"/>
                <w:szCs w:val="16"/>
                <w:color w:val="auto"/>
              </w:rPr>
              <w:t>Glenn Foundation</w:t>
            </w:r>
          </w:p>
        </w:tc>
        <w:tc>
          <w:tcPr>
            <w:tcW w:w="7260" w:type="dxa"/>
            <w:vAlign w:val="bottom"/>
          </w:tcPr>
          <w:p>
            <w:pPr>
              <w:ind w:left="340"/>
              <w:spacing w:after="0"/>
              <w:rPr>
                <w:sz w:val="20"/>
                <w:szCs w:val="20"/>
                <w:color w:val="auto"/>
              </w:rPr>
            </w:pPr>
            <w:r>
              <w:rPr>
                <w:rFonts w:ascii="Arial" w:cs="Arial" w:eastAsia="Arial" w:hAnsi="Arial"/>
                <w:sz w:val="16"/>
                <w:szCs w:val="16"/>
                <w:color w:val="auto"/>
              </w:rPr>
              <w:t>Molecular Biology; American Chemical Society Publications, Editor-in-</w:t>
            </w:r>
          </w:p>
        </w:tc>
        <w:tc>
          <w:tcPr>
            <w:tcW w:w="20" w:type="dxa"/>
            <w:vAlign w:val="bottom"/>
          </w:tcPr>
          <w:p>
            <w:pPr>
              <w:spacing w:after="0"/>
              <w:rPr>
                <w:sz w:val="23"/>
                <w:szCs w:val="23"/>
                <w:color w:val="auto"/>
              </w:rPr>
            </w:pPr>
          </w:p>
        </w:tc>
      </w:tr>
      <w:tr>
        <w:trPr>
          <w:trHeight w:val="270"/>
        </w:trPr>
        <w:tc>
          <w:tcPr>
            <w:tcW w:w="1840" w:type="dxa"/>
            <w:vAlign w:val="bottom"/>
            <w:tcBorders>
              <w:left w:val="single" w:sz="8" w:color="F4F6F6"/>
            </w:tcBorders>
          </w:tcPr>
          <w:p>
            <w:pPr>
              <w:spacing w:after="0"/>
              <w:rPr>
                <w:sz w:val="23"/>
                <w:szCs w:val="23"/>
                <w:color w:val="auto"/>
              </w:rPr>
            </w:pPr>
          </w:p>
        </w:tc>
        <w:tc>
          <w:tcPr>
            <w:tcW w:w="2320" w:type="dxa"/>
            <w:vAlign w:val="bottom"/>
          </w:tcPr>
          <w:p>
            <w:pPr>
              <w:spacing w:after="0"/>
              <w:rPr>
                <w:sz w:val="23"/>
                <w:szCs w:val="23"/>
                <w:color w:val="auto"/>
              </w:rPr>
            </w:pPr>
          </w:p>
        </w:tc>
        <w:tc>
          <w:tcPr>
            <w:tcW w:w="7260" w:type="dxa"/>
            <w:vAlign w:val="bottom"/>
          </w:tcPr>
          <w:p>
            <w:pPr>
              <w:ind w:left="340"/>
              <w:spacing w:after="0"/>
              <w:rPr>
                <w:sz w:val="20"/>
                <w:szCs w:val="20"/>
                <w:color w:val="auto"/>
              </w:rPr>
            </w:pPr>
            <w:r>
              <w:rPr>
                <w:rFonts w:ascii="Arial" w:cs="Arial" w:eastAsia="Arial" w:hAnsi="Arial"/>
                <w:sz w:val="16"/>
                <w:szCs w:val="16"/>
                <w:color w:val="auto"/>
              </w:rPr>
              <w:t>Chief of ACS Central Science; National Academy of Medicine; National</w:t>
            </w:r>
          </w:p>
        </w:tc>
        <w:tc>
          <w:tcPr>
            <w:tcW w:w="20" w:type="dxa"/>
            <w:vAlign w:val="bottom"/>
          </w:tcPr>
          <w:p>
            <w:pPr>
              <w:spacing w:after="0"/>
              <w:rPr>
                <w:sz w:val="23"/>
                <w:szCs w:val="23"/>
                <w:color w:val="auto"/>
              </w:rPr>
            </w:pPr>
          </w:p>
        </w:tc>
      </w:tr>
      <w:tr>
        <w:trPr>
          <w:trHeight w:val="270"/>
        </w:trPr>
        <w:tc>
          <w:tcPr>
            <w:tcW w:w="1840" w:type="dxa"/>
            <w:vAlign w:val="bottom"/>
            <w:tcBorders>
              <w:left w:val="single" w:sz="8" w:color="F4F6F6"/>
            </w:tcBorders>
          </w:tcPr>
          <w:p>
            <w:pPr>
              <w:spacing w:after="0"/>
              <w:rPr>
                <w:sz w:val="23"/>
                <w:szCs w:val="23"/>
                <w:color w:val="auto"/>
              </w:rPr>
            </w:pPr>
          </w:p>
        </w:tc>
        <w:tc>
          <w:tcPr>
            <w:tcW w:w="2320" w:type="dxa"/>
            <w:vAlign w:val="bottom"/>
          </w:tcPr>
          <w:p>
            <w:pPr>
              <w:spacing w:after="0"/>
              <w:rPr>
                <w:sz w:val="23"/>
                <w:szCs w:val="23"/>
                <w:color w:val="auto"/>
              </w:rPr>
            </w:pPr>
          </w:p>
        </w:tc>
        <w:tc>
          <w:tcPr>
            <w:tcW w:w="7260" w:type="dxa"/>
            <w:vAlign w:val="bottom"/>
          </w:tcPr>
          <w:p>
            <w:pPr>
              <w:ind w:left="340"/>
              <w:spacing w:after="0"/>
              <w:rPr>
                <w:sz w:val="20"/>
                <w:szCs w:val="20"/>
                <w:color w:val="auto"/>
              </w:rPr>
            </w:pPr>
            <w:r>
              <w:rPr>
                <w:rFonts w:ascii="Arial" w:cs="Arial" w:eastAsia="Arial" w:hAnsi="Arial"/>
                <w:sz w:val="16"/>
                <w:szCs w:val="16"/>
                <w:color w:val="auto"/>
              </w:rPr>
              <w:t>Academy of Sciences; American Academy of Arts and Sciences; National</w:t>
            </w:r>
          </w:p>
        </w:tc>
        <w:tc>
          <w:tcPr>
            <w:tcW w:w="20" w:type="dxa"/>
            <w:vAlign w:val="bottom"/>
          </w:tcPr>
          <w:p>
            <w:pPr>
              <w:spacing w:after="0"/>
              <w:rPr>
                <w:sz w:val="23"/>
                <w:szCs w:val="23"/>
                <w:color w:val="auto"/>
              </w:rPr>
            </w:pPr>
          </w:p>
        </w:tc>
      </w:tr>
      <w:tr>
        <w:trPr>
          <w:trHeight w:val="270"/>
        </w:trPr>
        <w:tc>
          <w:tcPr>
            <w:tcW w:w="1840" w:type="dxa"/>
            <w:vAlign w:val="bottom"/>
            <w:tcBorders>
              <w:left w:val="single" w:sz="8" w:color="F4F6F6"/>
            </w:tcBorders>
          </w:tcPr>
          <w:p>
            <w:pPr>
              <w:spacing w:after="0"/>
              <w:rPr>
                <w:sz w:val="23"/>
                <w:szCs w:val="23"/>
                <w:color w:val="auto"/>
              </w:rPr>
            </w:pPr>
          </w:p>
        </w:tc>
        <w:tc>
          <w:tcPr>
            <w:tcW w:w="2320" w:type="dxa"/>
            <w:vAlign w:val="bottom"/>
          </w:tcPr>
          <w:p>
            <w:pPr>
              <w:spacing w:after="0"/>
              <w:rPr>
                <w:sz w:val="23"/>
                <w:szCs w:val="23"/>
                <w:color w:val="auto"/>
              </w:rPr>
            </w:pPr>
          </w:p>
        </w:tc>
        <w:tc>
          <w:tcPr>
            <w:tcW w:w="7260" w:type="dxa"/>
            <w:vAlign w:val="bottom"/>
          </w:tcPr>
          <w:p>
            <w:pPr>
              <w:ind w:left="340"/>
              <w:spacing w:after="0"/>
              <w:rPr>
                <w:sz w:val="20"/>
                <w:szCs w:val="20"/>
                <w:color w:val="auto"/>
              </w:rPr>
            </w:pPr>
            <w:r>
              <w:rPr>
                <w:rFonts w:ascii="Arial" w:cs="Arial" w:eastAsia="Arial" w:hAnsi="Arial"/>
                <w:sz w:val="16"/>
                <w:szCs w:val="16"/>
                <w:color w:val="auto"/>
              </w:rPr>
              <w:t>Academy of Inventors; German Academy of Sciences Leopoldina; Foreign</w:t>
            </w:r>
          </w:p>
        </w:tc>
        <w:tc>
          <w:tcPr>
            <w:tcW w:w="20" w:type="dxa"/>
            <w:vAlign w:val="bottom"/>
          </w:tcPr>
          <w:p>
            <w:pPr>
              <w:spacing w:after="0"/>
              <w:rPr>
                <w:sz w:val="23"/>
                <w:szCs w:val="23"/>
                <w:color w:val="auto"/>
              </w:rPr>
            </w:pPr>
          </w:p>
        </w:tc>
      </w:tr>
      <w:tr>
        <w:trPr>
          <w:trHeight w:val="279"/>
        </w:trPr>
        <w:tc>
          <w:tcPr>
            <w:tcW w:w="1840" w:type="dxa"/>
            <w:vAlign w:val="bottom"/>
            <w:tcBorders>
              <w:left w:val="single" w:sz="8" w:color="F4F6F6"/>
              <w:bottom w:val="single" w:sz="8" w:color="F4F6F6"/>
            </w:tcBorders>
          </w:tcPr>
          <w:p>
            <w:pPr>
              <w:spacing w:after="0"/>
              <w:rPr>
                <w:sz w:val="24"/>
                <w:szCs w:val="24"/>
                <w:color w:val="auto"/>
              </w:rPr>
            </w:pPr>
          </w:p>
        </w:tc>
        <w:tc>
          <w:tcPr>
            <w:tcW w:w="2320" w:type="dxa"/>
            <w:vAlign w:val="bottom"/>
            <w:tcBorders>
              <w:bottom w:val="single" w:sz="8" w:color="F4F6F6"/>
            </w:tcBorders>
          </w:tcPr>
          <w:p>
            <w:pPr>
              <w:spacing w:after="0"/>
              <w:rPr>
                <w:sz w:val="24"/>
                <w:szCs w:val="24"/>
                <w:color w:val="auto"/>
              </w:rPr>
            </w:pPr>
          </w:p>
        </w:tc>
        <w:tc>
          <w:tcPr>
            <w:tcW w:w="7260" w:type="dxa"/>
            <w:vAlign w:val="bottom"/>
            <w:tcBorders>
              <w:bottom w:val="single" w:sz="8" w:color="F4F6F6"/>
            </w:tcBorders>
          </w:tcPr>
          <w:p>
            <w:pPr>
              <w:ind w:left="340"/>
              <w:spacing w:after="0"/>
              <w:rPr>
                <w:sz w:val="20"/>
                <w:szCs w:val="20"/>
                <w:color w:val="auto"/>
              </w:rPr>
            </w:pPr>
            <w:r>
              <w:rPr>
                <w:rFonts w:ascii="Arial" w:cs="Arial" w:eastAsia="Arial" w:hAnsi="Arial"/>
                <w:sz w:val="16"/>
                <w:szCs w:val="16"/>
                <w:color w:val="auto"/>
              </w:rPr>
              <w:t>Fellow of the Royal Society</w:t>
            </w:r>
          </w:p>
        </w:tc>
        <w:tc>
          <w:tcPr>
            <w:tcW w:w="20" w:type="dxa"/>
            <w:vAlign w:val="bottom"/>
            <w:tcBorders>
              <w:bottom w:val="single" w:sz="8" w:color="F4F6F6"/>
            </w:tcBorders>
          </w:tcPr>
          <w:p>
            <w:pPr>
              <w:spacing w:after="0"/>
              <w:rPr>
                <w:sz w:val="24"/>
                <w:szCs w:val="24"/>
                <w:color w:val="auto"/>
              </w:rPr>
            </w:pPr>
          </w:p>
        </w:tc>
      </w:tr>
      <w:tr>
        <w:trPr>
          <w:trHeight w:val="284"/>
        </w:trPr>
        <w:tc>
          <w:tcPr>
            <w:tcW w:w="1840" w:type="dxa"/>
            <w:vAlign w:val="bottom"/>
            <w:tcBorders>
              <w:lef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HONORS</w:t>
            </w:r>
          </w:p>
        </w:tc>
        <w:tc>
          <w:tcPr>
            <w:tcW w:w="2320" w:type="dxa"/>
            <w:vAlign w:val="bottom"/>
            <w:shd w:val="clear" w:color="auto" w:fill="F4F6F6"/>
          </w:tcPr>
          <w:p>
            <w:pPr>
              <w:spacing w:after="0"/>
              <w:rPr>
                <w:sz w:val="24"/>
                <w:szCs w:val="24"/>
                <w:color w:val="auto"/>
              </w:rPr>
            </w:pPr>
          </w:p>
        </w:tc>
        <w:tc>
          <w:tcPr>
            <w:tcW w:w="7260" w:type="dxa"/>
            <w:vAlign w:val="bottom"/>
            <w:shd w:val="clear" w:color="auto" w:fill="F4F6F6"/>
          </w:tcPr>
          <w:p>
            <w:pPr>
              <w:spacing w:after="0"/>
              <w:rPr>
                <w:sz w:val="24"/>
                <w:szCs w:val="24"/>
                <w:color w:val="auto"/>
              </w:rPr>
            </w:pPr>
          </w:p>
        </w:tc>
        <w:tc>
          <w:tcPr>
            <w:tcW w:w="20" w:type="dxa"/>
            <w:vAlign w:val="bottom"/>
          </w:tcPr>
          <w:p>
            <w:pPr>
              <w:spacing w:after="0"/>
              <w:rPr>
                <w:sz w:val="24"/>
                <w:szCs w:val="24"/>
                <w:color w:val="auto"/>
              </w:rPr>
            </w:pPr>
          </w:p>
        </w:tc>
      </w:tr>
    </w:tbl>
    <w:p>
      <w:pPr>
        <w:spacing w:after="0" w:line="9" w:lineRule="exact"/>
        <w:rPr>
          <w:sz w:val="20"/>
          <w:szCs w:val="20"/>
          <w:color w:val="auto"/>
        </w:rPr>
      </w:pPr>
    </w:p>
    <w:p>
      <w:pPr>
        <w:ind w:left="40" w:right="3100"/>
        <w:spacing w:after="0" w:line="324" w:lineRule="auto"/>
        <w:rPr>
          <w:sz w:val="20"/>
          <w:szCs w:val="20"/>
          <w:color w:val="auto"/>
        </w:rPr>
      </w:pPr>
      <w:r>
        <w:rPr>
          <w:rFonts w:ascii="Arial" w:cs="Arial" w:eastAsia="Arial" w:hAnsi="Arial"/>
          <w:sz w:val="16"/>
          <w:szCs w:val="16"/>
          <w:color w:val="auto"/>
        </w:rPr>
        <w:t>MacArthur Genius Award; Lemelson MIT Prize; Heinrich Wieland Prize; National Academy of Sciences Award in the Chemical Sciences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54875" cy="15176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1517650"/>
                    </a:xfrm>
                    <a:prstGeom prst="rect">
                      <a:avLst/>
                    </a:prstGeom>
                    <a:noFill/>
                  </pic:spPr>
                </pic:pic>
              </a:graphicData>
            </a:graphic>
          </wp:anchor>
        </w:drawing>
      </w:r>
    </w:p>
    <w:p>
      <w:pPr>
        <w:spacing w:after="0" w:line="39" w:lineRule="exact"/>
        <w:rPr>
          <w:sz w:val="20"/>
          <w:szCs w:val="20"/>
          <w:color w:val="auto"/>
        </w:rPr>
      </w:pPr>
    </w:p>
    <w:p>
      <w:pPr>
        <w:ind w:left="160" w:hanging="111"/>
        <w:spacing w:after="0"/>
        <w:tabs>
          <w:tab w:leader="none" w:pos="1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Stanford University</w:t>
      </w:r>
    </w:p>
    <w:p>
      <w:pPr>
        <w:spacing w:after="0" w:line="250" w:lineRule="exact"/>
        <w:rPr>
          <w:rFonts w:ascii="Arial" w:cs="Arial" w:eastAsia="Arial" w:hAnsi="Arial"/>
          <w:sz w:val="16"/>
          <w:szCs w:val="16"/>
          <w:b w:val="1"/>
          <w:bCs w:val="1"/>
          <w:color w:val="auto"/>
        </w:rPr>
      </w:pPr>
    </w:p>
    <w:p>
      <w:pPr>
        <w:ind w:left="540" w:right="3800" w:hanging="266"/>
        <w:spacing w:after="0" w:line="317" w:lineRule="auto"/>
        <w:tabs>
          <w:tab w:leader="none" w:pos="368"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Anne T. and Robert M. Bass Professor of Chemistry, Professor of Chemical and Systems Biology and Radiology by courtesy (2015 - present)</w:t>
      </w:r>
    </w:p>
    <w:p>
      <w:pPr>
        <w:ind w:left="380" w:hanging="106"/>
        <w:spacing w:after="0"/>
        <w:tabs>
          <w:tab w:leader="none" w:pos="3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Baker Family Co-Director of Stanford ChEM-H (2017 - present)</w:t>
      </w:r>
    </w:p>
    <w:p>
      <w:pPr>
        <w:spacing w:after="0" w:line="57" w:lineRule="exact"/>
        <w:rPr>
          <w:rFonts w:ascii="Arial" w:cs="Arial" w:eastAsia="Arial" w:hAnsi="Arial"/>
          <w:sz w:val="16"/>
          <w:szCs w:val="16"/>
          <w:color w:val="auto"/>
        </w:rPr>
      </w:pPr>
    </w:p>
    <w:p>
      <w:pPr>
        <w:ind w:left="160" w:hanging="111"/>
        <w:spacing w:after="0"/>
        <w:tabs>
          <w:tab w:leader="none" w:pos="16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Howard Hughes Medical Institute</w:t>
      </w:r>
    </w:p>
    <w:p>
      <w:pPr>
        <w:spacing w:after="0" w:line="61" w:lineRule="exact"/>
        <w:rPr>
          <w:rFonts w:ascii="Arial" w:cs="Arial" w:eastAsia="Arial" w:hAnsi="Arial"/>
          <w:sz w:val="16"/>
          <w:szCs w:val="16"/>
          <w:color w:val="auto"/>
        </w:rPr>
      </w:pPr>
    </w:p>
    <w:p>
      <w:pPr>
        <w:ind w:left="380" w:hanging="106"/>
        <w:spacing w:after="0"/>
        <w:tabs>
          <w:tab w:leader="none" w:pos="3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Investigator (2000 - present)</w:t>
      </w:r>
    </w:p>
    <w:p>
      <w:pPr>
        <w:spacing w:after="0" w:line="57" w:lineRule="exact"/>
        <w:rPr>
          <w:rFonts w:ascii="Arial" w:cs="Arial" w:eastAsia="Arial" w:hAnsi="Arial"/>
          <w:sz w:val="16"/>
          <w:szCs w:val="16"/>
          <w:color w:val="auto"/>
        </w:rPr>
      </w:pPr>
    </w:p>
    <w:p>
      <w:pPr>
        <w:ind w:left="160" w:hanging="111"/>
        <w:spacing w:after="0"/>
        <w:tabs>
          <w:tab w:leader="none" w:pos="16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University of California, Berkeley</w:t>
      </w:r>
    </w:p>
    <w:p>
      <w:pPr>
        <w:spacing w:after="0" w:line="61" w:lineRule="exact"/>
        <w:rPr>
          <w:rFonts w:ascii="Arial" w:cs="Arial" w:eastAsia="Arial" w:hAnsi="Arial"/>
          <w:sz w:val="16"/>
          <w:szCs w:val="16"/>
          <w:color w:val="auto"/>
        </w:rPr>
      </w:pPr>
    </w:p>
    <w:p>
      <w:pPr>
        <w:ind w:left="380" w:hanging="106"/>
        <w:spacing w:after="0"/>
        <w:tabs>
          <w:tab w:leader="none" w:pos="3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T.Z. and Irmgard Chu Professor of Chemistry and Professor of Molecular and Cell Biology (1996 - 2015)</w:t>
      </w:r>
    </w:p>
    <w:p>
      <w:pPr>
        <w:spacing w:after="0" w:line="70"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6"/>
          <w:szCs w:val="16"/>
          <w:b w:val="1"/>
          <w:bCs w:val="1"/>
          <w:color w:val="00ABE8"/>
        </w:rPr>
        <w:t>QUALIFICATIONS</w:t>
      </w:r>
    </w:p>
    <w:p>
      <w:pPr>
        <w:spacing w:after="0" w:line="61" w:lineRule="exact"/>
        <w:rPr>
          <w:rFonts w:ascii="Arial" w:cs="Arial" w:eastAsia="Arial" w:hAnsi="Arial"/>
          <w:sz w:val="16"/>
          <w:szCs w:val="16"/>
          <w:color w:val="auto"/>
        </w:rPr>
      </w:pPr>
    </w:p>
    <w:p>
      <w:pPr>
        <w:ind w:left="40" w:right="2860"/>
        <w:spacing w:after="0" w:line="339" w:lineRule="auto"/>
        <w:rPr>
          <w:rFonts w:ascii="Arial" w:cs="Arial" w:eastAsia="Arial" w:hAnsi="Arial"/>
          <w:sz w:val="16"/>
          <w:szCs w:val="16"/>
          <w:color w:val="auto"/>
        </w:rPr>
      </w:pPr>
      <w:r>
        <w:rPr>
          <w:rFonts w:ascii="Arial" w:cs="Arial" w:eastAsia="Arial" w:hAnsi="Arial"/>
          <w:sz w:val="16"/>
          <w:szCs w:val="16"/>
          <w:color w:val="auto"/>
        </w:rPr>
        <w:t>Dr. Bertozzi is a prominent researcher and academician. She has extensive experience at Stanford University and the University of Berkeley, California, two major research institutions. Her deep expertise spans the disciplines of chemistry and biology, with an emphasis on studies of cell surface glycosylation associated with cancer, inflammation,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254875" cy="866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866140"/>
                    </a:xfrm>
                    <a:prstGeom prst="rect">
                      <a:avLst/>
                    </a:prstGeom>
                    <a:noFill/>
                  </pic:spPr>
                </pic:pic>
              </a:graphicData>
            </a:graphic>
          </wp:anchor>
        </w:drawing>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bacterial infection and exploiting this knowledge for development of diagnostic and therapeutic approaches.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P11</w:t>
      </w:r>
    </w:p>
    <w:p>
      <w:pPr>
        <w:sectPr>
          <w:pgSz w:w="11900" w:h="16838" w:orient="portrait"/>
          <w:cols w:equalWidth="0" w:num="1">
            <w:col w:w="11440"/>
          </w:cols>
          <w:pgMar w:left="240" w:top="1046" w:right="219" w:bottom="1440" w:gutter="0" w:footer="0" w:header="0"/>
        </w:sectPr>
      </w:pPr>
    </w:p>
    <w:bookmarkStart w:id="15" w:name="page16"/>
    <w:bookmarkEnd w:id="15"/>
    <w:p>
      <w:pPr>
        <w:ind w:left="1640"/>
        <w:spacing w:after="0"/>
        <w:rPr>
          <w:sz w:val="20"/>
          <w:szCs w:val="20"/>
          <w:color w:val="auto"/>
        </w:rPr>
      </w:pPr>
      <w:r>
        <w:rPr>
          <w:rFonts w:ascii="Arial" w:cs="Arial" w:eastAsia="Arial" w:hAnsi="Arial"/>
          <w:sz w:val="27"/>
          <w:szCs w:val="27"/>
          <w:b w:val="1"/>
          <w:bCs w:val="1"/>
          <w:color w:val="EF3729"/>
        </w:rPr>
        <w:drawing>
          <wp:anchor simplePos="0" relativeHeight="251657728" behindDoc="1" locked="0" layoutInCell="0" allowOverlap="1">
            <wp:simplePos x="0" y="0"/>
            <wp:positionH relativeFrom="page">
              <wp:posOffset>372110</wp:posOffset>
            </wp:positionH>
            <wp:positionV relativeFrom="page">
              <wp:posOffset>474980</wp:posOffset>
            </wp:positionV>
            <wp:extent cx="591820" cy="5918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91820" cy="591820"/>
                    </a:xfrm>
                    <a:prstGeom prst="rect">
                      <a:avLst/>
                    </a:prstGeom>
                    <a:noFill/>
                  </pic:spPr>
                </pic:pic>
              </a:graphicData>
            </a:graphic>
          </wp:anchor>
        </w:drawing>
        <w:t>Juan R. Luciano</w:t>
      </w:r>
    </w:p>
    <w:p>
      <w:pPr>
        <w:spacing w:after="0" w:line="146"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xml:space="preserve">Age: 57, Director since 2016,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Finance (chair); Public Policy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113030</wp:posOffset>
            </wp:positionV>
            <wp:extent cx="5222875" cy="805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22875" cy="80581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Borders>
              <w:bottom w:val="single" w:sz="8" w:color="F4F6F6"/>
            </w:tcBorders>
            <w:shd w:val="clear" w:color="auto" w:fill="F4F6F6"/>
          </w:tcPr>
          <w:p>
            <w:pPr>
              <w:ind w:left="40"/>
              <w:spacing w:after="0"/>
              <w:rPr>
                <w:sz w:val="20"/>
                <w:szCs w:val="20"/>
                <w:color w:val="auto"/>
              </w:rPr>
            </w:pPr>
            <w:r>
              <w:rPr>
                <w:rFonts w:ascii="Arial" w:cs="Arial" w:eastAsia="Arial" w:hAnsi="Arial"/>
                <w:sz w:val="15"/>
                <w:szCs w:val="15"/>
                <w:b w:val="1"/>
                <w:bCs w:val="1"/>
                <w:color w:val="00ABE8"/>
              </w:rPr>
              <w:t>PUBLIC BOARDS</w:t>
            </w:r>
          </w:p>
        </w:tc>
        <w:tc>
          <w:tcPr>
            <w:tcW w:w="2700" w:type="dxa"/>
            <w:vAlign w:val="bottom"/>
            <w:tcBorders>
              <w:bottom w:val="single" w:sz="8" w:color="F4F6F6"/>
            </w:tcBorders>
            <w:shd w:val="clear" w:color="auto" w:fill="F4F6F6"/>
          </w:tcPr>
          <w:p>
            <w:pPr>
              <w:ind w:left="40"/>
              <w:spacing w:after="0"/>
              <w:rPr>
                <w:sz w:val="20"/>
                <w:szCs w:val="20"/>
                <w:color w:val="auto"/>
              </w:rPr>
            </w:pPr>
            <w:r>
              <w:rPr>
                <w:rFonts w:ascii="Arial" w:cs="Arial" w:eastAsia="Arial" w:hAnsi="Arial"/>
                <w:sz w:val="15"/>
                <w:szCs w:val="15"/>
                <w:b w:val="1"/>
                <w:bCs w:val="1"/>
                <w:color w:val="00ABE8"/>
              </w:rPr>
              <w:t>NON-PROFIT BOARDS</w:t>
            </w:r>
          </w:p>
        </w:tc>
        <w:tc>
          <w:tcPr>
            <w:tcW w:w="5520" w:type="dxa"/>
            <w:vAlign w:val="bottom"/>
            <w:tcBorders>
              <w:bottom w:val="single" w:sz="8" w:color="F4F6F6"/>
            </w:tcBorders>
            <w:shd w:val="clear" w:color="auto" w:fill="F4F6F6"/>
          </w:tcPr>
          <w:p>
            <w:pPr>
              <w:ind w:left="420"/>
              <w:spacing w:after="0"/>
              <w:rPr>
                <w:sz w:val="20"/>
                <w:szCs w:val="20"/>
                <w:color w:val="auto"/>
              </w:rPr>
            </w:pPr>
            <w:r>
              <w:rPr>
                <w:rFonts w:ascii="Arial" w:cs="Arial" w:eastAsia="Arial" w:hAnsi="Arial"/>
                <w:sz w:val="15"/>
                <w:szCs w:val="15"/>
                <w:b w:val="1"/>
                <w:bCs w:val="1"/>
                <w:color w:val="00ABE8"/>
              </w:rPr>
              <w:t>MEMBERSHIPS + OTHER ORGANIZATIONS</w:t>
            </w:r>
          </w:p>
        </w:tc>
        <w:tc>
          <w:tcPr>
            <w:tcW w:w="20" w:type="dxa"/>
            <w:vAlign w:val="bottom"/>
            <w:tcBorders>
              <w:bottom w:val="single" w:sz="8" w:color="F4F6F6"/>
            </w:tcBorders>
          </w:tcPr>
          <w:p>
            <w:pPr>
              <w:spacing w:after="0"/>
              <w:rPr>
                <w:sz w:val="19"/>
                <w:szCs w:val="19"/>
                <w:color w:val="auto"/>
              </w:rPr>
            </w:pPr>
          </w:p>
        </w:tc>
      </w:tr>
      <w:tr>
        <w:trPr>
          <w:trHeight w:val="204"/>
        </w:trPr>
        <w:tc>
          <w:tcPr>
            <w:tcW w:w="3200" w:type="dxa"/>
            <w:vAlign w:val="bottom"/>
          </w:tcPr>
          <w:p>
            <w:pPr>
              <w:ind w:left="40"/>
              <w:spacing w:after="0"/>
              <w:rPr>
                <w:sz w:val="20"/>
                <w:szCs w:val="20"/>
                <w:color w:val="auto"/>
              </w:rPr>
            </w:pPr>
            <w:r>
              <w:rPr>
                <w:rFonts w:ascii="Arial" w:cs="Arial" w:eastAsia="Arial" w:hAnsi="Arial"/>
                <w:sz w:val="15"/>
                <w:szCs w:val="15"/>
                <w:color w:val="auto"/>
              </w:rPr>
              <w:t>Archer Daniels Midland Company;</w:t>
            </w:r>
          </w:p>
        </w:tc>
        <w:tc>
          <w:tcPr>
            <w:tcW w:w="2700" w:type="dxa"/>
            <w:vAlign w:val="bottom"/>
          </w:tcPr>
          <w:p>
            <w:pPr>
              <w:ind w:left="40"/>
              <w:spacing w:after="0"/>
              <w:rPr>
                <w:sz w:val="20"/>
                <w:szCs w:val="20"/>
                <w:color w:val="auto"/>
              </w:rPr>
            </w:pPr>
            <w:r>
              <w:rPr>
                <w:rFonts w:ascii="Arial" w:cs="Arial" w:eastAsia="Arial" w:hAnsi="Arial"/>
                <w:sz w:val="15"/>
                <w:szCs w:val="15"/>
                <w:color w:val="auto"/>
              </w:rPr>
              <w:t>Intersect Illinois;</w:t>
            </w:r>
          </w:p>
        </w:tc>
        <w:tc>
          <w:tcPr>
            <w:tcW w:w="5520" w:type="dxa"/>
            <w:vAlign w:val="bottom"/>
          </w:tcPr>
          <w:p>
            <w:pPr>
              <w:ind w:left="420"/>
              <w:spacing w:after="0"/>
              <w:rPr>
                <w:sz w:val="20"/>
                <w:szCs w:val="20"/>
                <w:color w:val="auto"/>
              </w:rPr>
            </w:pPr>
            <w:r>
              <w:rPr>
                <w:rFonts w:ascii="Arial" w:cs="Arial" w:eastAsia="Arial" w:hAnsi="Arial"/>
                <w:sz w:val="15"/>
                <w:szCs w:val="15"/>
                <w:color w:val="auto"/>
              </w:rPr>
              <w:t>Economic Club of Chicago; Commercial Club of Chicago</w:t>
            </w:r>
          </w:p>
        </w:tc>
        <w:tc>
          <w:tcPr>
            <w:tcW w:w="20" w:type="dxa"/>
            <w:vAlign w:val="bottom"/>
          </w:tcPr>
          <w:p>
            <w:pPr>
              <w:spacing w:after="0"/>
              <w:rPr>
                <w:sz w:val="17"/>
                <w:szCs w:val="17"/>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5"/>
                <w:szCs w:val="15"/>
                <w:color w:val="auto"/>
              </w:rPr>
              <w:t>Wilmar International</w:t>
            </w:r>
          </w:p>
        </w:tc>
        <w:tc>
          <w:tcPr>
            <w:tcW w:w="2700" w:type="dxa"/>
            <w:vAlign w:val="bottom"/>
          </w:tcPr>
          <w:p>
            <w:pPr>
              <w:ind w:left="40"/>
              <w:spacing w:after="0"/>
              <w:rPr>
                <w:sz w:val="20"/>
                <w:szCs w:val="20"/>
                <w:color w:val="auto"/>
              </w:rPr>
            </w:pPr>
            <w:r>
              <w:rPr>
                <w:rFonts w:ascii="Arial" w:cs="Arial" w:eastAsia="Arial" w:hAnsi="Arial"/>
                <w:sz w:val="15"/>
                <w:szCs w:val="15"/>
                <w:color w:val="auto"/>
              </w:rPr>
              <w:t>Boys and Girls Clubs of America;</w:t>
            </w:r>
          </w:p>
        </w:tc>
        <w:tc>
          <w:tcPr>
            <w:tcW w:w="55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200" w:type="dxa"/>
            <w:vAlign w:val="bottom"/>
          </w:tcPr>
          <w:p>
            <w:pPr>
              <w:ind w:left="140"/>
              <w:spacing w:after="0"/>
              <w:rPr>
                <w:sz w:val="20"/>
                <w:szCs w:val="20"/>
                <w:color w:val="auto"/>
              </w:rPr>
            </w:pPr>
            <w:r>
              <w:rPr>
                <w:rFonts w:ascii="Arial" w:cs="Arial" w:eastAsia="Arial" w:hAnsi="Arial"/>
                <w:sz w:val="15"/>
                <w:szCs w:val="15"/>
                <w:color w:val="auto"/>
              </w:rPr>
              <w:t>(alternate director)</w:t>
            </w:r>
          </w:p>
        </w:tc>
        <w:tc>
          <w:tcPr>
            <w:tcW w:w="2700" w:type="dxa"/>
            <w:vAlign w:val="bottom"/>
          </w:tcPr>
          <w:p>
            <w:pPr>
              <w:ind w:left="40"/>
              <w:spacing w:after="0"/>
              <w:rPr>
                <w:sz w:val="20"/>
                <w:szCs w:val="20"/>
                <w:color w:val="auto"/>
              </w:rPr>
            </w:pPr>
            <w:r>
              <w:rPr>
                <w:rFonts w:ascii="Arial" w:cs="Arial" w:eastAsia="Arial" w:hAnsi="Arial"/>
                <w:sz w:val="15"/>
                <w:szCs w:val="15"/>
                <w:color w:val="auto"/>
              </w:rPr>
              <w:t>Kellogg School of Management,</w:t>
            </w:r>
          </w:p>
        </w:tc>
        <w:tc>
          <w:tcPr>
            <w:tcW w:w="552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8890" cy="651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651510"/>
                    </a:xfrm>
                    <a:prstGeom prst="rect">
                      <a:avLst/>
                    </a:prstGeom>
                    <a:noFill/>
                  </pic:spPr>
                </pic:pic>
              </a:graphicData>
            </a:graphic>
          </wp:anchor>
        </w:drawing>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15"/>
          <w:szCs w:val="15"/>
          <w:color w:val="auto"/>
        </w:rPr>
        <w:t>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5487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13716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00ABE8"/>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8890" cy="1063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06362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25400</wp:posOffset>
            </wp:positionV>
            <wp:extent cx="8890" cy="1063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063625"/>
                    </a:xfrm>
                    <a:prstGeom prst="rect">
                      <a:avLst/>
                    </a:prstGeom>
                    <a:noFill/>
                  </pic:spPr>
                </pic:pic>
              </a:graphicData>
            </a:graphic>
          </wp:anchor>
        </w:drawing>
      </w:r>
    </w:p>
    <w:p>
      <w:pPr>
        <w:spacing w:after="0" w:line="24" w:lineRule="exact"/>
        <w:rPr>
          <w:sz w:val="20"/>
          <w:szCs w:val="20"/>
          <w:color w:val="auto"/>
        </w:rPr>
      </w:pPr>
    </w:p>
    <w:p>
      <w:pPr>
        <w:ind w:left="140" w:hanging="91"/>
        <w:spacing w:after="0"/>
        <w:tabs>
          <w:tab w:leader="none" w:pos="140" w:val="left"/>
        </w:tabs>
        <w:numPr>
          <w:ilvl w:val="0"/>
          <w:numId w:val="16"/>
        </w:numPr>
        <w:rPr>
          <w:rFonts w:ascii="Arial" w:cs="Arial" w:eastAsia="Arial" w:hAnsi="Arial"/>
          <w:sz w:val="15"/>
          <w:szCs w:val="15"/>
          <w:color w:val="auto"/>
        </w:rPr>
      </w:pPr>
      <w:r>
        <w:rPr>
          <w:rFonts w:ascii="Arial" w:cs="Arial" w:eastAsia="Arial" w:hAnsi="Arial"/>
          <w:sz w:val="15"/>
          <w:szCs w:val="15"/>
          <w:b w:val="1"/>
          <w:bCs w:val="1"/>
          <w:color w:val="auto"/>
        </w:rPr>
        <w:t xml:space="preserve">Archer Daniels Midland Company, </w:t>
      </w:r>
      <w:r>
        <w:rPr>
          <w:rFonts w:ascii="Arial" w:cs="Arial" w:eastAsia="Arial" w:hAnsi="Arial"/>
          <w:sz w:val="15"/>
          <w:szCs w:val="15"/>
          <w:color w:val="auto"/>
        </w:rPr>
        <w:t>a global food-processing and commodities-trading company</w:t>
      </w:r>
    </w:p>
    <w:p>
      <w:pPr>
        <w:spacing w:after="0" w:line="205" w:lineRule="exact"/>
        <w:rPr>
          <w:rFonts w:ascii="Arial" w:cs="Arial" w:eastAsia="Arial" w:hAnsi="Arial"/>
          <w:sz w:val="15"/>
          <w:szCs w:val="15"/>
          <w:color w:val="auto"/>
        </w:rPr>
      </w:pPr>
    </w:p>
    <w:p>
      <w:pPr>
        <w:ind w:left="360" w:hanging="99"/>
        <w:spacing w:after="0"/>
        <w:tabs>
          <w:tab w:leader="none" w:pos="360" w:val="left"/>
        </w:tabs>
        <w:numPr>
          <w:ilvl w:val="1"/>
          <w:numId w:val="16"/>
        </w:numPr>
        <w:rPr>
          <w:rFonts w:ascii="Arial" w:cs="Arial" w:eastAsia="Arial" w:hAnsi="Arial"/>
          <w:sz w:val="15"/>
          <w:szCs w:val="15"/>
          <w:color w:val="auto"/>
        </w:rPr>
      </w:pPr>
      <w:r>
        <w:rPr>
          <w:rFonts w:ascii="Arial" w:cs="Arial" w:eastAsia="Arial" w:hAnsi="Arial"/>
          <w:sz w:val="15"/>
          <w:szCs w:val="15"/>
          <w:color w:val="auto"/>
        </w:rPr>
        <w:t>Chairman (January 2016 - present)</w:t>
      </w:r>
    </w:p>
    <w:p>
      <w:pPr>
        <w:spacing w:after="0" w:line="43" w:lineRule="exact"/>
        <w:rPr>
          <w:rFonts w:ascii="Arial" w:cs="Arial" w:eastAsia="Arial" w:hAnsi="Arial"/>
          <w:sz w:val="15"/>
          <w:szCs w:val="15"/>
          <w:color w:val="auto"/>
        </w:rPr>
      </w:pPr>
    </w:p>
    <w:p>
      <w:pPr>
        <w:ind w:left="360" w:hanging="99"/>
        <w:spacing w:after="0"/>
        <w:tabs>
          <w:tab w:leader="none" w:pos="360" w:val="left"/>
        </w:tabs>
        <w:numPr>
          <w:ilvl w:val="1"/>
          <w:numId w:val="16"/>
        </w:numPr>
        <w:rPr>
          <w:rFonts w:ascii="Arial" w:cs="Arial" w:eastAsia="Arial" w:hAnsi="Arial"/>
          <w:sz w:val="15"/>
          <w:szCs w:val="15"/>
          <w:color w:val="auto"/>
        </w:rPr>
      </w:pPr>
      <w:r>
        <w:rPr>
          <w:rFonts w:ascii="Arial" w:cs="Arial" w:eastAsia="Arial" w:hAnsi="Arial"/>
          <w:sz w:val="15"/>
          <w:szCs w:val="15"/>
          <w:color w:val="auto"/>
        </w:rPr>
        <w:t>CEO and President (2015 - present)</w:t>
      </w:r>
    </w:p>
    <w:p>
      <w:pPr>
        <w:spacing w:after="0" w:line="43" w:lineRule="exact"/>
        <w:rPr>
          <w:rFonts w:ascii="Arial" w:cs="Arial" w:eastAsia="Arial" w:hAnsi="Arial"/>
          <w:sz w:val="15"/>
          <w:szCs w:val="15"/>
          <w:color w:val="auto"/>
        </w:rPr>
      </w:pPr>
    </w:p>
    <w:p>
      <w:pPr>
        <w:ind w:left="360" w:hanging="99"/>
        <w:spacing w:after="0"/>
        <w:tabs>
          <w:tab w:leader="none" w:pos="360" w:val="left"/>
        </w:tabs>
        <w:numPr>
          <w:ilvl w:val="1"/>
          <w:numId w:val="16"/>
        </w:numPr>
        <w:rPr>
          <w:rFonts w:ascii="Arial" w:cs="Arial" w:eastAsia="Arial" w:hAnsi="Arial"/>
          <w:sz w:val="15"/>
          <w:szCs w:val="15"/>
          <w:color w:val="auto"/>
        </w:rPr>
      </w:pPr>
      <w:r>
        <w:rPr>
          <w:rFonts w:ascii="Arial" w:cs="Arial" w:eastAsia="Arial" w:hAnsi="Arial"/>
          <w:sz w:val="15"/>
          <w:szCs w:val="15"/>
          <w:color w:val="auto"/>
        </w:rPr>
        <w:t>President (2014 - 2015)</w:t>
      </w:r>
    </w:p>
    <w:p>
      <w:pPr>
        <w:spacing w:after="0" w:line="43" w:lineRule="exact"/>
        <w:rPr>
          <w:rFonts w:ascii="Arial" w:cs="Arial" w:eastAsia="Arial" w:hAnsi="Arial"/>
          <w:sz w:val="15"/>
          <w:szCs w:val="15"/>
          <w:color w:val="auto"/>
        </w:rPr>
      </w:pPr>
    </w:p>
    <w:p>
      <w:pPr>
        <w:ind w:left="360" w:hanging="99"/>
        <w:spacing w:after="0"/>
        <w:tabs>
          <w:tab w:leader="none" w:pos="36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Executive Vice President and Chief Operating Officer (2011 - 2014)</w:t>
      </w:r>
    </w:p>
    <w:p>
      <w:pPr>
        <w:spacing w:after="0" w:line="43" w:lineRule="exact"/>
        <w:rPr>
          <w:rFonts w:ascii="Arial" w:cs="Arial" w:eastAsia="Arial" w:hAnsi="Arial"/>
          <w:sz w:val="15"/>
          <w:szCs w:val="15"/>
          <w:color w:val="auto"/>
        </w:rPr>
      </w:pPr>
    </w:p>
    <w:p>
      <w:pPr>
        <w:ind w:left="140" w:hanging="91"/>
        <w:spacing w:after="0"/>
        <w:tabs>
          <w:tab w:leader="none" w:pos="140" w:val="left"/>
        </w:tabs>
        <w:numPr>
          <w:ilvl w:val="0"/>
          <w:numId w:val="16"/>
        </w:numPr>
        <w:rPr>
          <w:rFonts w:ascii="Arial" w:cs="Arial" w:eastAsia="Arial" w:hAnsi="Arial"/>
          <w:sz w:val="15"/>
          <w:szCs w:val="15"/>
          <w:color w:val="auto"/>
        </w:rPr>
      </w:pPr>
      <w:r>
        <w:rPr>
          <w:rFonts w:ascii="Arial" w:cs="Arial" w:eastAsia="Arial" w:hAnsi="Arial"/>
          <w:sz w:val="15"/>
          <w:szCs w:val="15"/>
          <w:b w:val="1"/>
          <w:bCs w:val="1"/>
          <w:color w:val="auto"/>
        </w:rPr>
        <w:t xml:space="preserve">The Dow Chemical Company, </w:t>
      </w:r>
      <w:r>
        <w:rPr>
          <w:rFonts w:ascii="Arial" w:cs="Arial" w:eastAsia="Arial" w:hAnsi="Arial"/>
          <w:sz w:val="15"/>
          <w:szCs w:val="15"/>
          <w:color w:val="auto"/>
        </w:rPr>
        <w:t>a multinational chemical company</w:t>
      </w:r>
    </w:p>
    <w:p>
      <w:pPr>
        <w:spacing w:after="0" w:line="43" w:lineRule="exact"/>
        <w:rPr>
          <w:rFonts w:ascii="Arial" w:cs="Arial" w:eastAsia="Arial" w:hAnsi="Arial"/>
          <w:sz w:val="15"/>
          <w:szCs w:val="15"/>
          <w:color w:val="auto"/>
        </w:rPr>
      </w:pPr>
    </w:p>
    <w:p>
      <w:pPr>
        <w:ind w:left="360" w:hanging="99"/>
        <w:spacing w:after="0"/>
        <w:tabs>
          <w:tab w:leader="none" w:pos="36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Executive Vice President and President, Performance Division (2010 - 2011)</w:t>
      </w:r>
    </w:p>
    <w:p>
      <w:pPr>
        <w:spacing w:after="0" w:line="43" w:lineRule="exact"/>
        <w:rPr>
          <w:rFonts w:ascii="Arial" w:cs="Arial" w:eastAsia="Arial" w:hAnsi="Arial"/>
          <w:sz w:val="15"/>
          <w:szCs w:val="15"/>
          <w:color w:val="auto"/>
        </w:rPr>
      </w:pPr>
    </w:p>
    <w:p>
      <w:pPr>
        <w:ind w:left="40"/>
        <w:spacing w:after="0"/>
        <w:rPr>
          <w:rFonts w:ascii="Arial" w:cs="Arial" w:eastAsia="Arial" w:hAnsi="Arial"/>
          <w:sz w:val="15"/>
          <w:szCs w:val="15"/>
          <w:color w:val="auto"/>
        </w:rPr>
      </w:pPr>
      <w:r>
        <w:rPr>
          <w:rFonts w:ascii="Arial" w:cs="Arial" w:eastAsia="Arial" w:hAnsi="Arial"/>
          <w:sz w:val="15"/>
          <w:szCs w:val="15"/>
          <w:b w:val="1"/>
          <w:bCs w:val="1"/>
          <w:color w:val="00ABE8"/>
        </w:rPr>
        <w:t>QUALIFICATIONS</w:t>
      </w:r>
    </w:p>
    <w:p>
      <w:pPr>
        <w:spacing w:after="0" w:line="43" w:lineRule="exact"/>
        <w:rPr>
          <w:rFonts w:ascii="Arial" w:cs="Arial" w:eastAsia="Arial" w:hAnsi="Arial"/>
          <w:sz w:val="15"/>
          <w:szCs w:val="15"/>
          <w:color w:val="auto"/>
        </w:rPr>
      </w:pPr>
    </w:p>
    <w:p>
      <w:pPr>
        <w:ind w:left="40" w:right="3300"/>
        <w:spacing w:after="0" w:line="316" w:lineRule="auto"/>
        <w:rPr>
          <w:rFonts w:ascii="Arial" w:cs="Arial" w:eastAsia="Arial" w:hAnsi="Arial"/>
          <w:sz w:val="15"/>
          <w:szCs w:val="15"/>
          <w:color w:val="auto"/>
        </w:rPr>
      </w:pPr>
      <w:r>
        <w:rPr>
          <w:rFonts w:ascii="Arial" w:cs="Arial" w:eastAsia="Arial" w:hAnsi="Arial"/>
          <w:sz w:val="15"/>
          <w:szCs w:val="15"/>
          <w:color w:val="auto"/>
        </w:rPr>
        <w:t>Mr. Luciano has CEO and global business experience with Archer Daniels Midland Company, where he has established a reputation for strong result-oriented and strategic leadership, as well as many years of global leadership at The Dow Chemical Company. He brings to the board a strong technology and operations background, along with expertise in the highly-regulated food and agriculture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-715645</wp:posOffset>
            </wp:positionV>
            <wp:extent cx="7254875" cy="694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6946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209550</wp:posOffset>
            </wp:positionV>
            <wp:extent cx="591820" cy="5918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18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40"/>
        <w:spacing w:after="0"/>
        <w:rPr>
          <w:sz w:val="20"/>
          <w:szCs w:val="20"/>
          <w:color w:val="auto"/>
        </w:rPr>
      </w:pPr>
      <w:r>
        <w:rPr>
          <w:rFonts w:ascii="Arial" w:cs="Arial" w:eastAsia="Arial" w:hAnsi="Arial"/>
          <w:sz w:val="27"/>
          <w:szCs w:val="27"/>
          <w:b w:val="1"/>
          <w:bCs w:val="1"/>
          <w:color w:val="EF3729"/>
        </w:rPr>
        <w:t>Kathi P. Seifert</w:t>
      </w:r>
    </w:p>
    <w:p>
      <w:pPr>
        <w:spacing w:after="0" w:line="146"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xml:space="preserve">Age: 69, Director since 1995,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54875" cy="2075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7518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tcBorders>
              <w:bottom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PUBLIC BOARDS</w:t>
            </w:r>
          </w:p>
        </w:tc>
        <w:tc>
          <w:tcPr>
            <w:tcW w:w="2860" w:type="dxa"/>
            <w:vAlign w:val="bottom"/>
            <w:tcBorders>
              <w:bottom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PRIOR PUBLIC BOARDS</w:t>
            </w:r>
          </w:p>
        </w:tc>
        <w:tc>
          <w:tcPr>
            <w:tcW w:w="5820" w:type="dxa"/>
            <w:vAlign w:val="bottom"/>
            <w:tcBorders>
              <w:bottom w:val="single" w:sz="8" w:color="F4F6F6"/>
            </w:tcBorders>
            <w:shd w:val="clear" w:color="auto" w:fill="F4F6F6"/>
          </w:tcPr>
          <w:p>
            <w:pPr>
              <w:ind w:left="480"/>
              <w:spacing w:after="0"/>
              <w:rPr>
                <w:sz w:val="20"/>
                <w:szCs w:val="20"/>
                <w:color w:val="auto"/>
              </w:rPr>
            </w:pPr>
            <w:r>
              <w:rPr>
                <w:rFonts w:ascii="Arial" w:cs="Arial" w:eastAsia="Arial" w:hAnsi="Arial"/>
                <w:sz w:val="16"/>
                <w:szCs w:val="16"/>
                <w:b w:val="1"/>
                <w:bCs w:val="1"/>
                <w:color w:val="00ABE8"/>
              </w:rPr>
              <w:t>NON-PROFIT BOARDS</w:t>
            </w:r>
          </w:p>
        </w:tc>
        <w:tc>
          <w:tcPr>
            <w:tcW w:w="20" w:type="dxa"/>
            <w:vAlign w:val="bottom"/>
            <w:tcBorders>
              <w:bottom w:val="single" w:sz="8" w:color="F4F6F6"/>
            </w:tcBorders>
          </w:tcPr>
          <w:p>
            <w:pPr>
              <w:spacing w:after="0"/>
              <w:rPr>
                <w:sz w:val="21"/>
                <w:szCs w:val="21"/>
                <w:color w:val="auto"/>
              </w:rPr>
            </w:pPr>
          </w:p>
        </w:tc>
      </w:tr>
      <w:tr>
        <w:trPr>
          <w:trHeight w:val="225"/>
        </w:trPr>
        <w:tc>
          <w:tcPr>
            <w:tcW w:w="2740" w:type="dxa"/>
            <w:vAlign w:val="bottom"/>
          </w:tcPr>
          <w:p>
            <w:pPr>
              <w:ind w:left="40"/>
              <w:spacing w:after="0"/>
              <w:rPr>
                <w:sz w:val="20"/>
                <w:szCs w:val="20"/>
                <w:color w:val="auto"/>
              </w:rPr>
            </w:pPr>
            <w:r>
              <w:rPr>
                <w:rFonts w:ascii="Arial" w:cs="Arial" w:eastAsia="Arial" w:hAnsi="Arial"/>
                <w:sz w:val="16"/>
                <w:szCs w:val="16"/>
                <w:color w:val="auto"/>
              </w:rPr>
              <w:t>Investors Community Bank</w:t>
            </w:r>
          </w:p>
        </w:tc>
        <w:tc>
          <w:tcPr>
            <w:tcW w:w="2860" w:type="dxa"/>
            <w:vAlign w:val="bottom"/>
          </w:tcPr>
          <w:p>
            <w:pPr>
              <w:ind w:left="40"/>
              <w:spacing w:after="0"/>
              <w:rPr>
                <w:sz w:val="20"/>
                <w:szCs w:val="20"/>
                <w:color w:val="auto"/>
              </w:rPr>
            </w:pPr>
            <w:r>
              <w:rPr>
                <w:rFonts w:ascii="Arial" w:cs="Arial" w:eastAsia="Arial" w:hAnsi="Arial"/>
                <w:sz w:val="16"/>
                <w:szCs w:val="16"/>
                <w:color w:val="auto"/>
              </w:rPr>
              <w:t>Albertsons;</w:t>
            </w:r>
          </w:p>
        </w:tc>
        <w:tc>
          <w:tcPr>
            <w:tcW w:w="5820" w:type="dxa"/>
            <w:vAlign w:val="bottom"/>
          </w:tcPr>
          <w:p>
            <w:pPr>
              <w:ind w:left="480"/>
              <w:spacing w:after="0"/>
              <w:rPr>
                <w:sz w:val="20"/>
                <w:szCs w:val="20"/>
                <w:color w:val="auto"/>
              </w:rPr>
            </w:pPr>
            <w:r>
              <w:rPr>
                <w:rFonts w:ascii="Arial" w:cs="Arial" w:eastAsia="Arial" w:hAnsi="Arial"/>
                <w:sz w:val="16"/>
                <w:szCs w:val="16"/>
                <w:color w:val="auto"/>
              </w:rPr>
              <w:t>Community Foundation for the Fox Valley Region;</w:t>
            </w:r>
          </w:p>
        </w:tc>
        <w:tc>
          <w:tcPr>
            <w:tcW w:w="20" w:type="dxa"/>
            <w:vAlign w:val="bottom"/>
          </w:tcPr>
          <w:p>
            <w:pPr>
              <w:spacing w:after="0"/>
              <w:rPr>
                <w:sz w:val="19"/>
                <w:szCs w:val="19"/>
                <w:color w:val="auto"/>
              </w:rPr>
            </w:pPr>
          </w:p>
        </w:tc>
      </w:tr>
      <w:tr>
        <w:trPr>
          <w:trHeight w:val="270"/>
        </w:trPr>
        <w:tc>
          <w:tcPr>
            <w:tcW w:w="2740" w:type="dxa"/>
            <w:vAlign w:val="bottom"/>
          </w:tcPr>
          <w:p>
            <w:pPr>
              <w:spacing w:after="0"/>
              <w:rPr>
                <w:sz w:val="23"/>
                <w:szCs w:val="23"/>
                <w:color w:val="auto"/>
              </w:rPr>
            </w:pPr>
          </w:p>
        </w:tc>
        <w:tc>
          <w:tcPr>
            <w:tcW w:w="2860" w:type="dxa"/>
            <w:vAlign w:val="bottom"/>
          </w:tcPr>
          <w:p>
            <w:pPr>
              <w:ind w:left="40"/>
              <w:spacing w:after="0"/>
              <w:rPr>
                <w:sz w:val="20"/>
                <w:szCs w:val="20"/>
                <w:color w:val="auto"/>
              </w:rPr>
            </w:pPr>
            <w:r>
              <w:rPr>
                <w:rFonts w:ascii="Arial" w:cs="Arial" w:eastAsia="Arial" w:hAnsi="Arial"/>
                <w:sz w:val="16"/>
                <w:szCs w:val="16"/>
                <w:color w:val="auto"/>
              </w:rPr>
              <w:t>Revlon Consumer Products Co.;</w:t>
            </w:r>
          </w:p>
        </w:tc>
        <w:tc>
          <w:tcPr>
            <w:tcW w:w="5820" w:type="dxa"/>
            <w:vAlign w:val="bottom"/>
          </w:tcPr>
          <w:p>
            <w:pPr>
              <w:ind w:left="480"/>
              <w:spacing w:after="0"/>
              <w:rPr>
                <w:sz w:val="20"/>
                <w:szCs w:val="20"/>
                <w:color w:val="auto"/>
              </w:rPr>
            </w:pPr>
            <w:r>
              <w:rPr>
                <w:rFonts w:ascii="Arial" w:cs="Arial" w:eastAsia="Arial" w:hAnsi="Arial"/>
                <w:sz w:val="16"/>
                <w:szCs w:val="16"/>
                <w:color w:val="auto"/>
              </w:rPr>
              <w:t>Fox Cities Building for the Arts;</w:t>
            </w:r>
          </w:p>
        </w:tc>
        <w:tc>
          <w:tcPr>
            <w:tcW w:w="20" w:type="dxa"/>
            <w:vAlign w:val="bottom"/>
          </w:tcPr>
          <w:p>
            <w:pPr>
              <w:spacing w:after="0"/>
              <w:rPr>
                <w:sz w:val="23"/>
                <w:szCs w:val="23"/>
                <w:color w:val="auto"/>
              </w:rPr>
            </w:pPr>
          </w:p>
        </w:tc>
      </w:tr>
      <w:tr>
        <w:trPr>
          <w:trHeight w:val="270"/>
        </w:trPr>
        <w:tc>
          <w:tcPr>
            <w:tcW w:w="2740" w:type="dxa"/>
            <w:vAlign w:val="bottom"/>
          </w:tcPr>
          <w:p>
            <w:pPr>
              <w:spacing w:after="0"/>
              <w:rPr>
                <w:sz w:val="23"/>
                <w:szCs w:val="23"/>
                <w:color w:val="auto"/>
              </w:rPr>
            </w:pPr>
          </w:p>
        </w:tc>
        <w:tc>
          <w:tcPr>
            <w:tcW w:w="2860" w:type="dxa"/>
            <w:vAlign w:val="bottom"/>
          </w:tcPr>
          <w:p>
            <w:pPr>
              <w:ind w:left="40"/>
              <w:spacing w:after="0"/>
              <w:rPr>
                <w:sz w:val="20"/>
                <w:szCs w:val="20"/>
                <w:color w:val="auto"/>
              </w:rPr>
            </w:pPr>
            <w:r>
              <w:rPr>
                <w:rFonts w:ascii="Arial" w:cs="Arial" w:eastAsia="Arial" w:hAnsi="Arial"/>
                <w:sz w:val="16"/>
                <w:szCs w:val="16"/>
                <w:color w:val="auto"/>
              </w:rPr>
              <w:t>Supervalu Inc.;</w:t>
            </w:r>
          </w:p>
        </w:tc>
        <w:tc>
          <w:tcPr>
            <w:tcW w:w="5820" w:type="dxa"/>
            <w:vAlign w:val="bottom"/>
          </w:tcPr>
          <w:p>
            <w:pPr>
              <w:ind w:left="480"/>
              <w:spacing w:after="0"/>
              <w:rPr>
                <w:sz w:val="20"/>
                <w:szCs w:val="20"/>
                <w:color w:val="auto"/>
              </w:rPr>
            </w:pPr>
            <w:r>
              <w:rPr>
                <w:rFonts w:ascii="Arial" w:cs="Arial" w:eastAsia="Arial" w:hAnsi="Arial"/>
                <w:sz w:val="16"/>
                <w:szCs w:val="16"/>
                <w:color w:val="auto"/>
              </w:rPr>
              <w:t>Fox Cities Chamber of Commerce; New North;</w:t>
            </w:r>
          </w:p>
        </w:tc>
        <w:tc>
          <w:tcPr>
            <w:tcW w:w="20" w:type="dxa"/>
            <w:vAlign w:val="bottom"/>
          </w:tcPr>
          <w:p>
            <w:pPr>
              <w:spacing w:after="0"/>
              <w:rPr>
                <w:sz w:val="23"/>
                <w:szCs w:val="23"/>
                <w:color w:val="auto"/>
              </w:rPr>
            </w:pPr>
          </w:p>
        </w:tc>
      </w:tr>
      <w:tr>
        <w:trPr>
          <w:trHeight w:val="270"/>
        </w:trPr>
        <w:tc>
          <w:tcPr>
            <w:tcW w:w="2740" w:type="dxa"/>
            <w:vAlign w:val="bottom"/>
          </w:tcPr>
          <w:p>
            <w:pPr>
              <w:spacing w:after="0"/>
              <w:rPr>
                <w:sz w:val="23"/>
                <w:szCs w:val="23"/>
                <w:color w:val="auto"/>
              </w:rPr>
            </w:pPr>
          </w:p>
        </w:tc>
        <w:tc>
          <w:tcPr>
            <w:tcW w:w="2860" w:type="dxa"/>
            <w:vAlign w:val="bottom"/>
          </w:tcPr>
          <w:p>
            <w:pPr>
              <w:ind w:left="40"/>
              <w:spacing w:after="0"/>
              <w:rPr>
                <w:sz w:val="20"/>
                <w:szCs w:val="20"/>
                <w:color w:val="auto"/>
              </w:rPr>
            </w:pPr>
            <w:r>
              <w:rPr>
                <w:rFonts w:ascii="Arial" w:cs="Arial" w:eastAsia="Arial" w:hAnsi="Arial"/>
                <w:sz w:val="16"/>
                <w:szCs w:val="16"/>
                <w:color w:val="auto"/>
              </w:rPr>
              <w:t>Lexmark International, Inc.</w:t>
            </w:r>
          </w:p>
        </w:tc>
        <w:tc>
          <w:tcPr>
            <w:tcW w:w="5820" w:type="dxa"/>
            <w:vAlign w:val="bottom"/>
          </w:tcPr>
          <w:p>
            <w:pPr>
              <w:ind w:left="480"/>
              <w:spacing w:after="0"/>
              <w:rPr>
                <w:sz w:val="20"/>
                <w:szCs w:val="20"/>
                <w:color w:val="auto"/>
              </w:rPr>
            </w:pPr>
            <w:r>
              <w:rPr>
                <w:rFonts w:ascii="Arial" w:cs="Arial" w:eastAsia="Arial" w:hAnsi="Arial"/>
                <w:sz w:val="16"/>
                <w:szCs w:val="16"/>
                <w:color w:val="auto"/>
              </w:rPr>
              <w:t>Greater Fox Cities Area Habitat for Humanity;</w:t>
            </w:r>
          </w:p>
        </w:tc>
        <w:tc>
          <w:tcPr>
            <w:tcW w:w="20" w:type="dxa"/>
            <w:vAlign w:val="bottom"/>
          </w:tcPr>
          <w:p>
            <w:pPr>
              <w:spacing w:after="0"/>
              <w:rPr>
                <w:sz w:val="23"/>
                <w:szCs w:val="23"/>
                <w:color w:val="auto"/>
              </w:rPr>
            </w:pPr>
          </w:p>
        </w:tc>
      </w:tr>
      <w:tr>
        <w:trPr>
          <w:trHeight w:val="279"/>
        </w:trPr>
        <w:tc>
          <w:tcPr>
            <w:tcW w:w="2740" w:type="dxa"/>
            <w:vAlign w:val="bottom"/>
            <w:tcBorders>
              <w:bottom w:val="single" w:sz="8" w:color="F4F6F6"/>
            </w:tcBorders>
          </w:tcPr>
          <w:p>
            <w:pPr>
              <w:spacing w:after="0"/>
              <w:rPr>
                <w:sz w:val="24"/>
                <w:szCs w:val="24"/>
                <w:color w:val="auto"/>
              </w:rPr>
            </w:pPr>
          </w:p>
        </w:tc>
        <w:tc>
          <w:tcPr>
            <w:tcW w:w="2860" w:type="dxa"/>
            <w:vAlign w:val="bottom"/>
            <w:tcBorders>
              <w:bottom w:val="single" w:sz="8" w:color="F4F6F6"/>
            </w:tcBorders>
          </w:tcPr>
          <w:p>
            <w:pPr>
              <w:spacing w:after="0"/>
              <w:rPr>
                <w:sz w:val="24"/>
                <w:szCs w:val="24"/>
                <w:color w:val="auto"/>
              </w:rPr>
            </w:pPr>
          </w:p>
        </w:tc>
        <w:tc>
          <w:tcPr>
            <w:tcW w:w="5820" w:type="dxa"/>
            <w:vAlign w:val="bottom"/>
            <w:tcBorders>
              <w:bottom w:val="single" w:sz="8" w:color="F4F6F6"/>
            </w:tcBorders>
          </w:tcPr>
          <w:p>
            <w:pPr>
              <w:ind w:left="480"/>
              <w:spacing w:after="0"/>
              <w:rPr>
                <w:sz w:val="20"/>
                <w:szCs w:val="20"/>
                <w:color w:val="auto"/>
              </w:rPr>
            </w:pPr>
            <w:r>
              <w:rPr>
                <w:rFonts w:ascii="Arial" w:cs="Arial" w:eastAsia="Arial" w:hAnsi="Arial"/>
                <w:sz w:val="16"/>
                <w:szCs w:val="16"/>
                <w:color w:val="auto"/>
              </w:rPr>
              <w:t>Riverview Gardens;</w:t>
            </w:r>
          </w:p>
        </w:tc>
        <w:tc>
          <w:tcPr>
            <w:tcW w:w="20" w:type="dxa"/>
            <w:vAlign w:val="bottom"/>
            <w:tcBorders>
              <w:bottom w:val="single" w:sz="8" w:color="F4F6F6"/>
            </w:tcBorders>
          </w:tcPr>
          <w:p>
            <w:pPr>
              <w:spacing w:after="0"/>
              <w:rPr>
                <w:sz w:val="24"/>
                <w:szCs w:val="24"/>
                <w:color w:val="auto"/>
              </w:rPr>
            </w:pPr>
          </w:p>
        </w:tc>
      </w:tr>
      <w:tr>
        <w:trPr>
          <w:trHeight w:val="243"/>
        </w:trPr>
        <w:tc>
          <w:tcPr>
            <w:tcW w:w="2740" w:type="dxa"/>
            <w:vAlign w:val="bottom"/>
            <w:shd w:val="clear" w:color="auto" w:fill="F4F6F6"/>
          </w:tcPr>
          <w:p>
            <w:pPr>
              <w:ind w:left="40"/>
              <w:spacing w:after="0"/>
              <w:rPr>
                <w:sz w:val="20"/>
                <w:szCs w:val="20"/>
                <w:color w:val="auto"/>
              </w:rPr>
            </w:pPr>
            <w:r>
              <w:rPr>
                <w:rFonts w:ascii="Arial" w:cs="Arial" w:eastAsia="Arial" w:hAnsi="Arial"/>
                <w:sz w:val="16"/>
                <w:szCs w:val="16"/>
                <w:b w:val="1"/>
                <w:bCs w:val="1"/>
                <w:color w:val="00ABE8"/>
              </w:rPr>
              <w:t>CAREER HIGHLIGHTS</w:t>
            </w:r>
          </w:p>
        </w:tc>
        <w:tc>
          <w:tcPr>
            <w:tcW w:w="2860" w:type="dxa"/>
            <w:vAlign w:val="bottom"/>
            <w:shd w:val="clear" w:color="auto" w:fill="F4F6F6"/>
          </w:tcPr>
          <w:p>
            <w:pPr>
              <w:spacing w:after="0"/>
              <w:rPr>
                <w:sz w:val="21"/>
                <w:szCs w:val="21"/>
                <w:color w:val="auto"/>
              </w:rPr>
            </w:pPr>
          </w:p>
        </w:tc>
        <w:tc>
          <w:tcPr>
            <w:tcW w:w="5820" w:type="dxa"/>
            <w:vAlign w:val="bottom"/>
            <w:shd w:val="clear" w:color="auto" w:fill="F4F6F6"/>
          </w:tcPr>
          <w:p>
            <w:pPr>
              <w:spacing w:after="0"/>
              <w:rPr>
                <w:sz w:val="21"/>
                <w:szCs w:val="21"/>
                <w:color w:val="auto"/>
              </w:rPr>
            </w:pPr>
          </w:p>
        </w:tc>
        <w:tc>
          <w:tcPr>
            <w:tcW w:w="20" w:type="dxa"/>
            <w:vAlign w:val="bottom"/>
          </w:tcPr>
          <w:p>
            <w:pPr>
              <w:spacing w:after="0"/>
              <w:rPr>
                <w:sz w:val="21"/>
                <w:szCs w:val="21"/>
                <w:color w:val="auto"/>
              </w:rPr>
            </w:pPr>
          </w:p>
        </w:tc>
      </w:tr>
    </w:tbl>
    <w:p>
      <w:pPr>
        <w:spacing w:after="0" w:line="7" w:lineRule="exact"/>
        <w:rPr>
          <w:sz w:val="20"/>
          <w:szCs w:val="20"/>
          <w:color w:val="auto"/>
        </w:rPr>
      </w:pPr>
    </w:p>
    <w:p>
      <w:pPr>
        <w:ind w:left="160" w:hanging="111"/>
        <w:spacing w:after="0"/>
        <w:tabs>
          <w:tab w:leader="none" w:pos="16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Katapult, LLC, </w:t>
      </w:r>
      <w:r>
        <w:rPr>
          <w:rFonts w:ascii="Arial" w:cs="Arial" w:eastAsia="Arial" w:hAnsi="Arial"/>
          <w:sz w:val="16"/>
          <w:szCs w:val="16"/>
          <w:color w:val="auto"/>
        </w:rPr>
        <w:t>a provider of pro bono mentoring and consulting services to nonprofit organizations</w:t>
      </w:r>
    </w:p>
    <w:p>
      <w:pPr>
        <w:spacing w:after="0" w:line="250" w:lineRule="exact"/>
        <w:rPr>
          <w:rFonts w:ascii="Arial" w:cs="Arial" w:eastAsia="Arial" w:hAnsi="Arial"/>
          <w:sz w:val="16"/>
          <w:szCs w:val="16"/>
          <w:color w:val="auto"/>
        </w:rPr>
      </w:pPr>
    </w:p>
    <w:p>
      <w:pPr>
        <w:ind w:left="380" w:hanging="106"/>
        <w:spacing w:after="0"/>
        <w:tabs>
          <w:tab w:leader="none" w:pos="3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Chairman (2004 - present)</w:t>
      </w:r>
    </w:p>
    <w:p>
      <w:pPr>
        <w:spacing w:after="0" w:line="57" w:lineRule="exact"/>
        <w:rPr>
          <w:rFonts w:ascii="Arial" w:cs="Arial" w:eastAsia="Arial" w:hAnsi="Arial"/>
          <w:sz w:val="16"/>
          <w:szCs w:val="16"/>
          <w:color w:val="auto"/>
        </w:rPr>
      </w:pPr>
    </w:p>
    <w:p>
      <w:pPr>
        <w:ind w:left="160" w:hanging="111"/>
        <w:spacing w:after="0"/>
        <w:tabs>
          <w:tab w:leader="none" w:pos="16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Kimberly-Clark Corporation, </w:t>
      </w:r>
      <w:r>
        <w:rPr>
          <w:rFonts w:ascii="Arial" w:cs="Arial" w:eastAsia="Arial" w:hAnsi="Arial"/>
          <w:sz w:val="16"/>
          <w:szCs w:val="16"/>
          <w:color w:val="auto"/>
        </w:rPr>
        <w:t>a global consumer products company</w:t>
      </w:r>
    </w:p>
    <w:p>
      <w:pPr>
        <w:spacing w:after="0" w:line="61" w:lineRule="exact"/>
        <w:rPr>
          <w:rFonts w:ascii="Arial" w:cs="Arial" w:eastAsia="Arial" w:hAnsi="Arial"/>
          <w:sz w:val="16"/>
          <w:szCs w:val="16"/>
          <w:color w:val="auto"/>
        </w:rPr>
      </w:pPr>
    </w:p>
    <w:p>
      <w:pPr>
        <w:ind w:left="380" w:hanging="106"/>
        <w:spacing w:after="0"/>
        <w:tabs>
          <w:tab w:leader="none" w:pos="3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Executive Vice President (1999 - 2004)</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54875" cy="4718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471805"/>
                    </a:xfrm>
                    <a:prstGeom prst="rect">
                      <a:avLst/>
                    </a:prstGeom>
                    <a:noFill/>
                  </pic:spPr>
                </pic:pic>
              </a:graphicData>
            </a:graphic>
          </wp:anchor>
        </w:drawing>
      </w:r>
    </w:p>
    <w:p>
      <w:pPr>
        <w:spacing w:after="0" w:line="41" w:lineRule="exact"/>
        <w:rPr>
          <w:sz w:val="20"/>
          <w:szCs w:val="20"/>
          <w:color w:val="auto"/>
        </w:rPr>
      </w:pPr>
    </w:p>
    <w:p>
      <w:pPr>
        <w:jc w:val="both"/>
        <w:ind w:left="40" w:right="2980"/>
        <w:spacing w:after="0" w:line="339" w:lineRule="auto"/>
        <w:rPr>
          <w:sz w:val="20"/>
          <w:szCs w:val="20"/>
          <w:color w:val="auto"/>
        </w:rPr>
      </w:pPr>
      <w:r>
        <w:rPr>
          <w:rFonts w:ascii="Arial" w:cs="Arial" w:eastAsia="Arial" w:hAnsi="Arial"/>
          <w:sz w:val="16"/>
          <w:szCs w:val="16"/>
          <w:color w:val="auto"/>
        </w:rPr>
        <w:t>Ms. Seifert is a retired senior executive of Kimberly-Clark. She has strong expertise in consumer marketing and brand management, having led sales and marketing for several worldwide brands, with a special focus on consumer health. She has extensive corporate governance experience through her other board positions.</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P12</w:t>
      </w:r>
    </w:p>
    <w:p>
      <w:pPr>
        <w:sectPr>
          <w:pgSz w:w="11900" w:h="16838" w:orient="portrait"/>
          <w:cols w:equalWidth="0" w:num="1">
            <w:col w:w="11440"/>
          </w:cols>
          <w:pgMar w:left="240" w:top="1046" w:right="219" w:bottom="1440" w:gutter="0" w:footer="0" w:header="0"/>
        </w:sectPr>
      </w:pPr>
    </w:p>
    <w:bookmarkStart w:id="16" w:name="page17"/>
    <w:bookmarkEnd w:id="16"/>
    <w:p>
      <w:pPr>
        <w:spacing w:after="0"/>
        <w:rPr>
          <w:sz w:val="20"/>
          <w:szCs w:val="20"/>
          <w:color w:val="auto"/>
        </w:rPr>
      </w:pPr>
      <w:r>
        <w:rPr>
          <w:rFonts w:ascii="Arial" w:cs="Arial" w:eastAsia="Arial" w:hAnsi="Arial"/>
          <w:sz w:val="23"/>
          <w:szCs w:val="23"/>
          <w:b w:val="1"/>
          <w:bCs w:val="1"/>
          <w:color w:val="1CA8E1"/>
        </w:rPr>
        <w:t>Class of 2020</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five directors are serving terms that will expire in May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111125</wp:posOffset>
            </wp:positionV>
            <wp:extent cx="591820" cy="5918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1820" cy="59182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640"/>
        <w:spacing w:after="0"/>
        <w:rPr>
          <w:sz w:val="20"/>
          <w:szCs w:val="20"/>
          <w:color w:val="auto"/>
        </w:rPr>
      </w:pPr>
      <w:r>
        <w:rPr>
          <w:rFonts w:ascii="Arial" w:cs="Arial" w:eastAsia="Arial" w:hAnsi="Arial"/>
          <w:sz w:val="27"/>
          <w:szCs w:val="27"/>
          <w:b w:val="1"/>
          <w:bCs w:val="1"/>
          <w:color w:val="EF3729"/>
        </w:rPr>
        <w:t>Michael L. Eskew</w:t>
      </w:r>
    </w:p>
    <w:p>
      <w:pPr>
        <w:spacing w:after="0" w:line="146" w:lineRule="exact"/>
        <w:rPr>
          <w:sz w:val="20"/>
          <w:szCs w:val="20"/>
          <w:color w:val="auto"/>
        </w:rPr>
      </w:pPr>
    </w:p>
    <w:p>
      <w:pPr>
        <w:jc w:val="right"/>
        <w:ind w:right="2320"/>
        <w:spacing w:after="0"/>
        <w:rPr>
          <w:sz w:val="20"/>
          <w:szCs w:val="20"/>
          <w:color w:val="auto"/>
        </w:rPr>
      </w:pPr>
      <w:r>
        <w:rPr>
          <w:rFonts w:ascii="Arial" w:cs="Arial" w:eastAsia="Arial" w:hAnsi="Arial"/>
          <w:sz w:val="14"/>
          <w:szCs w:val="14"/>
          <w:color w:val="auto"/>
        </w:rPr>
        <w:t xml:space="preserve">Age: 69, Director since 2018,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(chair); Compensation;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54875" cy="18694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1869440"/>
                    </a:xfrm>
                    <a:prstGeom prst="rect">
                      <a:avLst/>
                    </a:prstGeom>
                    <a:noFill/>
                  </pic:spPr>
                </pic:pic>
              </a:graphicData>
            </a:graphic>
          </wp:anchor>
        </w:drawing>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3540" w:type="dxa"/>
            <w:vAlign w:val="bottom"/>
            <w:tcBorders>
              <w:left w:val="single" w:sz="8" w:color="F4F6F6"/>
              <w:bottom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PUBLIC BOARDS</w:t>
            </w:r>
          </w:p>
        </w:tc>
        <w:tc>
          <w:tcPr>
            <w:tcW w:w="7880" w:type="dxa"/>
            <w:vAlign w:val="bottom"/>
            <w:tcBorders>
              <w:bottom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NON-PROFIT BOARDS</w:t>
            </w:r>
          </w:p>
        </w:tc>
        <w:tc>
          <w:tcPr>
            <w:tcW w:w="20" w:type="dxa"/>
            <w:vAlign w:val="bottom"/>
            <w:tcBorders>
              <w:bottom w:val="single" w:sz="8" w:color="F4F6F6"/>
            </w:tcBorders>
          </w:tcPr>
          <w:p>
            <w:pPr>
              <w:spacing w:after="0"/>
              <w:rPr>
                <w:sz w:val="24"/>
                <w:szCs w:val="24"/>
                <w:color w:val="auto"/>
              </w:rPr>
            </w:pPr>
          </w:p>
        </w:tc>
      </w:tr>
      <w:tr>
        <w:trPr>
          <w:trHeight w:val="240"/>
        </w:trPr>
        <w:tc>
          <w:tcPr>
            <w:tcW w:w="3540" w:type="dxa"/>
            <w:vAlign w:val="bottom"/>
            <w:tcBorders>
              <w:left w:val="single" w:sz="8" w:color="F4F6F6"/>
            </w:tcBorders>
          </w:tcPr>
          <w:p>
            <w:pPr>
              <w:ind w:left="40"/>
              <w:spacing w:after="0"/>
              <w:rPr>
                <w:sz w:val="20"/>
                <w:szCs w:val="20"/>
                <w:color w:val="auto"/>
              </w:rPr>
            </w:pPr>
            <w:r>
              <w:rPr>
                <w:rFonts w:ascii="Arial" w:cs="Arial" w:eastAsia="Arial" w:hAnsi="Arial"/>
                <w:sz w:val="16"/>
                <w:szCs w:val="16"/>
                <w:color w:val="auto"/>
              </w:rPr>
              <w:t>3M Corporation;</w:t>
            </w:r>
          </w:p>
        </w:tc>
        <w:tc>
          <w:tcPr>
            <w:tcW w:w="7880" w:type="dxa"/>
            <w:vAlign w:val="bottom"/>
          </w:tcPr>
          <w:p>
            <w:pPr>
              <w:ind w:left="40"/>
              <w:spacing w:after="0"/>
              <w:rPr>
                <w:sz w:val="20"/>
                <w:szCs w:val="20"/>
                <w:color w:val="auto"/>
              </w:rPr>
            </w:pPr>
            <w:r>
              <w:rPr>
                <w:rFonts w:ascii="Arial" w:cs="Arial" w:eastAsia="Arial" w:hAnsi="Arial"/>
                <w:sz w:val="16"/>
                <w:szCs w:val="16"/>
                <w:color w:val="auto"/>
              </w:rPr>
              <w:t>Chairman of the board of trustees of The Annie E. Casey Foundation</w:t>
            </w:r>
          </w:p>
        </w:tc>
        <w:tc>
          <w:tcPr>
            <w:tcW w:w="20" w:type="dxa"/>
            <w:vAlign w:val="bottom"/>
          </w:tcPr>
          <w:p>
            <w:pPr>
              <w:spacing w:after="0"/>
              <w:rPr>
                <w:sz w:val="20"/>
                <w:szCs w:val="20"/>
                <w:color w:val="auto"/>
              </w:rPr>
            </w:pPr>
          </w:p>
        </w:tc>
      </w:tr>
      <w:tr>
        <w:trPr>
          <w:trHeight w:val="255"/>
        </w:trPr>
        <w:tc>
          <w:tcPr>
            <w:tcW w:w="3540" w:type="dxa"/>
            <w:vAlign w:val="bottom"/>
          </w:tcPr>
          <w:p>
            <w:pPr>
              <w:ind w:left="40"/>
              <w:spacing w:after="0"/>
              <w:rPr>
                <w:sz w:val="20"/>
                <w:szCs w:val="20"/>
                <w:color w:val="auto"/>
              </w:rPr>
            </w:pPr>
            <w:r>
              <w:rPr>
                <w:rFonts w:ascii="Arial" w:cs="Arial" w:eastAsia="Arial" w:hAnsi="Arial"/>
                <w:sz w:val="16"/>
                <w:szCs w:val="16"/>
                <w:color w:val="auto"/>
              </w:rPr>
              <w:t>IBM Corporation;</w:t>
            </w:r>
          </w:p>
        </w:tc>
        <w:tc>
          <w:tcPr>
            <w:tcW w:w="7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9"/>
        </w:trPr>
        <w:tc>
          <w:tcPr>
            <w:tcW w:w="3540" w:type="dxa"/>
            <w:vAlign w:val="bottom"/>
            <w:tcBorders>
              <w:bottom w:val="single" w:sz="8" w:color="F4F6F6"/>
            </w:tcBorders>
          </w:tcPr>
          <w:p>
            <w:pPr>
              <w:ind w:left="40"/>
              <w:spacing w:after="0"/>
              <w:rPr>
                <w:sz w:val="20"/>
                <w:szCs w:val="20"/>
                <w:color w:val="auto"/>
              </w:rPr>
            </w:pPr>
            <w:r>
              <w:rPr>
                <w:rFonts w:ascii="Arial" w:cs="Arial" w:eastAsia="Arial" w:hAnsi="Arial"/>
                <w:sz w:val="16"/>
                <w:szCs w:val="16"/>
                <w:color w:val="auto"/>
              </w:rPr>
              <w:t>Allstate Insurance Company</w:t>
            </w:r>
          </w:p>
        </w:tc>
        <w:tc>
          <w:tcPr>
            <w:tcW w:w="7880" w:type="dxa"/>
            <w:vAlign w:val="bottom"/>
            <w:tcBorders>
              <w:bottom w:val="single" w:sz="8" w:color="F4F6F6"/>
            </w:tcBorders>
          </w:tcPr>
          <w:p>
            <w:pPr>
              <w:spacing w:after="0"/>
              <w:rPr>
                <w:sz w:val="24"/>
                <w:szCs w:val="24"/>
                <w:color w:val="auto"/>
              </w:rPr>
            </w:pPr>
          </w:p>
        </w:tc>
        <w:tc>
          <w:tcPr>
            <w:tcW w:w="20" w:type="dxa"/>
            <w:vAlign w:val="bottom"/>
            <w:tcBorders>
              <w:bottom w:val="single" w:sz="8" w:color="F4F6F6"/>
            </w:tcBorders>
          </w:tcPr>
          <w:p>
            <w:pPr>
              <w:spacing w:after="0"/>
              <w:rPr>
                <w:sz w:val="24"/>
                <w:szCs w:val="24"/>
                <w:color w:val="auto"/>
              </w:rPr>
            </w:pPr>
          </w:p>
        </w:tc>
      </w:tr>
      <w:tr>
        <w:trPr>
          <w:trHeight w:val="243"/>
        </w:trPr>
        <w:tc>
          <w:tcPr>
            <w:tcW w:w="3540" w:type="dxa"/>
            <w:vAlign w:val="bottom"/>
            <w:tcBorders>
              <w:lef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CAREER HIGHLIGHTS</w:t>
            </w:r>
          </w:p>
        </w:tc>
        <w:tc>
          <w:tcPr>
            <w:tcW w:w="7880" w:type="dxa"/>
            <w:vAlign w:val="bottom"/>
            <w:shd w:val="clear" w:color="auto" w:fill="F4F6F6"/>
          </w:tcPr>
          <w:p>
            <w:pPr>
              <w:spacing w:after="0"/>
              <w:rPr>
                <w:sz w:val="21"/>
                <w:szCs w:val="21"/>
                <w:color w:val="auto"/>
              </w:rPr>
            </w:pPr>
          </w:p>
        </w:tc>
        <w:tc>
          <w:tcPr>
            <w:tcW w:w="20" w:type="dxa"/>
            <w:vAlign w:val="bottom"/>
          </w:tcPr>
          <w:p>
            <w:pPr>
              <w:spacing w:after="0"/>
              <w:rPr>
                <w:sz w:val="21"/>
                <w:szCs w:val="21"/>
                <w:color w:val="auto"/>
              </w:rPr>
            </w:pPr>
          </w:p>
        </w:tc>
      </w:tr>
    </w:tbl>
    <w:p>
      <w:pPr>
        <w:spacing w:after="0" w:line="7" w:lineRule="exact"/>
        <w:rPr>
          <w:sz w:val="20"/>
          <w:szCs w:val="20"/>
          <w:color w:val="auto"/>
        </w:rPr>
      </w:pPr>
    </w:p>
    <w:p>
      <w:pPr>
        <w:ind w:left="160" w:hanging="111"/>
        <w:spacing w:after="0"/>
        <w:tabs>
          <w:tab w:leader="none" w:pos="16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United Parcel Service, Inc., a global shipping and logistics company</w:t>
      </w:r>
    </w:p>
    <w:p>
      <w:pPr>
        <w:spacing w:after="0" w:line="250" w:lineRule="exact"/>
        <w:rPr>
          <w:rFonts w:ascii="Arial" w:cs="Arial" w:eastAsia="Arial" w:hAnsi="Arial"/>
          <w:sz w:val="16"/>
          <w:szCs w:val="16"/>
          <w:color w:val="auto"/>
        </w:rPr>
      </w:pPr>
    </w:p>
    <w:p>
      <w:pPr>
        <w:ind w:left="380" w:hanging="106"/>
        <w:spacing w:after="0"/>
        <w:tabs>
          <w:tab w:leader="none" w:pos="3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UPS Board of Directors (1998 - 2014)</w:t>
      </w:r>
    </w:p>
    <w:p>
      <w:pPr>
        <w:spacing w:after="0" w:line="59" w:lineRule="exact"/>
        <w:rPr>
          <w:rFonts w:ascii="Arial" w:cs="Arial" w:eastAsia="Arial" w:hAnsi="Arial"/>
          <w:sz w:val="16"/>
          <w:szCs w:val="16"/>
          <w:color w:val="auto"/>
        </w:rPr>
      </w:pPr>
    </w:p>
    <w:p>
      <w:pPr>
        <w:ind w:left="380" w:hanging="106"/>
        <w:spacing w:after="0"/>
        <w:tabs>
          <w:tab w:leader="none" w:pos="3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Chairman and CEO (2002 - 2007)</w:t>
      </w:r>
    </w:p>
    <w:p>
      <w:pPr>
        <w:spacing w:after="0" w:line="248" w:lineRule="exact"/>
        <w:rPr>
          <w:rFonts w:ascii="Arial" w:cs="Arial" w:eastAsia="Arial" w:hAnsi="Arial"/>
          <w:sz w:val="16"/>
          <w:szCs w:val="16"/>
          <w:color w:val="auto"/>
        </w:rPr>
      </w:pPr>
    </w:p>
    <w:p>
      <w:pPr>
        <w:ind w:left="380" w:hanging="106"/>
        <w:spacing w:after="0"/>
        <w:tabs>
          <w:tab w:leader="none" w:pos="3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Vice Chairman (2000 - 2002)</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54875" cy="6261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626110"/>
                    </a:xfrm>
                    <a:prstGeom prst="rect">
                      <a:avLst/>
                    </a:prstGeom>
                    <a:noFill/>
                  </pic:spPr>
                </pic:pic>
              </a:graphicData>
            </a:graphic>
          </wp:anchor>
        </w:drawing>
      </w:r>
    </w:p>
    <w:p>
      <w:pPr>
        <w:spacing w:after="0" w:line="41" w:lineRule="exact"/>
        <w:rPr>
          <w:sz w:val="20"/>
          <w:szCs w:val="20"/>
          <w:color w:val="auto"/>
        </w:rPr>
      </w:pPr>
    </w:p>
    <w:p>
      <w:pPr>
        <w:ind w:left="40" w:right="2600"/>
        <w:spacing w:after="0" w:line="332" w:lineRule="auto"/>
        <w:rPr>
          <w:sz w:val="20"/>
          <w:szCs w:val="20"/>
          <w:color w:val="auto"/>
        </w:rPr>
      </w:pPr>
      <w:r>
        <w:rPr>
          <w:rFonts w:ascii="Arial" w:cs="Arial" w:eastAsia="Arial" w:hAnsi="Arial"/>
          <w:sz w:val="16"/>
          <w:szCs w:val="16"/>
          <w:color w:val="auto"/>
        </w:rPr>
        <w:t>Mr. Eskew has CEO experience with UPS, where he established a record of success in managing complex worldwide operations, strategic planning, and building a strong consumer brand focus. He is an audit committee financial expert, based on his CEO experience and his service on other U.S. public company audit committees. He has extensive corporate governance experience through his service on the boards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205740</wp:posOffset>
            </wp:positionV>
            <wp:extent cx="591820" cy="591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18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40"/>
        <w:spacing w:after="0"/>
        <w:rPr>
          <w:sz w:val="20"/>
          <w:szCs w:val="20"/>
          <w:color w:val="auto"/>
        </w:rPr>
      </w:pPr>
      <w:r>
        <w:rPr>
          <w:rFonts w:ascii="Arial" w:cs="Arial" w:eastAsia="Arial" w:hAnsi="Arial"/>
          <w:sz w:val="27"/>
          <w:szCs w:val="27"/>
          <w:b w:val="1"/>
          <w:bCs w:val="1"/>
          <w:color w:val="EF3729"/>
        </w:rPr>
        <w:t>William G. Kaelin, Jr., M.D.</w:t>
      </w:r>
    </w:p>
    <w:p>
      <w:pPr>
        <w:spacing w:after="0" w:line="146"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xml:space="preserve">Age: 61, Director since 2012,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Finance; Science and Technology (chair)</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700" w:type="dxa"/>
            <w:vAlign w:val="bottom"/>
            <w:tcBorders>
              <w:left w:val="single" w:sz="8" w:color="F4F6F6"/>
              <w:bottom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INDUSTRY MEMBERSHIPS</w:t>
            </w:r>
          </w:p>
        </w:tc>
        <w:tc>
          <w:tcPr>
            <w:tcW w:w="6740" w:type="dxa"/>
            <w:vAlign w:val="bottom"/>
            <w:tcBorders>
              <w:bottom w:val="single" w:sz="8" w:color="F4F6F6"/>
              <w:right w:val="single" w:sz="8" w:color="F4F6F6"/>
            </w:tcBorders>
            <w:shd w:val="clear" w:color="auto" w:fill="F4F6F6"/>
          </w:tcPr>
          <w:p>
            <w:pPr>
              <w:ind w:left="20"/>
              <w:spacing w:after="0"/>
              <w:rPr>
                <w:sz w:val="20"/>
                <w:szCs w:val="20"/>
                <w:color w:val="auto"/>
              </w:rPr>
            </w:pPr>
            <w:r>
              <w:rPr>
                <w:rFonts w:ascii="Arial" w:cs="Arial" w:eastAsia="Arial" w:hAnsi="Arial"/>
                <w:sz w:val="16"/>
                <w:szCs w:val="16"/>
                <w:b w:val="1"/>
                <w:bCs w:val="1"/>
                <w:color w:val="00ABE8"/>
              </w:rPr>
              <w:t>HONORS</w:t>
            </w:r>
          </w:p>
        </w:tc>
      </w:tr>
      <w:tr>
        <w:trPr>
          <w:trHeight w:val="228"/>
        </w:trPr>
        <w:tc>
          <w:tcPr>
            <w:tcW w:w="4700" w:type="dxa"/>
            <w:vAlign w:val="bottom"/>
            <w:tcBorders>
              <w:left w:val="single" w:sz="8" w:color="F4F6F6"/>
            </w:tcBorders>
          </w:tcPr>
          <w:p>
            <w:pPr>
              <w:ind w:left="40"/>
              <w:spacing w:after="0"/>
              <w:rPr>
                <w:sz w:val="20"/>
                <w:szCs w:val="20"/>
                <w:color w:val="auto"/>
              </w:rPr>
            </w:pPr>
            <w:r>
              <w:rPr>
                <w:rFonts w:ascii="Arial" w:cs="Arial" w:eastAsia="Arial" w:hAnsi="Arial"/>
                <w:sz w:val="16"/>
                <w:szCs w:val="16"/>
                <w:color w:val="auto"/>
              </w:rPr>
              <w:t>National Academy of Medicine;</w:t>
            </w:r>
          </w:p>
        </w:tc>
        <w:tc>
          <w:tcPr>
            <w:tcW w:w="6740" w:type="dxa"/>
            <w:vAlign w:val="bottom"/>
            <w:tcBorders>
              <w:right w:val="single" w:sz="8" w:color="F4F6F6"/>
            </w:tcBorders>
          </w:tcPr>
          <w:p>
            <w:pPr>
              <w:ind w:left="20"/>
              <w:spacing w:after="0"/>
              <w:rPr>
                <w:sz w:val="20"/>
                <w:szCs w:val="20"/>
                <w:color w:val="auto"/>
              </w:rPr>
            </w:pPr>
            <w:r>
              <w:rPr>
                <w:rFonts w:ascii="Arial" w:cs="Arial" w:eastAsia="Arial" w:hAnsi="Arial"/>
                <w:sz w:val="16"/>
                <w:szCs w:val="16"/>
                <w:color w:val="auto"/>
              </w:rPr>
              <w:t>Canada Gairdner International Award;</w:t>
            </w:r>
          </w:p>
        </w:tc>
      </w:tr>
      <w:tr>
        <w:trPr>
          <w:trHeight w:val="243"/>
        </w:trPr>
        <w:tc>
          <w:tcPr>
            <w:tcW w:w="4700" w:type="dxa"/>
            <w:vAlign w:val="bottom"/>
            <w:tcBorders>
              <w:left w:val="single" w:sz="8" w:color="F4F6F6"/>
            </w:tcBorders>
          </w:tcPr>
          <w:p>
            <w:pPr>
              <w:ind w:left="40"/>
              <w:spacing w:after="0"/>
              <w:rPr>
                <w:sz w:val="20"/>
                <w:szCs w:val="20"/>
                <w:color w:val="auto"/>
              </w:rPr>
            </w:pPr>
            <w:r>
              <w:rPr>
                <w:rFonts w:ascii="Arial" w:cs="Arial" w:eastAsia="Arial" w:hAnsi="Arial"/>
                <w:sz w:val="16"/>
                <w:szCs w:val="16"/>
                <w:color w:val="auto"/>
              </w:rPr>
              <w:t>National Academy of Sciences;</w:t>
            </w:r>
          </w:p>
        </w:tc>
        <w:tc>
          <w:tcPr>
            <w:tcW w:w="6740" w:type="dxa"/>
            <w:vAlign w:val="bottom"/>
            <w:tcBorders>
              <w:right w:val="single" w:sz="8" w:color="F4F6F6"/>
            </w:tcBorders>
          </w:tcPr>
          <w:p>
            <w:pPr>
              <w:ind w:left="20"/>
              <w:spacing w:after="0"/>
              <w:rPr>
                <w:sz w:val="20"/>
                <w:szCs w:val="20"/>
                <w:color w:val="auto"/>
              </w:rPr>
            </w:pPr>
            <w:r>
              <w:rPr>
                <w:rFonts w:ascii="Arial" w:cs="Arial" w:eastAsia="Arial" w:hAnsi="Arial"/>
                <w:sz w:val="16"/>
                <w:szCs w:val="16"/>
                <w:color w:val="auto"/>
              </w:rPr>
              <w:t>Lefoulon-Delalande Prize - Institute of France</w:t>
            </w:r>
          </w:p>
        </w:tc>
      </w:tr>
      <w:tr>
        <w:trPr>
          <w:trHeight w:val="243"/>
        </w:trPr>
        <w:tc>
          <w:tcPr>
            <w:tcW w:w="4700" w:type="dxa"/>
            <w:vAlign w:val="bottom"/>
            <w:tcBorders>
              <w:left w:val="single" w:sz="8" w:color="F4F6F6"/>
            </w:tcBorders>
          </w:tcPr>
          <w:p>
            <w:pPr>
              <w:ind w:left="40"/>
              <w:spacing w:after="0"/>
              <w:rPr>
                <w:sz w:val="20"/>
                <w:szCs w:val="20"/>
                <w:color w:val="auto"/>
              </w:rPr>
            </w:pPr>
            <w:r>
              <w:rPr>
                <w:rFonts w:ascii="Arial" w:cs="Arial" w:eastAsia="Arial" w:hAnsi="Arial"/>
                <w:sz w:val="16"/>
                <w:szCs w:val="16"/>
                <w:color w:val="auto"/>
              </w:rPr>
              <w:t>Association of American Physicians;</w:t>
            </w:r>
          </w:p>
        </w:tc>
        <w:tc>
          <w:tcPr>
            <w:tcW w:w="6740" w:type="dxa"/>
            <w:vAlign w:val="bottom"/>
            <w:tcBorders>
              <w:right w:val="single" w:sz="8" w:color="F4F6F6"/>
            </w:tcBorders>
          </w:tcPr>
          <w:p>
            <w:pPr>
              <w:spacing w:after="0"/>
              <w:rPr>
                <w:sz w:val="21"/>
                <w:szCs w:val="21"/>
                <w:color w:val="auto"/>
              </w:rPr>
            </w:pPr>
          </w:p>
        </w:tc>
      </w:tr>
      <w:tr>
        <w:trPr>
          <w:trHeight w:val="251"/>
        </w:trPr>
        <w:tc>
          <w:tcPr>
            <w:tcW w:w="4700" w:type="dxa"/>
            <w:vAlign w:val="bottom"/>
            <w:tcBorders>
              <w:left w:val="single" w:sz="8" w:color="F4F6F6"/>
            </w:tcBorders>
          </w:tcPr>
          <w:p>
            <w:pPr>
              <w:ind w:left="40"/>
              <w:spacing w:after="0"/>
              <w:rPr>
                <w:sz w:val="20"/>
                <w:szCs w:val="20"/>
                <w:color w:val="auto"/>
              </w:rPr>
            </w:pPr>
            <w:r>
              <w:rPr>
                <w:rFonts w:ascii="Arial" w:cs="Arial" w:eastAsia="Arial" w:hAnsi="Arial"/>
                <w:sz w:val="16"/>
                <w:szCs w:val="16"/>
                <w:color w:val="auto"/>
              </w:rPr>
              <w:t>American Society of Clinical Investigation</w:t>
            </w:r>
          </w:p>
        </w:tc>
        <w:tc>
          <w:tcPr>
            <w:tcW w:w="6740" w:type="dxa"/>
            <w:vAlign w:val="bottom"/>
            <w:tcBorders>
              <w:right w:val="single" w:sz="8" w:color="F4F6F6"/>
            </w:tcBorders>
          </w:tcPr>
          <w:p>
            <w:pPr>
              <w:spacing w:after="0"/>
              <w:rPr>
                <w:sz w:val="21"/>
                <w:szCs w:val="21"/>
                <w:color w:val="auto"/>
              </w:rPr>
            </w:pPr>
          </w:p>
        </w:tc>
      </w:tr>
      <w:tr>
        <w:trPr>
          <w:trHeight w:val="264"/>
        </w:trPr>
        <w:tc>
          <w:tcPr>
            <w:tcW w:w="4700" w:type="dxa"/>
            <w:vAlign w:val="bottom"/>
            <w:tcBorders>
              <w:lef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CAREER HIGHLIGHTS</w:t>
            </w:r>
          </w:p>
        </w:tc>
        <w:tc>
          <w:tcPr>
            <w:tcW w:w="6740" w:type="dxa"/>
            <w:vAlign w:val="bottom"/>
            <w:tcBorders>
              <w:right w:val="single" w:sz="8" w:color="F4F6F6"/>
            </w:tcBorders>
            <w:shd w:val="clear" w:color="auto" w:fill="F4F6F6"/>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54875" cy="1372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1372235"/>
                    </a:xfrm>
                    <a:prstGeom prst="rect">
                      <a:avLst/>
                    </a:prstGeom>
                    <a:noFill/>
                  </pic:spPr>
                </pic:pic>
              </a:graphicData>
            </a:graphic>
          </wp:anchor>
        </w:drawing>
      </w:r>
    </w:p>
    <w:p>
      <w:pPr>
        <w:ind w:left="160" w:hanging="111"/>
        <w:spacing w:after="0"/>
        <w:tabs>
          <w:tab w:leader="none" w:pos="16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Dana-Farber/Harvard Cancer Center</w:t>
      </w:r>
    </w:p>
    <w:p>
      <w:pPr>
        <w:spacing w:after="0" w:line="250" w:lineRule="exact"/>
        <w:rPr>
          <w:rFonts w:ascii="Arial" w:cs="Arial" w:eastAsia="Arial" w:hAnsi="Arial"/>
          <w:sz w:val="16"/>
          <w:szCs w:val="16"/>
          <w:b w:val="1"/>
          <w:bCs w:val="1"/>
          <w:color w:val="auto"/>
        </w:rPr>
      </w:pPr>
    </w:p>
    <w:p>
      <w:pPr>
        <w:ind w:left="380" w:hanging="106"/>
        <w:spacing w:after="0"/>
        <w:tabs>
          <w:tab w:leader="none" w:pos="3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Professor of Medicine (2002 - present)</w:t>
      </w:r>
    </w:p>
    <w:p>
      <w:pPr>
        <w:spacing w:after="0" w:line="57" w:lineRule="exact"/>
        <w:rPr>
          <w:rFonts w:ascii="Arial" w:cs="Arial" w:eastAsia="Arial" w:hAnsi="Arial"/>
          <w:sz w:val="16"/>
          <w:szCs w:val="16"/>
          <w:color w:val="auto"/>
        </w:rPr>
      </w:pPr>
    </w:p>
    <w:p>
      <w:pPr>
        <w:ind w:left="160" w:hanging="111"/>
        <w:spacing w:after="0"/>
        <w:tabs>
          <w:tab w:leader="none" w:pos="16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Brigham and Women's Hospital</w:t>
      </w:r>
    </w:p>
    <w:p>
      <w:pPr>
        <w:spacing w:after="0" w:line="61" w:lineRule="exact"/>
        <w:rPr>
          <w:rFonts w:ascii="Arial" w:cs="Arial" w:eastAsia="Arial" w:hAnsi="Arial"/>
          <w:sz w:val="16"/>
          <w:szCs w:val="16"/>
          <w:color w:val="auto"/>
        </w:rPr>
      </w:pPr>
    </w:p>
    <w:p>
      <w:pPr>
        <w:ind w:left="380" w:hanging="106"/>
        <w:spacing w:after="0"/>
        <w:tabs>
          <w:tab w:leader="none" w:pos="3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Professor (2002 - present)</w:t>
      </w:r>
    </w:p>
    <w:p>
      <w:pPr>
        <w:spacing w:after="0" w:line="57" w:lineRule="exact"/>
        <w:rPr>
          <w:rFonts w:ascii="Arial" w:cs="Arial" w:eastAsia="Arial" w:hAnsi="Arial"/>
          <w:sz w:val="16"/>
          <w:szCs w:val="16"/>
          <w:color w:val="auto"/>
        </w:rPr>
      </w:pPr>
    </w:p>
    <w:p>
      <w:pPr>
        <w:ind w:left="160" w:hanging="111"/>
        <w:spacing w:after="0"/>
        <w:tabs>
          <w:tab w:leader="none" w:pos="16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Howard Hughes Medical Institute</w:t>
      </w:r>
    </w:p>
    <w:p>
      <w:pPr>
        <w:spacing w:after="0" w:line="61" w:lineRule="exact"/>
        <w:rPr>
          <w:rFonts w:ascii="Arial" w:cs="Arial" w:eastAsia="Arial" w:hAnsi="Arial"/>
          <w:sz w:val="16"/>
          <w:szCs w:val="16"/>
          <w:b w:val="1"/>
          <w:bCs w:val="1"/>
          <w:color w:val="auto"/>
        </w:rPr>
      </w:pPr>
    </w:p>
    <w:p>
      <w:pPr>
        <w:ind w:left="380" w:hanging="106"/>
        <w:spacing w:after="0"/>
        <w:tabs>
          <w:tab w:leader="none" w:pos="3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Investigator (2002 - present)</w:t>
      </w:r>
    </w:p>
    <w:p>
      <w:pPr>
        <w:spacing w:after="0" w:line="72" w:lineRule="exact"/>
        <w:rPr>
          <w:rFonts w:ascii="Arial" w:cs="Arial" w:eastAsia="Arial" w:hAnsi="Arial"/>
          <w:sz w:val="16"/>
          <w:szCs w:val="16"/>
          <w:color w:val="auto"/>
        </w:rPr>
      </w:pPr>
    </w:p>
    <w:p>
      <w:pPr>
        <w:ind w:left="380" w:hanging="106"/>
        <w:spacing w:after="0"/>
        <w:tabs>
          <w:tab w:leader="none" w:pos="3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Assistant Investigator (1998 - 2002)</w:t>
      </w:r>
    </w:p>
    <w:p>
      <w:pPr>
        <w:spacing w:after="0" w:line="70"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6"/>
          <w:szCs w:val="16"/>
          <w:b w:val="1"/>
          <w:bCs w:val="1"/>
          <w:color w:val="00ABE8"/>
        </w:rPr>
        <w:t>QUALIFICATIONS</w:t>
      </w:r>
    </w:p>
    <w:p>
      <w:pPr>
        <w:spacing w:after="0" w:line="61" w:lineRule="exact"/>
        <w:rPr>
          <w:rFonts w:ascii="Arial" w:cs="Arial" w:eastAsia="Arial" w:hAnsi="Arial"/>
          <w:sz w:val="16"/>
          <w:szCs w:val="16"/>
          <w:color w:val="auto"/>
        </w:rPr>
      </w:pPr>
    </w:p>
    <w:p>
      <w:pPr>
        <w:ind w:left="40" w:right="2780"/>
        <w:spacing w:after="0" w:line="332" w:lineRule="auto"/>
        <w:rPr>
          <w:rFonts w:ascii="Arial" w:cs="Arial" w:eastAsia="Arial" w:hAnsi="Arial"/>
          <w:sz w:val="16"/>
          <w:szCs w:val="16"/>
          <w:color w:val="auto"/>
        </w:rPr>
      </w:pPr>
      <w:r>
        <w:rPr>
          <w:rFonts w:ascii="Arial" w:cs="Arial" w:eastAsia="Arial" w:hAnsi="Arial"/>
          <w:sz w:val="16"/>
          <w:szCs w:val="16"/>
          <w:color w:val="auto"/>
        </w:rPr>
        <w:t>Dr. Kaelin is a prominent medical researcher and academician. He has extensive experience at Harvard Medical School, a major medical institution, as well as special expertise in oncology, a key component of Lilly's business. He also has deep expertise in basic science, including mechanisms of drug action, and experience with pharmaceutical discovery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254875" cy="6261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626110"/>
                    </a:xfrm>
                    <a:prstGeom prst="rect">
                      <a:avLst/>
                    </a:prstGeom>
                    <a:noFill/>
                  </pic:spPr>
                </pic:pic>
              </a:graphicData>
            </a:graphic>
          </wp:anchor>
        </w:drawing>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P13</w:t>
      </w:r>
    </w:p>
    <w:p>
      <w:pPr>
        <w:sectPr>
          <w:pgSz w:w="11900" w:h="16838" w:orient="portrait"/>
          <w:cols w:equalWidth="0" w:num="1">
            <w:col w:w="11440"/>
          </w:cols>
          <w:pgMar w:left="240" w:top="557" w:right="219" w:bottom="1440" w:gutter="0" w:footer="0" w:header="0"/>
        </w:sectPr>
      </w:pPr>
    </w:p>
    <w:bookmarkStart w:id="17" w:name="page18"/>
    <w:bookmarkEnd w:id="17"/>
    <w:p>
      <w:pPr>
        <w:ind w:left="1640"/>
        <w:spacing w:after="0"/>
        <w:rPr>
          <w:sz w:val="20"/>
          <w:szCs w:val="20"/>
          <w:color w:val="auto"/>
        </w:rPr>
      </w:pPr>
      <w:r>
        <w:rPr>
          <w:rFonts w:ascii="Arial" w:cs="Arial" w:eastAsia="Arial" w:hAnsi="Arial"/>
          <w:sz w:val="27"/>
          <w:szCs w:val="27"/>
          <w:b w:val="1"/>
          <w:bCs w:val="1"/>
          <w:color w:val="EF3729"/>
        </w:rPr>
        <w:drawing>
          <wp:anchor simplePos="0" relativeHeight="251657728" behindDoc="1" locked="0" layoutInCell="0" allowOverlap="1">
            <wp:simplePos x="0" y="0"/>
            <wp:positionH relativeFrom="page">
              <wp:posOffset>372110</wp:posOffset>
            </wp:positionH>
            <wp:positionV relativeFrom="page">
              <wp:posOffset>474980</wp:posOffset>
            </wp:positionV>
            <wp:extent cx="591820" cy="5918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91820" cy="591820"/>
                    </a:xfrm>
                    <a:prstGeom prst="rect">
                      <a:avLst/>
                    </a:prstGeom>
                    <a:noFill/>
                  </pic:spPr>
                </pic:pic>
              </a:graphicData>
            </a:graphic>
          </wp:anchor>
        </w:drawing>
        <w:t>David A. Ricks</w:t>
      </w:r>
    </w:p>
    <w:p>
      <w:pPr>
        <w:spacing w:after="0" w:line="146"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xml:space="preserve">Age: 51, Director since 2017,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none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840" w:type="dxa"/>
            <w:vAlign w:val="bottom"/>
            <w:shd w:val="clear" w:color="auto" w:fill="F4F6F6"/>
          </w:tcPr>
          <w:p>
            <w:pPr>
              <w:ind w:left="40"/>
              <w:spacing w:after="0"/>
              <w:rPr>
                <w:sz w:val="20"/>
                <w:szCs w:val="20"/>
                <w:color w:val="auto"/>
              </w:rPr>
            </w:pPr>
            <w:r>
              <w:rPr>
                <w:rFonts w:ascii="Arial" w:cs="Arial" w:eastAsia="Arial" w:hAnsi="Arial"/>
                <w:sz w:val="16"/>
                <w:szCs w:val="16"/>
                <w:b w:val="1"/>
                <w:bCs w:val="1"/>
                <w:color w:val="00ABE8"/>
              </w:rPr>
              <w:t>PUBLIC BOARDS</w:t>
            </w:r>
          </w:p>
        </w:tc>
        <w:tc>
          <w:tcPr>
            <w:tcW w:w="4400" w:type="dxa"/>
            <w:vAlign w:val="bottom"/>
            <w:shd w:val="clear" w:color="auto" w:fill="F4F6F6"/>
          </w:tcPr>
          <w:p>
            <w:pPr>
              <w:ind w:left="40"/>
              <w:spacing w:after="0"/>
              <w:rPr>
                <w:sz w:val="20"/>
                <w:szCs w:val="20"/>
                <w:color w:val="auto"/>
              </w:rPr>
            </w:pPr>
            <w:r>
              <w:rPr>
                <w:rFonts w:ascii="Arial" w:cs="Arial" w:eastAsia="Arial" w:hAnsi="Arial"/>
                <w:sz w:val="16"/>
                <w:szCs w:val="16"/>
                <w:b w:val="1"/>
                <w:bCs w:val="1"/>
                <w:color w:val="00ABE8"/>
              </w:rPr>
              <w:t>NON-PROFIT BOARDS</w:t>
            </w:r>
          </w:p>
        </w:tc>
        <w:tc>
          <w:tcPr>
            <w:tcW w:w="5200" w:type="dxa"/>
            <w:vAlign w:val="bottom"/>
            <w:shd w:val="clear" w:color="auto" w:fill="F4F6F6"/>
          </w:tcPr>
          <w:p>
            <w:pPr>
              <w:ind w:left="640"/>
              <w:spacing w:after="0"/>
              <w:rPr>
                <w:sz w:val="20"/>
                <w:szCs w:val="20"/>
                <w:color w:val="auto"/>
              </w:rPr>
            </w:pPr>
            <w:r>
              <w:rPr>
                <w:rFonts w:ascii="Arial" w:cs="Arial" w:eastAsia="Arial" w:hAnsi="Arial"/>
                <w:sz w:val="16"/>
                <w:szCs w:val="16"/>
                <w:b w:val="1"/>
                <w:bCs w:val="1"/>
                <w:color w:val="00ABE8"/>
              </w:rPr>
              <w:t>INDUSTRY MEMBERSHIPS</w:t>
            </w:r>
          </w:p>
        </w:tc>
      </w:tr>
      <w:tr>
        <w:trPr>
          <w:trHeight w:val="228"/>
        </w:trPr>
        <w:tc>
          <w:tcPr>
            <w:tcW w:w="1840" w:type="dxa"/>
            <w:vAlign w:val="bottom"/>
          </w:tcPr>
          <w:p>
            <w:pPr>
              <w:ind w:left="40"/>
              <w:spacing w:after="0"/>
              <w:rPr>
                <w:sz w:val="20"/>
                <w:szCs w:val="20"/>
                <w:color w:val="auto"/>
              </w:rPr>
            </w:pPr>
            <w:r>
              <w:rPr>
                <w:rFonts w:ascii="Arial" w:cs="Arial" w:eastAsia="Arial" w:hAnsi="Arial"/>
                <w:sz w:val="16"/>
                <w:szCs w:val="16"/>
                <w:color w:val="auto"/>
              </w:rPr>
              <w:t>Adobe; Elanco</w:t>
            </w:r>
          </w:p>
        </w:tc>
        <w:tc>
          <w:tcPr>
            <w:tcW w:w="4400" w:type="dxa"/>
            <w:vAlign w:val="bottom"/>
          </w:tcPr>
          <w:p>
            <w:pPr>
              <w:ind w:left="40"/>
              <w:spacing w:after="0"/>
              <w:rPr>
                <w:sz w:val="20"/>
                <w:szCs w:val="20"/>
                <w:color w:val="auto"/>
              </w:rPr>
            </w:pPr>
            <w:r>
              <w:rPr>
                <w:rFonts w:ascii="Arial" w:cs="Arial" w:eastAsia="Arial" w:hAnsi="Arial"/>
                <w:sz w:val="16"/>
                <w:szCs w:val="16"/>
                <w:color w:val="auto"/>
              </w:rPr>
              <w:t>Board of Governors for Riley Children's Foundation;</w:t>
            </w:r>
          </w:p>
        </w:tc>
        <w:tc>
          <w:tcPr>
            <w:tcW w:w="5200" w:type="dxa"/>
            <w:vAlign w:val="bottom"/>
          </w:tcPr>
          <w:p>
            <w:pPr>
              <w:ind w:left="640"/>
              <w:spacing w:after="0"/>
              <w:rPr>
                <w:sz w:val="20"/>
                <w:szCs w:val="20"/>
                <w:color w:val="auto"/>
              </w:rPr>
            </w:pPr>
            <w:r>
              <w:rPr>
                <w:rFonts w:ascii="Arial" w:cs="Arial" w:eastAsia="Arial" w:hAnsi="Arial"/>
                <w:sz w:val="16"/>
                <w:szCs w:val="16"/>
                <w:color w:val="auto"/>
              </w:rPr>
              <w:t>International Federation of Pharmaceutical</w:t>
            </w:r>
          </w:p>
        </w:tc>
      </w:tr>
      <w:tr>
        <w:trPr>
          <w:trHeight w:val="270"/>
        </w:trPr>
        <w:tc>
          <w:tcPr>
            <w:tcW w:w="1840" w:type="dxa"/>
            <w:vAlign w:val="bottom"/>
          </w:tcPr>
          <w:p>
            <w:pPr>
              <w:spacing w:after="0"/>
              <w:rPr>
                <w:sz w:val="23"/>
                <w:szCs w:val="23"/>
                <w:color w:val="auto"/>
              </w:rPr>
            </w:pPr>
          </w:p>
        </w:tc>
        <w:tc>
          <w:tcPr>
            <w:tcW w:w="4400" w:type="dxa"/>
            <w:vAlign w:val="bottom"/>
          </w:tcPr>
          <w:p>
            <w:pPr>
              <w:ind w:left="40"/>
              <w:spacing w:after="0"/>
              <w:rPr>
                <w:sz w:val="20"/>
                <w:szCs w:val="20"/>
                <w:color w:val="auto"/>
              </w:rPr>
            </w:pPr>
            <w:r>
              <w:rPr>
                <w:rFonts w:ascii="Arial" w:cs="Arial" w:eastAsia="Arial" w:hAnsi="Arial"/>
                <w:sz w:val="16"/>
                <w:szCs w:val="16"/>
                <w:color w:val="auto"/>
              </w:rPr>
              <w:t>Central Indiana Community Partnership</w:t>
            </w:r>
          </w:p>
        </w:tc>
        <w:tc>
          <w:tcPr>
            <w:tcW w:w="5200" w:type="dxa"/>
            <w:vAlign w:val="bottom"/>
          </w:tcPr>
          <w:p>
            <w:pPr>
              <w:ind w:left="740"/>
              <w:spacing w:after="0"/>
              <w:rPr>
                <w:sz w:val="20"/>
                <w:szCs w:val="20"/>
                <w:color w:val="auto"/>
              </w:rPr>
            </w:pPr>
            <w:r>
              <w:rPr>
                <w:rFonts w:ascii="Arial" w:cs="Arial" w:eastAsia="Arial" w:hAnsi="Arial"/>
                <w:sz w:val="16"/>
                <w:szCs w:val="16"/>
                <w:color w:val="auto"/>
              </w:rPr>
              <w:t>Manufacturers &amp; Associations (IFPMA);</w:t>
            </w:r>
          </w:p>
        </w:tc>
      </w:tr>
      <w:tr>
        <w:trPr>
          <w:trHeight w:val="270"/>
        </w:trPr>
        <w:tc>
          <w:tcPr>
            <w:tcW w:w="184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5200" w:type="dxa"/>
            <w:vAlign w:val="bottom"/>
          </w:tcPr>
          <w:p>
            <w:pPr>
              <w:ind w:left="640"/>
              <w:spacing w:after="0"/>
              <w:rPr>
                <w:sz w:val="20"/>
                <w:szCs w:val="20"/>
                <w:color w:val="auto"/>
              </w:rPr>
            </w:pPr>
            <w:r>
              <w:rPr>
                <w:rFonts w:ascii="Arial" w:cs="Arial" w:eastAsia="Arial" w:hAnsi="Arial"/>
                <w:sz w:val="16"/>
                <w:szCs w:val="16"/>
                <w:color w:val="auto"/>
              </w:rPr>
              <w:t>Pharmaceutical Research and Manufacturers</w:t>
            </w:r>
          </w:p>
        </w:tc>
      </w:tr>
      <w:tr>
        <w:trPr>
          <w:trHeight w:val="270"/>
        </w:trPr>
        <w:tc>
          <w:tcPr>
            <w:tcW w:w="184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5200" w:type="dxa"/>
            <w:vAlign w:val="bottom"/>
          </w:tcPr>
          <w:p>
            <w:pPr>
              <w:ind w:left="740"/>
              <w:spacing w:after="0"/>
              <w:rPr>
                <w:sz w:val="20"/>
                <w:szCs w:val="20"/>
                <w:color w:val="auto"/>
              </w:rPr>
            </w:pPr>
            <w:r>
              <w:rPr>
                <w:rFonts w:ascii="Arial" w:cs="Arial" w:eastAsia="Arial" w:hAnsi="Arial"/>
                <w:sz w:val="16"/>
                <w:szCs w:val="16"/>
                <w:color w:val="auto"/>
              </w:rPr>
              <w:t>of America (PhRMA)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7254875" cy="1414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141478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CAREER HIGHLIGHTS</w:t>
      </w:r>
    </w:p>
    <w:p>
      <w:pPr>
        <w:spacing w:after="0" w:line="59" w:lineRule="exact"/>
        <w:rPr>
          <w:sz w:val="20"/>
          <w:szCs w:val="20"/>
          <w:color w:val="auto"/>
        </w:rPr>
      </w:pPr>
    </w:p>
    <w:p>
      <w:pPr>
        <w:ind w:left="160" w:hanging="111"/>
        <w:spacing w:after="0"/>
        <w:tabs>
          <w:tab w:leader="none" w:pos="16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Eli Lilly and Company</w:t>
      </w:r>
    </w:p>
    <w:p>
      <w:pPr>
        <w:spacing w:after="0" w:line="250" w:lineRule="exact"/>
        <w:rPr>
          <w:rFonts w:ascii="Arial" w:cs="Arial" w:eastAsia="Arial" w:hAnsi="Arial"/>
          <w:sz w:val="16"/>
          <w:szCs w:val="16"/>
          <w:b w:val="1"/>
          <w:bCs w:val="1"/>
          <w:color w:val="auto"/>
        </w:rPr>
      </w:pPr>
    </w:p>
    <w:p>
      <w:pPr>
        <w:ind w:left="380" w:hanging="106"/>
        <w:spacing w:after="0"/>
        <w:tabs>
          <w:tab w:leader="none" w:pos="3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Chairman of the Board, President and CEO (2017- present)</w:t>
      </w:r>
    </w:p>
    <w:p>
      <w:pPr>
        <w:spacing w:after="0" w:line="59" w:lineRule="exact"/>
        <w:rPr>
          <w:rFonts w:ascii="Arial" w:cs="Arial" w:eastAsia="Arial" w:hAnsi="Arial"/>
          <w:sz w:val="16"/>
          <w:szCs w:val="16"/>
          <w:color w:val="auto"/>
        </w:rPr>
      </w:pPr>
    </w:p>
    <w:p>
      <w:pPr>
        <w:ind w:left="380" w:hanging="106"/>
        <w:spacing w:after="0"/>
        <w:tabs>
          <w:tab w:leader="none" w:pos="3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Senior Vice President and President, Lilly Bio-Medicines (2012 - 2016)</w:t>
      </w:r>
    </w:p>
    <w:p>
      <w:pPr>
        <w:spacing w:after="0" w:line="57"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6"/>
          <w:szCs w:val="16"/>
          <w:b w:val="1"/>
          <w:bCs w:val="1"/>
          <w:color w:val="00ABE8"/>
        </w:rPr>
        <w:t>QUALIFICATIONS</w:t>
      </w:r>
    </w:p>
    <w:p>
      <w:pPr>
        <w:spacing w:after="0" w:line="61" w:lineRule="exact"/>
        <w:rPr>
          <w:rFonts w:ascii="Arial" w:cs="Arial" w:eastAsia="Arial" w:hAnsi="Arial"/>
          <w:sz w:val="16"/>
          <w:szCs w:val="16"/>
          <w:color w:val="auto"/>
        </w:rPr>
      </w:pPr>
    </w:p>
    <w:p>
      <w:pPr>
        <w:ind w:left="40" w:right="2520"/>
        <w:spacing w:after="0" w:line="343" w:lineRule="auto"/>
        <w:rPr>
          <w:rFonts w:ascii="Arial" w:cs="Arial" w:eastAsia="Arial" w:hAnsi="Arial"/>
          <w:sz w:val="16"/>
          <w:szCs w:val="16"/>
          <w:color w:val="auto"/>
        </w:rPr>
      </w:pPr>
      <w:r>
        <w:rPr>
          <w:rFonts w:ascii="Arial" w:cs="Arial" w:eastAsia="Arial" w:hAnsi="Arial"/>
          <w:sz w:val="16"/>
          <w:szCs w:val="16"/>
          <w:color w:val="auto"/>
        </w:rPr>
        <w:t>Mr. Ricks was named President and CEO on January 1, 2017, and Chairman on June 1, 2017. Mr. Ricks joined Lilly in 1996 and most recently served as President of Lilly Bio-Medicines. He has deep expertise in product development, global sales and marketing, as well as public policy. He has significant global experience in leading the company's commercial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7254875" cy="780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78041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351155</wp:posOffset>
            </wp:positionV>
            <wp:extent cx="591820" cy="5918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18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40"/>
        <w:spacing w:after="0"/>
        <w:rPr>
          <w:sz w:val="20"/>
          <w:szCs w:val="20"/>
          <w:color w:val="auto"/>
        </w:rPr>
      </w:pPr>
      <w:r>
        <w:rPr>
          <w:rFonts w:ascii="Arial" w:cs="Arial" w:eastAsia="Arial" w:hAnsi="Arial"/>
          <w:sz w:val="27"/>
          <w:szCs w:val="27"/>
          <w:b w:val="1"/>
          <w:bCs w:val="1"/>
          <w:color w:val="EF3729"/>
        </w:rPr>
        <w:t>Marschall S. Runge, M.D., Ph.D.</w:t>
      </w:r>
    </w:p>
    <w:p>
      <w:pPr>
        <w:spacing w:after="0" w:line="146"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xml:space="preserve">Age: 64, Director since 2013,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Public Policy and Compliance; Science and Technology</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980" w:type="dxa"/>
            <w:vAlign w:val="bottom"/>
            <w:tcBorders>
              <w:lef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NON-PROFIT BOARDS</w:t>
            </w:r>
          </w:p>
        </w:tc>
        <w:tc>
          <w:tcPr>
            <w:tcW w:w="8460" w:type="dxa"/>
            <w:vAlign w:val="bottom"/>
            <w:tcBorders>
              <w:right w:val="single" w:sz="8" w:color="F4F6F6"/>
            </w:tcBorders>
            <w:shd w:val="clear" w:color="auto" w:fill="F4F6F6"/>
          </w:tcPr>
          <w:p>
            <w:pPr>
              <w:ind w:left="20"/>
              <w:spacing w:after="0"/>
              <w:rPr>
                <w:sz w:val="20"/>
                <w:szCs w:val="20"/>
                <w:color w:val="auto"/>
              </w:rPr>
            </w:pPr>
            <w:r>
              <w:rPr>
                <w:rFonts w:ascii="Arial" w:cs="Arial" w:eastAsia="Arial" w:hAnsi="Arial"/>
                <w:sz w:val="16"/>
                <w:szCs w:val="16"/>
                <w:b w:val="1"/>
                <w:bCs w:val="1"/>
                <w:color w:val="00ABE8"/>
              </w:rPr>
              <w:t>MEMBERSHIPS + OTHER ORGANIZATIONS</w:t>
            </w:r>
          </w:p>
        </w:tc>
      </w:tr>
      <w:tr>
        <w:trPr>
          <w:trHeight w:val="235"/>
        </w:trPr>
        <w:tc>
          <w:tcPr>
            <w:tcW w:w="2980" w:type="dxa"/>
            <w:vAlign w:val="bottom"/>
            <w:tcBorders>
              <w:left w:val="single" w:sz="8" w:color="F4F6F6"/>
            </w:tcBorders>
          </w:tcPr>
          <w:p>
            <w:pPr>
              <w:ind w:left="40"/>
              <w:spacing w:after="0"/>
              <w:rPr>
                <w:sz w:val="20"/>
                <w:szCs w:val="20"/>
                <w:color w:val="auto"/>
              </w:rPr>
            </w:pPr>
            <w:r>
              <w:rPr>
                <w:rFonts w:ascii="Arial" w:cs="Arial" w:eastAsia="Arial" w:hAnsi="Arial"/>
                <w:sz w:val="16"/>
                <w:szCs w:val="16"/>
                <w:color w:val="auto"/>
              </w:rPr>
              <w:t>Michigan Medicine</w:t>
            </w:r>
          </w:p>
        </w:tc>
        <w:tc>
          <w:tcPr>
            <w:tcW w:w="8460" w:type="dxa"/>
            <w:vAlign w:val="bottom"/>
            <w:tcBorders>
              <w:right w:val="single" w:sz="8" w:color="F4F6F6"/>
            </w:tcBorders>
          </w:tcPr>
          <w:p>
            <w:pPr>
              <w:ind w:left="20"/>
              <w:spacing w:after="0"/>
              <w:rPr>
                <w:sz w:val="20"/>
                <w:szCs w:val="20"/>
                <w:color w:val="auto"/>
              </w:rPr>
            </w:pPr>
            <w:r>
              <w:rPr>
                <w:rFonts w:ascii="Arial" w:cs="Arial" w:eastAsia="Arial" w:hAnsi="Arial"/>
                <w:sz w:val="16"/>
                <w:szCs w:val="16"/>
                <w:color w:val="auto"/>
              </w:rPr>
              <w:t>Experimental Cardiovascular Sciences Study Section of the National Institutes of Health</w:t>
            </w:r>
          </w:p>
        </w:tc>
      </w:tr>
      <w:tr>
        <w:trPr>
          <w:trHeight w:val="251"/>
        </w:trPr>
        <w:tc>
          <w:tcPr>
            <w:tcW w:w="2980" w:type="dxa"/>
            <w:vAlign w:val="bottom"/>
            <w:tcBorders>
              <w:lef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CAREER HIGHLIGHTS</w:t>
            </w:r>
          </w:p>
        </w:tc>
        <w:tc>
          <w:tcPr>
            <w:tcW w:w="8460" w:type="dxa"/>
            <w:vAlign w:val="bottom"/>
            <w:tcBorders>
              <w:right w:val="single" w:sz="8" w:color="F4F6F6"/>
            </w:tcBorders>
            <w:shd w:val="clear" w:color="auto" w:fill="F4F6F6"/>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54875" cy="15176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1517650"/>
                    </a:xfrm>
                    <a:prstGeom prst="rect">
                      <a:avLst/>
                    </a:prstGeom>
                    <a:noFill/>
                  </pic:spPr>
                </pic:pic>
              </a:graphicData>
            </a:graphic>
          </wp:anchor>
        </w:drawing>
      </w:r>
    </w:p>
    <w:p>
      <w:pPr>
        <w:ind w:left="160" w:hanging="111"/>
        <w:spacing w:after="0"/>
        <w:tabs>
          <w:tab w:leader="none" w:pos="16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University of Michigan</w:t>
      </w:r>
    </w:p>
    <w:p>
      <w:pPr>
        <w:spacing w:after="0" w:line="250" w:lineRule="exact"/>
        <w:rPr>
          <w:rFonts w:ascii="Arial" w:cs="Arial" w:eastAsia="Arial" w:hAnsi="Arial"/>
          <w:sz w:val="16"/>
          <w:szCs w:val="16"/>
          <w:b w:val="1"/>
          <w:bCs w:val="1"/>
          <w:color w:val="auto"/>
        </w:rPr>
      </w:pPr>
    </w:p>
    <w:p>
      <w:pPr>
        <w:ind w:left="380" w:hanging="106"/>
        <w:spacing w:after="0"/>
        <w:tabs>
          <w:tab w:leader="none" w:pos="3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CEO, Michigan Medicine (2015 - present)</w:t>
      </w:r>
    </w:p>
    <w:p>
      <w:pPr>
        <w:spacing w:after="0" w:line="59" w:lineRule="exact"/>
        <w:rPr>
          <w:rFonts w:ascii="Arial" w:cs="Arial" w:eastAsia="Arial" w:hAnsi="Arial"/>
          <w:sz w:val="16"/>
          <w:szCs w:val="16"/>
          <w:color w:val="auto"/>
        </w:rPr>
      </w:pPr>
    </w:p>
    <w:p>
      <w:pPr>
        <w:ind w:left="380" w:hanging="106"/>
        <w:spacing w:after="0"/>
        <w:tabs>
          <w:tab w:leader="none" w:pos="3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Executive Vice President for Medical Affairs (2015 - present)</w:t>
      </w:r>
    </w:p>
    <w:p>
      <w:pPr>
        <w:spacing w:after="0" w:line="59" w:lineRule="exact"/>
        <w:rPr>
          <w:rFonts w:ascii="Arial" w:cs="Arial" w:eastAsia="Arial" w:hAnsi="Arial"/>
          <w:sz w:val="16"/>
          <w:szCs w:val="16"/>
          <w:color w:val="auto"/>
        </w:rPr>
      </w:pPr>
    </w:p>
    <w:p>
      <w:pPr>
        <w:ind w:left="380" w:hanging="106"/>
        <w:spacing w:after="0"/>
        <w:tabs>
          <w:tab w:leader="none" w:pos="3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Dean, Medical School (2015 - present)</w:t>
      </w:r>
    </w:p>
    <w:p>
      <w:pPr>
        <w:spacing w:after="0" w:line="57" w:lineRule="exact"/>
        <w:rPr>
          <w:rFonts w:ascii="Arial" w:cs="Arial" w:eastAsia="Arial" w:hAnsi="Arial"/>
          <w:sz w:val="16"/>
          <w:szCs w:val="16"/>
          <w:color w:val="auto"/>
        </w:rPr>
      </w:pPr>
    </w:p>
    <w:p>
      <w:pPr>
        <w:ind w:left="160" w:hanging="111"/>
        <w:spacing w:after="0"/>
        <w:tabs>
          <w:tab w:leader="none" w:pos="16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University of North Carolina, School of Medicine</w:t>
      </w:r>
    </w:p>
    <w:p>
      <w:pPr>
        <w:spacing w:after="0" w:line="61" w:lineRule="exact"/>
        <w:rPr>
          <w:rFonts w:ascii="Arial" w:cs="Arial" w:eastAsia="Arial" w:hAnsi="Arial"/>
          <w:sz w:val="16"/>
          <w:szCs w:val="16"/>
          <w:b w:val="1"/>
          <w:bCs w:val="1"/>
          <w:color w:val="auto"/>
        </w:rPr>
      </w:pPr>
    </w:p>
    <w:p>
      <w:pPr>
        <w:ind w:left="380" w:hanging="106"/>
        <w:spacing w:after="0"/>
        <w:tabs>
          <w:tab w:leader="none" w:pos="3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Executive Dean (2010 - 2015)</w:t>
      </w:r>
    </w:p>
    <w:p>
      <w:pPr>
        <w:spacing w:after="0" w:line="59" w:lineRule="exact"/>
        <w:rPr>
          <w:rFonts w:ascii="Arial" w:cs="Arial" w:eastAsia="Arial" w:hAnsi="Arial"/>
          <w:sz w:val="16"/>
          <w:szCs w:val="16"/>
          <w:color w:val="auto"/>
        </w:rPr>
      </w:pPr>
    </w:p>
    <w:p>
      <w:pPr>
        <w:ind w:left="380" w:hanging="106"/>
        <w:spacing w:after="0"/>
        <w:tabs>
          <w:tab w:leader="none" w:pos="3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Chair of the Department of Medicine (2000 - 2015)</w:t>
      </w:r>
    </w:p>
    <w:p>
      <w:pPr>
        <w:spacing w:after="0" w:line="59" w:lineRule="exact"/>
        <w:rPr>
          <w:rFonts w:ascii="Arial" w:cs="Arial" w:eastAsia="Arial" w:hAnsi="Arial"/>
          <w:sz w:val="16"/>
          <w:szCs w:val="16"/>
          <w:color w:val="auto"/>
        </w:rPr>
      </w:pPr>
    </w:p>
    <w:p>
      <w:pPr>
        <w:ind w:left="380" w:hanging="106"/>
        <w:spacing w:after="0"/>
        <w:tabs>
          <w:tab w:leader="none" w:pos="3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Principal Investigator and Director of the North Carolina Translational and Clinical Sciences Institute (2010 - 2015)</w:t>
      </w:r>
    </w:p>
    <w:p>
      <w:pPr>
        <w:spacing w:after="0" w:line="70"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6"/>
          <w:szCs w:val="16"/>
          <w:b w:val="1"/>
          <w:bCs w:val="1"/>
          <w:color w:val="00ABE8"/>
        </w:rPr>
        <w:t>QUALIFICATIONS</w:t>
      </w:r>
    </w:p>
    <w:p>
      <w:pPr>
        <w:spacing w:after="0" w:line="61" w:lineRule="exact"/>
        <w:rPr>
          <w:rFonts w:ascii="Arial" w:cs="Arial" w:eastAsia="Arial" w:hAnsi="Arial"/>
          <w:sz w:val="16"/>
          <w:szCs w:val="16"/>
          <w:color w:val="auto"/>
        </w:rPr>
      </w:pPr>
    </w:p>
    <w:p>
      <w:pPr>
        <w:jc w:val="both"/>
        <w:ind w:left="40" w:right="3260"/>
        <w:spacing w:after="0" w:line="339" w:lineRule="auto"/>
        <w:rPr>
          <w:rFonts w:ascii="Arial" w:cs="Arial" w:eastAsia="Arial" w:hAnsi="Arial"/>
          <w:sz w:val="16"/>
          <w:szCs w:val="16"/>
          <w:color w:val="auto"/>
        </w:rPr>
      </w:pPr>
      <w:r>
        <w:rPr>
          <w:rFonts w:ascii="Arial" w:cs="Arial" w:eastAsia="Arial" w:hAnsi="Arial"/>
          <w:sz w:val="16"/>
          <w:szCs w:val="16"/>
          <w:color w:val="auto"/>
        </w:rPr>
        <w:t>Dr. Runge brings the unique perspective of a practicing physician who has a broad background in health care and academia. He has extensive experience as a practicing cardiologist, a strong understanding of health care facility systems, and deep expertise in biomedical research and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254875" cy="4718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471805"/>
                    </a:xfrm>
                    <a:prstGeom prst="rect">
                      <a:avLst/>
                    </a:prstGeom>
                    <a:noFill/>
                  </pic:spPr>
                </pic:pic>
              </a:graphicData>
            </a:graphic>
          </wp:anchor>
        </w:drawing>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P14</w:t>
      </w:r>
    </w:p>
    <w:p>
      <w:pPr>
        <w:sectPr>
          <w:pgSz w:w="11900" w:h="16838" w:orient="portrait"/>
          <w:cols w:equalWidth="0" w:num="1">
            <w:col w:w="11440"/>
          </w:cols>
          <w:pgMar w:left="240" w:top="1046" w:right="219" w:bottom="1440" w:gutter="0" w:footer="0" w:header="0"/>
        </w:sectPr>
      </w:pPr>
    </w:p>
    <w:bookmarkStart w:id="18" w:name="page19"/>
    <w:bookmarkEnd w:id="18"/>
    <w:p>
      <w:pPr>
        <w:ind w:left="1640"/>
        <w:spacing w:after="0"/>
        <w:rPr>
          <w:sz w:val="20"/>
          <w:szCs w:val="20"/>
          <w:color w:val="auto"/>
        </w:rPr>
      </w:pPr>
      <w:r>
        <w:rPr>
          <w:rFonts w:ascii="Arial" w:cs="Arial" w:eastAsia="Arial" w:hAnsi="Arial"/>
          <w:sz w:val="27"/>
          <w:szCs w:val="27"/>
          <w:b w:val="1"/>
          <w:bCs w:val="1"/>
          <w:color w:val="EF3729"/>
        </w:rPr>
        <w:drawing>
          <wp:anchor simplePos="0" relativeHeight="251657728" behindDoc="1" locked="0" layoutInCell="0" allowOverlap="1">
            <wp:simplePos x="0" y="0"/>
            <wp:positionH relativeFrom="page">
              <wp:posOffset>372110</wp:posOffset>
            </wp:positionH>
            <wp:positionV relativeFrom="page">
              <wp:posOffset>474980</wp:posOffset>
            </wp:positionV>
            <wp:extent cx="591820" cy="5918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91820" cy="591820"/>
                    </a:xfrm>
                    <a:prstGeom prst="rect">
                      <a:avLst/>
                    </a:prstGeom>
                    <a:noFill/>
                  </pic:spPr>
                </pic:pic>
              </a:graphicData>
            </a:graphic>
          </wp:anchor>
        </w:drawing>
        <w:t>Karen Walker</w:t>
      </w:r>
    </w:p>
    <w:p>
      <w:pPr>
        <w:spacing w:after="0" w:line="146"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xml:space="preserve">Age: 57, Director since 2018,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Public Policy and Compliance</w:t>
      </w:r>
    </w:p>
    <w:p>
      <w:pPr>
        <w:spacing w:after="0" w:line="178" w:lineRule="exact"/>
        <w:rPr>
          <w:sz w:val="20"/>
          <w:szCs w:val="20"/>
          <w:color w:val="auto"/>
        </w:rPr>
      </w:pPr>
    </w:p>
    <w:tbl>
      <w:tblPr>
        <w:tblLayout w:type="fixed"/>
        <w:tblInd w:w="50" w:type="dxa"/>
        <w:tblCellMar>
          <w:top w:w="0" w:type="dxa"/>
          <w:left w:w="0" w:type="dxa"/>
          <w:bottom w:w="0" w:type="dxa"/>
          <w:right w:w="0" w:type="dxa"/>
        </w:tblCellMar>
      </w:tblPr>
      <w:tr>
        <w:trPr>
          <w:trHeight w:val="257"/>
        </w:trPr>
        <w:tc>
          <w:tcPr>
            <w:tcW w:w="4060" w:type="dxa"/>
            <w:vAlign w:val="bottom"/>
            <w:tcBorders>
              <w:lef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NON-PROFIT BOARDS</w:t>
            </w:r>
          </w:p>
        </w:tc>
        <w:tc>
          <w:tcPr>
            <w:tcW w:w="7320" w:type="dxa"/>
            <w:vAlign w:val="bottom"/>
            <w:tcBorders>
              <w:right w:val="single" w:sz="8" w:color="F4F6F6"/>
            </w:tcBorders>
            <w:shd w:val="clear" w:color="auto" w:fill="F4F6F6"/>
          </w:tcPr>
          <w:p>
            <w:pPr>
              <w:ind w:left="620"/>
              <w:spacing w:after="0"/>
              <w:rPr>
                <w:sz w:val="20"/>
                <w:szCs w:val="20"/>
                <w:color w:val="auto"/>
              </w:rPr>
            </w:pPr>
            <w:r>
              <w:rPr>
                <w:rFonts w:ascii="Arial" w:cs="Arial" w:eastAsia="Arial" w:hAnsi="Arial"/>
                <w:sz w:val="16"/>
                <w:szCs w:val="16"/>
                <w:b w:val="1"/>
                <w:bCs w:val="1"/>
                <w:color w:val="00ABE8"/>
              </w:rPr>
              <w:t>MEMBERSHIPS + OTHER ORGANIZATIONS</w:t>
            </w:r>
          </w:p>
        </w:tc>
      </w:tr>
      <w:tr>
        <w:trPr>
          <w:trHeight w:val="228"/>
        </w:trPr>
        <w:tc>
          <w:tcPr>
            <w:tcW w:w="4060" w:type="dxa"/>
            <w:vAlign w:val="bottom"/>
            <w:tcBorders>
              <w:left w:val="single" w:sz="8" w:color="F4F6F6"/>
            </w:tcBorders>
          </w:tcPr>
          <w:p>
            <w:pPr>
              <w:ind w:left="40"/>
              <w:spacing w:after="0"/>
              <w:rPr>
                <w:sz w:val="20"/>
                <w:szCs w:val="20"/>
                <w:color w:val="auto"/>
              </w:rPr>
            </w:pPr>
            <w:r>
              <w:rPr>
                <w:rFonts w:ascii="Arial" w:cs="Arial" w:eastAsia="Arial" w:hAnsi="Arial"/>
                <w:sz w:val="16"/>
                <w:szCs w:val="16"/>
                <w:color w:val="auto"/>
              </w:rPr>
              <w:t>Salvation Army Advisory Board of Silicon Valley</w:t>
            </w:r>
          </w:p>
        </w:tc>
        <w:tc>
          <w:tcPr>
            <w:tcW w:w="7320" w:type="dxa"/>
            <w:vAlign w:val="bottom"/>
            <w:tcBorders>
              <w:right w:val="single" w:sz="8" w:color="F4F6F6"/>
            </w:tcBorders>
          </w:tcPr>
          <w:p>
            <w:pPr>
              <w:ind w:left="620"/>
              <w:spacing w:after="0"/>
              <w:rPr>
                <w:sz w:val="20"/>
                <w:szCs w:val="20"/>
                <w:color w:val="auto"/>
              </w:rPr>
            </w:pPr>
            <w:r>
              <w:rPr>
                <w:rFonts w:ascii="Arial" w:cs="Arial" w:eastAsia="Arial" w:hAnsi="Arial"/>
                <w:sz w:val="16"/>
                <w:szCs w:val="16"/>
                <w:color w:val="auto"/>
              </w:rPr>
              <w:t>Association of National Advertisers; IT Services Marketing Association;</w:t>
            </w:r>
          </w:p>
        </w:tc>
      </w:tr>
      <w:tr>
        <w:trPr>
          <w:trHeight w:val="278"/>
        </w:trPr>
        <w:tc>
          <w:tcPr>
            <w:tcW w:w="4060" w:type="dxa"/>
            <w:vAlign w:val="bottom"/>
            <w:tcBorders>
              <w:left w:val="single" w:sz="8" w:color="F4F6F6"/>
            </w:tcBorders>
          </w:tcPr>
          <w:p>
            <w:pPr>
              <w:spacing w:after="0"/>
              <w:rPr>
                <w:sz w:val="24"/>
                <w:szCs w:val="24"/>
                <w:color w:val="auto"/>
              </w:rPr>
            </w:pPr>
          </w:p>
        </w:tc>
        <w:tc>
          <w:tcPr>
            <w:tcW w:w="7320" w:type="dxa"/>
            <w:vAlign w:val="bottom"/>
            <w:tcBorders>
              <w:right w:val="single" w:sz="8" w:color="F4F6F6"/>
            </w:tcBorders>
          </w:tcPr>
          <w:p>
            <w:pPr>
              <w:ind w:left="620"/>
              <w:spacing w:after="0"/>
              <w:rPr>
                <w:sz w:val="20"/>
                <w:szCs w:val="20"/>
                <w:color w:val="auto"/>
              </w:rPr>
            </w:pPr>
            <w:r>
              <w:rPr>
                <w:rFonts w:ascii="Arial" w:cs="Arial" w:eastAsia="Arial" w:hAnsi="Arial"/>
                <w:sz w:val="16"/>
                <w:szCs w:val="16"/>
                <w:color w:val="auto"/>
              </w:rPr>
              <w:t>CMO Council; Marketers that Matter</w:t>
            </w:r>
          </w:p>
        </w:tc>
      </w:tr>
      <w:tr>
        <w:trPr>
          <w:trHeight w:val="251"/>
        </w:trPr>
        <w:tc>
          <w:tcPr>
            <w:tcW w:w="4060" w:type="dxa"/>
            <w:vAlign w:val="bottom"/>
            <w:tcBorders>
              <w:lef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CAREER HIGHLIGHTS</w:t>
            </w:r>
          </w:p>
        </w:tc>
        <w:tc>
          <w:tcPr>
            <w:tcW w:w="7320" w:type="dxa"/>
            <w:vAlign w:val="bottom"/>
            <w:tcBorders>
              <w:right w:val="single" w:sz="8" w:color="F4F6F6"/>
            </w:tcBorders>
            <w:shd w:val="clear" w:color="auto" w:fill="F4F6F6"/>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0</wp:posOffset>
            </wp:positionV>
            <wp:extent cx="8890" cy="1046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046480"/>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0</wp:posOffset>
            </wp:positionV>
            <wp:extent cx="8890" cy="1046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04648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Cisco Systems,</w:t>
      </w:r>
      <w:r>
        <w:rPr>
          <w:rFonts w:ascii="Arial" w:cs="Arial" w:eastAsia="Arial" w:hAnsi="Arial"/>
          <w:sz w:val="16"/>
          <w:szCs w:val="16"/>
          <w:color w:val="auto"/>
        </w:rPr>
        <w:t xml:space="preserve"> a provider of packaging products, aerospace and other technologies and services to commercial and</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governmental customers</w:t>
      </w:r>
    </w:p>
    <w:p>
      <w:pPr>
        <w:spacing w:after="0" w:line="59" w:lineRule="exact"/>
        <w:rPr>
          <w:sz w:val="20"/>
          <w:szCs w:val="20"/>
          <w:color w:val="auto"/>
        </w:rPr>
      </w:pPr>
    </w:p>
    <w:p>
      <w:pPr>
        <w:ind w:left="400" w:hanging="99"/>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Senior Vice President and Chief Marketing Officer (2015 - present)</w:t>
      </w:r>
    </w:p>
    <w:p>
      <w:pPr>
        <w:spacing w:after="0" w:line="59" w:lineRule="exact"/>
        <w:rPr>
          <w:rFonts w:ascii="Arial" w:cs="Arial" w:eastAsia="Arial" w:hAnsi="Arial"/>
          <w:sz w:val="16"/>
          <w:szCs w:val="16"/>
          <w:color w:val="auto"/>
        </w:rPr>
      </w:pPr>
    </w:p>
    <w:p>
      <w:pPr>
        <w:ind w:left="400" w:hanging="99"/>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Senior Vice President, Marketing (2013 - 2015)</w:t>
      </w:r>
    </w:p>
    <w:p>
      <w:pPr>
        <w:spacing w:after="0" w:line="59" w:lineRule="exact"/>
        <w:rPr>
          <w:rFonts w:ascii="Arial" w:cs="Arial" w:eastAsia="Arial" w:hAnsi="Arial"/>
          <w:sz w:val="16"/>
          <w:szCs w:val="16"/>
          <w:color w:val="auto"/>
        </w:rPr>
      </w:pPr>
    </w:p>
    <w:p>
      <w:pPr>
        <w:ind w:left="400" w:hanging="99"/>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Senior Vice President of Segment, Services and Partner Marketing (2012 - 2013)</w:t>
      </w:r>
    </w:p>
    <w:p>
      <w:pPr>
        <w:spacing w:after="0" w:line="59" w:lineRule="exact"/>
        <w:rPr>
          <w:rFonts w:ascii="Arial" w:cs="Arial" w:eastAsia="Arial" w:hAnsi="Arial"/>
          <w:sz w:val="16"/>
          <w:szCs w:val="16"/>
          <w:color w:val="auto"/>
        </w:rPr>
      </w:pPr>
    </w:p>
    <w:p>
      <w:pPr>
        <w:ind w:left="400" w:hanging="99"/>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Vice President of Services Marketing (2008 - 2012)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2058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0585" cy="154305"/>
                    </a:xfrm>
                    <a:prstGeom prst="rect">
                      <a:avLst/>
                    </a:prstGeom>
                    <a:noFill/>
                  </pic:spPr>
                </pic:pic>
              </a:graphicData>
            </a:graphic>
          </wp:anchor>
        </w:drawing>
      </w:r>
    </w:p>
    <w:p>
      <w:pPr>
        <w:spacing w:after="0" w:line="3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33020</wp:posOffset>
            </wp:positionV>
            <wp:extent cx="7220585" cy="6261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0585" cy="626110"/>
                    </a:xfrm>
                    <a:prstGeom prst="rect">
                      <a:avLst/>
                    </a:prstGeom>
                    <a:noFill/>
                  </pic:spPr>
                </pic:pic>
              </a:graphicData>
            </a:graphic>
          </wp:anchor>
        </w:drawing>
      </w:r>
    </w:p>
    <w:p>
      <w:pPr>
        <w:spacing w:after="0" w:line="41" w:lineRule="exact"/>
        <w:rPr>
          <w:sz w:val="20"/>
          <w:szCs w:val="20"/>
          <w:color w:val="auto"/>
        </w:rPr>
      </w:pPr>
    </w:p>
    <w:p>
      <w:pPr>
        <w:ind w:left="80" w:right="2920"/>
        <w:spacing w:after="0" w:line="332" w:lineRule="auto"/>
        <w:rPr>
          <w:sz w:val="20"/>
          <w:szCs w:val="20"/>
          <w:color w:val="auto"/>
        </w:rPr>
      </w:pPr>
      <w:r>
        <w:rPr>
          <w:rFonts w:ascii="Arial" w:cs="Arial" w:eastAsia="Arial" w:hAnsi="Arial"/>
          <w:sz w:val="16"/>
          <w:szCs w:val="16"/>
          <w:color w:val="auto"/>
        </w:rPr>
        <w:t>Ms. Walker brings extensive marketing and digital expertise. She has valuable commercial experience developed through her business and consumer leadership positions in the information technology industry and is a recognized industry authority on both technology and marketing. Her business expertise includes senior field and marketing roles in Europe, North America, and the Asia Pacific region.</w:t>
      </w:r>
    </w:p>
    <w:p>
      <w:pPr>
        <w:spacing w:after="0" w:line="188"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Class of 2021</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With the exception of Ellen Marram, who will retire in May 2019, the following five directors are serving terms that will expire in May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111125</wp:posOffset>
            </wp:positionV>
            <wp:extent cx="591820" cy="5918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1820" cy="59182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640"/>
        <w:spacing w:after="0"/>
        <w:rPr>
          <w:sz w:val="20"/>
          <w:szCs w:val="20"/>
          <w:color w:val="auto"/>
        </w:rPr>
      </w:pPr>
      <w:r>
        <w:rPr>
          <w:rFonts w:ascii="Arial" w:cs="Arial" w:eastAsia="Arial" w:hAnsi="Arial"/>
          <w:sz w:val="27"/>
          <w:szCs w:val="27"/>
          <w:b w:val="1"/>
          <w:bCs w:val="1"/>
          <w:color w:val="EF3729"/>
        </w:rPr>
        <w:t>Katherine Baicker, Ph.D.</w:t>
      </w:r>
    </w:p>
    <w:p>
      <w:pPr>
        <w:spacing w:after="0" w:line="146"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xml:space="preserve">Age: 47, Director since 2011,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Public Policy and Compliance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54875" cy="6261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626110"/>
                    </a:xfrm>
                    <a:prstGeom prst="rect">
                      <a:avLst/>
                    </a:prstGeom>
                    <a:noFill/>
                  </pic:spPr>
                </pic:pic>
              </a:graphicData>
            </a:graphic>
          </wp:anchor>
        </w:drawing>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MEMBERSHIPS + OTHER ORGANIZATIONS</w:t>
      </w:r>
    </w:p>
    <w:p>
      <w:pPr>
        <w:spacing w:after="0" w:line="61" w:lineRule="exact"/>
        <w:rPr>
          <w:sz w:val="20"/>
          <w:szCs w:val="20"/>
          <w:color w:val="auto"/>
        </w:rPr>
      </w:pPr>
    </w:p>
    <w:p>
      <w:pPr>
        <w:ind w:left="40" w:right="2700"/>
        <w:spacing w:after="0" w:line="316" w:lineRule="auto"/>
        <w:rPr>
          <w:sz w:val="20"/>
          <w:szCs w:val="20"/>
          <w:color w:val="auto"/>
        </w:rPr>
      </w:pPr>
      <w:r>
        <w:rPr>
          <w:rFonts w:ascii="Arial" w:cs="Arial" w:eastAsia="Arial" w:hAnsi="Arial"/>
          <w:sz w:val="16"/>
          <w:szCs w:val="16"/>
          <w:color w:val="auto"/>
        </w:rPr>
        <w:t>Panel of Health Advisers to the Congressional Budget Office; Editorial Board of Health Affairs; Research Associate of the National Bureau of Economic Research; Member of the National Academy of Medicine; and American Academy of of Arts and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5487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00ABE8"/>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8890" cy="1509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50939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33020</wp:posOffset>
            </wp:positionV>
            <wp:extent cx="8890" cy="1509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509395"/>
                    </a:xfrm>
                    <a:prstGeom prst="rect">
                      <a:avLst/>
                    </a:prstGeom>
                    <a:noFill/>
                  </pic:spPr>
                </pic:pic>
              </a:graphicData>
            </a:graphic>
          </wp:anchor>
        </w:drawing>
      </w:r>
    </w:p>
    <w:p>
      <w:pPr>
        <w:spacing w:after="0" w:line="39" w:lineRule="exact"/>
        <w:rPr>
          <w:sz w:val="20"/>
          <w:szCs w:val="20"/>
          <w:color w:val="auto"/>
        </w:rPr>
      </w:pPr>
    </w:p>
    <w:p>
      <w:pPr>
        <w:ind w:left="160" w:hanging="111"/>
        <w:spacing w:after="0"/>
        <w:tabs>
          <w:tab w:leader="none" w:pos="16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Harris School of Public Policy, University of Chicago</w:t>
      </w:r>
    </w:p>
    <w:p>
      <w:pPr>
        <w:spacing w:after="0" w:line="250" w:lineRule="exact"/>
        <w:rPr>
          <w:rFonts w:ascii="Arial" w:cs="Arial" w:eastAsia="Arial" w:hAnsi="Arial"/>
          <w:sz w:val="16"/>
          <w:szCs w:val="16"/>
          <w:b w:val="1"/>
          <w:bCs w:val="1"/>
          <w:color w:val="auto"/>
        </w:rPr>
      </w:pPr>
    </w:p>
    <w:p>
      <w:pPr>
        <w:ind w:left="380" w:hanging="106"/>
        <w:spacing w:after="0"/>
        <w:tabs>
          <w:tab w:leader="none" w:pos="3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Dean and the Emmett Dedmon Professor (2017 - present)</w:t>
      </w:r>
    </w:p>
    <w:p>
      <w:pPr>
        <w:spacing w:after="0" w:line="57" w:lineRule="exact"/>
        <w:rPr>
          <w:rFonts w:ascii="Arial" w:cs="Arial" w:eastAsia="Arial" w:hAnsi="Arial"/>
          <w:sz w:val="16"/>
          <w:szCs w:val="16"/>
          <w:color w:val="auto"/>
        </w:rPr>
      </w:pPr>
    </w:p>
    <w:p>
      <w:pPr>
        <w:ind w:left="160" w:hanging="111"/>
        <w:spacing w:after="0"/>
        <w:tabs>
          <w:tab w:leader="none" w:pos="16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Harvard T.H. Chan School of Public Health, Department of Health Policy and Management</w:t>
      </w:r>
    </w:p>
    <w:p>
      <w:pPr>
        <w:spacing w:after="0" w:line="61" w:lineRule="exact"/>
        <w:rPr>
          <w:rFonts w:ascii="Arial" w:cs="Arial" w:eastAsia="Arial" w:hAnsi="Arial"/>
          <w:sz w:val="16"/>
          <w:szCs w:val="16"/>
          <w:b w:val="1"/>
          <w:bCs w:val="1"/>
          <w:color w:val="auto"/>
        </w:rPr>
      </w:pPr>
    </w:p>
    <w:p>
      <w:pPr>
        <w:ind w:left="380" w:hanging="106"/>
        <w:spacing w:after="0"/>
        <w:tabs>
          <w:tab w:leader="none" w:pos="3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C. Boyden Gray Professor (2014 -2017)</w:t>
      </w:r>
    </w:p>
    <w:p>
      <w:pPr>
        <w:spacing w:after="0" w:line="59" w:lineRule="exact"/>
        <w:rPr>
          <w:rFonts w:ascii="Arial" w:cs="Arial" w:eastAsia="Arial" w:hAnsi="Arial"/>
          <w:sz w:val="16"/>
          <w:szCs w:val="16"/>
          <w:color w:val="auto"/>
        </w:rPr>
      </w:pPr>
    </w:p>
    <w:p>
      <w:pPr>
        <w:ind w:left="380" w:hanging="106"/>
        <w:spacing w:after="0"/>
        <w:tabs>
          <w:tab w:leader="none" w:pos="3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Acting Chair (2014 - 2016)</w:t>
      </w:r>
    </w:p>
    <w:p>
      <w:pPr>
        <w:spacing w:after="0" w:line="59" w:lineRule="exact"/>
        <w:rPr>
          <w:rFonts w:ascii="Arial" w:cs="Arial" w:eastAsia="Arial" w:hAnsi="Arial"/>
          <w:sz w:val="16"/>
          <w:szCs w:val="16"/>
          <w:color w:val="auto"/>
        </w:rPr>
      </w:pPr>
    </w:p>
    <w:p>
      <w:pPr>
        <w:ind w:left="380" w:hanging="106"/>
        <w:spacing w:after="0"/>
        <w:tabs>
          <w:tab w:leader="none" w:pos="3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Professor of health economics (2007 - 2017)</w:t>
      </w:r>
    </w:p>
    <w:p>
      <w:pPr>
        <w:spacing w:after="0" w:line="57" w:lineRule="exact"/>
        <w:rPr>
          <w:rFonts w:ascii="Arial" w:cs="Arial" w:eastAsia="Arial" w:hAnsi="Arial"/>
          <w:sz w:val="16"/>
          <w:szCs w:val="16"/>
          <w:color w:val="auto"/>
        </w:rPr>
      </w:pPr>
    </w:p>
    <w:p>
      <w:pPr>
        <w:ind w:left="160" w:hanging="111"/>
        <w:spacing w:after="0"/>
        <w:tabs>
          <w:tab w:leader="none" w:pos="16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Council of Economic Advisers, Executive Office of the President</w:t>
      </w:r>
    </w:p>
    <w:p>
      <w:pPr>
        <w:spacing w:after="0" w:line="61" w:lineRule="exact"/>
        <w:rPr>
          <w:rFonts w:ascii="Arial" w:cs="Arial" w:eastAsia="Arial" w:hAnsi="Arial"/>
          <w:sz w:val="16"/>
          <w:szCs w:val="16"/>
          <w:b w:val="1"/>
          <w:bCs w:val="1"/>
          <w:color w:val="auto"/>
        </w:rPr>
      </w:pPr>
    </w:p>
    <w:p>
      <w:pPr>
        <w:ind w:left="380" w:hanging="106"/>
        <w:spacing w:after="0"/>
        <w:tabs>
          <w:tab w:leader="none" w:pos="3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Member (2005 - 2007)</w:t>
      </w:r>
    </w:p>
    <w:p>
      <w:pPr>
        <w:spacing w:after="0" w:line="59" w:lineRule="exact"/>
        <w:rPr>
          <w:rFonts w:ascii="Arial" w:cs="Arial" w:eastAsia="Arial" w:hAnsi="Arial"/>
          <w:sz w:val="16"/>
          <w:szCs w:val="16"/>
          <w:color w:val="auto"/>
        </w:rPr>
      </w:pPr>
    </w:p>
    <w:p>
      <w:pPr>
        <w:ind w:left="380" w:hanging="106"/>
        <w:spacing w:after="0"/>
        <w:tabs>
          <w:tab w:leader="none" w:pos="3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Senior Economist (2001 - 2002)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5487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54875" cy="4718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471805"/>
                    </a:xfrm>
                    <a:prstGeom prst="rect">
                      <a:avLst/>
                    </a:prstGeom>
                    <a:noFill/>
                  </pic:spPr>
                </pic:pic>
              </a:graphicData>
            </a:graphic>
          </wp:anchor>
        </w:drawing>
      </w:r>
    </w:p>
    <w:p>
      <w:pPr>
        <w:spacing w:after="0" w:line="41" w:lineRule="exact"/>
        <w:rPr>
          <w:sz w:val="20"/>
          <w:szCs w:val="20"/>
          <w:color w:val="auto"/>
        </w:rPr>
      </w:pPr>
    </w:p>
    <w:p>
      <w:pPr>
        <w:ind w:left="40" w:right="2660"/>
        <w:spacing w:after="0" w:line="339" w:lineRule="auto"/>
        <w:rPr>
          <w:sz w:val="20"/>
          <w:szCs w:val="20"/>
          <w:color w:val="auto"/>
        </w:rPr>
      </w:pPr>
      <w:r>
        <w:rPr>
          <w:rFonts w:ascii="Arial" w:cs="Arial" w:eastAsia="Arial" w:hAnsi="Arial"/>
          <w:sz w:val="16"/>
          <w:szCs w:val="16"/>
          <w:color w:val="auto"/>
        </w:rPr>
        <w:t>Dr. Baicker is a leading researcher in the fields of health economics, public economics, and labor economics. As a valued adviser to numerous health care-related commissions and committees, her expertise in health policy and health care delivery is recognized in both academia and government.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P15</w:t>
      </w:r>
    </w:p>
    <w:p>
      <w:pPr>
        <w:sectPr>
          <w:pgSz w:w="11900" w:h="16838" w:orient="portrait"/>
          <w:cols w:equalWidth="0" w:num="1">
            <w:col w:w="11400"/>
          </w:cols>
          <w:pgMar w:left="240" w:top="1046" w:right="259" w:bottom="1440" w:gutter="0" w:footer="0" w:header="0"/>
        </w:sectPr>
      </w:pPr>
    </w:p>
    <w:bookmarkStart w:id="19" w:name="page20"/>
    <w:bookmarkEnd w:id="19"/>
    <w:p>
      <w:pPr>
        <w:ind w:left="1600"/>
        <w:spacing w:after="0"/>
        <w:rPr>
          <w:sz w:val="20"/>
          <w:szCs w:val="20"/>
          <w:color w:val="auto"/>
        </w:rPr>
      </w:pPr>
      <w:r>
        <w:rPr>
          <w:rFonts w:ascii="Arial" w:cs="Arial" w:eastAsia="Arial" w:hAnsi="Arial"/>
          <w:sz w:val="27"/>
          <w:szCs w:val="27"/>
          <w:b w:val="1"/>
          <w:bCs w:val="1"/>
          <w:color w:val="EF3729"/>
        </w:rPr>
        <w:drawing>
          <wp:anchor simplePos="0" relativeHeight="251657728" behindDoc="1" locked="0" layoutInCell="0" allowOverlap="1">
            <wp:simplePos x="0" y="0"/>
            <wp:positionH relativeFrom="page">
              <wp:posOffset>372110</wp:posOffset>
            </wp:positionH>
            <wp:positionV relativeFrom="page">
              <wp:posOffset>474980</wp:posOffset>
            </wp:positionV>
            <wp:extent cx="591820" cy="5918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91820" cy="591820"/>
                    </a:xfrm>
                    <a:prstGeom prst="rect">
                      <a:avLst/>
                    </a:prstGeom>
                    <a:noFill/>
                  </pic:spPr>
                </pic:pic>
              </a:graphicData>
            </a:graphic>
          </wp:anchor>
        </w:drawing>
        <w:t>J. Erik Fyrwald</w:t>
      </w:r>
    </w:p>
    <w:p>
      <w:pPr>
        <w:spacing w:after="0" w:line="146"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 xml:space="preserve">Age: 59, Director since 2005,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Public Policy and Compliance; Science and Technology</w:t>
      </w:r>
    </w:p>
    <w:p>
      <w:pPr>
        <w:spacing w:after="0" w:line="178" w:lineRule="exact"/>
        <w:rPr>
          <w:sz w:val="20"/>
          <w:szCs w:val="20"/>
          <w:color w:val="auto"/>
        </w:rPr>
      </w:pPr>
    </w:p>
    <w:tbl>
      <w:tblPr>
        <w:tblLayout w:type="fixed"/>
        <w:tblInd w:w="50" w:type="dxa"/>
        <w:tblCellMar>
          <w:top w:w="0" w:type="dxa"/>
          <w:left w:w="0" w:type="dxa"/>
          <w:bottom w:w="0" w:type="dxa"/>
          <w:right w:w="0" w:type="dxa"/>
        </w:tblCellMar>
      </w:tblPr>
      <w:tr>
        <w:trPr>
          <w:trHeight w:val="250"/>
        </w:trPr>
        <w:tc>
          <w:tcPr>
            <w:tcW w:w="2260" w:type="dxa"/>
            <w:vAlign w:val="bottom"/>
            <w:tcBorders>
              <w:left w:val="single" w:sz="8" w:color="F4F6F6"/>
              <w:bottom w:val="single" w:sz="8" w:color="F4F6F6"/>
            </w:tcBorders>
            <w:shd w:val="clear" w:color="auto" w:fill="F4F6F6"/>
          </w:tcPr>
          <w:p>
            <w:pPr>
              <w:ind w:left="20"/>
              <w:spacing w:after="0"/>
              <w:rPr>
                <w:sz w:val="20"/>
                <w:szCs w:val="20"/>
                <w:color w:val="auto"/>
              </w:rPr>
            </w:pPr>
            <w:r>
              <w:rPr>
                <w:rFonts w:ascii="Arial" w:cs="Arial" w:eastAsia="Arial" w:hAnsi="Arial"/>
                <w:sz w:val="16"/>
                <w:szCs w:val="16"/>
                <w:b w:val="1"/>
                <w:bCs w:val="1"/>
                <w:color w:val="00ABE8"/>
              </w:rPr>
              <w:t>PUBLIC BOARDS</w:t>
            </w:r>
          </w:p>
        </w:tc>
        <w:tc>
          <w:tcPr>
            <w:tcW w:w="2380" w:type="dxa"/>
            <w:vAlign w:val="bottom"/>
            <w:tcBorders>
              <w:bottom w:val="single" w:sz="8" w:color="F4F6F6"/>
            </w:tcBorders>
            <w:shd w:val="clear" w:color="auto" w:fill="F4F6F6"/>
          </w:tcPr>
          <w:p>
            <w:pPr>
              <w:ind w:left="20"/>
              <w:spacing w:after="0"/>
              <w:rPr>
                <w:sz w:val="20"/>
                <w:szCs w:val="20"/>
                <w:color w:val="auto"/>
              </w:rPr>
            </w:pPr>
            <w:r>
              <w:rPr>
                <w:rFonts w:ascii="Arial" w:cs="Arial" w:eastAsia="Arial" w:hAnsi="Arial"/>
                <w:sz w:val="16"/>
                <w:szCs w:val="16"/>
                <w:b w:val="1"/>
                <w:bCs w:val="1"/>
                <w:color w:val="00ABE8"/>
              </w:rPr>
              <w:t>PRIVATE BOARDS</w:t>
            </w:r>
          </w:p>
        </w:tc>
        <w:tc>
          <w:tcPr>
            <w:tcW w:w="6660" w:type="dxa"/>
            <w:vAlign w:val="bottom"/>
            <w:tcBorders>
              <w:bottom w:val="single" w:sz="8" w:color="F4F6F6"/>
              <w:right w:val="single" w:sz="8" w:color="F4F6F6"/>
            </w:tcBorders>
            <w:shd w:val="clear" w:color="auto" w:fill="F4F6F6"/>
          </w:tcPr>
          <w:p>
            <w:pPr>
              <w:ind w:left="460"/>
              <w:spacing w:after="0"/>
              <w:rPr>
                <w:sz w:val="20"/>
                <w:szCs w:val="20"/>
                <w:color w:val="auto"/>
              </w:rPr>
            </w:pPr>
            <w:r>
              <w:rPr>
                <w:rFonts w:ascii="Arial" w:cs="Arial" w:eastAsia="Arial" w:hAnsi="Arial"/>
                <w:sz w:val="16"/>
                <w:szCs w:val="16"/>
                <w:b w:val="1"/>
                <w:bCs w:val="1"/>
                <w:color w:val="00ABE8"/>
              </w:rPr>
              <w:t>NON-PROFIT BOARDS</w:t>
            </w:r>
          </w:p>
        </w:tc>
      </w:tr>
      <w:tr>
        <w:trPr>
          <w:trHeight w:val="228"/>
        </w:trPr>
        <w:tc>
          <w:tcPr>
            <w:tcW w:w="2260" w:type="dxa"/>
            <w:vAlign w:val="bottom"/>
            <w:tcBorders>
              <w:left w:val="single" w:sz="8" w:color="F4F6F6"/>
            </w:tcBorders>
          </w:tcPr>
          <w:p>
            <w:pPr>
              <w:ind w:left="20"/>
              <w:spacing w:after="0"/>
              <w:rPr>
                <w:sz w:val="20"/>
                <w:szCs w:val="20"/>
                <w:color w:val="auto"/>
              </w:rPr>
            </w:pPr>
            <w:r>
              <w:rPr>
                <w:rFonts w:ascii="Arial" w:cs="Arial" w:eastAsia="Arial" w:hAnsi="Arial"/>
                <w:sz w:val="16"/>
                <w:szCs w:val="16"/>
                <w:color w:val="auto"/>
              </w:rPr>
              <w:t>Bunge Limited</w:t>
            </w:r>
          </w:p>
        </w:tc>
        <w:tc>
          <w:tcPr>
            <w:tcW w:w="2380" w:type="dxa"/>
            <w:vAlign w:val="bottom"/>
          </w:tcPr>
          <w:p>
            <w:pPr>
              <w:ind w:left="20"/>
              <w:spacing w:after="0"/>
              <w:rPr>
                <w:sz w:val="20"/>
                <w:szCs w:val="20"/>
                <w:color w:val="auto"/>
              </w:rPr>
            </w:pPr>
            <w:r>
              <w:rPr>
                <w:rFonts w:ascii="Arial" w:cs="Arial" w:eastAsia="Arial" w:hAnsi="Arial"/>
                <w:sz w:val="16"/>
                <w:szCs w:val="16"/>
                <w:color w:val="auto"/>
              </w:rPr>
              <w:t>Syngenta International AG</w:t>
            </w:r>
          </w:p>
        </w:tc>
        <w:tc>
          <w:tcPr>
            <w:tcW w:w="6660" w:type="dxa"/>
            <w:vAlign w:val="bottom"/>
            <w:tcBorders>
              <w:right w:val="single" w:sz="8" w:color="F4F6F6"/>
            </w:tcBorders>
          </w:tcPr>
          <w:p>
            <w:pPr>
              <w:ind w:left="460"/>
              <w:spacing w:after="0"/>
              <w:rPr>
                <w:sz w:val="20"/>
                <w:szCs w:val="20"/>
                <w:color w:val="auto"/>
              </w:rPr>
            </w:pPr>
            <w:r>
              <w:rPr>
                <w:rFonts w:ascii="Arial" w:cs="Arial" w:eastAsia="Arial" w:hAnsi="Arial"/>
                <w:sz w:val="16"/>
                <w:szCs w:val="16"/>
                <w:color w:val="auto"/>
              </w:rPr>
              <w:t>UN World Food Program Farm to Market Initiative;</w:t>
            </w:r>
          </w:p>
        </w:tc>
      </w:tr>
      <w:tr>
        <w:trPr>
          <w:trHeight w:val="278"/>
        </w:trPr>
        <w:tc>
          <w:tcPr>
            <w:tcW w:w="2260" w:type="dxa"/>
            <w:vAlign w:val="bottom"/>
            <w:tcBorders>
              <w:left w:val="single" w:sz="8" w:color="F4F6F6"/>
            </w:tcBorders>
          </w:tcPr>
          <w:p>
            <w:pPr>
              <w:spacing w:after="0"/>
              <w:rPr>
                <w:sz w:val="24"/>
                <w:szCs w:val="24"/>
                <w:color w:val="auto"/>
              </w:rPr>
            </w:pPr>
          </w:p>
        </w:tc>
        <w:tc>
          <w:tcPr>
            <w:tcW w:w="2380" w:type="dxa"/>
            <w:vAlign w:val="bottom"/>
          </w:tcPr>
          <w:p>
            <w:pPr>
              <w:spacing w:after="0"/>
              <w:rPr>
                <w:sz w:val="24"/>
                <w:szCs w:val="24"/>
                <w:color w:val="auto"/>
              </w:rPr>
            </w:pPr>
          </w:p>
        </w:tc>
        <w:tc>
          <w:tcPr>
            <w:tcW w:w="6660" w:type="dxa"/>
            <w:vAlign w:val="bottom"/>
            <w:tcBorders>
              <w:right w:val="single" w:sz="8" w:color="F4F6F6"/>
            </w:tcBorders>
          </w:tcPr>
          <w:p>
            <w:pPr>
              <w:ind w:left="460"/>
              <w:spacing w:after="0"/>
              <w:rPr>
                <w:sz w:val="20"/>
                <w:szCs w:val="20"/>
                <w:color w:val="auto"/>
              </w:rPr>
            </w:pPr>
            <w:r>
              <w:rPr>
                <w:rFonts w:ascii="Arial" w:cs="Arial" w:eastAsia="Arial" w:hAnsi="Arial"/>
                <w:sz w:val="16"/>
                <w:szCs w:val="16"/>
                <w:color w:val="auto"/>
              </w:rPr>
              <w:t>Crop Life International; Swiss-American Chamber of Commerce</w:t>
            </w:r>
          </w:p>
        </w:tc>
      </w:tr>
      <w:tr>
        <w:trPr>
          <w:trHeight w:val="251"/>
        </w:trPr>
        <w:tc>
          <w:tcPr>
            <w:tcW w:w="2260" w:type="dxa"/>
            <w:vAlign w:val="bottom"/>
            <w:tcBorders>
              <w:left w:val="single" w:sz="8" w:color="F4F6F6"/>
            </w:tcBorders>
            <w:shd w:val="clear" w:color="auto" w:fill="F4F6F6"/>
          </w:tcPr>
          <w:p>
            <w:pPr>
              <w:ind w:left="20"/>
              <w:spacing w:after="0"/>
              <w:rPr>
                <w:sz w:val="20"/>
                <w:szCs w:val="20"/>
                <w:color w:val="auto"/>
              </w:rPr>
            </w:pPr>
            <w:r>
              <w:rPr>
                <w:rFonts w:ascii="Arial" w:cs="Arial" w:eastAsia="Arial" w:hAnsi="Arial"/>
                <w:sz w:val="16"/>
                <w:szCs w:val="16"/>
                <w:b w:val="1"/>
                <w:bCs w:val="1"/>
                <w:color w:val="00ABE8"/>
              </w:rPr>
              <w:t>CAREER HIGHLIGHTS</w:t>
            </w:r>
          </w:p>
        </w:tc>
        <w:tc>
          <w:tcPr>
            <w:tcW w:w="2380" w:type="dxa"/>
            <w:vAlign w:val="bottom"/>
            <w:shd w:val="clear" w:color="auto" w:fill="F4F6F6"/>
          </w:tcPr>
          <w:p>
            <w:pPr>
              <w:spacing w:after="0"/>
              <w:rPr>
                <w:sz w:val="21"/>
                <w:szCs w:val="21"/>
                <w:color w:val="auto"/>
              </w:rPr>
            </w:pPr>
          </w:p>
        </w:tc>
        <w:tc>
          <w:tcPr>
            <w:tcW w:w="6660" w:type="dxa"/>
            <w:vAlign w:val="bottom"/>
            <w:tcBorders>
              <w:right w:val="single" w:sz="8" w:color="F4F6F6"/>
            </w:tcBorders>
            <w:shd w:val="clear" w:color="auto" w:fill="F4F6F6"/>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0</wp:posOffset>
            </wp:positionV>
            <wp:extent cx="7178040" cy="19812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19812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Syngenta International AG,</w:t>
      </w:r>
      <w:r>
        <w:rPr>
          <w:rFonts w:ascii="Arial" w:cs="Arial" w:eastAsia="Arial" w:hAnsi="Arial"/>
          <w:sz w:val="16"/>
          <w:szCs w:val="16"/>
          <w:color w:val="auto"/>
        </w:rPr>
        <w:t xml:space="preserve"> a global Swiss-based agriculture technology company that produces agrochemicals and</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seeds</w:t>
      </w:r>
    </w:p>
    <w:p>
      <w:pPr>
        <w:spacing w:after="0" w:line="59" w:lineRule="exact"/>
        <w:rPr>
          <w:sz w:val="20"/>
          <w:szCs w:val="20"/>
          <w:color w:val="auto"/>
        </w:rPr>
      </w:pPr>
    </w:p>
    <w:p>
      <w:pPr>
        <w:ind w:left="400" w:hanging="105"/>
        <w:spacing w:after="0"/>
        <w:tabs>
          <w:tab w:leader="none" w:pos="4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CEO (2016 - present)</w:t>
      </w:r>
    </w:p>
    <w:p>
      <w:pPr>
        <w:spacing w:after="0" w:line="57" w:lineRule="exact"/>
        <w:rPr>
          <w:rFonts w:ascii="Arial" w:cs="Arial" w:eastAsia="Arial" w:hAnsi="Arial"/>
          <w:sz w:val="16"/>
          <w:szCs w:val="16"/>
          <w:color w:val="auto"/>
        </w:rPr>
      </w:pPr>
    </w:p>
    <w:p>
      <w:pPr>
        <w:ind w:left="220" w:hanging="151"/>
        <w:spacing w:after="0"/>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Univar, Inc., </w:t>
      </w:r>
      <w:r>
        <w:rPr>
          <w:rFonts w:ascii="Arial" w:cs="Arial" w:eastAsia="Arial" w:hAnsi="Arial"/>
          <w:sz w:val="16"/>
          <w:szCs w:val="16"/>
          <w:color w:val="auto"/>
        </w:rPr>
        <w:t>a leading distributor of chemicals and provider of related services</w:t>
      </w:r>
    </w:p>
    <w:p>
      <w:pPr>
        <w:spacing w:after="0" w:line="61" w:lineRule="exact"/>
        <w:rPr>
          <w:rFonts w:ascii="Arial" w:cs="Arial" w:eastAsia="Arial" w:hAnsi="Arial"/>
          <w:sz w:val="16"/>
          <w:szCs w:val="16"/>
          <w:color w:val="auto"/>
        </w:rPr>
      </w:pPr>
    </w:p>
    <w:p>
      <w:pPr>
        <w:ind w:left="400" w:hanging="105"/>
        <w:spacing w:after="0"/>
        <w:tabs>
          <w:tab w:leader="none" w:pos="4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President and CEO (2012 - 2016)</w:t>
      </w:r>
    </w:p>
    <w:p>
      <w:pPr>
        <w:spacing w:after="0" w:line="57" w:lineRule="exact"/>
        <w:rPr>
          <w:rFonts w:ascii="Arial" w:cs="Arial" w:eastAsia="Arial" w:hAnsi="Arial"/>
          <w:sz w:val="16"/>
          <w:szCs w:val="16"/>
          <w:color w:val="auto"/>
        </w:rPr>
      </w:pPr>
    </w:p>
    <w:p>
      <w:pPr>
        <w:ind w:left="180" w:hanging="111"/>
        <w:spacing w:after="0"/>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Ecolab, </w:t>
      </w:r>
      <w:r>
        <w:rPr>
          <w:rFonts w:ascii="Arial" w:cs="Arial" w:eastAsia="Arial" w:hAnsi="Arial"/>
          <w:sz w:val="16"/>
          <w:szCs w:val="16"/>
          <w:color w:val="auto"/>
        </w:rPr>
        <w:t>a leading provider of cleaning, sanitization, and water products and services</w:t>
      </w:r>
    </w:p>
    <w:p>
      <w:pPr>
        <w:spacing w:after="0" w:line="61" w:lineRule="exact"/>
        <w:rPr>
          <w:rFonts w:ascii="Arial" w:cs="Arial" w:eastAsia="Arial" w:hAnsi="Arial"/>
          <w:sz w:val="16"/>
          <w:szCs w:val="16"/>
          <w:color w:val="auto"/>
        </w:rPr>
      </w:pPr>
    </w:p>
    <w:p>
      <w:pPr>
        <w:ind w:left="400" w:hanging="105"/>
        <w:spacing w:after="0"/>
        <w:tabs>
          <w:tab w:leader="none" w:pos="4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President (2012)</w:t>
      </w:r>
    </w:p>
    <w:p>
      <w:pPr>
        <w:spacing w:after="0" w:line="57" w:lineRule="exact"/>
        <w:rPr>
          <w:rFonts w:ascii="Arial" w:cs="Arial" w:eastAsia="Arial" w:hAnsi="Arial"/>
          <w:sz w:val="16"/>
          <w:szCs w:val="16"/>
          <w:color w:val="auto"/>
        </w:rPr>
      </w:pPr>
    </w:p>
    <w:p>
      <w:pPr>
        <w:ind w:left="180" w:hanging="111"/>
        <w:spacing w:after="0"/>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Nalco Company, </w:t>
      </w:r>
      <w:r>
        <w:rPr>
          <w:rFonts w:ascii="Arial" w:cs="Arial" w:eastAsia="Arial" w:hAnsi="Arial"/>
          <w:sz w:val="16"/>
          <w:szCs w:val="16"/>
          <w:color w:val="auto"/>
        </w:rPr>
        <w:t>a leading provider of water treatment products and services</w:t>
      </w:r>
    </w:p>
    <w:p>
      <w:pPr>
        <w:spacing w:after="0" w:line="61" w:lineRule="exact"/>
        <w:rPr>
          <w:rFonts w:ascii="Arial" w:cs="Arial" w:eastAsia="Arial" w:hAnsi="Arial"/>
          <w:sz w:val="16"/>
          <w:szCs w:val="16"/>
          <w:color w:val="auto"/>
        </w:rPr>
      </w:pPr>
    </w:p>
    <w:p>
      <w:pPr>
        <w:ind w:left="400" w:hanging="105"/>
        <w:spacing w:after="0"/>
        <w:tabs>
          <w:tab w:leader="none" w:pos="4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Chairman and Chief Executive Officer (2008 - 2011)</w:t>
      </w:r>
    </w:p>
    <w:p>
      <w:pPr>
        <w:spacing w:after="0" w:line="57" w:lineRule="exact"/>
        <w:rPr>
          <w:rFonts w:ascii="Arial" w:cs="Arial" w:eastAsia="Arial" w:hAnsi="Arial"/>
          <w:sz w:val="16"/>
          <w:szCs w:val="16"/>
          <w:color w:val="auto"/>
        </w:rPr>
      </w:pPr>
    </w:p>
    <w:p>
      <w:pPr>
        <w:ind w:left="180" w:hanging="111"/>
        <w:spacing w:after="0"/>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E.I. duPont de Nemours and Company, </w:t>
      </w:r>
      <w:r>
        <w:rPr>
          <w:rFonts w:ascii="Arial" w:cs="Arial" w:eastAsia="Arial" w:hAnsi="Arial"/>
          <w:sz w:val="16"/>
          <w:szCs w:val="16"/>
          <w:color w:val="auto"/>
        </w:rPr>
        <w:t>a global chemical company</w:t>
      </w:r>
    </w:p>
    <w:p>
      <w:pPr>
        <w:spacing w:after="0" w:line="61" w:lineRule="exact"/>
        <w:rPr>
          <w:rFonts w:ascii="Arial" w:cs="Arial" w:eastAsia="Arial" w:hAnsi="Arial"/>
          <w:sz w:val="16"/>
          <w:szCs w:val="16"/>
          <w:color w:val="auto"/>
        </w:rPr>
      </w:pPr>
    </w:p>
    <w:p>
      <w:pPr>
        <w:ind w:left="400" w:hanging="105"/>
        <w:spacing w:after="0"/>
        <w:tabs>
          <w:tab w:leader="none" w:pos="4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Group Vice President, agriculture and nutrition (2003 - 2008)</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33020</wp:posOffset>
            </wp:positionV>
            <wp:extent cx="7178040" cy="4718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471805"/>
                    </a:xfrm>
                    <a:prstGeom prst="rect">
                      <a:avLst/>
                    </a:prstGeom>
                    <a:noFill/>
                  </pic:spPr>
                </pic:pic>
              </a:graphicData>
            </a:graphic>
          </wp:anchor>
        </w:drawing>
      </w:r>
    </w:p>
    <w:p>
      <w:pPr>
        <w:spacing w:after="0" w:line="41" w:lineRule="exact"/>
        <w:rPr>
          <w:sz w:val="20"/>
          <w:szCs w:val="20"/>
          <w:color w:val="auto"/>
        </w:rPr>
      </w:pPr>
    </w:p>
    <w:p>
      <w:pPr>
        <w:jc w:val="both"/>
        <w:ind w:left="60" w:right="2840"/>
        <w:spacing w:after="0" w:line="339" w:lineRule="auto"/>
        <w:rPr>
          <w:sz w:val="20"/>
          <w:szCs w:val="20"/>
          <w:color w:val="auto"/>
        </w:rPr>
      </w:pPr>
      <w:r>
        <w:rPr>
          <w:rFonts w:ascii="Arial" w:cs="Arial" w:eastAsia="Arial" w:hAnsi="Arial"/>
          <w:sz w:val="16"/>
          <w:szCs w:val="16"/>
          <w:color w:val="auto"/>
        </w:rPr>
        <w:t>Mr. Fyrwald has a strong record of operational and strategic leadership in three complex worldwide businesses with a focus on technology and innovation. He is an engineer by training and has significant CEO experience with Syngenta, Univar, and Nalco.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202565</wp:posOffset>
            </wp:positionV>
            <wp:extent cx="591820" cy="5918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1820" cy="5918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600"/>
        <w:spacing w:after="0"/>
        <w:rPr>
          <w:sz w:val="20"/>
          <w:szCs w:val="20"/>
          <w:color w:val="auto"/>
        </w:rPr>
      </w:pPr>
      <w:r>
        <w:rPr>
          <w:rFonts w:ascii="Arial" w:cs="Arial" w:eastAsia="Arial" w:hAnsi="Arial"/>
          <w:sz w:val="27"/>
          <w:szCs w:val="27"/>
          <w:b w:val="1"/>
          <w:bCs w:val="1"/>
          <w:color w:val="EF3729"/>
        </w:rPr>
        <w:t>Jamere Jackson</w:t>
      </w:r>
    </w:p>
    <w:p>
      <w:pPr>
        <w:spacing w:after="0" w:line="146"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 xml:space="preserve">Age: 50, Director since 2016,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113030</wp:posOffset>
            </wp:positionV>
            <wp:extent cx="725487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00ABE8"/>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8890" cy="13550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3550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33020</wp:posOffset>
            </wp:positionV>
            <wp:extent cx="8890" cy="13550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355090"/>
                    </a:xfrm>
                    <a:prstGeom prst="rect">
                      <a:avLst/>
                    </a:prstGeom>
                    <a:noFill/>
                  </pic:spPr>
                </pic:pic>
              </a:graphicData>
            </a:graphic>
          </wp:anchor>
        </w:drawing>
      </w:r>
    </w:p>
    <w:p>
      <w:pPr>
        <w:spacing w:after="0" w:line="39" w:lineRule="exact"/>
        <w:rPr>
          <w:sz w:val="20"/>
          <w:szCs w:val="20"/>
          <w:color w:val="auto"/>
        </w:rPr>
      </w:pPr>
    </w:p>
    <w:p>
      <w:pPr>
        <w:ind w:left="120" w:hanging="111"/>
        <w:spacing w:after="0"/>
        <w:tabs>
          <w:tab w:leader="none" w:pos="12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Hertz Global Holdings, Inc., </w:t>
      </w:r>
      <w:r>
        <w:rPr>
          <w:rFonts w:ascii="Arial" w:cs="Arial" w:eastAsia="Arial" w:hAnsi="Arial"/>
          <w:sz w:val="16"/>
          <w:szCs w:val="16"/>
          <w:color w:val="auto"/>
        </w:rPr>
        <w:t>a global vehicle rental, leasing, and fleet management business.</w:t>
      </w:r>
    </w:p>
    <w:p>
      <w:pPr>
        <w:spacing w:after="0" w:line="250" w:lineRule="exact"/>
        <w:rPr>
          <w:rFonts w:ascii="Arial" w:cs="Arial" w:eastAsia="Arial" w:hAnsi="Arial"/>
          <w:sz w:val="16"/>
          <w:szCs w:val="16"/>
          <w:color w:val="auto"/>
        </w:rPr>
      </w:pPr>
    </w:p>
    <w:p>
      <w:pPr>
        <w:ind w:left="340" w:hanging="106"/>
        <w:spacing w:after="0"/>
        <w:tabs>
          <w:tab w:leader="none" w:pos="3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Chief Financial Officer (2018 - present)</w:t>
      </w:r>
    </w:p>
    <w:p>
      <w:pPr>
        <w:spacing w:after="0" w:line="57" w:lineRule="exact"/>
        <w:rPr>
          <w:rFonts w:ascii="Arial" w:cs="Arial" w:eastAsia="Arial" w:hAnsi="Arial"/>
          <w:sz w:val="16"/>
          <w:szCs w:val="16"/>
          <w:color w:val="auto"/>
        </w:rPr>
      </w:pPr>
    </w:p>
    <w:p>
      <w:pPr>
        <w:ind w:left="120" w:hanging="111"/>
        <w:spacing w:after="0"/>
        <w:tabs>
          <w:tab w:leader="none" w:pos="12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Nielsen Holdings plc, </w:t>
      </w:r>
      <w:r>
        <w:rPr>
          <w:rFonts w:ascii="Arial" w:cs="Arial" w:eastAsia="Arial" w:hAnsi="Arial"/>
          <w:sz w:val="16"/>
          <w:szCs w:val="16"/>
          <w:color w:val="auto"/>
        </w:rPr>
        <w:t>a global measurement and data analytics company</w:t>
      </w:r>
    </w:p>
    <w:p>
      <w:pPr>
        <w:spacing w:after="0" w:line="61" w:lineRule="exact"/>
        <w:rPr>
          <w:rFonts w:ascii="Arial" w:cs="Arial" w:eastAsia="Arial" w:hAnsi="Arial"/>
          <w:sz w:val="16"/>
          <w:szCs w:val="16"/>
          <w:color w:val="auto"/>
        </w:rPr>
      </w:pPr>
    </w:p>
    <w:p>
      <w:pPr>
        <w:ind w:left="340" w:hanging="106"/>
        <w:spacing w:after="0"/>
        <w:tabs>
          <w:tab w:leader="none" w:pos="3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Chief Financial Officer (2014 - 2018)</w:t>
      </w:r>
    </w:p>
    <w:p>
      <w:pPr>
        <w:spacing w:after="0" w:line="57" w:lineRule="exact"/>
        <w:rPr>
          <w:rFonts w:ascii="Arial" w:cs="Arial" w:eastAsia="Arial" w:hAnsi="Arial"/>
          <w:sz w:val="16"/>
          <w:szCs w:val="16"/>
          <w:color w:val="auto"/>
        </w:rPr>
      </w:pPr>
    </w:p>
    <w:p>
      <w:pPr>
        <w:ind w:left="120" w:hanging="111"/>
        <w:spacing w:after="0"/>
        <w:tabs>
          <w:tab w:leader="none" w:pos="12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GE</w:t>
      </w:r>
    </w:p>
    <w:p>
      <w:pPr>
        <w:spacing w:after="0" w:line="61" w:lineRule="exact"/>
        <w:rPr>
          <w:rFonts w:ascii="Arial" w:cs="Arial" w:eastAsia="Arial" w:hAnsi="Arial"/>
          <w:sz w:val="16"/>
          <w:szCs w:val="16"/>
          <w:color w:val="auto"/>
        </w:rPr>
      </w:pPr>
    </w:p>
    <w:p>
      <w:pPr>
        <w:ind w:left="340" w:hanging="106"/>
        <w:spacing w:after="0"/>
        <w:tabs>
          <w:tab w:leader="none" w:pos="3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Vice President and CFO, GE Oil &amp; Gas, drilling and surface division (2013 - 2014)</w:t>
      </w:r>
    </w:p>
    <w:p>
      <w:pPr>
        <w:spacing w:after="0" w:line="59" w:lineRule="exact"/>
        <w:rPr>
          <w:rFonts w:ascii="Arial" w:cs="Arial" w:eastAsia="Arial" w:hAnsi="Arial"/>
          <w:sz w:val="16"/>
          <w:szCs w:val="16"/>
          <w:color w:val="auto"/>
        </w:rPr>
      </w:pPr>
    </w:p>
    <w:p>
      <w:pPr>
        <w:ind w:left="340" w:hanging="106"/>
        <w:spacing w:after="0"/>
        <w:tabs>
          <w:tab w:leader="none" w:pos="3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Senior Executive, Finance, GE Aviation (2007 - 2013)</w:t>
      </w:r>
    </w:p>
    <w:p>
      <w:pPr>
        <w:spacing w:after="0" w:line="59" w:lineRule="exact"/>
        <w:rPr>
          <w:rFonts w:ascii="Arial" w:cs="Arial" w:eastAsia="Arial" w:hAnsi="Arial"/>
          <w:sz w:val="16"/>
          <w:szCs w:val="16"/>
          <w:color w:val="auto"/>
        </w:rPr>
      </w:pPr>
    </w:p>
    <w:p>
      <w:pPr>
        <w:ind w:left="340" w:hanging="106"/>
        <w:spacing w:after="0"/>
        <w:tabs>
          <w:tab w:leader="none" w:pos="3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Finance Executive, GE Corporate (2004 - 2007)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5487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8890" cy="6172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61722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33020</wp:posOffset>
            </wp:positionV>
            <wp:extent cx="8890" cy="6172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617220"/>
                    </a:xfrm>
                    <a:prstGeom prst="rect">
                      <a:avLst/>
                    </a:prstGeom>
                    <a:noFill/>
                  </pic:spPr>
                </pic:pic>
              </a:graphicData>
            </a:graphic>
          </wp:anchor>
        </w:drawing>
      </w:r>
    </w:p>
    <w:p>
      <w:pPr>
        <w:spacing w:after="0" w:line="41" w:lineRule="exact"/>
        <w:rPr>
          <w:sz w:val="20"/>
          <w:szCs w:val="20"/>
          <w:color w:val="auto"/>
        </w:rPr>
      </w:pPr>
    </w:p>
    <w:p>
      <w:pPr>
        <w:ind w:right="2740"/>
        <w:spacing w:after="0" w:line="332" w:lineRule="auto"/>
        <w:rPr>
          <w:sz w:val="20"/>
          <w:szCs w:val="20"/>
          <w:color w:val="auto"/>
        </w:rPr>
      </w:pPr>
      <w:r>
        <w:rPr>
          <w:rFonts w:ascii="Arial" w:cs="Arial" w:eastAsia="Arial" w:hAnsi="Arial"/>
          <w:sz w:val="16"/>
          <w:szCs w:val="16"/>
          <w:color w:val="auto"/>
        </w:rPr>
        <w:t>Through his senior financial roles at Nielsen and GE, Mr. Jackson brings to the board significant global financial expertise and strong background in strategic planning, having spent his professional career in a broad range of financial and strategic planning roles. He is an audit committee financial expert, based on his CFO experience and his training as a certified public accountant.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P16</w:t>
      </w:r>
    </w:p>
    <w:p>
      <w:pPr>
        <w:sectPr>
          <w:pgSz w:w="11900" w:h="16838" w:orient="portrait"/>
          <w:cols w:equalWidth="0" w:num="1">
            <w:col w:w="11340"/>
          </w:cols>
          <w:pgMar w:left="280" w:top="1045" w:right="279" w:bottom="1440" w:gutter="0" w:footer="0" w:header="0"/>
        </w:sectPr>
      </w:pPr>
    </w:p>
    <w:bookmarkStart w:id="20" w:name="page21"/>
    <w:bookmarkEnd w:id="20"/>
    <w:p>
      <w:pPr>
        <w:ind w:left="1640"/>
        <w:spacing w:after="0"/>
        <w:rPr>
          <w:sz w:val="20"/>
          <w:szCs w:val="20"/>
          <w:color w:val="auto"/>
        </w:rPr>
      </w:pPr>
      <w:r>
        <w:rPr>
          <w:rFonts w:ascii="Arial" w:cs="Arial" w:eastAsia="Arial" w:hAnsi="Arial"/>
          <w:sz w:val="27"/>
          <w:szCs w:val="27"/>
          <w:b w:val="1"/>
          <w:bCs w:val="1"/>
          <w:color w:val="EF3729"/>
        </w:rPr>
        <w:drawing>
          <wp:anchor simplePos="0" relativeHeight="251657728" behindDoc="1" locked="0" layoutInCell="0" allowOverlap="1">
            <wp:simplePos x="0" y="0"/>
            <wp:positionH relativeFrom="page">
              <wp:posOffset>372110</wp:posOffset>
            </wp:positionH>
            <wp:positionV relativeFrom="page">
              <wp:posOffset>474980</wp:posOffset>
            </wp:positionV>
            <wp:extent cx="591820" cy="5918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591820" cy="591820"/>
                    </a:xfrm>
                    <a:prstGeom prst="rect">
                      <a:avLst/>
                    </a:prstGeom>
                    <a:noFill/>
                  </pic:spPr>
                </pic:pic>
              </a:graphicData>
            </a:graphic>
          </wp:anchor>
        </w:drawing>
        <w:t>Ellen R. Marram</w:t>
      </w:r>
    </w:p>
    <w:p>
      <w:pPr>
        <w:spacing w:after="0" w:line="146" w:lineRule="exact"/>
        <w:rPr>
          <w:sz w:val="20"/>
          <w:szCs w:val="20"/>
          <w:color w:val="auto"/>
        </w:rPr>
      </w:pPr>
    </w:p>
    <w:p>
      <w:pPr>
        <w:jc w:val="right"/>
        <w:ind w:right="280"/>
        <w:spacing w:after="0"/>
        <w:rPr>
          <w:sz w:val="20"/>
          <w:szCs w:val="20"/>
          <w:color w:val="auto"/>
        </w:rPr>
      </w:pPr>
      <w:r>
        <w:rPr>
          <w:rFonts w:ascii="Arial" w:cs="Arial" w:eastAsia="Arial" w:hAnsi="Arial"/>
          <w:sz w:val="14"/>
          <w:szCs w:val="14"/>
          <w:color w:val="auto"/>
        </w:rPr>
        <w:t xml:space="preserve">Age: 72, Director since 2002, lead independent director since 2012,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Compensation; Directors and Corporate Governance (chair)</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300" w:type="dxa"/>
            <w:vAlign w:val="bottom"/>
            <w:tcBorders>
              <w:left w:val="single" w:sz="8" w:color="F4F6F6"/>
              <w:bottom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PUBLIC BOARDS</w:t>
            </w:r>
          </w:p>
        </w:tc>
        <w:tc>
          <w:tcPr>
            <w:tcW w:w="2680" w:type="dxa"/>
            <w:vAlign w:val="bottom"/>
            <w:tcBorders>
              <w:bottom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PRIOR PUBLIC BOARDS</w:t>
            </w:r>
          </w:p>
        </w:tc>
        <w:tc>
          <w:tcPr>
            <w:tcW w:w="2800" w:type="dxa"/>
            <w:vAlign w:val="bottom"/>
            <w:tcBorders>
              <w:bottom w:val="single" w:sz="8" w:color="F4F6F6"/>
            </w:tcBorders>
            <w:shd w:val="clear" w:color="auto" w:fill="F4F6F6"/>
          </w:tcPr>
          <w:p>
            <w:pPr>
              <w:ind w:left="440"/>
              <w:spacing w:after="0"/>
              <w:rPr>
                <w:sz w:val="20"/>
                <w:szCs w:val="20"/>
                <w:color w:val="auto"/>
              </w:rPr>
            </w:pPr>
            <w:r>
              <w:rPr>
                <w:rFonts w:ascii="Arial" w:cs="Arial" w:eastAsia="Arial" w:hAnsi="Arial"/>
                <w:sz w:val="16"/>
                <w:szCs w:val="16"/>
                <w:b w:val="1"/>
                <w:bCs w:val="1"/>
                <w:color w:val="00ABE8"/>
              </w:rPr>
              <w:t>PRIVATE BOARDS</w:t>
            </w:r>
          </w:p>
        </w:tc>
        <w:tc>
          <w:tcPr>
            <w:tcW w:w="3660" w:type="dxa"/>
            <w:vAlign w:val="bottom"/>
            <w:tcBorders>
              <w:bottom w:val="single" w:sz="8" w:color="F4F6F6"/>
              <w:righ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NON-PROFIT BOARDS</w:t>
            </w:r>
          </w:p>
        </w:tc>
      </w:tr>
      <w:tr>
        <w:trPr>
          <w:trHeight w:val="228"/>
        </w:trPr>
        <w:tc>
          <w:tcPr>
            <w:tcW w:w="2300" w:type="dxa"/>
            <w:vAlign w:val="bottom"/>
            <w:tcBorders>
              <w:left w:val="single" w:sz="8" w:color="F4F6F6"/>
            </w:tcBorders>
          </w:tcPr>
          <w:p>
            <w:pPr>
              <w:ind w:left="40"/>
              <w:spacing w:after="0"/>
              <w:rPr>
                <w:sz w:val="20"/>
                <w:szCs w:val="20"/>
                <w:color w:val="auto"/>
              </w:rPr>
            </w:pPr>
            <w:r>
              <w:rPr>
                <w:rFonts w:ascii="Arial" w:cs="Arial" w:eastAsia="Arial" w:hAnsi="Arial"/>
                <w:sz w:val="16"/>
                <w:szCs w:val="16"/>
                <w:color w:val="auto"/>
              </w:rPr>
              <w:t>Ford Motor Company</w:t>
            </w:r>
          </w:p>
        </w:tc>
        <w:tc>
          <w:tcPr>
            <w:tcW w:w="2680" w:type="dxa"/>
            <w:vAlign w:val="bottom"/>
          </w:tcPr>
          <w:p>
            <w:pPr>
              <w:ind w:left="40"/>
              <w:spacing w:after="0"/>
              <w:rPr>
                <w:sz w:val="20"/>
                <w:szCs w:val="20"/>
                <w:color w:val="auto"/>
              </w:rPr>
            </w:pPr>
            <w:r>
              <w:rPr>
                <w:rFonts w:ascii="Arial" w:cs="Arial" w:eastAsia="Arial" w:hAnsi="Arial"/>
                <w:sz w:val="16"/>
                <w:szCs w:val="16"/>
                <w:color w:val="auto"/>
              </w:rPr>
              <w:t>Cadbury plc;</w:t>
            </w:r>
          </w:p>
        </w:tc>
        <w:tc>
          <w:tcPr>
            <w:tcW w:w="2800" w:type="dxa"/>
            <w:vAlign w:val="bottom"/>
          </w:tcPr>
          <w:p>
            <w:pPr>
              <w:ind w:left="440"/>
              <w:spacing w:after="0"/>
              <w:rPr>
                <w:sz w:val="20"/>
                <w:szCs w:val="20"/>
                <w:color w:val="auto"/>
              </w:rPr>
            </w:pPr>
            <w:r>
              <w:rPr>
                <w:rFonts w:ascii="Arial" w:cs="Arial" w:eastAsia="Arial" w:hAnsi="Arial"/>
                <w:sz w:val="16"/>
                <w:szCs w:val="16"/>
                <w:color w:val="auto"/>
              </w:rPr>
              <w:t>Newman's Own, Inc.</w:t>
            </w:r>
          </w:p>
        </w:tc>
        <w:tc>
          <w:tcPr>
            <w:tcW w:w="3660" w:type="dxa"/>
            <w:vAlign w:val="bottom"/>
            <w:tcBorders>
              <w:right w:val="single" w:sz="8" w:color="F4F6F6"/>
            </w:tcBorders>
          </w:tcPr>
          <w:p>
            <w:pPr>
              <w:ind w:left="20"/>
              <w:spacing w:after="0"/>
              <w:rPr>
                <w:sz w:val="20"/>
                <w:szCs w:val="20"/>
                <w:color w:val="auto"/>
              </w:rPr>
            </w:pPr>
            <w:r>
              <w:rPr>
                <w:rFonts w:ascii="Arial" w:cs="Arial" w:eastAsia="Arial" w:hAnsi="Arial"/>
                <w:sz w:val="16"/>
                <w:szCs w:val="16"/>
                <w:color w:val="auto"/>
              </w:rPr>
              <w:t>Wellesley College;</w:t>
            </w:r>
          </w:p>
        </w:tc>
      </w:tr>
      <w:tr>
        <w:trPr>
          <w:trHeight w:val="270"/>
        </w:trPr>
        <w:tc>
          <w:tcPr>
            <w:tcW w:w="2300" w:type="dxa"/>
            <w:vAlign w:val="bottom"/>
            <w:tcBorders>
              <w:left w:val="single" w:sz="8" w:color="F4F6F6"/>
            </w:tcBorders>
          </w:tcPr>
          <w:p>
            <w:pPr>
              <w:spacing w:after="0"/>
              <w:rPr>
                <w:sz w:val="23"/>
                <w:szCs w:val="23"/>
                <w:color w:val="auto"/>
              </w:rPr>
            </w:pPr>
          </w:p>
        </w:tc>
        <w:tc>
          <w:tcPr>
            <w:tcW w:w="2680" w:type="dxa"/>
            <w:vAlign w:val="bottom"/>
          </w:tcPr>
          <w:p>
            <w:pPr>
              <w:ind w:left="40"/>
              <w:spacing w:after="0"/>
              <w:rPr>
                <w:sz w:val="20"/>
                <w:szCs w:val="20"/>
                <w:color w:val="auto"/>
              </w:rPr>
            </w:pPr>
            <w:r>
              <w:rPr>
                <w:rFonts w:ascii="Arial" w:cs="Arial" w:eastAsia="Arial" w:hAnsi="Arial"/>
                <w:sz w:val="16"/>
                <w:szCs w:val="16"/>
                <w:color w:val="auto"/>
              </w:rPr>
              <w:t>The New York Times Company</w:t>
            </w:r>
          </w:p>
        </w:tc>
        <w:tc>
          <w:tcPr>
            <w:tcW w:w="2800" w:type="dxa"/>
            <w:vAlign w:val="bottom"/>
          </w:tcPr>
          <w:p>
            <w:pPr>
              <w:spacing w:after="0"/>
              <w:rPr>
                <w:sz w:val="23"/>
                <w:szCs w:val="23"/>
                <w:color w:val="auto"/>
              </w:rPr>
            </w:pPr>
          </w:p>
        </w:tc>
        <w:tc>
          <w:tcPr>
            <w:tcW w:w="3660" w:type="dxa"/>
            <w:vAlign w:val="bottom"/>
            <w:tcBorders>
              <w:right w:val="single" w:sz="8" w:color="F4F6F6"/>
            </w:tcBorders>
          </w:tcPr>
          <w:p>
            <w:pPr>
              <w:ind w:left="20"/>
              <w:spacing w:after="0"/>
              <w:rPr>
                <w:sz w:val="20"/>
                <w:szCs w:val="20"/>
                <w:color w:val="auto"/>
              </w:rPr>
            </w:pPr>
            <w:r>
              <w:rPr>
                <w:rFonts w:ascii="Arial" w:cs="Arial" w:eastAsia="Arial" w:hAnsi="Arial"/>
                <w:sz w:val="16"/>
                <w:szCs w:val="16"/>
                <w:color w:val="auto"/>
              </w:rPr>
              <w:t>New York-Presbyterian Hospital;</w:t>
            </w:r>
          </w:p>
        </w:tc>
      </w:tr>
      <w:tr>
        <w:trPr>
          <w:trHeight w:val="270"/>
        </w:trPr>
        <w:tc>
          <w:tcPr>
            <w:tcW w:w="2300" w:type="dxa"/>
            <w:vAlign w:val="bottom"/>
            <w:tcBorders>
              <w:left w:val="single" w:sz="8" w:color="F4F6F6"/>
            </w:tcBorders>
          </w:tcPr>
          <w:p>
            <w:pPr>
              <w:spacing w:after="0"/>
              <w:rPr>
                <w:sz w:val="23"/>
                <w:szCs w:val="23"/>
                <w:color w:val="auto"/>
              </w:rPr>
            </w:pPr>
          </w:p>
        </w:tc>
        <w:tc>
          <w:tcPr>
            <w:tcW w:w="26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3660" w:type="dxa"/>
            <w:vAlign w:val="bottom"/>
            <w:tcBorders>
              <w:right w:val="single" w:sz="8" w:color="F4F6F6"/>
            </w:tcBorders>
          </w:tcPr>
          <w:p>
            <w:pPr>
              <w:ind w:left="20"/>
              <w:spacing w:after="0"/>
              <w:rPr>
                <w:sz w:val="20"/>
                <w:szCs w:val="20"/>
                <w:color w:val="auto"/>
              </w:rPr>
            </w:pPr>
            <w:r>
              <w:rPr>
                <w:rFonts w:ascii="Arial" w:cs="Arial" w:eastAsia="Arial" w:hAnsi="Arial"/>
                <w:sz w:val="16"/>
                <w:szCs w:val="16"/>
                <w:color w:val="auto"/>
              </w:rPr>
              <w:t>Lincoln Center Theater;</w:t>
            </w:r>
          </w:p>
        </w:tc>
      </w:tr>
      <w:tr>
        <w:trPr>
          <w:trHeight w:val="270"/>
        </w:trPr>
        <w:tc>
          <w:tcPr>
            <w:tcW w:w="2300" w:type="dxa"/>
            <w:vAlign w:val="bottom"/>
            <w:tcBorders>
              <w:left w:val="single" w:sz="8" w:color="F4F6F6"/>
            </w:tcBorders>
          </w:tcPr>
          <w:p>
            <w:pPr>
              <w:spacing w:after="0"/>
              <w:rPr>
                <w:sz w:val="23"/>
                <w:szCs w:val="23"/>
                <w:color w:val="auto"/>
              </w:rPr>
            </w:pPr>
          </w:p>
        </w:tc>
        <w:tc>
          <w:tcPr>
            <w:tcW w:w="26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3660" w:type="dxa"/>
            <w:vAlign w:val="bottom"/>
            <w:tcBorders>
              <w:right w:val="single" w:sz="8" w:color="F4F6F6"/>
            </w:tcBorders>
          </w:tcPr>
          <w:p>
            <w:pPr>
              <w:ind w:left="20"/>
              <w:spacing w:after="0"/>
              <w:rPr>
                <w:sz w:val="20"/>
                <w:szCs w:val="20"/>
                <w:color w:val="auto"/>
              </w:rPr>
            </w:pPr>
            <w:r>
              <w:rPr>
                <w:rFonts w:ascii="Arial" w:cs="Arial" w:eastAsia="Arial" w:hAnsi="Arial"/>
                <w:sz w:val="16"/>
                <w:szCs w:val="16"/>
                <w:color w:val="auto"/>
              </w:rPr>
              <w:t>Newman's Own Foundation</w:t>
            </w:r>
          </w:p>
        </w:tc>
      </w:tr>
      <w:tr>
        <w:trPr>
          <w:trHeight w:val="29"/>
        </w:trPr>
        <w:tc>
          <w:tcPr>
            <w:tcW w:w="2300" w:type="dxa"/>
            <w:vAlign w:val="bottom"/>
            <w:tcBorders>
              <w:left w:val="single" w:sz="8" w:color="F4F6F6"/>
            </w:tcBorders>
          </w:tcPr>
          <w:p>
            <w:pPr>
              <w:spacing w:after="0"/>
              <w:rPr>
                <w:sz w:val="2"/>
                <w:szCs w:val="2"/>
                <w:color w:val="auto"/>
              </w:rPr>
            </w:pPr>
          </w:p>
        </w:tc>
        <w:tc>
          <w:tcPr>
            <w:tcW w:w="26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60" w:type="dxa"/>
            <w:vAlign w:val="bottom"/>
            <w:tcBorders>
              <w:right w:val="single" w:sz="8" w:color="F4F6F6"/>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54875"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54875" cy="20840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84070"/>
                    </a:xfrm>
                    <a:prstGeom prst="rect">
                      <a:avLst/>
                    </a:prstGeom>
                    <a:noFill/>
                  </pic:spPr>
                </pic:pic>
              </a:graphicData>
            </a:graphic>
          </wp:anchor>
        </w:drawing>
      </w:r>
    </w:p>
    <w:p>
      <w:pPr>
        <w:spacing w:after="0" w:line="39" w:lineRule="exact"/>
        <w:rPr>
          <w:sz w:val="20"/>
          <w:szCs w:val="20"/>
          <w:color w:val="auto"/>
        </w:rPr>
      </w:pPr>
    </w:p>
    <w:p>
      <w:pPr>
        <w:ind w:left="160" w:hanging="111"/>
        <w:spacing w:after="0"/>
        <w:tabs>
          <w:tab w:leader="none" w:pos="1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The Barnegat Group LLC</w:t>
      </w:r>
      <w:r>
        <w:rPr>
          <w:rFonts w:ascii="Arial" w:cs="Arial" w:eastAsia="Arial" w:hAnsi="Arial"/>
          <w:sz w:val="16"/>
          <w:szCs w:val="16"/>
          <w:color w:val="auto"/>
        </w:rPr>
        <w:t>, provider of business advisory services</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380" w:hanging="106"/>
        <w:spacing w:after="0"/>
        <w:tabs>
          <w:tab w:leader="none" w:pos="3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President (2006 - present)</w:t>
      </w:r>
    </w:p>
    <w:p>
      <w:pPr>
        <w:spacing w:after="0" w:line="84" w:lineRule="exact"/>
        <w:rPr>
          <w:rFonts w:ascii="Arial" w:cs="Arial" w:eastAsia="Arial" w:hAnsi="Arial"/>
          <w:sz w:val="16"/>
          <w:szCs w:val="16"/>
          <w:color w:val="auto"/>
        </w:rPr>
      </w:pPr>
    </w:p>
    <w:p>
      <w:pPr>
        <w:ind w:left="160" w:hanging="111"/>
        <w:spacing w:after="0"/>
        <w:tabs>
          <w:tab w:leader="none" w:pos="1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North Castle Partners, LLC, </w:t>
      </w:r>
      <w:r>
        <w:rPr>
          <w:rFonts w:ascii="Arial" w:cs="Arial" w:eastAsia="Arial" w:hAnsi="Arial"/>
          <w:sz w:val="16"/>
          <w:szCs w:val="16"/>
          <w:color w:val="auto"/>
        </w:rPr>
        <w:t>private equity firm</w:t>
      </w:r>
    </w:p>
    <w:p>
      <w:pPr>
        <w:spacing w:after="0" w:line="250" w:lineRule="exact"/>
        <w:rPr>
          <w:rFonts w:ascii="Arial" w:cs="Arial" w:eastAsia="Arial" w:hAnsi="Arial"/>
          <w:sz w:val="16"/>
          <w:szCs w:val="16"/>
          <w:color w:val="auto"/>
        </w:rPr>
      </w:pPr>
    </w:p>
    <w:p>
      <w:pPr>
        <w:ind w:left="380" w:hanging="106"/>
        <w:spacing w:after="0"/>
        <w:tabs>
          <w:tab w:leader="none" w:pos="3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Managing Director (2000 - 2006)</w:t>
      </w:r>
    </w:p>
    <w:p>
      <w:pPr>
        <w:spacing w:after="0" w:line="84" w:lineRule="exact"/>
        <w:rPr>
          <w:rFonts w:ascii="Arial" w:cs="Arial" w:eastAsia="Arial" w:hAnsi="Arial"/>
          <w:sz w:val="16"/>
          <w:szCs w:val="16"/>
          <w:color w:val="auto"/>
        </w:rPr>
      </w:pPr>
    </w:p>
    <w:p>
      <w:pPr>
        <w:ind w:left="160" w:hanging="111"/>
        <w:spacing w:after="0"/>
        <w:tabs>
          <w:tab w:leader="none" w:pos="1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Tropicana Beverage Group</w:t>
      </w:r>
    </w:p>
    <w:p>
      <w:pPr>
        <w:spacing w:after="0" w:line="250" w:lineRule="exact"/>
        <w:rPr>
          <w:rFonts w:ascii="Arial" w:cs="Arial" w:eastAsia="Arial" w:hAnsi="Arial"/>
          <w:sz w:val="16"/>
          <w:szCs w:val="16"/>
          <w:color w:val="auto"/>
        </w:rPr>
      </w:pPr>
    </w:p>
    <w:p>
      <w:pPr>
        <w:ind w:left="380" w:hanging="106"/>
        <w:spacing w:after="0"/>
        <w:tabs>
          <w:tab w:leader="none" w:pos="3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President and Chief Executive Officer (1993 - 1998)</w:t>
      </w:r>
    </w:p>
    <w:p>
      <w:pPr>
        <w:spacing w:after="0" w:line="84" w:lineRule="exact"/>
        <w:rPr>
          <w:rFonts w:ascii="Arial" w:cs="Arial" w:eastAsia="Arial" w:hAnsi="Arial"/>
          <w:sz w:val="16"/>
          <w:szCs w:val="16"/>
          <w:color w:val="auto"/>
        </w:rPr>
      </w:pPr>
    </w:p>
    <w:p>
      <w:pPr>
        <w:ind w:left="160" w:hanging="111"/>
        <w:spacing w:after="0"/>
        <w:tabs>
          <w:tab w:leader="none" w:pos="1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Nabisco Biscuit Company</w:t>
      </w:r>
      <w:r>
        <w:rPr>
          <w:rFonts w:ascii="Arial" w:cs="Arial" w:eastAsia="Arial" w:hAnsi="Arial"/>
          <w:sz w:val="16"/>
          <w:szCs w:val="16"/>
          <w:color w:val="auto"/>
        </w:rPr>
        <w:t>, a unit of Nabisco, Inc.</w:t>
      </w:r>
    </w:p>
    <w:p>
      <w:pPr>
        <w:spacing w:after="0" w:line="250" w:lineRule="exact"/>
        <w:rPr>
          <w:rFonts w:ascii="Arial" w:cs="Arial" w:eastAsia="Arial" w:hAnsi="Arial"/>
          <w:sz w:val="16"/>
          <w:szCs w:val="16"/>
          <w:color w:val="auto"/>
        </w:rPr>
      </w:pPr>
    </w:p>
    <w:p>
      <w:pPr>
        <w:ind w:left="380" w:hanging="106"/>
        <w:spacing w:after="0"/>
        <w:tabs>
          <w:tab w:leader="none" w:pos="3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President and Chief Executive Officer (1988 - 1993)</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54875" cy="4718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471805"/>
                    </a:xfrm>
                    <a:prstGeom prst="rect">
                      <a:avLst/>
                    </a:prstGeom>
                    <a:noFill/>
                  </pic:spPr>
                </pic:pic>
              </a:graphicData>
            </a:graphic>
          </wp:anchor>
        </w:drawing>
      </w:r>
    </w:p>
    <w:p>
      <w:pPr>
        <w:spacing w:after="0" w:line="41" w:lineRule="exact"/>
        <w:rPr>
          <w:sz w:val="20"/>
          <w:szCs w:val="20"/>
          <w:color w:val="auto"/>
        </w:rPr>
      </w:pPr>
    </w:p>
    <w:p>
      <w:pPr>
        <w:ind w:left="40" w:right="2960"/>
        <w:spacing w:after="0" w:line="339" w:lineRule="auto"/>
        <w:rPr>
          <w:sz w:val="20"/>
          <w:szCs w:val="20"/>
          <w:color w:val="auto"/>
        </w:rPr>
      </w:pPr>
      <w:r>
        <w:rPr>
          <w:rFonts w:ascii="Arial" w:cs="Arial" w:eastAsia="Arial" w:hAnsi="Arial"/>
          <w:sz w:val="16"/>
          <w:szCs w:val="16"/>
          <w:color w:val="auto"/>
        </w:rPr>
        <w:t>Ms. Marram is a former CEO with a strong marketing and consumer-brand background. Through her non-profit and private company activities, she has a special focus and expertise in wellness and consumer health. Ms. Marram has extensive corporate governance experience through service on other public company boards in a variety of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202565</wp:posOffset>
            </wp:positionV>
            <wp:extent cx="600075" cy="6000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00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40"/>
        <w:spacing w:after="0"/>
        <w:rPr>
          <w:sz w:val="20"/>
          <w:szCs w:val="20"/>
          <w:color w:val="auto"/>
        </w:rPr>
      </w:pPr>
      <w:r>
        <w:rPr>
          <w:rFonts w:ascii="Arial" w:cs="Arial" w:eastAsia="Arial" w:hAnsi="Arial"/>
          <w:sz w:val="27"/>
          <w:szCs w:val="27"/>
          <w:b w:val="1"/>
          <w:bCs w:val="1"/>
          <w:color w:val="EF3729"/>
        </w:rPr>
        <w:t>Jackson P. Tai</w:t>
      </w:r>
    </w:p>
    <w:p>
      <w:pPr>
        <w:spacing w:after="0" w:line="146"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xml:space="preserve">Age: 68, Director since 2013,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Directors and Corporate Governance; Finance</w:t>
      </w:r>
    </w:p>
    <w:p>
      <w:pPr>
        <w:spacing w:after="0" w:line="178" w:lineRule="exact"/>
        <w:rPr>
          <w:sz w:val="20"/>
          <w:szCs w:val="20"/>
          <w:color w:val="auto"/>
        </w:rPr>
      </w:pPr>
    </w:p>
    <w:tbl>
      <w:tblPr>
        <w:tblLayout w:type="fixed"/>
        <w:tblInd w:w="50" w:type="dxa"/>
        <w:tblCellMar>
          <w:top w:w="0" w:type="dxa"/>
          <w:left w:w="0" w:type="dxa"/>
          <w:bottom w:w="0" w:type="dxa"/>
          <w:right w:w="0" w:type="dxa"/>
        </w:tblCellMar>
      </w:tblPr>
      <w:tr>
        <w:trPr>
          <w:trHeight w:val="250"/>
        </w:trPr>
        <w:tc>
          <w:tcPr>
            <w:tcW w:w="2500" w:type="dxa"/>
            <w:vAlign w:val="bottom"/>
            <w:tcBorders>
              <w:left w:val="single" w:sz="8" w:color="F4F6F6"/>
              <w:bottom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PUBLIC BOARDS</w:t>
            </w:r>
          </w:p>
        </w:tc>
        <w:tc>
          <w:tcPr>
            <w:tcW w:w="2580" w:type="dxa"/>
            <w:vAlign w:val="bottom"/>
            <w:tcBorders>
              <w:bottom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PRIOR PUBLIC BOARDS</w:t>
            </w:r>
          </w:p>
        </w:tc>
        <w:tc>
          <w:tcPr>
            <w:tcW w:w="3000" w:type="dxa"/>
            <w:vAlign w:val="bottom"/>
            <w:tcBorders>
              <w:bottom w:val="single" w:sz="8" w:color="F4F6F6"/>
            </w:tcBorders>
            <w:shd w:val="clear" w:color="auto" w:fill="F4F6F6"/>
          </w:tcPr>
          <w:p>
            <w:pPr>
              <w:ind w:left="420"/>
              <w:spacing w:after="0"/>
              <w:rPr>
                <w:sz w:val="20"/>
                <w:szCs w:val="20"/>
                <w:color w:val="auto"/>
              </w:rPr>
            </w:pPr>
            <w:r>
              <w:rPr>
                <w:rFonts w:ascii="Arial" w:cs="Arial" w:eastAsia="Arial" w:hAnsi="Arial"/>
                <w:sz w:val="16"/>
                <w:szCs w:val="16"/>
                <w:b w:val="1"/>
                <w:bCs w:val="1"/>
                <w:color w:val="00ABE8"/>
              </w:rPr>
              <w:t>PRIVATE BOARD</w:t>
            </w:r>
          </w:p>
        </w:tc>
        <w:tc>
          <w:tcPr>
            <w:tcW w:w="3300" w:type="dxa"/>
            <w:vAlign w:val="bottom"/>
            <w:tcBorders>
              <w:bottom w:val="single" w:sz="8" w:color="F4F6F6"/>
              <w:right w:val="single" w:sz="8" w:color="F4F6F6"/>
            </w:tcBorders>
            <w:shd w:val="clear" w:color="auto" w:fill="F4F6F6"/>
          </w:tcPr>
          <w:p>
            <w:pPr>
              <w:ind w:left="40"/>
              <w:spacing w:after="0"/>
              <w:rPr>
                <w:sz w:val="20"/>
                <w:szCs w:val="20"/>
                <w:color w:val="auto"/>
              </w:rPr>
            </w:pPr>
            <w:r>
              <w:rPr>
                <w:rFonts w:ascii="Arial" w:cs="Arial" w:eastAsia="Arial" w:hAnsi="Arial"/>
                <w:sz w:val="16"/>
                <w:szCs w:val="16"/>
                <w:b w:val="1"/>
                <w:bCs w:val="1"/>
                <w:color w:val="00ABE8"/>
              </w:rPr>
              <w:t>NON-PROFIT BOARDS</w:t>
            </w:r>
          </w:p>
        </w:tc>
        <w:tc>
          <w:tcPr>
            <w:tcW w:w="0" w:type="dxa"/>
            <w:vAlign w:val="bottom"/>
          </w:tcPr>
          <w:p>
            <w:pPr>
              <w:spacing w:after="0"/>
              <w:rPr>
                <w:sz w:val="1"/>
                <w:szCs w:val="1"/>
                <w:color w:val="auto"/>
              </w:rPr>
            </w:pPr>
          </w:p>
        </w:tc>
      </w:tr>
      <w:tr>
        <w:trPr>
          <w:trHeight w:val="228"/>
        </w:trPr>
        <w:tc>
          <w:tcPr>
            <w:tcW w:w="2500" w:type="dxa"/>
            <w:vAlign w:val="bottom"/>
            <w:tcBorders>
              <w:left w:val="single" w:sz="8" w:color="F4F6F6"/>
            </w:tcBorders>
          </w:tcPr>
          <w:p>
            <w:pPr>
              <w:ind w:left="40"/>
              <w:spacing w:after="0"/>
              <w:rPr>
                <w:sz w:val="20"/>
                <w:szCs w:val="20"/>
                <w:color w:val="auto"/>
              </w:rPr>
            </w:pPr>
            <w:r>
              <w:rPr>
                <w:rFonts w:ascii="Arial" w:cs="Arial" w:eastAsia="Arial" w:hAnsi="Arial"/>
                <w:sz w:val="16"/>
                <w:szCs w:val="16"/>
                <w:color w:val="auto"/>
              </w:rPr>
              <w:t>MasterCard Incorporated;</w:t>
            </w:r>
          </w:p>
        </w:tc>
        <w:tc>
          <w:tcPr>
            <w:tcW w:w="2580" w:type="dxa"/>
            <w:vAlign w:val="bottom"/>
          </w:tcPr>
          <w:p>
            <w:pPr>
              <w:ind w:left="40"/>
              <w:spacing w:after="0"/>
              <w:rPr>
                <w:sz w:val="20"/>
                <w:szCs w:val="20"/>
                <w:color w:val="auto"/>
              </w:rPr>
            </w:pPr>
            <w:r>
              <w:rPr>
                <w:rFonts w:ascii="Arial" w:cs="Arial" w:eastAsia="Arial" w:hAnsi="Arial"/>
                <w:sz w:val="16"/>
                <w:szCs w:val="16"/>
                <w:color w:val="auto"/>
              </w:rPr>
              <w:t>The Bank of China Limited;</w:t>
            </w:r>
          </w:p>
        </w:tc>
        <w:tc>
          <w:tcPr>
            <w:tcW w:w="3000" w:type="dxa"/>
            <w:vAlign w:val="bottom"/>
          </w:tcPr>
          <w:p>
            <w:pPr>
              <w:ind w:left="420"/>
              <w:spacing w:after="0"/>
              <w:rPr>
                <w:sz w:val="20"/>
                <w:szCs w:val="20"/>
                <w:color w:val="auto"/>
              </w:rPr>
            </w:pPr>
            <w:r>
              <w:rPr>
                <w:rFonts w:ascii="Arial" w:cs="Arial" w:eastAsia="Arial" w:hAnsi="Arial"/>
                <w:sz w:val="16"/>
                <w:szCs w:val="16"/>
                <w:color w:val="auto"/>
              </w:rPr>
              <w:t>Canada Pension Plan</w:t>
            </w:r>
          </w:p>
        </w:tc>
        <w:tc>
          <w:tcPr>
            <w:tcW w:w="3300" w:type="dxa"/>
            <w:vAlign w:val="bottom"/>
            <w:tcBorders>
              <w:right w:val="single" w:sz="8" w:color="F4F6F6"/>
            </w:tcBorders>
          </w:tcPr>
          <w:p>
            <w:pPr>
              <w:ind w:left="20"/>
              <w:spacing w:after="0"/>
              <w:rPr>
                <w:sz w:val="20"/>
                <w:szCs w:val="20"/>
                <w:color w:val="auto"/>
              </w:rPr>
            </w:pPr>
            <w:r>
              <w:rPr>
                <w:rFonts w:ascii="Arial" w:cs="Arial" w:eastAsia="Arial" w:hAnsi="Arial"/>
                <w:sz w:val="16"/>
                <w:szCs w:val="16"/>
                <w:color w:val="auto"/>
              </w:rPr>
              <w:t>Metropolitan Opera;</w:t>
            </w:r>
          </w:p>
        </w:tc>
        <w:tc>
          <w:tcPr>
            <w:tcW w:w="0" w:type="dxa"/>
            <w:vAlign w:val="bottom"/>
          </w:tcPr>
          <w:p>
            <w:pPr>
              <w:spacing w:after="0"/>
              <w:rPr>
                <w:sz w:val="1"/>
                <w:szCs w:val="1"/>
                <w:color w:val="auto"/>
              </w:rPr>
            </w:pPr>
          </w:p>
        </w:tc>
      </w:tr>
      <w:tr>
        <w:trPr>
          <w:trHeight w:val="243"/>
        </w:trPr>
        <w:tc>
          <w:tcPr>
            <w:tcW w:w="2500" w:type="dxa"/>
            <w:vAlign w:val="bottom"/>
            <w:tcBorders>
              <w:left w:val="single" w:sz="8" w:color="F4F6F6"/>
            </w:tcBorders>
          </w:tcPr>
          <w:p>
            <w:pPr>
              <w:ind w:left="40"/>
              <w:spacing w:after="0"/>
              <w:rPr>
                <w:sz w:val="20"/>
                <w:szCs w:val="20"/>
                <w:color w:val="auto"/>
              </w:rPr>
            </w:pPr>
            <w:r>
              <w:rPr>
                <w:rFonts w:ascii="Arial" w:cs="Arial" w:eastAsia="Arial" w:hAnsi="Arial"/>
                <w:sz w:val="16"/>
                <w:szCs w:val="16"/>
                <w:color w:val="auto"/>
              </w:rPr>
              <w:t>Royal Phillips NV</w:t>
            </w:r>
          </w:p>
        </w:tc>
        <w:tc>
          <w:tcPr>
            <w:tcW w:w="2580" w:type="dxa"/>
            <w:vAlign w:val="bottom"/>
            <w:vMerge w:val="restart"/>
          </w:tcPr>
          <w:p>
            <w:pPr>
              <w:ind w:left="40"/>
              <w:spacing w:after="0"/>
              <w:rPr>
                <w:sz w:val="20"/>
                <w:szCs w:val="20"/>
                <w:color w:val="auto"/>
              </w:rPr>
            </w:pPr>
            <w:r>
              <w:rPr>
                <w:rFonts w:ascii="Arial" w:cs="Arial" w:eastAsia="Arial" w:hAnsi="Arial"/>
                <w:sz w:val="16"/>
                <w:szCs w:val="16"/>
                <w:color w:val="auto"/>
              </w:rPr>
              <w:t>Singapore Airlines;</w:t>
            </w:r>
          </w:p>
        </w:tc>
        <w:tc>
          <w:tcPr>
            <w:tcW w:w="3000" w:type="dxa"/>
            <w:vAlign w:val="bottom"/>
            <w:vMerge w:val="restart"/>
          </w:tcPr>
          <w:p>
            <w:pPr>
              <w:ind w:left="540"/>
              <w:spacing w:after="0"/>
              <w:rPr>
                <w:sz w:val="20"/>
                <w:szCs w:val="20"/>
                <w:color w:val="auto"/>
              </w:rPr>
            </w:pPr>
            <w:r>
              <w:rPr>
                <w:rFonts w:ascii="Arial" w:cs="Arial" w:eastAsia="Arial" w:hAnsi="Arial"/>
                <w:sz w:val="16"/>
                <w:szCs w:val="16"/>
                <w:color w:val="auto"/>
              </w:rPr>
              <w:t>Investment Board</w:t>
            </w:r>
          </w:p>
        </w:tc>
        <w:tc>
          <w:tcPr>
            <w:tcW w:w="3300" w:type="dxa"/>
            <w:vAlign w:val="bottom"/>
            <w:tcBorders>
              <w:right w:val="single" w:sz="8" w:color="F4F6F6"/>
            </w:tcBorders>
            <w:vMerge w:val="restart"/>
          </w:tcPr>
          <w:p>
            <w:pPr>
              <w:ind w:left="20"/>
              <w:spacing w:after="0"/>
              <w:rPr>
                <w:sz w:val="20"/>
                <w:szCs w:val="20"/>
                <w:color w:val="auto"/>
              </w:rPr>
            </w:pPr>
            <w:r>
              <w:rPr>
                <w:rFonts w:ascii="Arial" w:cs="Arial" w:eastAsia="Arial" w:hAnsi="Arial"/>
                <w:sz w:val="16"/>
                <w:szCs w:val="16"/>
                <w:color w:val="auto"/>
              </w:rPr>
              <w:t>Rensselaer Polytechnic Institute</w:t>
            </w:r>
          </w:p>
        </w:tc>
        <w:tc>
          <w:tcPr>
            <w:tcW w:w="0" w:type="dxa"/>
            <w:vAlign w:val="bottom"/>
          </w:tcPr>
          <w:p>
            <w:pPr>
              <w:spacing w:after="0"/>
              <w:rPr>
                <w:sz w:val="1"/>
                <w:szCs w:val="1"/>
                <w:color w:val="auto"/>
              </w:rPr>
            </w:pPr>
          </w:p>
        </w:tc>
      </w:tr>
      <w:tr>
        <w:trPr>
          <w:trHeight w:val="135"/>
        </w:trPr>
        <w:tc>
          <w:tcPr>
            <w:tcW w:w="2500" w:type="dxa"/>
            <w:vAlign w:val="bottom"/>
            <w:tcBorders>
              <w:left w:val="single" w:sz="8" w:color="F4F6F6"/>
            </w:tcBorders>
          </w:tcPr>
          <w:p>
            <w:pPr>
              <w:spacing w:after="0"/>
              <w:rPr>
                <w:sz w:val="11"/>
                <w:szCs w:val="11"/>
                <w:color w:val="auto"/>
              </w:rPr>
            </w:pPr>
          </w:p>
        </w:tc>
        <w:tc>
          <w:tcPr>
            <w:tcW w:w="2580" w:type="dxa"/>
            <w:vAlign w:val="bottom"/>
            <w:vMerge w:val="continue"/>
          </w:tcPr>
          <w:p>
            <w:pPr>
              <w:spacing w:after="0"/>
              <w:rPr>
                <w:sz w:val="11"/>
                <w:szCs w:val="11"/>
                <w:color w:val="auto"/>
              </w:rPr>
            </w:pPr>
          </w:p>
        </w:tc>
        <w:tc>
          <w:tcPr>
            <w:tcW w:w="3000" w:type="dxa"/>
            <w:vAlign w:val="bottom"/>
            <w:vMerge w:val="continue"/>
          </w:tcPr>
          <w:p>
            <w:pPr>
              <w:spacing w:after="0"/>
              <w:rPr>
                <w:sz w:val="11"/>
                <w:szCs w:val="11"/>
                <w:color w:val="auto"/>
              </w:rPr>
            </w:pPr>
          </w:p>
        </w:tc>
        <w:tc>
          <w:tcPr>
            <w:tcW w:w="3300" w:type="dxa"/>
            <w:vAlign w:val="bottom"/>
            <w:tcBorders>
              <w:right w:val="single" w:sz="8" w:color="F4F6F6"/>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500" w:type="dxa"/>
            <w:vAlign w:val="bottom"/>
            <w:tcBorders>
              <w:left w:val="single" w:sz="8" w:color="F4F6F6"/>
            </w:tcBorders>
          </w:tcPr>
          <w:p>
            <w:pPr>
              <w:ind w:left="180"/>
              <w:spacing w:after="0"/>
              <w:rPr>
                <w:sz w:val="20"/>
                <w:szCs w:val="20"/>
                <w:color w:val="auto"/>
              </w:rPr>
            </w:pPr>
            <w:r>
              <w:rPr>
                <w:rFonts w:ascii="Arial" w:cs="Arial" w:eastAsia="Arial" w:hAnsi="Arial"/>
                <w:sz w:val="13"/>
                <w:szCs w:val="13"/>
                <w:color w:val="auto"/>
              </w:rPr>
              <w:t>(until March 31, 2019)</w:t>
            </w:r>
            <w:r>
              <w:rPr>
                <w:rFonts w:ascii="Arial" w:cs="Arial" w:eastAsia="Arial" w:hAnsi="Arial"/>
                <w:sz w:val="16"/>
                <w:szCs w:val="16"/>
                <w:color w:val="auto"/>
              </w:rPr>
              <w:t>;</w:t>
            </w:r>
          </w:p>
        </w:tc>
        <w:tc>
          <w:tcPr>
            <w:tcW w:w="2580" w:type="dxa"/>
            <w:vAlign w:val="bottom"/>
          </w:tcPr>
          <w:p>
            <w:pPr>
              <w:ind w:left="40"/>
              <w:spacing w:after="0"/>
              <w:rPr>
                <w:sz w:val="20"/>
                <w:szCs w:val="20"/>
                <w:color w:val="auto"/>
              </w:rPr>
            </w:pPr>
            <w:r>
              <w:rPr>
                <w:rFonts w:ascii="Arial" w:cs="Arial" w:eastAsia="Arial" w:hAnsi="Arial"/>
                <w:sz w:val="16"/>
                <w:szCs w:val="16"/>
                <w:color w:val="auto"/>
              </w:rPr>
              <w:t>NYSE Euronext;</w:t>
            </w:r>
          </w:p>
        </w:tc>
        <w:tc>
          <w:tcPr>
            <w:tcW w:w="3000" w:type="dxa"/>
            <w:vAlign w:val="bottom"/>
          </w:tcPr>
          <w:p>
            <w:pPr>
              <w:ind w:left="540"/>
              <w:spacing w:after="0"/>
              <w:rPr>
                <w:sz w:val="20"/>
                <w:szCs w:val="20"/>
                <w:color w:val="auto"/>
              </w:rPr>
            </w:pPr>
            <w:r>
              <w:rPr>
                <w:rFonts w:ascii="Arial" w:cs="Arial" w:eastAsia="Arial" w:hAnsi="Arial"/>
                <w:sz w:val="13"/>
                <w:szCs w:val="13"/>
                <w:color w:val="auto"/>
              </w:rPr>
              <w:t>(until March 31, 2019)</w:t>
            </w:r>
          </w:p>
        </w:tc>
        <w:tc>
          <w:tcPr>
            <w:tcW w:w="3300" w:type="dxa"/>
            <w:vAlign w:val="bottom"/>
            <w:tcBorders>
              <w:right w:val="single" w:sz="8" w:color="F4F6F6"/>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tcBorders>
              <w:left w:val="single" w:sz="8" w:color="F4F6F6"/>
            </w:tcBorders>
          </w:tcPr>
          <w:p>
            <w:pPr>
              <w:ind w:left="40"/>
              <w:spacing w:after="0"/>
              <w:rPr>
                <w:sz w:val="20"/>
                <w:szCs w:val="20"/>
                <w:color w:val="auto"/>
              </w:rPr>
            </w:pPr>
            <w:r>
              <w:rPr>
                <w:rFonts w:ascii="Arial" w:cs="Arial" w:eastAsia="Arial" w:hAnsi="Arial"/>
                <w:sz w:val="16"/>
                <w:szCs w:val="16"/>
                <w:color w:val="auto"/>
              </w:rPr>
              <w:t>HSBC Holdings</w:t>
            </w:r>
          </w:p>
        </w:tc>
        <w:tc>
          <w:tcPr>
            <w:tcW w:w="2580" w:type="dxa"/>
            <w:vAlign w:val="bottom"/>
          </w:tcPr>
          <w:p>
            <w:pPr>
              <w:ind w:left="40"/>
              <w:spacing w:after="0"/>
              <w:rPr>
                <w:sz w:val="20"/>
                <w:szCs w:val="20"/>
                <w:color w:val="auto"/>
              </w:rPr>
            </w:pPr>
            <w:r>
              <w:rPr>
                <w:rFonts w:ascii="Arial" w:cs="Arial" w:eastAsia="Arial" w:hAnsi="Arial"/>
                <w:sz w:val="16"/>
                <w:szCs w:val="16"/>
                <w:color w:val="auto"/>
              </w:rPr>
              <w:t>ING Groep NV;</w:t>
            </w:r>
          </w:p>
        </w:tc>
        <w:tc>
          <w:tcPr>
            <w:tcW w:w="3000" w:type="dxa"/>
            <w:vAlign w:val="bottom"/>
          </w:tcPr>
          <w:p>
            <w:pPr>
              <w:spacing w:after="0"/>
              <w:rPr>
                <w:sz w:val="23"/>
                <w:szCs w:val="23"/>
                <w:color w:val="auto"/>
              </w:rPr>
            </w:pPr>
          </w:p>
        </w:tc>
        <w:tc>
          <w:tcPr>
            <w:tcW w:w="3300" w:type="dxa"/>
            <w:vAlign w:val="bottom"/>
            <w:tcBorders>
              <w:right w:val="single" w:sz="8" w:color="F4F6F6"/>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tcBorders>
              <w:left w:val="single" w:sz="8" w:color="F4F6F6"/>
            </w:tcBorders>
          </w:tcPr>
          <w:p>
            <w:pPr>
              <w:spacing w:after="0"/>
              <w:rPr>
                <w:sz w:val="23"/>
                <w:szCs w:val="23"/>
                <w:color w:val="auto"/>
              </w:rPr>
            </w:pPr>
          </w:p>
        </w:tc>
        <w:tc>
          <w:tcPr>
            <w:tcW w:w="2580" w:type="dxa"/>
            <w:vAlign w:val="bottom"/>
          </w:tcPr>
          <w:p>
            <w:pPr>
              <w:ind w:left="40"/>
              <w:spacing w:after="0"/>
              <w:rPr>
                <w:sz w:val="20"/>
                <w:szCs w:val="20"/>
                <w:color w:val="auto"/>
              </w:rPr>
            </w:pPr>
            <w:r>
              <w:rPr>
                <w:rFonts w:ascii="Arial" w:cs="Arial" w:eastAsia="Arial" w:hAnsi="Arial"/>
                <w:sz w:val="16"/>
                <w:szCs w:val="16"/>
                <w:color w:val="auto"/>
              </w:rPr>
              <w:t>CapitaLand (Singapore);</w:t>
            </w:r>
          </w:p>
        </w:tc>
        <w:tc>
          <w:tcPr>
            <w:tcW w:w="3000" w:type="dxa"/>
            <w:vAlign w:val="bottom"/>
          </w:tcPr>
          <w:p>
            <w:pPr>
              <w:spacing w:after="0"/>
              <w:rPr>
                <w:sz w:val="23"/>
                <w:szCs w:val="23"/>
                <w:color w:val="auto"/>
              </w:rPr>
            </w:pPr>
          </w:p>
        </w:tc>
        <w:tc>
          <w:tcPr>
            <w:tcW w:w="3300" w:type="dxa"/>
            <w:vAlign w:val="bottom"/>
            <w:tcBorders>
              <w:right w:val="single" w:sz="8" w:color="F4F6F6"/>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tcBorders>
              <w:left w:val="single" w:sz="8" w:color="F4F6F6"/>
            </w:tcBorders>
          </w:tcPr>
          <w:p>
            <w:pPr>
              <w:spacing w:after="0"/>
              <w:rPr>
                <w:sz w:val="23"/>
                <w:szCs w:val="23"/>
                <w:color w:val="auto"/>
              </w:rPr>
            </w:pPr>
          </w:p>
        </w:tc>
        <w:tc>
          <w:tcPr>
            <w:tcW w:w="2580" w:type="dxa"/>
            <w:vAlign w:val="bottom"/>
          </w:tcPr>
          <w:p>
            <w:pPr>
              <w:ind w:left="40"/>
              <w:spacing w:after="0"/>
              <w:rPr>
                <w:sz w:val="20"/>
                <w:szCs w:val="20"/>
                <w:color w:val="auto"/>
              </w:rPr>
            </w:pPr>
            <w:r>
              <w:rPr>
                <w:rFonts w:ascii="Arial" w:cs="Arial" w:eastAsia="Arial" w:hAnsi="Arial"/>
                <w:sz w:val="16"/>
                <w:szCs w:val="16"/>
                <w:color w:val="auto"/>
              </w:rPr>
              <w:t>DBS Holdings and DBS Bank</w:t>
            </w:r>
          </w:p>
        </w:tc>
        <w:tc>
          <w:tcPr>
            <w:tcW w:w="3000" w:type="dxa"/>
            <w:vAlign w:val="bottom"/>
          </w:tcPr>
          <w:p>
            <w:pPr>
              <w:spacing w:after="0"/>
              <w:rPr>
                <w:sz w:val="23"/>
                <w:szCs w:val="23"/>
                <w:color w:val="auto"/>
              </w:rPr>
            </w:pPr>
          </w:p>
        </w:tc>
        <w:tc>
          <w:tcPr>
            <w:tcW w:w="3300" w:type="dxa"/>
            <w:vAlign w:val="bottom"/>
            <w:tcBorders>
              <w:right w:val="single" w:sz="8" w:color="F4F6F6"/>
            </w:tcBorders>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2500" w:type="dxa"/>
            <w:vAlign w:val="bottom"/>
            <w:tcBorders>
              <w:left w:val="single" w:sz="8" w:color="F4F6F6"/>
            </w:tcBorders>
          </w:tcPr>
          <w:p>
            <w:pPr>
              <w:spacing w:after="0"/>
              <w:rPr>
                <w:sz w:val="2"/>
                <w:szCs w:val="2"/>
                <w:color w:val="auto"/>
              </w:rPr>
            </w:pPr>
          </w:p>
        </w:tc>
        <w:tc>
          <w:tcPr>
            <w:tcW w:w="25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300" w:type="dxa"/>
            <w:vAlign w:val="bottom"/>
            <w:tcBorders>
              <w:right w:val="single" w:sz="8" w:color="F4F6F6"/>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-8255</wp:posOffset>
            </wp:positionV>
            <wp:extent cx="7220585"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1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ABE8"/>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33020</wp:posOffset>
            </wp:positionV>
            <wp:extent cx="8890" cy="10121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012190"/>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33020</wp:posOffset>
            </wp:positionV>
            <wp:extent cx="8890" cy="10121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012190"/>
                    </a:xfrm>
                    <a:prstGeom prst="rect">
                      <a:avLst/>
                    </a:prstGeom>
                    <a:noFill/>
                  </pic:spPr>
                </pic:pic>
              </a:graphicData>
            </a:graphic>
          </wp:anchor>
        </w:drawing>
      </w:r>
    </w:p>
    <w:p>
      <w:pPr>
        <w:spacing w:after="0" w:line="39" w:lineRule="exact"/>
        <w:rPr>
          <w:sz w:val="20"/>
          <w:szCs w:val="20"/>
          <w:color w:val="auto"/>
        </w:rPr>
      </w:pPr>
    </w:p>
    <w:p>
      <w:pPr>
        <w:ind w:left="180" w:hanging="104"/>
        <w:spacing w:after="0"/>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DBS Group Holdings and DBS Bank (formerly the Development Bank of Singapore)</w:t>
      </w:r>
      <w:r>
        <w:rPr>
          <w:rFonts w:ascii="Arial" w:cs="Arial" w:eastAsia="Arial" w:hAnsi="Arial"/>
          <w:sz w:val="16"/>
          <w:szCs w:val="16"/>
          <w:color w:val="auto"/>
        </w:rPr>
        <w:t>, one of the largest financial</w:t>
      </w:r>
    </w:p>
    <w:p>
      <w:pPr>
        <w:spacing w:after="0" w:line="200" w:lineRule="exact"/>
        <w:rPr>
          <w:sz w:val="20"/>
          <w:szCs w:val="20"/>
          <w:color w:val="auto"/>
        </w:rPr>
      </w:pPr>
    </w:p>
    <w:p>
      <w:pPr>
        <w:spacing w:after="0" w:line="23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services groups in Asia</w:t>
      </w:r>
    </w:p>
    <w:p>
      <w:pPr>
        <w:spacing w:after="0" w:line="59" w:lineRule="exact"/>
        <w:rPr>
          <w:sz w:val="20"/>
          <w:szCs w:val="20"/>
          <w:color w:val="auto"/>
        </w:rPr>
      </w:pPr>
    </w:p>
    <w:p>
      <w:pPr>
        <w:ind w:left="400" w:hanging="99"/>
        <w:spacing w:after="0"/>
        <w:tabs>
          <w:tab w:leader="none" w:pos="4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Vice Chairman and Chief Executive Officer (2002 - 2007)</w:t>
      </w:r>
    </w:p>
    <w:p>
      <w:pPr>
        <w:spacing w:after="0" w:line="59" w:lineRule="exact"/>
        <w:rPr>
          <w:rFonts w:ascii="Arial" w:cs="Arial" w:eastAsia="Arial" w:hAnsi="Arial"/>
          <w:sz w:val="16"/>
          <w:szCs w:val="16"/>
          <w:color w:val="auto"/>
        </w:rPr>
      </w:pPr>
    </w:p>
    <w:p>
      <w:pPr>
        <w:ind w:left="400" w:hanging="99"/>
        <w:spacing w:after="0"/>
        <w:tabs>
          <w:tab w:leader="none" w:pos="4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President and Chief Operating Officer (2001 - 2002)</w:t>
      </w:r>
    </w:p>
    <w:p>
      <w:pPr>
        <w:spacing w:after="0" w:line="57" w:lineRule="exact"/>
        <w:rPr>
          <w:rFonts w:ascii="Arial" w:cs="Arial" w:eastAsia="Arial" w:hAnsi="Arial"/>
          <w:sz w:val="16"/>
          <w:szCs w:val="16"/>
          <w:color w:val="auto"/>
        </w:rPr>
      </w:pPr>
    </w:p>
    <w:p>
      <w:pPr>
        <w:ind w:left="180" w:hanging="104"/>
        <w:spacing w:after="0"/>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J.P. Morgan &amp; Co. Incorporated</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 leading global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33020</wp:posOffset>
            </wp:positionV>
            <wp:extent cx="722058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ABE8"/>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33020</wp:posOffset>
            </wp:positionV>
            <wp:extent cx="7220585" cy="4718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0585" cy="471805"/>
                    </a:xfrm>
                    <a:prstGeom prst="rect">
                      <a:avLst/>
                    </a:prstGeom>
                    <a:noFill/>
                  </pic:spPr>
                </pic:pic>
              </a:graphicData>
            </a:graphic>
          </wp:anchor>
        </w:drawing>
      </w:r>
    </w:p>
    <w:p>
      <w:pPr>
        <w:spacing w:after="0" w:line="41" w:lineRule="exact"/>
        <w:rPr>
          <w:sz w:val="20"/>
          <w:szCs w:val="20"/>
          <w:color w:val="auto"/>
        </w:rPr>
      </w:pPr>
    </w:p>
    <w:p>
      <w:pPr>
        <w:jc w:val="both"/>
        <w:ind w:left="80" w:right="3180"/>
        <w:spacing w:after="0" w:line="339" w:lineRule="auto"/>
        <w:rPr>
          <w:sz w:val="20"/>
          <w:szCs w:val="20"/>
          <w:color w:val="auto"/>
        </w:rPr>
      </w:pPr>
      <w:r>
        <w:rPr>
          <w:rFonts w:ascii="Arial" w:cs="Arial" w:eastAsia="Arial" w:hAnsi="Arial"/>
          <w:sz w:val="16"/>
          <w:szCs w:val="16"/>
          <w:color w:val="auto"/>
        </w:rPr>
        <w:t>Mr. Tai is a former CEO with extensive experience in international business and finance, and is an audit committee financial expert. He has deep expertise in the Asia-Pacific region, an important growth market for Lilly. He also has broad corporate governance experience from his service on public company boards in the U.S., Europe, and Asia.</w:t>
      </w:r>
    </w:p>
    <w:p>
      <w:pPr>
        <w:sectPr>
          <w:pgSz w:w="11900" w:h="16838" w:orient="portrait"/>
          <w:cols w:equalWidth="0" w:num="1">
            <w:col w:w="11440"/>
          </w:cols>
          <w:pgMar w:left="240" w:top="1046" w:right="219" w:bottom="1440" w:gutter="0" w:footer="0" w:header="0"/>
        </w:sect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P17</w:t>
      </w:r>
    </w:p>
    <w:p>
      <w:pPr>
        <w:sectPr>
          <w:pgSz w:w="11900" w:h="16838" w:orient="portrait"/>
          <w:cols w:equalWidth="0" w:num="1">
            <w:col w:w="11440"/>
          </w:cols>
          <w:pgMar w:left="240" w:top="1046" w:right="2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3"/>
          <w:szCs w:val="23"/>
          <w:b w:val="1"/>
          <w:bCs w:val="1"/>
          <w:color w:val="1CA8E1"/>
        </w:rPr>
        <w:t>Director Qualifications and Nomination Process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Qualifications</w:t>
      </w:r>
    </w:p>
    <w:p>
      <w:pPr>
        <w:spacing w:after="0" w:line="176" w:lineRule="exact"/>
        <w:rPr>
          <w:sz w:val="20"/>
          <w:szCs w:val="20"/>
          <w:color w:val="auto"/>
        </w:rPr>
      </w:pPr>
    </w:p>
    <w:p>
      <w:pPr>
        <w:jc w:val="both"/>
        <w:ind w:right="180"/>
        <w:spacing w:after="0" w:line="271" w:lineRule="auto"/>
        <w:rPr>
          <w:sz w:val="20"/>
          <w:szCs w:val="20"/>
          <w:color w:val="auto"/>
        </w:rPr>
      </w:pPr>
      <w:r>
        <w:rPr>
          <w:rFonts w:ascii="Arial" w:cs="Arial" w:eastAsia="Arial" w:hAnsi="Arial"/>
          <w:sz w:val="17"/>
          <w:szCs w:val="17"/>
          <w:b w:val="1"/>
          <w:bCs w:val="1"/>
          <w:color w:val="EE2724"/>
        </w:rPr>
        <w:t xml:space="preserve">Experience: </w:t>
      </w:r>
      <w:r>
        <w:rPr>
          <w:rFonts w:ascii="Arial" w:cs="Arial" w:eastAsia="Arial" w:hAnsi="Arial"/>
          <w:sz w:val="17"/>
          <w:szCs w:val="17"/>
          <w:color w:val="000000"/>
        </w:rPr>
        <w:t>Our directors are responsible for overseeing the company's business consistent with their fiduciary duties. This significant responsibility</w:t>
      </w:r>
      <w:r>
        <w:rPr>
          <w:rFonts w:ascii="Arial" w:cs="Arial" w:eastAsia="Arial" w:hAnsi="Arial"/>
          <w:sz w:val="17"/>
          <w:szCs w:val="17"/>
          <w:b w:val="1"/>
          <w:bCs w:val="1"/>
          <w:color w:val="EE2724"/>
        </w:rPr>
        <w:t xml:space="preserve"> </w:t>
      </w:r>
      <w:r>
        <w:rPr>
          <w:rFonts w:ascii="Arial" w:cs="Arial" w:eastAsia="Arial" w:hAnsi="Arial"/>
          <w:sz w:val="17"/>
          <w:szCs w:val="17"/>
          <w:color w:val="000000"/>
        </w:rPr>
        <w:t>requires highly skilled individuals with various qualities, attributes, and professional experience. We believe the board is well-rounded, with a balance of relevant perspectives and experience, as illustrated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70485</wp:posOffset>
            </wp:positionV>
            <wp:extent cx="1406525" cy="14490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06525" cy="1449070"/>
                    </a:xfrm>
                    <a:prstGeom prst="rect">
                      <a:avLst/>
                    </a:prstGeom>
                    <a:noFill/>
                  </pic:spPr>
                </pic:pic>
              </a:graphicData>
            </a:graphic>
          </wp:anchor>
        </w:drawing>
      </w:r>
    </w:p>
    <w:p>
      <w:pPr>
        <w:spacing w:after="0" w:line="91" w:lineRule="exact"/>
        <w:rPr>
          <w:sz w:val="20"/>
          <w:szCs w:val="20"/>
          <w:color w:val="auto"/>
        </w:rPr>
      </w:pPr>
    </w:p>
    <w:tbl>
      <w:tblPr>
        <w:tblLayout w:type="fixed"/>
        <w:tblInd w:w="3420" w:type="dxa"/>
        <w:tblCellMar>
          <w:top w:w="0" w:type="dxa"/>
          <w:left w:w="0" w:type="dxa"/>
          <w:bottom w:w="0" w:type="dxa"/>
          <w:right w:w="0" w:type="dxa"/>
        </w:tblCellMar>
      </w:tblPr>
      <w:tr>
        <w:trPr>
          <w:trHeight w:val="282"/>
        </w:trPr>
        <w:tc>
          <w:tcPr>
            <w:tcW w:w="2600" w:type="dxa"/>
            <w:vAlign w:val="bottom"/>
          </w:tcPr>
          <w:p>
            <w:pPr>
              <w:jc w:val="right"/>
              <w:spacing w:after="0"/>
              <w:rPr>
                <w:sz w:val="20"/>
                <w:szCs w:val="20"/>
                <w:color w:val="auto"/>
              </w:rPr>
            </w:pPr>
            <w:r>
              <w:rPr>
                <w:rFonts w:ascii="Arial" w:cs="Arial" w:eastAsia="Arial" w:hAnsi="Arial"/>
                <w:sz w:val="14"/>
                <w:szCs w:val="14"/>
                <w:b w:val="1"/>
                <w:bCs w:val="1"/>
                <w:color w:val="auto"/>
              </w:rPr>
              <w:t>CEO Experience:</w:t>
            </w:r>
          </w:p>
        </w:tc>
        <w:tc>
          <w:tcPr>
            <w:tcW w:w="240" w:type="dxa"/>
            <w:vAlign w:val="bottom"/>
            <w:shd w:val="clear" w:color="auto" w:fill="1CA8E1"/>
          </w:tcPr>
          <w:p>
            <w:pPr>
              <w:spacing w:after="0"/>
              <w:rPr>
                <w:sz w:val="24"/>
                <w:szCs w:val="24"/>
                <w:color w:val="auto"/>
              </w:rPr>
            </w:pPr>
          </w:p>
        </w:tc>
        <w:tc>
          <w:tcPr>
            <w:tcW w:w="740" w:type="dxa"/>
            <w:vAlign w:val="bottom"/>
            <w:shd w:val="clear" w:color="auto" w:fill="1CA8E1"/>
          </w:tcPr>
          <w:p>
            <w:pPr>
              <w:spacing w:after="0"/>
              <w:rPr>
                <w:sz w:val="24"/>
                <w:szCs w:val="24"/>
                <w:color w:val="auto"/>
              </w:rPr>
            </w:pPr>
          </w:p>
        </w:tc>
        <w:tc>
          <w:tcPr>
            <w:tcW w:w="240" w:type="dxa"/>
            <w:vAlign w:val="bottom"/>
            <w:shd w:val="clear" w:color="auto" w:fill="1CA8E1"/>
          </w:tcPr>
          <w:p>
            <w:pPr>
              <w:spacing w:after="0"/>
              <w:rPr>
                <w:sz w:val="24"/>
                <w:szCs w:val="24"/>
                <w:color w:val="auto"/>
              </w:rPr>
            </w:pPr>
          </w:p>
        </w:tc>
        <w:tc>
          <w:tcPr>
            <w:tcW w:w="240" w:type="dxa"/>
            <w:vAlign w:val="bottom"/>
            <w:shd w:val="clear" w:color="auto" w:fill="1CA8E1"/>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00ABE8"/>
              </w:rPr>
              <w:t>6</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6"/>
        </w:trPr>
        <w:tc>
          <w:tcPr>
            <w:tcW w:w="2600" w:type="dxa"/>
            <w:vAlign w:val="bottom"/>
          </w:tcPr>
          <w:p>
            <w:pPr>
              <w:jc w:val="right"/>
              <w:spacing w:after="0"/>
              <w:rPr>
                <w:sz w:val="20"/>
                <w:szCs w:val="20"/>
                <w:color w:val="auto"/>
              </w:rPr>
            </w:pPr>
            <w:r>
              <w:rPr>
                <w:rFonts w:ascii="Arial" w:cs="Arial" w:eastAsia="Arial" w:hAnsi="Arial"/>
                <w:sz w:val="14"/>
                <w:szCs w:val="14"/>
                <w:b w:val="1"/>
                <w:bCs w:val="1"/>
                <w:color w:val="auto"/>
              </w:rPr>
              <w:t>Financial Expertise:</w:t>
            </w:r>
          </w:p>
        </w:tc>
        <w:tc>
          <w:tcPr>
            <w:tcW w:w="240" w:type="dxa"/>
            <w:vAlign w:val="bottom"/>
            <w:shd w:val="clear" w:color="auto" w:fill="1CA8E1"/>
          </w:tcPr>
          <w:p>
            <w:pPr>
              <w:spacing w:after="0"/>
              <w:rPr>
                <w:sz w:val="24"/>
                <w:szCs w:val="24"/>
                <w:color w:val="auto"/>
              </w:rPr>
            </w:pPr>
          </w:p>
        </w:tc>
        <w:tc>
          <w:tcPr>
            <w:tcW w:w="740" w:type="dxa"/>
            <w:vAlign w:val="bottom"/>
            <w:shd w:val="clear" w:color="auto" w:fill="1CA8E1"/>
          </w:tcPr>
          <w:p>
            <w:pPr>
              <w:spacing w:after="0"/>
              <w:rPr>
                <w:sz w:val="24"/>
                <w:szCs w:val="24"/>
                <w:color w:val="auto"/>
              </w:rPr>
            </w:pPr>
          </w:p>
        </w:tc>
        <w:tc>
          <w:tcPr>
            <w:tcW w:w="240" w:type="dxa"/>
            <w:vAlign w:val="bottom"/>
            <w:shd w:val="clear" w:color="auto" w:fill="1CA8E1"/>
          </w:tcPr>
          <w:p>
            <w:pPr>
              <w:spacing w:after="0"/>
              <w:rPr>
                <w:sz w:val="24"/>
                <w:szCs w:val="24"/>
                <w:color w:val="auto"/>
              </w:rPr>
            </w:pPr>
          </w:p>
        </w:tc>
        <w:tc>
          <w:tcPr>
            <w:tcW w:w="240" w:type="dxa"/>
            <w:vAlign w:val="bottom"/>
            <w:shd w:val="clear" w:color="auto" w:fill="1CA8E1"/>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00ABE8"/>
              </w:rPr>
              <w:t>6</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2"/>
        </w:trPr>
        <w:tc>
          <w:tcPr>
            <w:tcW w:w="2600" w:type="dxa"/>
            <w:vAlign w:val="bottom"/>
          </w:tcPr>
          <w:p>
            <w:pPr>
              <w:jc w:val="right"/>
              <w:spacing w:after="0"/>
              <w:rPr>
                <w:sz w:val="20"/>
                <w:szCs w:val="20"/>
                <w:color w:val="auto"/>
              </w:rPr>
            </w:pPr>
            <w:r>
              <w:rPr>
                <w:rFonts w:ascii="Arial" w:cs="Arial" w:eastAsia="Arial" w:hAnsi="Arial"/>
                <w:sz w:val="14"/>
                <w:szCs w:val="14"/>
                <w:b w:val="1"/>
                <w:bCs w:val="1"/>
                <w:color w:val="auto"/>
                <w:w w:val="96"/>
              </w:rPr>
              <w:t>Relevant Scientific/Academic Expertise:</w:t>
            </w:r>
          </w:p>
        </w:tc>
        <w:tc>
          <w:tcPr>
            <w:tcW w:w="240" w:type="dxa"/>
            <w:vAlign w:val="bottom"/>
            <w:shd w:val="clear" w:color="auto" w:fill="1CA8E1"/>
          </w:tcPr>
          <w:p>
            <w:pPr>
              <w:spacing w:after="0"/>
              <w:rPr>
                <w:sz w:val="24"/>
                <w:szCs w:val="24"/>
                <w:color w:val="auto"/>
              </w:rPr>
            </w:pPr>
          </w:p>
        </w:tc>
        <w:tc>
          <w:tcPr>
            <w:tcW w:w="740" w:type="dxa"/>
            <w:vAlign w:val="bottom"/>
            <w:shd w:val="clear" w:color="auto" w:fill="1CA8E1"/>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00ABE8"/>
              </w:rPr>
              <w:t>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4"/>
        </w:trPr>
        <w:tc>
          <w:tcPr>
            <w:tcW w:w="2600" w:type="dxa"/>
            <w:vAlign w:val="bottom"/>
          </w:tcPr>
          <w:p>
            <w:pPr>
              <w:jc w:val="right"/>
              <w:spacing w:after="0"/>
              <w:rPr>
                <w:sz w:val="20"/>
                <w:szCs w:val="20"/>
                <w:color w:val="auto"/>
              </w:rPr>
            </w:pPr>
            <w:r>
              <w:rPr>
                <w:rFonts w:ascii="Arial" w:cs="Arial" w:eastAsia="Arial" w:hAnsi="Arial"/>
                <w:sz w:val="14"/>
                <w:szCs w:val="14"/>
                <w:b w:val="1"/>
                <w:bCs w:val="1"/>
                <w:color w:val="auto"/>
              </w:rPr>
              <w:t>Healthcare Experience:</w:t>
            </w:r>
          </w:p>
        </w:tc>
        <w:tc>
          <w:tcPr>
            <w:tcW w:w="240" w:type="dxa"/>
            <w:vAlign w:val="bottom"/>
            <w:shd w:val="clear" w:color="auto" w:fill="1CA8E1"/>
          </w:tcPr>
          <w:p>
            <w:pPr>
              <w:spacing w:after="0"/>
              <w:rPr>
                <w:sz w:val="24"/>
                <w:szCs w:val="24"/>
                <w:color w:val="auto"/>
              </w:rPr>
            </w:pPr>
          </w:p>
        </w:tc>
        <w:tc>
          <w:tcPr>
            <w:tcW w:w="980" w:type="dxa"/>
            <w:vAlign w:val="bottom"/>
            <w:gridSpan w:val="2"/>
            <w:shd w:val="clear" w:color="auto" w:fill="1CA8E1"/>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00ABE8"/>
              </w:rPr>
              <w:t>5</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6"/>
        </w:trPr>
        <w:tc>
          <w:tcPr>
            <w:tcW w:w="2600" w:type="dxa"/>
            <w:vAlign w:val="bottom"/>
          </w:tcPr>
          <w:p>
            <w:pPr>
              <w:jc w:val="right"/>
              <w:spacing w:after="0"/>
              <w:rPr>
                <w:sz w:val="20"/>
                <w:szCs w:val="20"/>
                <w:color w:val="auto"/>
              </w:rPr>
            </w:pPr>
            <w:r>
              <w:rPr>
                <w:rFonts w:ascii="Arial" w:cs="Arial" w:eastAsia="Arial" w:hAnsi="Arial"/>
                <w:sz w:val="14"/>
                <w:szCs w:val="14"/>
                <w:b w:val="1"/>
                <w:bCs w:val="1"/>
                <w:color w:val="auto"/>
              </w:rPr>
              <w:t>Operational/Strategic Expertise:</w:t>
            </w:r>
          </w:p>
        </w:tc>
        <w:tc>
          <w:tcPr>
            <w:tcW w:w="240" w:type="dxa"/>
            <w:vAlign w:val="bottom"/>
            <w:shd w:val="clear" w:color="auto" w:fill="1CA8E1"/>
          </w:tcPr>
          <w:p>
            <w:pPr>
              <w:spacing w:after="0"/>
              <w:rPr>
                <w:sz w:val="24"/>
                <w:szCs w:val="24"/>
                <w:color w:val="auto"/>
              </w:rPr>
            </w:pPr>
          </w:p>
        </w:tc>
        <w:tc>
          <w:tcPr>
            <w:tcW w:w="1460" w:type="dxa"/>
            <w:vAlign w:val="bottom"/>
            <w:gridSpan w:val="4"/>
            <w:shd w:val="clear" w:color="auto" w:fill="1CA8E1"/>
          </w:tcPr>
          <w:p>
            <w:pPr>
              <w:spacing w:after="0"/>
              <w:rPr>
                <w:sz w:val="24"/>
                <w:szCs w:val="24"/>
                <w:color w:val="auto"/>
              </w:rPr>
            </w:pPr>
          </w:p>
        </w:tc>
        <w:tc>
          <w:tcPr>
            <w:tcW w:w="500" w:type="dxa"/>
            <w:vAlign w:val="bottom"/>
            <w:shd w:val="clear" w:color="auto" w:fill="1CA8E1"/>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00ABE8"/>
              </w:rPr>
              <w:t>9</w:t>
            </w:r>
          </w:p>
        </w:tc>
      </w:tr>
      <w:tr>
        <w:trPr>
          <w:trHeight w:val="282"/>
        </w:trPr>
        <w:tc>
          <w:tcPr>
            <w:tcW w:w="2600" w:type="dxa"/>
            <w:vAlign w:val="bottom"/>
          </w:tcPr>
          <w:p>
            <w:pPr>
              <w:jc w:val="right"/>
              <w:spacing w:after="0"/>
              <w:rPr>
                <w:sz w:val="20"/>
                <w:szCs w:val="20"/>
                <w:color w:val="auto"/>
              </w:rPr>
            </w:pPr>
            <w:r>
              <w:rPr>
                <w:rFonts w:ascii="Arial" w:cs="Arial" w:eastAsia="Arial" w:hAnsi="Arial"/>
                <w:sz w:val="14"/>
                <w:szCs w:val="14"/>
                <w:b w:val="1"/>
                <w:bCs w:val="1"/>
                <w:color w:val="auto"/>
              </w:rPr>
              <w:t>International Experience:</w:t>
            </w:r>
          </w:p>
        </w:tc>
        <w:tc>
          <w:tcPr>
            <w:tcW w:w="240" w:type="dxa"/>
            <w:vAlign w:val="bottom"/>
            <w:shd w:val="clear" w:color="auto" w:fill="1CA8E1"/>
          </w:tcPr>
          <w:p>
            <w:pPr>
              <w:spacing w:after="0"/>
              <w:rPr>
                <w:sz w:val="24"/>
                <w:szCs w:val="24"/>
                <w:color w:val="auto"/>
              </w:rPr>
            </w:pPr>
          </w:p>
        </w:tc>
        <w:tc>
          <w:tcPr>
            <w:tcW w:w="1460" w:type="dxa"/>
            <w:vAlign w:val="bottom"/>
            <w:gridSpan w:val="4"/>
            <w:shd w:val="clear" w:color="auto" w:fill="1CA8E1"/>
          </w:tcPr>
          <w:p>
            <w:pPr>
              <w:spacing w:after="0"/>
              <w:rPr>
                <w:sz w:val="24"/>
                <w:szCs w:val="24"/>
                <w:color w:val="auto"/>
              </w:rPr>
            </w:pPr>
          </w:p>
        </w:tc>
        <w:tc>
          <w:tcPr>
            <w:tcW w:w="500" w:type="dxa"/>
            <w:vAlign w:val="bottom"/>
          </w:tcPr>
          <w:p>
            <w:pPr>
              <w:jc w:val="right"/>
              <w:ind w:right="228"/>
              <w:spacing w:after="0"/>
              <w:rPr>
                <w:sz w:val="20"/>
                <w:szCs w:val="20"/>
                <w:color w:val="auto"/>
              </w:rPr>
            </w:pPr>
            <w:r>
              <w:rPr>
                <w:rFonts w:ascii="Arial" w:cs="Arial" w:eastAsia="Arial" w:hAnsi="Arial"/>
                <w:sz w:val="14"/>
                <w:szCs w:val="14"/>
                <w:b w:val="1"/>
                <w:bCs w:val="1"/>
                <w:color w:val="00ABE8"/>
              </w:rPr>
              <w:t>7</w:t>
            </w:r>
          </w:p>
        </w:tc>
        <w:tc>
          <w:tcPr>
            <w:tcW w:w="220" w:type="dxa"/>
            <w:vAlign w:val="bottom"/>
          </w:tcPr>
          <w:p>
            <w:pPr>
              <w:spacing w:after="0"/>
              <w:rPr>
                <w:sz w:val="24"/>
                <w:szCs w:val="24"/>
                <w:color w:val="auto"/>
              </w:rPr>
            </w:pPr>
          </w:p>
        </w:tc>
      </w:tr>
      <w:tr>
        <w:trPr>
          <w:trHeight w:val="286"/>
        </w:trPr>
        <w:tc>
          <w:tcPr>
            <w:tcW w:w="2600" w:type="dxa"/>
            <w:vAlign w:val="bottom"/>
          </w:tcPr>
          <w:p>
            <w:pPr>
              <w:jc w:val="right"/>
              <w:spacing w:after="0"/>
              <w:rPr>
                <w:sz w:val="20"/>
                <w:szCs w:val="20"/>
                <w:color w:val="auto"/>
              </w:rPr>
            </w:pPr>
            <w:r>
              <w:rPr>
                <w:rFonts w:ascii="Arial" w:cs="Arial" w:eastAsia="Arial" w:hAnsi="Arial"/>
                <w:sz w:val="14"/>
                <w:szCs w:val="14"/>
                <w:b w:val="1"/>
                <w:bCs w:val="1"/>
                <w:color w:val="auto"/>
              </w:rPr>
              <w:t>Marketing and Sales Expertise:</w:t>
            </w:r>
          </w:p>
        </w:tc>
        <w:tc>
          <w:tcPr>
            <w:tcW w:w="240" w:type="dxa"/>
            <w:vAlign w:val="bottom"/>
            <w:shd w:val="clear" w:color="auto" w:fill="1CA8E1"/>
          </w:tcPr>
          <w:p>
            <w:pPr>
              <w:spacing w:after="0"/>
              <w:rPr>
                <w:sz w:val="24"/>
                <w:szCs w:val="24"/>
                <w:color w:val="auto"/>
              </w:rPr>
            </w:pPr>
          </w:p>
        </w:tc>
        <w:tc>
          <w:tcPr>
            <w:tcW w:w="1460" w:type="dxa"/>
            <w:vAlign w:val="bottom"/>
            <w:gridSpan w:val="4"/>
            <w:shd w:val="clear" w:color="auto" w:fill="1CA8E1"/>
          </w:tcPr>
          <w:p>
            <w:pPr>
              <w:spacing w:after="0"/>
              <w:rPr>
                <w:sz w:val="24"/>
                <w:szCs w:val="24"/>
                <w:color w:val="auto"/>
              </w:rPr>
            </w:pPr>
          </w:p>
        </w:tc>
        <w:tc>
          <w:tcPr>
            <w:tcW w:w="500" w:type="dxa"/>
            <w:vAlign w:val="bottom"/>
          </w:tcPr>
          <w:p>
            <w:pPr>
              <w:jc w:val="right"/>
              <w:ind w:right="228"/>
              <w:spacing w:after="0"/>
              <w:rPr>
                <w:sz w:val="20"/>
                <w:szCs w:val="20"/>
                <w:color w:val="auto"/>
              </w:rPr>
            </w:pPr>
            <w:r>
              <w:rPr>
                <w:rFonts w:ascii="Arial" w:cs="Arial" w:eastAsia="Arial" w:hAnsi="Arial"/>
                <w:sz w:val="14"/>
                <w:szCs w:val="14"/>
                <w:b w:val="1"/>
                <w:bCs w:val="1"/>
                <w:color w:val="00ABE8"/>
              </w:rPr>
              <w:t>7</w:t>
            </w:r>
          </w:p>
        </w:tc>
        <w:tc>
          <w:tcPr>
            <w:tcW w:w="220" w:type="dxa"/>
            <w:vAlign w:val="bottom"/>
          </w:tcPr>
          <w:p>
            <w:pPr>
              <w:spacing w:after="0"/>
              <w:rPr>
                <w:sz w:val="24"/>
                <w:szCs w:val="24"/>
                <w:color w:val="auto"/>
              </w:rPr>
            </w:pPr>
          </w:p>
        </w:tc>
      </w:tr>
      <w:tr>
        <w:trPr>
          <w:trHeight w:val="284"/>
        </w:trPr>
        <w:tc>
          <w:tcPr>
            <w:tcW w:w="2600" w:type="dxa"/>
            <w:vAlign w:val="bottom"/>
          </w:tcPr>
          <w:p>
            <w:pPr>
              <w:jc w:val="right"/>
              <w:spacing w:after="0"/>
              <w:rPr>
                <w:sz w:val="20"/>
                <w:szCs w:val="20"/>
                <w:color w:val="auto"/>
              </w:rPr>
            </w:pPr>
            <w:r>
              <w:rPr>
                <w:rFonts w:ascii="Arial" w:cs="Arial" w:eastAsia="Arial" w:hAnsi="Arial"/>
                <w:sz w:val="14"/>
                <w:szCs w:val="14"/>
                <w:b w:val="1"/>
                <w:bCs w:val="1"/>
                <w:color w:val="auto"/>
              </w:rPr>
              <w:t>Digital Expertise:</w:t>
            </w:r>
          </w:p>
        </w:tc>
        <w:tc>
          <w:tcPr>
            <w:tcW w:w="240" w:type="dxa"/>
            <w:vAlign w:val="bottom"/>
            <w:shd w:val="clear" w:color="auto" w:fill="1CA8E1"/>
          </w:tcPr>
          <w:p>
            <w:pPr>
              <w:spacing w:after="0"/>
              <w:rPr>
                <w:sz w:val="24"/>
                <w:szCs w:val="24"/>
                <w:color w:val="auto"/>
              </w:rPr>
            </w:pPr>
          </w:p>
        </w:tc>
        <w:tc>
          <w:tcPr>
            <w:tcW w:w="740" w:type="dxa"/>
            <w:vAlign w:val="bottom"/>
          </w:tcPr>
          <w:p>
            <w:pPr>
              <w:jc w:val="right"/>
              <w:ind w:right="468"/>
              <w:spacing w:after="0"/>
              <w:rPr>
                <w:sz w:val="20"/>
                <w:szCs w:val="20"/>
                <w:color w:val="auto"/>
              </w:rPr>
            </w:pPr>
            <w:r>
              <w:rPr>
                <w:rFonts w:ascii="Arial" w:cs="Arial" w:eastAsia="Arial" w:hAnsi="Arial"/>
                <w:sz w:val="14"/>
                <w:szCs w:val="14"/>
                <w:b w:val="1"/>
                <w:bCs w:val="1"/>
                <w:color w:val="00ABE8"/>
              </w:rPr>
              <w:t>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7"/>
          <w:szCs w:val="17"/>
          <w:b w:val="1"/>
          <w:bCs w:val="1"/>
          <w:color w:val="EE2724"/>
        </w:rPr>
        <w:t xml:space="preserve">Board Tenure: </w:t>
      </w:r>
      <w:r>
        <w:rPr>
          <w:rFonts w:ascii="Arial" w:cs="Arial" w:eastAsia="Arial" w:hAnsi="Arial"/>
          <w:sz w:val="17"/>
          <w:szCs w:val="17"/>
          <w:color w:val="000000"/>
        </w:rPr>
        <w:t>As the following chart demonstrates, our director composition reflects a mix of tenure on the board, which provides an effective balance</w:t>
      </w:r>
      <w:r>
        <w:rPr>
          <w:rFonts w:ascii="Arial" w:cs="Arial" w:eastAsia="Arial" w:hAnsi="Arial"/>
          <w:sz w:val="17"/>
          <w:szCs w:val="17"/>
          <w:b w:val="1"/>
          <w:bCs w:val="1"/>
          <w:color w:val="EE2724"/>
        </w:rPr>
        <w:t xml:space="preserve"> </w:t>
      </w:r>
      <w:r>
        <w:rPr>
          <w:rFonts w:ascii="Arial" w:cs="Arial" w:eastAsia="Arial" w:hAnsi="Arial"/>
          <w:sz w:val="17"/>
          <w:szCs w:val="17"/>
          <w:color w:val="000000"/>
        </w:rPr>
        <w:t>of historical perspective and an understanding of the evolution of our business with fresh perspectives and insights.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In 2018, Karen Walker joined the board and David Hoover retired from the board. Ellen Marram, who joined the board in 2002, will retire in May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107950</wp:posOffset>
            </wp:positionV>
            <wp:extent cx="780415" cy="7289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80415" cy="728980"/>
                    </a:xfrm>
                    <a:prstGeom prst="rect">
                      <a:avLst/>
                    </a:prstGeom>
                    <a:noFill/>
                  </pic:spPr>
                </pic:pic>
              </a:graphicData>
            </a:graphic>
          </wp:anchor>
        </w:drawing>
      </w:r>
    </w:p>
    <w:p>
      <w:pPr>
        <w:spacing w:after="0" w:line="150" w:lineRule="exact"/>
        <w:rPr>
          <w:sz w:val="20"/>
          <w:szCs w:val="20"/>
          <w:color w:val="auto"/>
        </w:rPr>
      </w:pPr>
    </w:p>
    <w:tbl>
      <w:tblPr>
        <w:tblLayout w:type="fixed"/>
        <w:tblInd w:w="4700" w:type="dxa"/>
        <w:tblCellMar>
          <w:top w:w="0" w:type="dxa"/>
          <w:left w:w="0" w:type="dxa"/>
          <w:bottom w:w="0" w:type="dxa"/>
          <w:right w:w="0" w:type="dxa"/>
        </w:tblCellMar>
      </w:tblPr>
      <w:tr>
        <w:trPr>
          <w:trHeight w:val="284"/>
        </w:trPr>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3 Years or Less:</w:t>
            </w:r>
          </w:p>
        </w:tc>
        <w:tc>
          <w:tcPr>
            <w:tcW w:w="500" w:type="dxa"/>
            <w:vAlign w:val="bottom"/>
            <w:shd w:val="clear" w:color="auto" w:fill="1CA8E1"/>
          </w:tcPr>
          <w:p>
            <w:pPr>
              <w:spacing w:after="0"/>
              <w:rPr>
                <w:sz w:val="24"/>
                <w:szCs w:val="24"/>
                <w:color w:val="auto"/>
              </w:rPr>
            </w:pPr>
          </w:p>
        </w:tc>
        <w:tc>
          <w:tcPr>
            <w:tcW w:w="240" w:type="dxa"/>
            <w:vAlign w:val="bottom"/>
            <w:shd w:val="clear" w:color="auto" w:fill="1CA8E1"/>
          </w:tcPr>
          <w:p>
            <w:pPr>
              <w:spacing w:after="0"/>
              <w:rPr>
                <w:sz w:val="24"/>
                <w:szCs w:val="24"/>
                <w:color w:val="auto"/>
              </w:rPr>
            </w:pPr>
          </w:p>
        </w:tc>
        <w:tc>
          <w:tcPr>
            <w:tcW w:w="240" w:type="dxa"/>
            <w:vAlign w:val="bottom"/>
            <w:shd w:val="clear" w:color="auto" w:fill="1CA8E1"/>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00ABE8"/>
              </w:rPr>
              <w:t>4</w:t>
            </w:r>
          </w:p>
        </w:tc>
        <w:tc>
          <w:tcPr>
            <w:tcW w:w="180" w:type="dxa"/>
            <w:vAlign w:val="bottom"/>
          </w:tcPr>
          <w:p>
            <w:pPr>
              <w:spacing w:after="0"/>
              <w:rPr>
                <w:sz w:val="24"/>
                <w:szCs w:val="24"/>
                <w:color w:val="auto"/>
              </w:rPr>
            </w:pPr>
          </w:p>
        </w:tc>
      </w:tr>
      <w:tr>
        <w:trPr>
          <w:trHeight w:val="284"/>
        </w:trPr>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3"/>
              </w:rPr>
              <w:t>Years:</w:t>
            </w:r>
          </w:p>
        </w:tc>
        <w:tc>
          <w:tcPr>
            <w:tcW w:w="500" w:type="dxa"/>
            <w:vAlign w:val="bottom"/>
            <w:shd w:val="clear" w:color="auto" w:fill="1CA8E1"/>
          </w:tcPr>
          <w:p>
            <w:pPr>
              <w:spacing w:after="0"/>
              <w:rPr>
                <w:sz w:val="24"/>
                <w:szCs w:val="24"/>
                <w:color w:val="auto"/>
              </w:rPr>
            </w:pPr>
          </w:p>
        </w:tc>
        <w:tc>
          <w:tcPr>
            <w:tcW w:w="240" w:type="dxa"/>
            <w:vAlign w:val="bottom"/>
            <w:shd w:val="clear" w:color="auto" w:fill="1CA8E1"/>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00ABE8"/>
              </w:rPr>
              <w:t>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2"/>
        </w:trPr>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6-10</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3"/>
              </w:rPr>
              <w:t>Years:</w:t>
            </w:r>
          </w:p>
        </w:tc>
        <w:tc>
          <w:tcPr>
            <w:tcW w:w="500" w:type="dxa"/>
            <w:vAlign w:val="bottom"/>
            <w:shd w:val="clear" w:color="auto" w:fill="1CA8E1"/>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00ABE8"/>
              </w:rPr>
              <w:t>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6"/>
        </w:trPr>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4"/>
              </w:rPr>
              <w:t>More than 10</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3"/>
              </w:rPr>
              <w:t>Years:</w:t>
            </w:r>
          </w:p>
        </w:tc>
        <w:tc>
          <w:tcPr>
            <w:tcW w:w="1220" w:type="dxa"/>
            <w:vAlign w:val="bottom"/>
            <w:gridSpan w:val="4"/>
            <w:shd w:val="clear" w:color="auto" w:fill="1CA8E1"/>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00ABE8"/>
              </w:rPr>
              <w:t>5</w:t>
            </w:r>
          </w:p>
        </w:tc>
      </w:tr>
    </w:tbl>
    <w:p>
      <w:pPr>
        <w:spacing w:after="0" w:line="186" w:lineRule="exact"/>
        <w:rPr>
          <w:sz w:val="20"/>
          <w:szCs w:val="20"/>
          <w:color w:val="auto"/>
        </w:rPr>
      </w:pPr>
    </w:p>
    <w:p>
      <w:pPr>
        <w:ind w:right="420"/>
        <w:spacing w:after="0" w:line="260" w:lineRule="auto"/>
        <w:rPr>
          <w:sz w:val="20"/>
          <w:szCs w:val="20"/>
          <w:color w:val="auto"/>
        </w:rPr>
      </w:pPr>
      <w:r>
        <w:rPr>
          <w:rFonts w:ascii="Arial" w:cs="Arial" w:eastAsia="Arial" w:hAnsi="Arial"/>
          <w:sz w:val="17"/>
          <w:szCs w:val="17"/>
          <w:b w:val="1"/>
          <w:bCs w:val="1"/>
          <w:color w:val="EE2724"/>
        </w:rPr>
        <w:t xml:space="preserve">Diversity: </w:t>
      </w:r>
      <w:r>
        <w:rPr>
          <w:rFonts w:ascii="Arial" w:cs="Arial" w:eastAsia="Arial" w:hAnsi="Arial"/>
          <w:sz w:val="17"/>
          <w:szCs w:val="17"/>
          <w:color w:val="000000"/>
        </w:rPr>
        <w:t>The board strives to achieve diversity in the broadest sense, including persons diverse in geography, gender, ethnicity, age, and</w:t>
      </w:r>
      <w:r>
        <w:rPr>
          <w:rFonts w:ascii="Arial" w:cs="Arial" w:eastAsia="Arial" w:hAnsi="Arial"/>
          <w:sz w:val="17"/>
          <w:szCs w:val="17"/>
          <w:b w:val="1"/>
          <w:bCs w:val="1"/>
          <w:color w:val="EE2724"/>
        </w:rPr>
        <w:t xml:space="preserve"> </w:t>
      </w:r>
      <w:r>
        <w:rPr>
          <w:rFonts w:ascii="Arial" w:cs="Arial" w:eastAsia="Arial" w:hAnsi="Arial"/>
          <w:sz w:val="17"/>
          <w:szCs w:val="17"/>
          <w:color w:val="000000"/>
        </w:rPr>
        <w:t>experiences. Although the board does not establish specific diversity goals or have a standalone diversity policy, the board's overall diversity is an important consideration in the director selection and nomination process. The Directors and Corporate Governance Committee assesses the effectiveness of board diversity efforts in connection with the annual nomination process as well as in new director searches. The company's 14 directors range in age from 46 to 72 and include five women and four ethnically diverse members.</w:t>
      </w:r>
    </w:p>
    <w:p>
      <w:pPr>
        <w:spacing w:after="0" w:line="157" w:lineRule="exact"/>
        <w:rPr>
          <w:sz w:val="20"/>
          <w:szCs w:val="20"/>
          <w:color w:val="auto"/>
        </w:rPr>
      </w:pPr>
    </w:p>
    <w:p>
      <w:pPr>
        <w:ind w:right="520"/>
        <w:spacing w:after="0" w:line="294" w:lineRule="auto"/>
        <w:rPr>
          <w:sz w:val="20"/>
          <w:szCs w:val="20"/>
          <w:color w:val="auto"/>
        </w:rPr>
      </w:pPr>
      <w:r>
        <w:rPr>
          <w:rFonts w:ascii="Arial" w:cs="Arial" w:eastAsia="Arial" w:hAnsi="Arial"/>
          <w:sz w:val="17"/>
          <w:szCs w:val="17"/>
          <w:b w:val="1"/>
          <w:bCs w:val="1"/>
          <w:color w:val="EE2724"/>
        </w:rPr>
        <w:t xml:space="preserve">Character: </w:t>
      </w:r>
      <w:r>
        <w:rPr>
          <w:rFonts w:ascii="Arial" w:cs="Arial" w:eastAsia="Arial" w:hAnsi="Arial"/>
          <w:sz w:val="17"/>
          <w:szCs w:val="17"/>
          <w:color w:val="000000"/>
        </w:rPr>
        <w:t>Board members should possess the personal attributes necessary to be an effective director, including unquestioned integrity, sound</w:t>
      </w:r>
      <w:r>
        <w:rPr>
          <w:rFonts w:ascii="Arial" w:cs="Arial" w:eastAsia="Arial" w:hAnsi="Arial"/>
          <w:sz w:val="17"/>
          <w:szCs w:val="17"/>
          <w:b w:val="1"/>
          <w:bCs w:val="1"/>
          <w:color w:val="EE2724"/>
        </w:rPr>
        <w:t xml:space="preserve"> </w:t>
      </w:r>
      <w:r>
        <w:rPr>
          <w:rFonts w:ascii="Arial" w:cs="Arial" w:eastAsia="Arial" w:hAnsi="Arial"/>
          <w:sz w:val="17"/>
          <w:szCs w:val="17"/>
          <w:color w:val="000000"/>
        </w:rPr>
        <w:t>judgment, a collaborative spirit, and commitment to the company, our shareholders, and other constituencies.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Refreshment</w:t>
      </w:r>
    </w:p>
    <w:p>
      <w:pPr>
        <w:spacing w:after="0" w:line="2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Directors and Corporate Governance Committee performs periodic assessments of the overall composition and skills of the board in order to ensure that the board and management are actively engaged in succession planning for directors, and that our board reflects the viewpoints, diversity, and expertise necessary to support our complex and evolving business. The Directors and Corporate Governance Committee, with input from all board members, also considers the contributions of the individual directors.</w:t>
      </w:r>
    </w:p>
    <w:p>
      <w:pPr>
        <w:spacing w:after="0" w:line="16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results of these assessments inform the board's recommendations on nominations for directors at the annual meeting each year and help provide us with insight on the types of experiences, skills, and other characteristics we should be seeking for future director candidates. Based on this assessment, the Directors and Corporate Governance Committee has recommended that the directors in the 2019 class be elected at the 2019 annual meeting.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P18</w:t>
      </w:r>
    </w:p>
    <w:p>
      <w:pPr>
        <w:sectPr>
          <w:pgSz w:w="11900" w:h="16838" w:orient="portrait"/>
          <w:cols w:equalWidth="0" w:num="1">
            <w:col w:w="11420"/>
          </w:cols>
          <w:pgMar w:left="240" w:top="557" w:right="239" w:bottom="1440" w:gutter="0" w:footer="0" w:header="0"/>
        </w:sectPr>
      </w:pPr>
    </w:p>
    <w:bookmarkStart w:id="22" w:name="page23"/>
    <w:bookmarkEnd w:id="22"/>
    <w:p>
      <w:pPr>
        <w:jc w:val="both"/>
        <w:ind w:right="280"/>
        <w:spacing w:after="0" w:line="270" w:lineRule="auto"/>
        <w:rPr>
          <w:sz w:val="20"/>
          <w:szCs w:val="20"/>
          <w:color w:val="auto"/>
        </w:rPr>
      </w:pPr>
      <w:r>
        <w:rPr>
          <w:rFonts w:ascii="Arial" w:cs="Arial" w:eastAsia="Arial" w:hAnsi="Arial"/>
          <w:sz w:val="17"/>
          <w:szCs w:val="17"/>
          <w:color w:val="auto"/>
        </w:rPr>
        <w:t>The board delegates the director screening process to the Directors and Corporate Governance Committee, which receives input from other board members. Director candidates are identified from several sources, including executive search firms retained by the committee, incumbent directors, management, and shareholders.</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Directors and Corporate Governance committee employs the same process for evaluating all candidates, including those submitted by shareholders. The committee initially evaluates a candidate based on publicly available information and any additional information supplied by the party recommending the candidate. If the candidate appears to satisfy the selection criteria and the committee’s initial evaluation is favorable, the committee, assisted by management or a search firm, gathers additional data on the candidate’s qualifications, availability, probable level of interest, and any potential conflicts of interest. If the committee’s subsequent evaluation continues to be favorable, the candidate is contacted by the Chairman of the Board and one or more of the independent directors, including the lead independent director, for direct discussions to determine the mutual level of interest in pursuing the candidacy. If these discussions are favorable, the committee recommends that the board nominate the candidate for election by the shareholders (or elects the candidate to fill a vacancy,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Director Compensation</w:t>
      </w:r>
    </w:p>
    <w:p>
      <w:pPr>
        <w:spacing w:after="0" w:line="214" w:lineRule="exact"/>
        <w:rPr>
          <w:sz w:val="20"/>
          <w:szCs w:val="20"/>
          <w:color w:val="auto"/>
        </w:rPr>
      </w:pPr>
    </w:p>
    <w:p>
      <w:pPr>
        <w:ind w:right="780"/>
        <w:spacing w:after="0" w:line="292" w:lineRule="auto"/>
        <w:rPr>
          <w:sz w:val="20"/>
          <w:szCs w:val="20"/>
          <w:color w:val="auto"/>
        </w:rPr>
      </w:pPr>
      <w:r>
        <w:rPr>
          <w:rFonts w:ascii="Arial" w:cs="Arial" w:eastAsia="Arial" w:hAnsi="Arial"/>
          <w:sz w:val="17"/>
          <w:szCs w:val="17"/>
          <w:color w:val="auto"/>
        </w:rPr>
        <w:t>Director compensation is reviewed and approved annually by the board, on the recommendation of the Directors and Corporate Governance Committee. Directors who are employees receive no additional compensation for serving on the board.</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Compensation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retainers and meeting fees for all non-employee directors in effect in 2018.</w:t>
      </w:r>
    </w:p>
    <w:p>
      <w:pPr>
        <w:spacing w:after="0" w:line="128" w:lineRule="exact"/>
        <w:rPr>
          <w:sz w:val="20"/>
          <w:szCs w:val="20"/>
          <w:color w:val="auto"/>
        </w:rPr>
      </w:pPr>
    </w:p>
    <w:tbl>
      <w:tblPr>
        <w:tblLayout w:type="fixed"/>
        <w:tblInd w:w="1340" w:type="dxa"/>
        <w:tblCellMar>
          <w:top w:w="0" w:type="dxa"/>
          <w:left w:w="0" w:type="dxa"/>
          <w:bottom w:w="0" w:type="dxa"/>
          <w:right w:w="0" w:type="dxa"/>
        </w:tblCellMar>
      </w:tblPr>
      <w:tr>
        <w:trPr>
          <w:trHeight w:val="211"/>
        </w:trPr>
        <w:tc>
          <w:tcPr>
            <w:tcW w:w="3380" w:type="dxa"/>
            <w:vAlign w:val="bottom"/>
            <w:tcBorders>
              <w:top w:val="single" w:sz="8" w:color="auto"/>
            </w:tcBorders>
            <w:shd w:val="clear" w:color="auto" w:fill="DDDDDD"/>
          </w:tcPr>
          <w:p>
            <w:pPr>
              <w:jc w:val="center"/>
              <w:ind w:left="82"/>
              <w:spacing w:after="0"/>
              <w:rPr>
                <w:sz w:val="20"/>
                <w:szCs w:val="20"/>
                <w:color w:val="auto"/>
              </w:rPr>
            </w:pPr>
            <w:r>
              <w:rPr>
                <w:rFonts w:ascii="Arial" w:cs="Arial" w:eastAsia="Arial" w:hAnsi="Arial"/>
                <w:sz w:val="16"/>
                <w:szCs w:val="16"/>
                <w:b w:val="1"/>
                <w:bCs w:val="1"/>
                <w:color w:val="EE2724"/>
              </w:rPr>
              <w:t>Board Retainers</w:t>
            </w:r>
          </w:p>
        </w:tc>
        <w:tc>
          <w:tcPr>
            <w:tcW w:w="1020" w:type="dxa"/>
            <w:vAlign w:val="bottom"/>
            <w:tcBorders>
              <w:top w:val="single" w:sz="8" w:color="auto"/>
            </w:tcBorders>
            <w:shd w:val="clear" w:color="auto" w:fill="DDDDDD"/>
          </w:tcPr>
          <w:p>
            <w:pPr>
              <w:spacing w:after="0"/>
              <w:rPr>
                <w:sz w:val="18"/>
                <w:szCs w:val="18"/>
                <w:color w:val="auto"/>
              </w:rPr>
            </w:pPr>
          </w:p>
        </w:tc>
        <w:tc>
          <w:tcPr>
            <w:tcW w:w="3740" w:type="dxa"/>
            <w:vAlign w:val="bottom"/>
            <w:tcBorders>
              <w:top w:val="single" w:sz="8" w:color="auto"/>
            </w:tcBorders>
            <w:shd w:val="clear" w:color="auto" w:fill="DDDDDD"/>
          </w:tcPr>
          <w:p>
            <w:pPr>
              <w:ind w:left="1420"/>
              <w:spacing w:after="0"/>
              <w:rPr>
                <w:sz w:val="20"/>
                <w:szCs w:val="20"/>
                <w:color w:val="auto"/>
              </w:rPr>
            </w:pPr>
            <w:r>
              <w:rPr>
                <w:rFonts w:ascii="Arial" w:cs="Arial" w:eastAsia="Arial" w:hAnsi="Arial"/>
                <w:sz w:val="16"/>
                <w:szCs w:val="16"/>
                <w:b w:val="1"/>
                <w:bCs w:val="1"/>
                <w:color w:val="EE2724"/>
              </w:rPr>
              <w:t>Committee Retainers</w:t>
            </w:r>
          </w:p>
        </w:tc>
        <w:tc>
          <w:tcPr>
            <w:tcW w:w="620" w:type="dxa"/>
            <w:vAlign w:val="bottom"/>
            <w:tcBorders>
              <w:top w:val="single" w:sz="8" w:color="auto"/>
            </w:tcBorders>
            <w:shd w:val="clear" w:color="auto" w:fill="DDDDDD"/>
          </w:tcPr>
          <w:p>
            <w:pPr>
              <w:spacing w:after="0"/>
              <w:rPr>
                <w:sz w:val="18"/>
                <w:szCs w:val="18"/>
                <w:color w:val="auto"/>
              </w:rPr>
            </w:pPr>
          </w:p>
        </w:tc>
      </w:tr>
      <w:tr>
        <w:trPr>
          <w:trHeight w:val="234"/>
        </w:trPr>
        <w:tc>
          <w:tcPr>
            <w:tcW w:w="3380" w:type="dxa"/>
            <w:vAlign w:val="bottom"/>
            <w:shd w:val="clear" w:color="auto" w:fill="DDDDDD"/>
          </w:tcPr>
          <w:p>
            <w:pPr>
              <w:jc w:val="center"/>
              <w:ind w:left="62"/>
              <w:spacing w:after="0"/>
              <w:rPr>
                <w:sz w:val="20"/>
                <w:szCs w:val="20"/>
                <w:color w:val="auto"/>
              </w:rPr>
            </w:pPr>
            <w:r>
              <w:rPr>
                <w:rFonts w:ascii="Arial" w:cs="Arial" w:eastAsia="Arial" w:hAnsi="Arial"/>
                <w:sz w:val="16"/>
                <w:szCs w:val="16"/>
                <w:color w:val="auto"/>
              </w:rPr>
              <w:t>(annual, paid in monthly installments)</w:t>
            </w:r>
          </w:p>
        </w:tc>
        <w:tc>
          <w:tcPr>
            <w:tcW w:w="1020" w:type="dxa"/>
            <w:vAlign w:val="bottom"/>
            <w:shd w:val="clear" w:color="auto" w:fill="DDDDDD"/>
          </w:tcPr>
          <w:p>
            <w:pPr>
              <w:spacing w:after="0"/>
              <w:rPr>
                <w:sz w:val="20"/>
                <w:szCs w:val="20"/>
                <w:color w:val="auto"/>
              </w:rPr>
            </w:pPr>
          </w:p>
        </w:tc>
        <w:tc>
          <w:tcPr>
            <w:tcW w:w="3740" w:type="dxa"/>
            <w:vAlign w:val="bottom"/>
            <w:shd w:val="clear" w:color="auto" w:fill="DDDDDD"/>
          </w:tcPr>
          <w:p>
            <w:pPr>
              <w:ind w:left="920"/>
              <w:spacing w:after="0"/>
              <w:rPr>
                <w:sz w:val="20"/>
                <w:szCs w:val="20"/>
                <w:color w:val="auto"/>
              </w:rPr>
            </w:pPr>
            <w:r>
              <w:rPr>
                <w:rFonts w:ascii="Arial" w:cs="Arial" w:eastAsia="Arial" w:hAnsi="Arial"/>
                <w:sz w:val="16"/>
                <w:szCs w:val="16"/>
                <w:color w:val="auto"/>
              </w:rPr>
              <w:t>(annual, paid in monthly installments)</w:t>
            </w:r>
          </w:p>
        </w:tc>
        <w:tc>
          <w:tcPr>
            <w:tcW w:w="620" w:type="dxa"/>
            <w:vAlign w:val="bottom"/>
            <w:shd w:val="clear" w:color="auto" w:fill="DDDDDD"/>
          </w:tcPr>
          <w:p>
            <w:pPr>
              <w:spacing w:after="0"/>
              <w:rPr>
                <w:sz w:val="20"/>
                <w:szCs w:val="20"/>
                <w:color w:val="auto"/>
              </w:rPr>
            </w:pPr>
          </w:p>
        </w:tc>
      </w:tr>
      <w:tr>
        <w:trPr>
          <w:trHeight w:val="311"/>
        </w:trPr>
        <w:tc>
          <w:tcPr>
            <w:tcW w:w="3380" w:type="dxa"/>
            <w:vAlign w:val="bottom"/>
          </w:tcPr>
          <w:p>
            <w:pPr>
              <w:ind w:left="20"/>
              <w:spacing w:after="0"/>
              <w:rPr>
                <w:sz w:val="20"/>
                <w:szCs w:val="20"/>
                <w:color w:val="auto"/>
              </w:rPr>
            </w:pPr>
            <w:r>
              <w:rPr>
                <w:rFonts w:ascii="Arial" w:cs="Arial" w:eastAsia="Arial" w:hAnsi="Arial"/>
                <w:sz w:val="14"/>
                <w:szCs w:val="14"/>
                <w:color w:val="auto"/>
              </w:rPr>
              <w:t>Annual Board Retainer</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$110,000</w:t>
            </w:r>
          </w:p>
        </w:tc>
        <w:tc>
          <w:tcPr>
            <w:tcW w:w="3740" w:type="dxa"/>
            <w:vAlign w:val="bottom"/>
          </w:tcPr>
          <w:p>
            <w:pPr>
              <w:ind w:left="180"/>
              <w:spacing w:after="0"/>
              <w:rPr>
                <w:sz w:val="20"/>
                <w:szCs w:val="20"/>
                <w:color w:val="auto"/>
              </w:rPr>
            </w:pPr>
            <w:r>
              <w:rPr>
                <w:rFonts w:ascii="Arial" w:cs="Arial" w:eastAsia="Arial" w:hAnsi="Arial"/>
                <w:sz w:val="14"/>
                <w:szCs w:val="14"/>
                <w:color w:val="auto"/>
              </w:rPr>
              <w:t>Audit Committee; Science and Technology</w:t>
            </w:r>
          </w:p>
        </w:tc>
        <w:tc>
          <w:tcPr>
            <w:tcW w:w="620" w:type="dxa"/>
            <w:vAlign w:val="bottom"/>
          </w:tcPr>
          <w:p>
            <w:pPr>
              <w:jc w:val="right"/>
              <w:spacing w:after="0"/>
              <w:rPr>
                <w:sz w:val="20"/>
                <w:szCs w:val="20"/>
                <w:color w:val="auto"/>
              </w:rPr>
            </w:pPr>
            <w:r>
              <w:rPr>
                <w:rFonts w:ascii="Arial" w:cs="Arial" w:eastAsia="Arial" w:hAnsi="Arial"/>
                <w:sz w:val="14"/>
                <w:szCs w:val="14"/>
                <w:color w:val="auto"/>
              </w:rPr>
              <w:t>$6,000</w:t>
            </w:r>
          </w:p>
        </w:tc>
      </w:tr>
      <w:tr>
        <w:trPr>
          <w:trHeight w:val="198"/>
        </w:trPr>
        <w:tc>
          <w:tcPr>
            <w:tcW w:w="3380" w:type="dxa"/>
            <w:vAlign w:val="bottom"/>
            <w:tcBorders>
              <w:bottom w:val="single" w:sz="8" w:color="828282"/>
            </w:tcBorders>
          </w:tcPr>
          <w:p>
            <w:pPr>
              <w:spacing w:after="0"/>
              <w:rPr>
                <w:sz w:val="17"/>
                <w:szCs w:val="17"/>
                <w:color w:val="auto"/>
              </w:rPr>
            </w:pPr>
          </w:p>
        </w:tc>
        <w:tc>
          <w:tcPr>
            <w:tcW w:w="1020" w:type="dxa"/>
            <w:vAlign w:val="bottom"/>
            <w:tcBorders>
              <w:bottom w:val="single" w:sz="8" w:color="828282"/>
            </w:tcBorders>
          </w:tcPr>
          <w:p>
            <w:pPr>
              <w:spacing w:after="0"/>
              <w:rPr>
                <w:sz w:val="17"/>
                <w:szCs w:val="17"/>
                <w:color w:val="auto"/>
              </w:rPr>
            </w:pPr>
          </w:p>
        </w:tc>
        <w:tc>
          <w:tcPr>
            <w:tcW w:w="3740" w:type="dxa"/>
            <w:vAlign w:val="bottom"/>
            <w:tcBorders>
              <w:bottom w:val="single" w:sz="8" w:color="828282"/>
            </w:tcBorders>
          </w:tcPr>
          <w:p>
            <w:pPr>
              <w:ind w:left="180"/>
              <w:spacing w:after="0"/>
              <w:rPr>
                <w:sz w:val="20"/>
                <w:szCs w:val="20"/>
                <w:color w:val="auto"/>
              </w:rPr>
            </w:pPr>
            <w:r>
              <w:rPr>
                <w:rFonts w:ascii="Arial" w:cs="Arial" w:eastAsia="Arial" w:hAnsi="Arial"/>
                <w:sz w:val="14"/>
                <w:szCs w:val="14"/>
                <w:color w:val="auto"/>
              </w:rPr>
              <w:t>Committee members (including the chairs)</w:t>
            </w:r>
          </w:p>
        </w:tc>
        <w:tc>
          <w:tcPr>
            <w:tcW w:w="620" w:type="dxa"/>
            <w:vAlign w:val="bottom"/>
            <w:tcBorders>
              <w:bottom w:val="single" w:sz="8" w:color="828282"/>
            </w:tcBorders>
          </w:tcPr>
          <w:p>
            <w:pPr>
              <w:spacing w:after="0"/>
              <w:rPr>
                <w:sz w:val="17"/>
                <w:szCs w:val="17"/>
                <w:color w:val="auto"/>
              </w:rPr>
            </w:pPr>
          </w:p>
        </w:tc>
      </w:tr>
    </w:tbl>
    <w:p>
      <w:pPr>
        <w:spacing w:after="0" w:line="149" w:lineRule="exact"/>
        <w:rPr>
          <w:sz w:val="20"/>
          <w:szCs w:val="20"/>
          <w:color w:val="auto"/>
        </w:rPr>
      </w:pPr>
    </w:p>
    <w:p>
      <w:pPr>
        <w:sectPr>
          <w:pgSz w:w="11900" w:h="16838" w:orient="portrait"/>
          <w:cols w:equalWidth="0" w:num="1">
            <w:col w:w="11400"/>
          </w:cols>
          <w:pgMar w:left="240" w:top="557" w:right="259" w:bottom="1440" w:gutter="0" w:footer="0" w:header="0"/>
        </w:sectPr>
      </w:pPr>
    </w:p>
    <w:p>
      <w:pPr>
        <w:ind w:left="1360"/>
        <w:spacing w:after="0"/>
        <w:rPr>
          <w:sz w:val="20"/>
          <w:szCs w:val="20"/>
          <w:color w:val="auto"/>
        </w:rPr>
      </w:pPr>
      <w:r>
        <w:rPr>
          <w:rFonts w:ascii="Arial" w:cs="Arial" w:eastAsia="Arial" w:hAnsi="Arial"/>
          <w:sz w:val="14"/>
          <w:szCs w:val="14"/>
          <w:color w:val="auto"/>
        </w:rPr>
        <w:t>Annual Retainers (in addition to annual board</w:t>
      </w:r>
    </w:p>
    <w:p>
      <w:pPr>
        <w:spacing w:after="0" w:line="19"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retainer):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3480" w:type="dxa"/>
            <w:vAlign w:val="bottom"/>
          </w:tcPr>
          <w:p>
            <w:pPr>
              <w:spacing w:after="0"/>
              <w:rPr>
                <w:sz w:val="20"/>
                <w:szCs w:val="20"/>
                <w:color w:val="auto"/>
              </w:rPr>
            </w:pPr>
            <w:r>
              <w:rPr>
                <w:rFonts w:ascii="Arial" w:cs="Arial" w:eastAsia="Arial" w:hAnsi="Arial"/>
                <w:sz w:val="14"/>
                <w:szCs w:val="14"/>
                <w:color w:val="auto"/>
              </w:rPr>
              <w:t>Compensation Committee; Directors and Corporate</w:t>
            </w:r>
          </w:p>
        </w:tc>
        <w:tc>
          <w:tcPr>
            <w:tcW w:w="660" w:type="dxa"/>
            <w:vAlign w:val="bottom"/>
          </w:tcPr>
          <w:p>
            <w:pPr>
              <w:jc w:val="right"/>
              <w:spacing w:after="0"/>
              <w:rPr>
                <w:sz w:val="20"/>
                <w:szCs w:val="20"/>
                <w:color w:val="auto"/>
              </w:rPr>
            </w:pPr>
            <w:r>
              <w:rPr>
                <w:rFonts w:ascii="Arial" w:cs="Arial" w:eastAsia="Arial" w:hAnsi="Arial"/>
                <w:sz w:val="14"/>
                <w:szCs w:val="14"/>
                <w:color w:val="auto"/>
              </w:rPr>
              <w:t>$3,000</w:t>
            </w:r>
          </w:p>
        </w:tc>
      </w:tr>
    </w:tbl>
    <w:p>
      <w:pPr>
        <w:spacing w:after="0"/>
        <w:rPr>
          <w:sz w:val="20"/>
          <w:szCs w:val="20"/>
          <w:color w:val="auto"/>
        </w:rPr>
      </w:pPr>
      <w:r>
        <w:rPr>
          <w:rFonts w:ascii="Arial" w:cs="Arial" w:eastAsia="Arial" w:hAnsi="Arial"/>
          <w:sz w:val="14"/>
          <w:szCs w:val="14"/>
          <w:color w:val="auto"/>
        </w:rPr>
        <w:t>Governance Committee; Finance Committee; Public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Policy and Compliance Committee members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(including the chairs)</w:t>
      </w:r>
    </w:p>
    <w:p>
      <w:pPr>
        <w:spacing w:after="0" w:line="37" w:lineRule="exact"/>
        <w:rPr>
          <w:sz w:val="20"/>
          <w:szCs w:val="20"/>
          <w:color w:val="auto"/>
        </w:rPr>
      </w:pPr>
    </w:p>
    <w:p>
      <w:pPr>
        <w:sectPr>
          <w:pgSz w:w="11900" w:h="16838" w:orient="portrait"/>
          <w:cols w:equalWidth="0" w:num="2">
            <w:col w:w="5200" w:space="720"/>
            <w:col w:w="5480"/>
          </w:cols>
          <w:pgMar w:left="240" w:top="557" w:right="259" w:bottom="1440" w:gutter="0" w:footer="0" w:header="0"/>
          <w:type w:val="continuous"/>
        </w:sectPr>
      </w:pPr>
    </w:p>
    <w:tbl>
      <w:tblPr>
        <w:tblLayout w:type="fixed"/>
        <w:tblInd w:w="1640" w:type="dxa"/>
        <w:tblCellMar>
          <w:top w:w="0" w:type="dxa"/>
          <w:left w:w="0" w:type="dxa"/>
          <w:bottom w:w="0" w:type="dxa"/>
          <w:right w:w="0" w:type="dxa"/>
        </w:tblCellMar>
      </w:tblP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Lead Independent Director</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$35,000</w:t>
            </w:r>
          </w:p>
        </w:tc>
        <w:tc>
          <w:tcPr>
            <w:tcW w:w="3320" w:type="dxa"/>
            <w:vAlign w:val="bottom"/>
          </w:tcPr>
          <w:p>
            <w:pPr>
              <w:ind w:left="180"/>
              <w:spacing w:after="0"/>
              <w:rPr>
                <w:sz w:val="20"/>
                <w:szCs w:val="20"/>
                <w:color w:val="auto"/>
              </w:rPr>
            </w:pPr>
            <w:r>
              <w:rPr>
                <w:rFonts w:ascii="Arial" w:cs="Arial" w:eastAsia="Arial" w:hAnsi="Arial"/>
                <w:sz w:val="14"/>
                <w:szCs w:val="14"/>
                <w:color w:val="auto"/>
              </w:rPr>
              <w:t>Audit Committee Chair</w:t>
            </w:r>
          </w:p>
        </w:tc>
        <w:tc>
          <w:tcPr>
            <w:tcW w:w="1000" w:type="dxa"/>
            <w:vAlign w:val="bottom"/>
          </w:tcPr>
          <w:p>
            <w:pPr>
              <w:jc w:val="right"/>
              <w:spacing w:after="0"/>
              <w:rPr>
                <w:sz w:val="20"/>
                <w:szCs w:val="20"/>
                <w:color w:val="auto"/>
              </w:rPr>
            </w:pPr>
            <w:r>
              <w:rPr>
                <w:rFonts w:ascii="Arial" w:cs="Arial" w:eastAsia="Arial" w:hAnsi="Arial"/>
                <w:sz w:val="14"/>
                <w:szCs w:val="14"/>
                <w:color w:val="auto"/>
              </w:rPr>
              <w:t>$18,000</w:t>
            </w:r>
          </w:p>
        </w:tc>
      </w:tr>
      <w:tr>
        <w:trPr>
          <w:trHeight w:val="256"/>
        </w:trPr>
        <w:tc>
          <w:tcPr>
            <w:tcW w:w="3200" w:type="dxa"/>
            <w:vAlign w:val="bottom"/>
          </w:tcPr>
          <w:p>
            <w:pPr>
              <w:spacing w:after="0"/>
              <w:rPr>
                <w:sz w:val="20"/>
                <w:szCs w:val="20"/>
                <w:color w:val="auto"/>
              </w:rPr>
            </w:pPr>
            <w:r>
              <w:rPr>
                <w:rFonts w:ascii="Arial" w:cs="Arial" w:eastAsia="Arial" w:hAnsi="Arial"/>
                <w:sz w:val="14"/>
                <w:szCs w:val="14"/>
                <w:color w:val="auto"/>
              </w:rPr>
              <w:t>Compensation Committee Chair; Directors and</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$12,000</w:t>
            </w:r>
          </w:p>
        </w:tc>
        <w:tc>
          <w:tcPr>
            <w:tcW w:w="3320" w:type="dxa"/>
            <w:vAlign w:val="bottom"/>
          </w:tcPr>
          <w:p>
            <w:pPr>
              <w:ind w:left="180"/>
              <w:spacing w:after="0"/>
              <w:rPr>
                <w:sz w:val="20"/>
                <w:szCs w:val="20"/>
                <w:color w:val="auto"/>
              </w:rPr>
            </w:pPr>
            <w:r>
              <w:rPr>
                <w:rFonts w:ascii="Arial" w:cs="Arial" w:eastAsia="Arial" w:hAnsi="Arial"/>
                <w:sz w:val="14"/>
                <w:szCs w:val="14"/>
                <w:color w:val="auto"/>
              </w:rPr>
              <w:t>Science and Technology Committee Chair</w:t>
            </w:r>
          </w:p>
        </w:tc>
        <w:tc>
          <w:tcPr>
            <w:tcW w:w="1000" w:type="dxa"/>
            <w:vAlign w:val="bottom"/>
          </w:tcPr>
          <w:p>
            <w:pPr>
              <w:jc w:val="right"/>
              <w:spacing w:after="0"/>
              <w:rPr>
                <w:sz w:val="20"/>
                <w:szCs w:val="20"/>
                <w:color w:val="auto"/>
              </w:rPr>
            </w:pPr>
            <w:r>
              <w:rPr>
                <w:rFonts w:ascii="Arial" w:cs="Arial" w:eastAsia="Arial" w:hAnsi="Arial"/>
                <w:sz w:val="14"/>
                <w:szCs w:val="14"/>
                <w:color w:val="auto"/>
              </w:rPr>
              <w:t>$15,000</w:t>
            </w:r>
          </w:p>
        </w:tc>
      </w:tr>
    </w:tbl>
    <w:p>
      <w:pPr>
        <w:ind w:left="1640"/>
        <w:spacing w:after="0"/>
        <w:rPr>
          <w:sz w:val="20"/>
          <w:szCs w:val="20"/>
          <w:color w:val="auto"/>
        </w:rPr>
      </w:pPr>
      <w:r>
        <w:rPr>
          <w:rFonts w:ascii="Arial" w:cs="Arial" w:eastAsia="Arial" w:hAnsi="Arial"/>
          <w:sz w:val="14"/>
          <w:szCs w:val="14"/>
          <w:color w:val="auto"/>
        </w:rPr>
        <w:t>Corporate Governance Committee Chair; Finance</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Committee Chair; Public Policy and Compliance</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Committee Chair</w:t>
      </w:r>
    </w:p>
    <w:p>
      <w:pPr>
        <w:spacing w:after="0" w:line="198" w:lineRule="exact"/>
        <w:rPr>
          <w:sz w:val="20"/>
          <w:szCs w:val="20"/>
          <w:color w:val="auto"/>
        </w:rPr>
      </w:pPr>
    </w:p>
    <w:p>
      <w:pPr>
        <w:ind w:right="500"/>
        <w:spacing w:after="0" w:line="292" w:lineRule="auto"/>
        <w:rPr>
          <w:sz w:val="20"/>
          <w:szCs w:val="20"/>
          <w:color w:val="auto"/>
        </w:rPr>
      </w:pPr>
      <w:r>
        <w:rPr>
          <w:rFonts w:ascii="Arial" w:cs="Arial" w:eastAsia="Arial" w:hAnsi="Arial"/>
          <w:sz w:val="17"/>
          <w:szCs w:val="17"/>
          <w:color w:val="auto"/>
        </w:rPr>
        <w:t>Directors are reimbursed for customary and usual travel expenses in connection with their travel to and from board meetings and other company events. Directors may also receive additional cash compensation for serving on ad hoc committees that may be formed from time to time.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Compensation</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Directors are required to hold meaningful equity ownership positions in the company, and may not sell the equity compensation they earn as a director until after leaving the board. A significant portion of director compensation is in the form of deferred Lilly stock payable after they leave the board. Directors are required to hold Lilly stock, directly or through company plans, valued at not less than five times their annual board retainer; new directors are allowed five years to reach this ownership level. All directors serving at least five years have satisfied these guidelines, and all other directors are making progress toward these requirements.</w:t>
      </w:r>
    </w:p>
    <w:p>
      <w:pPr>
        <w:spacing w:after="0" w:line="167" w:lineRule="exact"/>
        <w:rPr>
          <w:sz w:val="20"/>
          <w:szCs w:val="20"/>
          <w:color w:val="auto"/>
        </w:rPr>
      </w:pPr>
    </w:p>
    <w:p>
      <w:pPr>
        <w:jc w:val="both"/>
        <w:ind w:right="220"/>
        <w:spacing w:after="0" w:line="270" w:lineRule="auto"/>
        <w:rPr>
          <w:sz w:val="20"/>
          <w:szCs w:val="20"/>
          <w:color w:val="auto"/>
        </w:rPr>
      </w:pPr>
      <w:r>
        <w:rPr>
          <w:rFonts w:ascii="Arial" w:cs="Arial" w:eastAsia="Arial" w:hAnsi="Arial"/>
          <w:sz w:val="17"/>
          <w:szCs w:val="17"/>
          <w:color w:val="auto"/>
        </w:rPr>
        <w:t>In 2018, non-employee directors received $175,000 of equity compensation (but no more than 7,500 shares), deposited annually in a deferred stock account in the Lilly Directors’ Deferral Plan (as described below). This award is prorated for time served and payable beginning the second January following the director's departure from board service.</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Compensation Cap for Directors</w:t>
      </w:r>
    </w:p>
    <w:p>
      <w:pPr>
        <w:spacing w:after="0" w:line="2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2018, the board approved a cap to the total annual compensation (cash and equity compensation) for non-employee directors of $800,000. The cap is intended to avoid excessive director compensation and is included in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P19</w:t>
      </w:r>
    </w:p>
    <w:p>
      <w:pPr>
        <w:sectPr>
          <w:pgSz w:w="11900" w:h="16838" w:orient="portrait"/>
          <w:cols w:equalWidth="0" w:num="1">
            <w:col w:w="11400"/>
          </w:cols>
          <w:pgMar w:left="240" w:top="557" w:right="259" w:bottom="1440" w:gutter="0" w:footer="0" w:header="0"/>
          <w:type w:val="continuous"/>
        </w:sectPr>
      </w:pPr>
    </w:p>
    <w:bookmarkStart w:id="23" w:name="page24"/>
    <w:bookmarkEnd w:id="23"/>
    <w:p>
      <w:pPr>
        <w:ind w:right="120"/>
        <w:spacing w:after="0" w:line="292" w:lineRule="auto"/>
        <w:rPr>
          <w:sz w:val="20"/>
          <w:szCs w:val="20"/>
          <w:color w:val="auto"/>
        </w:rPr>
      </w:pPr>
      <w:r>
        <w:rPr>
          <w:rFonts w:ascii="Arial" w:cs="Arial" w:eastAsia="Arial" w:hAnsi="Arial"/>
          <w:sz w:val="17"/>
          <w:szCs w:val="17"/>
          <w:color w:val="auto"/>
        </w:rPr>
        <w:t>both our Directors' Deferral Plan and in the Amended and Restated 2002 Lilly Stock Plan approved by shareholders at the 2018 annual shareholders' meeting.</w:t>
      </w:r>
    </w:p>
    <w:p>
      <w:pPr>
        <w:spacing w:after="0" w:line="129" w:lineRule="exact"/>
        <w:rPr>
          <w:sz w:val="20"/>
          <w:szCs w:val="20"/>
          <w:color w:val="auto"/>
        </w:rPr>
      </w:pPr>
    </w:p>
    <w:p>
      <w:pPr>
        <w:ind w:right="100"/>
        <w:spacing w:after="0" w:line="276" w:lineRule="auto"/>
        <w:rPr>
          <w:sz w:val="20"/>
          <w:szCs w:val="20"/>
          <w:color w:val="auto"/>
        </w:rPr>
      </w:pPr>
      <w:r>
        <w:rPr>
          <w:rFonts w:ascii="Arial" w:cs="Arial" w:eastAsia="Arial" w:hAnsi="Arial"/>
          <w:sz w:val="20"/>
          <w:szCs w:val="20"/>
          <w:b w:val="1"/>
          <w:bCs w:val="1"/>
          <w:color w:val="auto"/>
        </w:rPr>
        <w:t xml:space="preserve">Lilly Directors’ Deferral Plan: </w:t>
      </w:r>
      <w:r>
        <w:rPr>
          <w:rFonts w:ascii="Arial" w:cs="Arial" w:eastAsia="Arial" w:hAnsi="Arial"/>
          <w:sz w:val="17"/>
          <w:szCs w:val="17"/>
          <w:color w:val="auto"/>
        </w:rPr>
        <w:t>The Lilly Directors' Deferral Plan allows non-employee directors to defer receipt of all or part of their cash</w:t>
      </w:r>
      <w:r>
        <w:rPr>
          <w:rFonts w:ascii="Arial" w:cs="Arial" w:eastAsia="Arial" w:hAnsi="Arial"/>
          <w:sz w:val="20"/>
          <w:szCs w:val="20"/>
          <w:b w:val="1"/>
          <w:bCs w:val="1"/>
          <w:color w:val="auto"/>
        </w:rPr>
        <w:t xml:space="preserve"> </w:t>
      </w:r>
      <w:r>
        <w:rPr>
          <w:rFonts w:ascii="Arial" w:cs="Arial" w:eastAsia="Arial" w:hAnsi="Arial"/>
          <w:sz w:val="17"/>
          <w:szCs w:val="17"/>
          <w:color w:val="auto"/>
        </w:rPr>
        <w:t>compensation until after their service on the board has ended. Each director can choose to invest the amounts deferred in one or both of the following two accounts:</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color w:val="EE2724"/>
        </w:rPr>
        <w:t xml:space="preserve">Deferred Stock Account. </w:t>
      </w:r>
      <w:r>
        <w:rPr>
          <w:rFonts w:ascii="Arial" w:cs="Arial" w:eastAsia="Arial" w:hAnsi="Arial"/>
          <w:sz w:val="17"/>
          <w:szCs w:val="17"/>
          <w:color w:val="000000"/>
        </w:rPr>
        <w:t>This account allows the director, in effect, to invest his or her deferred cash compensation in company stock. Funds in this</w:t>
      </w:r>
      <w:r>
        <w:rPr>
          <w:rFonts w:ascii="Arial" w:cs="Arial" w:eastAsia="Arial" w:hAnsi="Arial"/>
          <w:sz w:val="17"/>
          <w:szCs w:val="17"/>
          <w:b w:val="1"/>
          <w:bCs w:val="1"/>
          <w:color w:val="EE2724"/>
        </w:rPr>
        <w:t xml:space="preserve"> </w:t>
      </w:r>
      <w:r>
        <w:rPr>
          <w:rFonts w:ascii="Arial" w:cs="Arial" w:eastAsia="Arial" w:hAnsi="Arial"/>
          <w:sz w:val="17"/>
          <w:szCs w:val="17"/>
          <w:color w:val="000000"/>
        </w:rPr>
        <w:t>account are credited as hypothetical shares of company stock based on the closing stock price on pre-set monthly dates. In addition, the annual stock compensation award as described above is also credited to this account. The number of shares credited is calculated by dividing the $175,000 annual compensation figure by the closing stock price on a pre-set annual date. Hypothetical dividends are “reinvested” in additional shares based on the market price of the stock on the date dividends are paid. Actual shares are issued on the second January following the director's departure from board service.</w:t>
      </w:r>
    </w:p>
    <w:p>
      <w:pPr>
        <w:spacing w:after="0" w:line="162"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b w:val="1"/>
          <w:bCs w:val="1"/>
          <w:color w:val="EE2724"/>
        </w:rPr>
        <w:t xml:space="preserve">Deferred Compensation Account. </w:t>
      </w:r>
      <w:r>
        <w:rPr>
          <w:rFonts w:ascii="Arial" w:cs="Arial" w:eastAsia="Arial" w:hAnsi="Arial"/>
          <w:sz w:val="17"/>
          <w:szCs w:val="17"/>
          <w:color w:val="000000"/>
        </w:rPr>
        <w:t>Funds in this account earn interest each year at a rate of 120 percent of the applicable federal long-term rate,</w:t>
      </w:r>
      <w:r>
        <w:rPr>
          <w:rFonts w:ascii="Arial" w:cs="Arial" w:eastAsia="Arial" w:hAnsi="Arial"/>
          <w:sz w:val="17"/>
          <w:szCs w:val="17"/>
          <w:b w:val="1"/>
          <w:bCs w:val="1"/>
          <w:color w:val="EE2724"/>
        </w:rPr>
        <w:t xml:space="preserve"> </w:t>
      </w:r>
      <w:r>
        <w:rPr>
          <w:rFonts w:ascii="Arial" w:cs="Arial" w:eastAsia="Arial" w:hAnsi="Arial"/>
          <w:sz w:val="17"/>
          <w:szCs w:val="17"/>
          <w:color w:val="000000"/>
        </w:rPr>
        <w:t>compounded monthly, as established the preceding December by the U.S. Treasury Department under Section 1274(d) of the Internal Revenue Code of 1986 (the Internal Revenue Code). The aggregate amount of interest that accrued in 2018 for the participating directors was $143,381, at a rate of 3.1 percent. The rate for 2019 is 3.9 percent.</w:t>
      </w:r>
    </w:p>
    <w:p>
      <w:pPr>
        <w:spacing w:after="0" w:line="158" w:lineRule="exact"/>
        <w:rPr>
          <w:sz w:val="20"/>
          <w:szCs w:val="20"/>
          <w:color w:val="auto"/>
        </w:rPr>
      </w:pPr>
    </w:p>
    <w:p>
      <w:pPr>
        <w:ind w:right="180"/>
        <w:spacing w:after="0" w:line="292" w:lineRule="auto"/>
        <w:rPr>
          <w:sz w:val="20"/>
          <w:szCs w:val="20"/>
          <w:color w:val="auto"/>
        </w:rPr>
      </w:pPr>
      <w:r>
        <w:rPr>
          <w:rFonts w:ascii="Arial" w:cs="Arial" w:eastAsia="Arial" w:hAnsi="Arial"/>
          <w:sz w:val="17"/>
          <w:szCs w:val="17"/>
          <w:color w:val="auto"/>
        </w:rPr>
        <w:t>Both accounts may generally only be paid out in a lump sum or in annual installments for up to 10 years, beginning the second January following the director’s departure from board service. Amounts in the deferred stock account are paid in shares of company stock.</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Compensation for Non-Employee Directors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20" w:type="dxa"/>
            <w:vAlign w:val="bottom"/>
            <w:shd w:val="clear" w:color="auto" w:fill="C8C9CB"/>
          </w:tcPr>
          <w:p>
            <w:pPr>
              <w:spacing w:after="0"/>
              <w:rPr>
                <w:sz w:val="17"/>
                <w:szCs w:val="17"/>
                <w:color w:val="auto"/>
              </w:rPr>
            </w:pPr>
          </w:p>
        </w:tc>
        <w:tc>
          <w:tcPr>
            <w:tcW w:w="2040" w:type="dxa"/>
            <w:vAlign w:val="bottom"/>
            <w:shd w:val="clear" w:color="auto" w:fill="C8C9CB"/>
          </w:tcPr>
          <w:p>
            <w:pPr>
              <w:jc w:val="center"/>
              <w:ind w:left="290"/>
              <w:spacing w:after="0"/>
              <w:rPr>
                <w:sz w:val="20"/>
                <w:szCs w:val="20"/>
                <w:color w:val="auto"/>
              </w:rPr>
            </w:pPr>
            <w:r>
              <w:rPr>
                <w:rFonts w:ascii="Arial" w:cs="Arial" w:eastAsia="Arial" w:hAnsi="Arial"/>
                <w:sz w:val="16"/>
                <w:szCs w:val="16"/>
                <w:b w:val="1"/>
                <w:bCs w:val="1"/>
                <w:color w:val="00ABE8"/>
              </w:rPr>
              <w:t>Fees Earned</w:t>
            </w:r>
          </w:p>
        </w:tc>
        <w:tc>
          <w:tcPr>
            <w:tcW w:w="1660" w:type="dxa"/>
            <w:vAlign w:val="bottom"/>
            <w:shd w:val="clear" w:color="auto" w:fill="C8C9CB"/>
          </w:tcPr>
          <w:p>
            <w:pPr>
              <w:spacing w:after="0"/>
              <w:rPr>
                <w:sz w:val="17"/>
                <w:szCs w:val="17"/>
                <w:color w:val="auto"/>
              </w:rPr>
            </w:pPr>
          </w:p>
        </w:tc>
        <w:tc>
          <w:tcPr>
            <w:tcW w:w="1560" w:type="dxa"/>
            <w:vAlign w:val="bottom"/>
            <w:vMerge w:val="restart"/>
            <w:shd w:val="clear" w:color="auto" w:fill="C8C9CB"/>
          </w:tcPr>
          <w:p>
            <w:pPr>
              <w:jc w:val="center"/>
              <w:ind w:right="148"/>
              <w:spacing w:after="0"/>
              <w:rPr>
                <w:sz w:val="20"/>
                <w:szCs w:val="20"/>
                <w:color w:val="auto"/>
              </w:rPr>
            </w:pPr>
            <w:r>
              <w:rPr>
                <w:rFonts w:ascii="Arial" w:cs="Arial" w:eastAsia="Arial" w:hAnsi="Arial"/>
                <w:sz w:val="14"/>
                <w:szCs w:val="14"/>
                <w:b w:val="1"/>
                <w:bCs w:val="1"/>
                <w:color w:val="00ABE8"/>
              </w:rPr>
              <w:t>All Other</w:t>
            </w:r>
          </w:p>
        </w:tc>
        <w:tc>
          <w:tcPr>
            <w:tcW w:w="1300" w:type="dxa"/>
            <w:vAlign w:val="bottom"/>
            <w:shd w:val="clear" w:color="auto" w:fill="C8C9CB"/>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1420" w:type="dxa"/>
            <w:vAlign w:val="bottom"/>
            <w:shd w:val="clear" w:color="auto" w:fill="C8C9CB"/>
          </w:tcPr>
          <w:p>
            <w:pPr>
              <w:spacing w:after="0"/>
              <w:rPr>
                <w:sz w:val="5"/>
                <w:szCs w:val="5"/>
                <w:color w:val="auto"/>
              </w:rPr>
            </w:pPr>
          </w:p>
        </w:tc>
        <w:tc>
          <w:tcPr>
            <w:tcW w:w="2040" w:type="dxa"/>
            <w:vAlign w:val="bottom"/>
            <w:vMerge w:val="restart"/>
            <w:shd w:val="clear" w:color="auto" w:fill="C8C9CB"/>
          </w:tcPr>
          <w:p>
            <w:pPr>
              <w:jc w:val="center"/>
              <w:ind w:left="310"/>
              <w:spacing w:after="0"/>
              <w:rPr>
                <w:sz w:val="20"/>
                <w:szCs w:val="20"/>
                <w:color w:val="auto"/>
              </w:rPr>
            </w:pPr>
            <w:r>
              <w:rPr>
                <w:rFonts w:ascii="Arial" w:cs="Arial" w:eastAsia="Arial" w:hAnsi="Arial"/>
                <w:sz w:val="16"/>
                <w:szCs w:val="16"/>
                <w:b w:val="1"/>
                <w:bCs w:val="1"/>
                <w:color w:val="00ABE8"/>
              </w:rPr>
              <w:t>or Paid in Cash</w:t>
            </w:r>
          </w:p>
        </w:tc>
        <w:tc>
          <w:tcPr>
            <w:tcW w:w="1660" w:type="dxa"/>
            <w:vAlign w:val="bottom"/>
            <w:shd w:val="clear" w:color="auto" w:fill="C8C9CB"/>
          </w:tcPr>
          <w:p>
            <w:pPr>
              <w:spacing w:after="0"/>
              <w:rPr>
                <w:sz w:val="5"/>
                <w:szCs w:val="5"/>
                <w:color w:val="auto"/>
              </w:rPr>
            </w:pPr>
          </w:p>
        </w:tc>
        <w:tc>
          <w:tcPr>
            <w:tcW w:w="1560" w:type="dxa"/>
            <w:vAlign w:val="bottom"/>
            <w:vMerge w:val="continue"/>
            <w:shd w:val="clear" w:color="auto" w:fill="C8C9CB"/>
          </w:tcPr>
          <w:p>
            <w:pPr>
              <w:spacing w:after="0"/>
              <w:rPr>
                <w:sz w:val="5"/>
                <w:szCs w:val="5"/>
                <w:color w:val="auto"/>
              </w:rPr>
            </w:pPr>
          </w:p>
        </w:tc>
        <w:tc>
          <w:tcPr>
            <w:tcW w:w="1300" w:type="dxa"/>
            <w:vAlign w:val="bottom"/>
            <w:shd w:val="clear" w:color="auto" w:fill="C8C9CB"/>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420" w:type="dxa"/>
            <w:vAlign w:val="bottom"/>
            <w:vMerge w:val="restart"/>
            <w:shd w:val="clear" w:color="auto" w:fill="C8C9CB"/>
          </w:tcPr>
          <w:p>
            <w:pPr>
              <w:ind w:left="40"/>
              <w:spacing w:after="0"/>
              <w:rPr>
                <w:sz w:val="20"/>
                <w:szCs w:val="20"/>
                <w:color w:val="auto"/>
              </w:rPr>
            </w:pPr>
            <w:r>
              <w:rPr>
                <w:rFonts w:ascii="Arial" w:cs="Arial" w:eastAsia="Arial" w:hAnsi="Arial"/>
                <w:sz w:val="16"/>
                <w:szCs w:val="16"/>
                <w:b w:val="1"/>
                <w:bCs w:val="1"/>
                <w:color w:val="00ABE8"/>
              </w:rPr>
              <w:t>Name</w:t>
            </w:r>
          </w:p>
        </w:tc>
        <w:tc>
          <w:tcPr>
            <w:tcW w:w="2040" w:type="dxa"/>
            <w:vAlign w:val="bottom"/>
            <w:vMerge w:val="continue"/>
            <w:shd w:val="clear" w:color="auto" w:fill="C8C9CB"/>
          </w:tcPr>
          <w:p>
            <w:pPr>
              <w:spacing w:after="0"/>
              <w:rPr>
                <w:sz w:val="13"/>
                <w:szCs w:val="13"/>
                <w:color w:val="auto"/>
              </w:rPr>
            </w:pPr>
          </w:p>
        </w:tc>
        <w:tc>
          <w:tcPr>
            <w:tcW w:w="1660" w:type="dxa"/>
            <w:vAlign w:val="bottom"/>
            <w:vMerge w:val="restart"/>
            <w:shd w:val="clear" w:color="auto" w:fill="C8C9CB"/>
          </w:tcPr>
          <w:p>
            <w:pPr>
              <w:jc w:val="right"/>
              <w:spacing w:after="0"/>
              <w:rPr>
                <w:sz w:val="20"/>
                <w:szCs w:val="20"/>
                <w:color w:val="auto"/>
              </w:rPr>
            </w:pPr>
            <w:r>
              <w:rPr>
                <w:rFonts w:ascii="Arial" w:cs="Arial" w:eastAsia="Arial" w:hAnsi="Arial"/>
                <w:sz w:val="16"/>
                <w:szCs w:val="16"/>
                <w:b w:val="1"/>
                <w:bCs w:val="1"/>
                <w:color w:val="00ABE8"/>
              </w:rPr>
              <w:t>Stock Awards ($)</w:t>
            </w:r>
            <w:r>
              <w:rPr>
                <w:rFonts w:ascii="Arial" w:cs="Arial" w:eastAsia="Arial" w:hAnsi="Arial"/>
                <w:sz w:val="27"/>
                <w:szCs w:val="27"/>
                <w:b w:val="1"/>
                <w:bCs w:val="1"/>
                <w:color w:val="00ABE8"/>
                <w:vertAlign w:val="superscript"/>
              </w:rPr>
              <w:t>1</w:t>
            </w:r>
          </w:p>
        </w:tc>
        <w:tc>
          <w:tcPr>
            <w:tcW w:w="1560" w:type="dxa"/>
            <w:vAlign w:val="bottom"/>
            <w:shd w:val="clear" w:color="auto" w:fill="C8C9CB"/>
          </w:tcPr>
          <w:p>
            <w:pPr>
              <w:jc w:val="center"/>
              <w:ind w:right="168"/>
              <w:spacing w:after="0" w:line="151" w:lineRule="exact"/>
              <w:rPr>
                <w:sz w:val="20"/>
                <w:szCs w:val="20"/>
                <w:color w:val="auto"/>
              </w:rPr>
            </w:pPr>
            <w:r>
              <w:rPr>
                <w:rFonts w:ascii="Arial" w:cs="Arial" w:eastAsia="Arial" w:hAnsi="Arial"/>
                <w:sz w:val="14"/>
                <w:szCs w:val="14"/>
                <w:b w:val="1"/>
                <w:bCs w:val="1"/>
                <w:color w:val="00ABE8"/>
              </w:rPr>
              <w:t>Compensation</w:t>
            </w:r>
          </w:p>
        </w:tc>
        <w:tc>
          <w:tcPr>
            <w:tcW w:w="1300" w:type="dxa"/>
            <w:vAlign w:val="bottom"/>
            <w:vMerge w:val="restart"/>
            <w:shd w:val="clear" w:color="auto" w:fill="C8C9CB"/>
          </w:tcPr>
          <w:p>
            <w:pPr>
              <w:jc w:val="right"/>
              <w:ind w:right="307"/>
              <w:spacing w:after="0"/>
              <w:rPr>
                <w:sz w:val="20"/>
                <w:szCs w:val="20"/>
                <w:color w:val="auto"/>
              </w:rPr>
            </w:pPr>
            <w:r>
              <w:rPr>
                <w:rFonts w:ascii="Arial" w:cs="Arial" w:eastAsia="Arial" w:hAnsi="Arial"/>
                <w:sz w:val="16"/>
                <w:szCs w:val="16"/>
                <w:b w:val="1"/>
                <w:bCs w:val="1"/>
                <w:color w:val="00ABE8"/>
              </w:rPr>
              <w:t>Total ($)</w:t>
            </w:r>
            <w:r>
              <w:rPr>
                <w:rFonts w:ascii="Arial" w:cs="Arial" w:eastAsia="Arial" w:hAnsi="Arial"/>
                <w:sz w:val="27"/>
                <w:szCs w:val="27"/>
                <w:b w:val="1"/>
                <w:bCs w:val="1"/>
                <w:color w:val="00ABE8"/>
                <w:vertAlign w:val="superscript"/>
              </w:rPr>
              <w:t>3</w:t>
            </w:r>
          </w:p>
        </w:tc>
        <w:tc>
          <w:tcPr>
            <w:tcW w:w="0" w:type="dxa"/>
            <w:vAlign w:val="bottom"/>
          </w:tcPr>
          <w:p>
            <w:pPr>
              <w:spacing w:after="0"/>
              <w:rPr>
                <w:sz w:val="1"/>
                <w:szCs w:val="1"/>
                <w:color w:val="auto"/>
              </w:rPr>
            </w:pPr>
          </w:p>
        </w:tc>
      </w:tr>
      <w:tr>
        <w:trPr>
          <w:trHeight w:val="216"/>
        </w:trPr>
        <w:tc>
          <w:tcPr>
            <w:tcW w:w="1420" w:type="dxa"/>
            <w:vAlign w:val="bottom"/>
            <w:vMerge w:val="continue"/>
            <w:shd w:val="clear" w:color="auto" w:fill="C8C9CB"/>
          </w:tcPr>
          <w:p>
            <w:pPr>
              <w:spacing w:after="0"/>
              <w:rPr>
                <w:sz w:val="18"/>
                <w:szCs w:val="18"/>
                <w:color w:val="auto"/>
              </w:rPr>
            </w:pPr>
          </w:p>
        </w:tc>
        <w:tc>
          <w:tcPr>
            <w:tcW w:w="2040" w:type="dxa"/>
            <w:vAlign w:val="bottom"/>
            <w:shd w:val="clear" w:color="auto" w:fill="C8C9CB"/>
          </w:tcPr>
          <w:p>
            <w:pPr>
              <w:jc w:val="center"/>
              <w:ind w:left="290"/>
              <w:spacing w:after="0"/>
              <w:rPr>
                <w:sz w:val="20"/>
                <w:szCs w:val="20"/>
                <w:color w:val="auto"/>
              </w:rPr>
            </w:pPr>
            <w:r>
              <w:rPr>
                <w:rFonts w:ascii="Arial" w:cs="Arial" w:eastAsia="Arial" w:hAnsi="Arial"/>
                <w:sz w:val="16"/>
                <w:szCs w:val="16"/>
                <w:b w:val="1"/>
                <w:bCs w:val="1"/>
                <w:color w:val="00ABE8"/>
              </w:rPr>
              <w:t>($)</w:t>
            </w:r>
          </w:p>
        </w:tc>
        <w:tc>
          <w:tcPr>
            <w:tcW w:w="1660" w:type="dxa"/>
            <w:vAlign w:val="bottom"/>
            <w:vMerge w:val="continue"/>
            <w:shd w:val="clear" w:color="auto" w:fill="C8C9CB"/>
          </w:tcPr>
          <w:p>
            <w:pPr>
              <w:spacing w:after="0"/>
              <w:rPr>
                <w:sz w:val="18"/>
                <w:szCs w:val="18"/>
                <w:color w:val="auto"/>
              </w:rPr>
            </w:pPr>
          </w:p>
        </w:tc>
        <w:tc>
          <w:tcPr>
            <w:tcW w:w="1560" w:type="dxa"/>
            <w:vAlign w:val="bottom"/>
            <w:shd w:val="clear" w:color="auto" w:fill="C8C9CB"/>
          </w:tcPr>
          <w:p>
            <w:pPr>
              <w:jc w:val="center"/>
              <w:ind w:right="108"/>
              <w:spacing w:after="0" w:line="216" w:lineRule="exact"/>
              <w:rPr>
                <w:sz w:val="20"/>
                <w:szCs w:val="20"/>
                <w:color w:val="auto"/>
              </w:rPr>
            </w:pPr>
            <w:r>
              <w:rPr>
                <w:rFonts w:ascii="Arial" w:cs="Arial" w:eastAsia="Arial" w:hAnsi="Arial"/>
                <w:sz w:val="14"/>
                <w:szCs w:val="14"/>
                <w:b w:val="1"/>
                <w:bCs w:val="1"/>
                <w:color w:val="00ABE8"/>
              </w:rPr>
              <w:t>and Payments ($)</w:t>
            </w:r>
            <w:r>
              <w:rPr>
                <w:rFonts w:ascii="Arial" w:cs="Arial" w:eastAsia="Arial" w:hAnsi="Arial"/>
                <w:sz w:val="23"/>
                <w:szCs w:val="23"/>
                <w:b w:val="1"/>
                <w:bCs w:val="1"/>
                <w:color w:val="00ABE8"/>
                <w:vertAlign w:val="superscript"/>
              </w:rPr>
              <w:t>2</w:t>
            </w:r>
          </w:p>
        </w:tc>
        <w:tc>
          <w:tcPr>
            <w:tcW w:w="1300" w:type="dxa"/>
            <w:vAlign w:val="bottom"/>
            <w:vMerge w:val="continue"/>
            <w:shd w:val="clear" w:color="auto" w:fill="C8C9CB"/>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420" w:type="dxa"/>
            <w:vAlign w:val="bottom"/>
          </w:tcPr>
          <w:p>
            <w:pPr>
              <w:ind w:left="40"/>
              <w:spacing w:after="0"/>
              <w:rPr>
                <w:sz w:val="20"/>
                <w:szCs w:val="20"/>
                <w:color w:val="auto"/>
              </w:rPr>
            </w:pPr>
            <w:r>
              <w:rPr>
                <w:rFonts w:ascii="Arial" w:cs="Arial" w:eastAsia="Arial" w:hAnsi="Arial"/>
                <w:sz w:val="14"/>
                <w:szCs w:val="14"/>
                <w:color w:val="auto"/>
              </w:rPr>
              <w:t>Mr. Alvarez</w:t>
            </w:r>
          </w:p>
        </w:tc>
        <w:tc>
          <w:tcPr>
            <w:tcW w:w="2040" w:type="dxa"/>
            <w:vAlign w:val="bottom"/>
          </w:tcPr>
          <w:p>
            <w:pPr>
              <w:jc w:val="right"/>
              <w:ind w:right="150"/>
              <w:spacing w:after="0"/>
              <w:rPr>
                <w:sz w:val="20"/>
                <w:szCs w:val="20"/>
                <w:color w:val="auto"/>
              </w:rPr>
            </w:pPr>
            <w:r>
              <w:rPr>
                <w:rFonts w:ascii="Arial" w:cs="Arial" w:eastAsia="Arial" w:hAnsi="Arial"/>
                <w:sz w:val="14"/>
                <w:szCs w:val="14"/>
                <w:color w:val="auto"/>
              </w:rPr>
              <w:t>$131,000</w:t>
            </w:r>
          </w:p>
        </w:tc>
        <w:tc>
          <w:tcPr>
            <w:tcW w:w="1660" w:type="dxa"/>
            <w:vAlign w:val="bottom"/>
          </w:tcPr>
          <w:p>
            <w:pPr>
              <w:jc w:val="right"/>
              <w:ind w:right="347"/>
              <w:spacing w:after="0"/>
              <w:rPr>
                <w:sz w:val="20"/>
                <w:szCs w:val="20"/>
                <w:color w:val="auto"/>
              </w:rPr>
            </w:pPr>
            <w:r>
              <w:rPr>
                <w:rFonts w:ascii="Arial" w:cs="Arial" w:eastAsia="Arial" w:hAnsi="Arial"/>
                <w:sz w:val="14"/>
                <w:szCs w:val="14"/>
                <w:color w:val="auto"/>
              </w:rPr>
              <w:t>$175,000</w:t>
            </w:r>
          </w:p>
        </w:tc>
        <w:tc>
          <w:tcPr>
            <w:tcW w:w="1560" w:type="dxa"/>
            <w:vAlign w:val="bottom"/>
          </w:tcPr>
          <w:p>
            <w:pPr>
              <w:spacing w:after="0"/>
              <w:rPr>
                <w:sz w:val="22"/>
                <w:szCs w:val="22"/>
                <w:color w:val="auto"/>
              </w:rPr>
            </w:pPr>
          </w:p>
        </w:tc>
        <w:tc>
          <w:tcPr>
            <w:tcW w:w="1300" w:type="dxa"/>
            <w:vAlign w:val="bottom"/>
          </w:tcPr>
          <w:p>
            <w:pPr>
              <w:jc w:val="right"/>
              <w:ind w:right="307"/>
              <w:spacing w:after="0"/>
              <w:rPr>
                <w:sz w:val="20"/>
                <w:szCs w:val="20"/>
                <w:color w:val="auto"/>
              </w:rPr>
            </w:pPr>
            <w:r>
              <w:rPr>
                <w:rFonts w:ascii="Arial" w:cs="Arial" w:eastAsia="Arial" w:hAnsi="Arial"/>
                <w:sz w:val="14"/>
                <w:szCs w:val="14"/>
                <w:color w:val="auto"/>
              </w:rPr>
              <w:t>$306,000</w:t>
            </w:r>
          </w:p>
        </w:tc>
        <w:tc>
          <w:tcPr>
            <w:tcW w:w="0" w:type="dxa"/>
            <w:vAlign w:val="bottom"/>
          </w:tcPr>
          <w:p>
            <w:pPr>
              <w:spacing w:after="0"/>
              <w:rPr>
                <w:sz w:val="1"/>
                <w:szCs w:val="1"/>
                <w:color w:val="auto"/>
              </w:rPr>
            </w:pPr>
          </w:p>
        </w:tc>
      </w:tr>
      <w:tr>
        <w:trPr>
          <w:trHeight w:val="270"/>
        </w:trPr>
        <w:tc>
          <w:tcPr>
            <w:tcW w:w="1420" w:type="dxa"/>
            <w:vAlign w:val="bottom"/>
          </w:tcPr>
          <w:p>
            <w:pPr>
              <w:ind w:left="40"/>
              <w:spacing w:after="0"/>
              <w:rPr>
                <w:sz w:val="20"/>
                <w:szCs w:val="20"/>
                <w:color w:val="auto"/>
              </w:rPr>
            </w:pPr>
            <w:r>
              <w:rPr>
                <w:rFonts w:ascii="Arial" w:cs="Arial" w:eastAsia="Arial" w:hAnsi="Arial"/>
                <w:sz w:val="14"/>
                <w:szCs w:val="14"/>
                <w:color w:val="auto"/>
              </w:rPr>
              <w:t>Dr. Baicker</w:t>
            </w:r>
          </w:p>
        </w:tc>
        <w:tc>
          <w:tcPr>
            <w:tcW w:w="2040" w:type="dxa"/>
            <w:vAlign w:val="bottom"/>
          </w:tcPr>
          <w:p>
            <w:pPr>
              <w:jc w:val="right"/>
              <w:ind w:right="150"/>
              <w:spacing w:after="0"/>
              <w:rPr>
                <w:sz w:val="20"/>
                <w:szCs w:val="20"/>
                <w:color w:val="auto"/>
              </w:rPr>
            </w:pPr>
            <w:r>
              <w:rPr>
                <w:rFonts w:ascii="Arial" w:cs="Arial" w:eastAsia="Arial" w:hAnsi="Arial"/>
                <w:sz w:val="14"/>
                <w:szCs w:val="14"/>
                <w:color w:val="auto"/>
              </w:rPr>
              <w:t>$127,000</w:t>
            </w:r>
          </w:p>
        </w:tc>
        <w:tc>
          <w:tcPr>
            <w:tcW w:w="1660" w:type="dxa"/>
            <w:vAlign w:val="bottom"/>
          </w:tcPr>
          <w:p>
            <w:pPr>
              <w:jc w:val="right"/>
              <w:ind w:right="347"/>
              <w:spacing w:after="0"/>
              <w:rPr>
                <w:sz w:val="20"/>
                <w:szCs w:val="20"/>
                <w:color w:val="auto"/>
              </w:rPr>
            </w:pPr>
            <w:r>
              <w:rPr>
                <w:rFonts w:ascii="Arial" w:cs="Arial" w:eastAsia="Arial" w:hAnsi="Arial"/>
                <w:sz w:val="14"/>
                <w:szCs w:val="14"/>
                <w:color w:val="auto"/>
              </w:rPr>
              <w:t>$175,000</w:t>
            </w:r>
          </w:p>
        </w:tc>
        <w:tc>
          <w:tcPr>
            <w:tcW w:w="1560" w:type="dxa"/>
            <w:vAlign w:val="bottom"/>
          </w:tcPr>
          <w:p>
            <w:pPr>
              <w:spacing w:after="0"/>
              <w:rPr>
                <w:sz w:val="23"/>
                <w:szCs w:val="23"/>
                <w:color w:val="auto"/>
              </w:rPr>
            </w:pPr>
          </w:p>
        </w:tc>
        <w:tc>
          <w:tcPr>
            <w:tcW w:w="1300" w:type="dxa"/>
            <w:vAlign w:val="bottom"/>
          </w:tcPr>
          <w:p>
            <w:pPr>
              <w:jc w:val="right"/>
              <w:ind w:right="307"/>
              <w:spacing w:after="0"/>
              <w:rPr>
                <w:sz w:val="20"/>
                <w:szCs w:val="20"/>
                <w:color w:val="auto"/>
              </w:rPr>
            </w:pPr>
            <w:r>
              <w:rPr>
                <w:rFonts w:ascii="Arial" w:cs="Arial" w:eastAsia="Arial" w:hAnsi="Arial"/>
                <w:sz w:val="14"/>
                <w:szCs w:val="14"/>
                <w:color w:val="auto"/>
              </w:rPr>
              <w:t>$302,000</w:t>
            </w:r>
          </w:p>
        </w:tc>
        <w:tc>
          <w:tcPr>
            <w:tcW w:w="0" w:type="dxa"/>
            <w:vAlign w:val="bottom"/>
          </w:tcPr>
          <w:p>
            <w:pPr>
              <w:spacing w:after="0"/>
              <w:rPr>
                <w:sz w:val="1"/>
                <w:szCs w:val="1"/>
                <w:color w:val="auto"/>
              </w:rPr>
            </w:pPr>
          </w:p>
        </w:tc>
      </w:tr>
      <w:tr>
        <w:trPr>
          <w:trHeight w:val="270"/>
        </w:trPr>
        <w:tc>
          <w:tcPr>
            <w:tcW w:w="1420" w:type="dxa"/>
            <w:vAlign w:val="bottom"/>
          </w:tcPr>
          <w:p>
            <w:pPr>
              <w:ind w:left="40"/>
              <w:spacing w:after="0"/>
              <w:rPr>
                <w:sz w:val="20"/>
                <w:szCs w:val="20"/>
                <w:color w:val="auto"/>
              </w:rPr>
            </w:pPr>
            <w:r>
              <w:rPr>
                <w:rFonts w:ascii="Arial" w:cs="Arial" w:eastAsia="Arial" w:hAnsi="Arial"/>
                <w:sz w:val="14"/>
                <w:szCs w:val="14"/>
                <w:color w:val="auto"/>
              </w:rPr>
              <w:t>Dr. Bertozzi</w:t>
            </w:r>
          </w:p>
        </w:tc>
        <w:tc>
          <w:tcPr>
            <w:tcW w:w="2040" w:type="dxa"/>
            <w:vAlign w:val="bottom"/>
          </w:tcPr>
          <w:p>
            <w:pPr>
              <w:jc w:val="right"/>
              <w:ind w:right="150"/>
              <w:spacing w:after="0"/>
              <w:rPr>
                <w:sz w:val="20"/>
                <w:szCs w:val="20"/>
                <w:color w:val="auto"/>
              </w:rPr>
            </w:pPr>
            <w:r>
              <w:rPr>
                <w:rFonts w:ascii="Arial" w:cs="Arial" w:eastAsia="Arial" w:hAnsi="Arial"/>
                <w:sz w:val="14"/>
                <w:szCs w:val="14"/>
                <w:color w:val="auto"/>
              </w:rPr>
              <w:t>$119,000</w:t>
            </w:r>
          </w:p>
        </w:tc>
        <w:tc>
          <w:tcPr>
            <w:tcW w:w="1660" w:type="dxa"/>
            <w:vAlign w:val="bottom"/>
          </w:tcPr>
          <w:p>
            <w:pPr>
              <w:jc w:val="right"/>
              <w:ind w:right="347"/>
              <w:spacing w:after="0"/>
              <w:rPr>
                <w:sz w:val="20"/>
                <w:szCs w:val="20"/>
                <w:color w:val="auto"/>
              </w:rPr>
            </w:pPr>
            <w:r>
              <w:rPr>
                <w:rFonts w:ascii="Arial" w:cs="Arial" w:eastAsia="Arial" w:hAnsi="Arial"/>
                <w:sz w:val="14"/>
                <w:szCs w:val="14"/>
                <w:color w:val="auto"/>
              </w:rPr>
              <w:t>$175,000</w:t>
            </w:r>
          </w:p>
        </w:tc>
        <w:tc>
          <w:tcPr>
            <w:tcW w:w="1560" w:type="dxa"/>
            <w:vAlign w:val="bottom"/>
          </w:tcPr>
          <w:p>
            <w:pPr>
              <w:spacing w:after="0"/>
              <w:rPr>
                <w:sz w:val="23"/>
                <w:szCs w:val="23"/>
                <w:color w:val="auto"/>
              </w:rPr>
            </w:pPr>
          </w:p>
        </w:tc>
        <w:tc>
          <w:tcPr>
            <w:tcW w:w="1300" w:type="dxa"/>
            <w:vAlign w:val="bottom"/>
          </w:tcPr>
          <w:p>
            <w:pPr>
              <w:jc w:val="right"/>
              <w:ind w:right="307"/>
              <w:spacing w:after="0"/>
              <w:rPr>
                <w:sz w:val="20"/>
                <w:szCs w:val="20"/>
                <w:color w:val="auto"/>
              </w:rPr>
            </w:pPr>
            <w:r>
              <w:rPr>
                <w:rFonts w:ascii="Arial" w:cs="Arial" w:eastAsia="Arial" w:hAnsi="Arial"/>
                <w:sz w:val="14"/>
                <w:szCs w:val="14"/>
                <w:color w:val="auto"/>
              </w:rPr>
              <w:t>$294,000</w:t>
            </w:r>
          </w:p>
        </w:tc>
        <w:tc>
          <w:tcPr>
            <w:tcW w:w="0" w:type="dxa"/>
            <w:vAlign w:val="bottom"/>
          </w:tcPr>
          <w:p>
            <w:pPr>
              <w:spacing w:after="0"/>
              <w:rPr>
                <w:sz w:val="1"/>
                <w:szCs w:val="1"/>
                <w:color w:val="auto"/>
              </w:rPr>
            </w:pPr>
          </w:p>
        </w:tc>
      </w:tr>
      <w:tr>
        <w:trPr>
          <w:trHeight w:val="270"/>
        </w:trPr>
        <w:tc>
          <w:tcPr>
            <w:tcW w:w="1420" w:type="dxa"/>
            <w:vAlign w:val="bottom"/>
          </w:tcPr>
          <w:p>
            <w:pPr>
              <w:ind w:left="40"/>
              <w:spacing w:after="0"/>
              <w:rPr>
                <w:sz w:val="20"/>
                <w:szCs w:val="20"/>
                <w:color w:val="auto"/>
              </w:rPr>
            </w:pPr>
            <w:r>
              <w:rPr>
                <w:rFonts w:ascii="Arial" w:cs="Arial" w:eastAsia="Arial" w:hAnsi="Arial"/>
                <w:sz w:val="14"/>
                <w:szCs w:val="14"/>
                <w:color w:val="auto"/>
              </w:rPr>
              <w:t>Mr. Eskew</w:t>
            </w:r>
          </w:p>
        </w:tc>
        <w:tc>
          <w:tcPr>
            <w:tcW w:w="2040" w:type="dxa"/>
            <w:vAlign w:val="bottom"/>
          </w:tcPr>
          <w:p>
            <w:pPr>
              <w:jc w:val="right"/>
              <w:ind w:right="150"/>
              <w:spacing w:after="0"/>
              <w:rPr>
                <w:sz w:val="20"/>
                <w:szCs w:val="20"/>
                <w:color w:val="auto"/>
              </w:rPr>
            </w:pPr>
            <w:r>
              <w:rPr>
                <w:rFonts w:ascii="Arial" w:cs="Arial" w:eastAsia="Arial" w:hAnsi="Arial"/>
                <w:sz w:val="14"/>
                <w:szCs w:val="14"/>
                <w:color w:val="auto"/>
              </w:rPr>
              <w:t>$140,000</w:t>
            </w:r>
          </w:p>
        </w:tc>
        <w:tc>
          <w:tcPr>
            <w:tcW w:w="1660" w:type="dxa"/>
            <w:vAlign w:val="bottom"/>
          </w:tcPr>
          <w:p>
            <w:pPr>
              <w:jc w:val="right"/>
              <w:ind w:right="347"/>
              <w:spacing w:after="0"/>
              <w:rPr>
                <w:sz w:val="20"/>
                <w:szCs w:val="20"/>
                <w:color w:val="auto"/>
              </w:rPr>
            </w:pPr>
            <w:r>
              <w:rPr>
                <w:rFonts w:ascii="Arial" w:cs="Arial" w:eastAsia="Arial" w:hAnsi="Arial"/>
                <w:sz w:val="14"/>
                <w:szCs w:val="14"/>
                <w:color w:val="auto"/>
              </w:rPr>
              <w:t>$175,000</w:t>
            </w:r>
          </w:p>
        </w:tc>
        <w:tc>
          <w:tcPr>
            <w:tcW w:w="1560" w:type="dxa"/>
            <w:vAlign w:val="bottom"/>
          </w:tcPr>
          <w:p>
            <w:pPr>
              <w:spacing w:after="0"/>
              <w:rPr>
                <w:sz w:val="23"/>
                <w:szCs w:val="23"/>
                <w:color w:val="auto"/>
              </w:rPr>
            </w:pPr>
          </w:p>
        </w:tc>
        <w:tc>
          <w:tcPr>
            <w:tcW w:w="1300" w:type="dxa"/>
            <w:vAlign w:val="bottom"/>
          </w:tcPr>
          <w:p>
            <w:pPr>
              <w:jc w:val="right"/>
              <w:ind w:right="307"/>
              <w:spacing w:after="0"/>
              <w:rPr>
                <w:sz w:val="20"/>
                <w:szCs w:val="20"/>
                <w:color w:val="auto"/>
              </w:rPr>
            </w:pPr>
            <w:r>
              <w:rPr>
                <w:rFonts w:ascii="Arial" w:cs="Arial" w:eastAsia="Arial" w:hAnsi="Arial"/>
                <w:sz w:val="14"/>
                <w:szCs w:val="14"/>
                <w:color w:val="auto"/>
              </w:rPr>
              <w:t>$315,000</w:t>
            </w:r>
          </w:p>
        </w:tc>
        <w:tc>
          <w:tcPr>
            <w:tcW w:w="0" w:type="dxa"/>
            <w:vAlign w:val="bottom"/>
          </w:tcPr>
          <w:p>
            <w:pPr>
              <w:spacing w:after="0"/>
              <w:rPr>
                <w:sz w:val="1"/>
                <w:szCs w:val="1"/>
                <w:color w:val="auto"/>
              </w:rPr>
            </w:pPr>
          </w:p>
        </w:tc>
      </w:tr>
      <w:tr>
        <w:trPr>
          <w:trHeight w:val="270"/>
        </w:trPr>
        <w:tc>
          <w:tcPr>
            <w:tcW w:w="1420" w:type="dxa"/>
            <w:vAlign w:val="bottom"/>
          </w:tcPr>
          <w:p>
            <w:pPr>
              <w:ind w:left="40"/>
              <w:spacing w:after="0"/>
              <w:rPr>
                <w:sz w:val="20"/>
                <w:szCs w:val="20"/>
                <w:color w:val="auto"/>
              </w:rPr>
            </w:pPr>
            <w:r>
              <w:rPr>
                <w:rFonts w:ascii="Arial" w:cs="Arial" w:eastAsia="Arial" w:hAnsi="Arial"/>
                <w:sz w:val="14"/>
                <w:szCs w:val="14"/>
                <w:color w:val="auto"/>
              </w:rPr>
              <w:t>Mr. Fyrwald</w:t>
            </w:r>
          </w:p>
        </w:tc>
        <w:tc>
          <w:tcPr>
            <w:tcW w:w="2040" w:type="dxa"/>
            <w:vAlign w:val="bottom"/>
          </w:tcPr>
          <w:p>
            <w:pPr>
              <w:jc w:val="right"/>
              <w:ind w:right="150"/>
              <w:spacing w:after="0"/>
              <w:rPr>
                <w:sz w:val="20"/>
                <w:szCs w:val="20"/>
                <w:color w:val="auto"/>
              </w:rPr>
            </w:pPr>
            <w:r>
              <w:rPr>
                <w:rFonts w:ascii="Arial" w:cs="Arial" w:eastAsia="Arial" w:hAnsi="Arial"/>
                <w:sz w:val="14"/>
                <w:szCs w:val="14"/>
                <w:color w:val="auto"/>
              </w:rPr>
              <w:t>$123,000</w:t>
            </w:r>
          </w:p>
        </w:tc>
        <w:tc>
          <w:tcPr>
            <w:tcW w:w="1660" w:type="dxa"/>
            <w:vAlign w:val="bottom"/>
          </w:tcPr>
          <w:p>
            <w:pPr>
              <w:jc w:val="right"/>
              <w:ind w:right="347"/>
              <w:spacing w:after="0"/>
              <w:rPr>
                <w:sz w:val="20"/>
                <w:szCs w:val="20"/>
                <w:color w:val="auto"/>
              </w:rPr>
            </w:pPr>
            <w:r>
              <w:rPr>
                <w:rFonts w:ascii="Arial" w:cs="Arial" w:eastAsia="Arial" w:hAnsi="Arial"/>
                <w:sz w:val="14"/>
                <w:szCs w:val="14"/>
                <w:color w:val="auto"/>
              </w:rPr>
              <w:t>$175,000</w:t>
            </w:r>
          </w:p>
        </w:tc>
        <w:tc>
          <w:tcPr>
            <w:tcW w:w="1560" w:type="dxa"/>
            <w:vAlign w:val="bottom"/>
          </w:tcPr>
          <w:p>
            <w:pPr>
              <w:spacing w:after="0"/>
              <w:rPr>
                <w:sz w:val="23"/>
                <w:szCs w:val="23"/>
                <w:color w:val="auto"/>
              </w:rPr>
            </w:pPr>
          </w:p>
        </w:tc>
        <w:tc>
          <w:tcPr>
            <w:tcW w:w="1300" w:type="dxa"/>
            <w:vAlign w:val="bottom"/>
          </w:tcPr>
          <w:p>
            <w:pPr>
              <w:jc w:val="right"/>
              <w:ind w:right="307"/>
              <w:spacing w:after="0"/>
              <w:rPr>
                <w:sz w:val="20"/>
                <w:szCs w:val="20"/>
                <w:color w:val="auto"/>
              </w:rPr>
            </w:pPr>
            <w:r>
              <w:rPr>
                <w:rFonts w:ascii="Arial" w:cs="Arial" w:eastAsia="Arial" w:hAnsi="Arial"/>
                <w:sz w:val="14"/>
                <w:szCs w:val="14"/>
                <w:color w:val="auto"/>
              </w:rPr>
              <w:t>$298,000</w:t>
            </w:r>
          </w:p>
        </w:tc>
        <w:tc>
          <w:tcPr>
            <w:tcW w:w="0" w:type="dxa"/>
            <w:vAlign w:val="bottom"/>
          </w:tcPr>
          <w:p>
            <w:pPr>
              <w:spacing w:after="0"/>
              <w:rPr>
                <w:sz w:val="1"/>
                <w:szCs w:val="1"/>
                <w:color w:val="auto"/>
              </w:rPr>
            </w:pPr>
          </w:p>
        </w:tc>
      </w:tr>
      <w:tr>
        <w:trPr>
          <w:trHeight w:val="270"/>
        </w:trPr>
        <w:tc>
          <w:tcPr>
            <w:tcW w:w="1420" w:type="dxa"/>
            <w:vAlign w:val="bottom"/>
          </w:tcPr>
          <w:p>
            <w:pPr>
              <w:ind w:left="40"/>
              <w:spacing w:after="0"/>
              <w:rPr>
                <w:sz w:val="20"/>
                <w:szCs w:val="20"/>
                <w:color w:val="auto"/>
              </w:rPr>
            </w:pPr>
            <w:r>
              <w:rPr>
                <w:rFonts w:ascii="Arial" w:cs="Arial" w:eastAsia="Arial" w:hAnsi="Arial"/>
                <w:sz w:val="14"/>
                <w:szCs w:val="14"/>
                <w:color w:val="auto"/>
              </w:rPr>
              <w:t>Mr. Jackson</w:t>
            </w:r>
          </w:p>
        </w:tc>
        <w:tc>
          <w:tcPr>
            <w:tcW w:w="2040" w:type="dxa"/>
            <w:vAlign w:val="bottom"/>
          </w:tcPr>
          <w:p>
            <w:pPr>
              <w:jc w:val="right"/>
              <w:ind w:right="150"/>
              <w:spacing w:after="0"/>
              <w:rPr>
                <w:sz w:val="20"/>
                <w:szCs w:val="20"/>
                <w:color w:val="auto"/>
              </w:rPr>
            </w:pPr>
            <w:r>
              <w:rPr>
                <w:rFonts w:ascii="Arial" w:cs="Arial" w:eastAsia="Arial" w:hAnsi="Arial"/>
                <w:sz w:val="14"/>
                <w:szCs w:val="14"/>
                <w:color w:val="auto"/>
              </w:rPr>
              <w:t>$119,000</w:t>
            </w:r>
          </w:p>
        </w:tc>
        <w:tc>
          <w:tcPr>
            <w:tcW w:w="1660" w:type="dxa"/>
            <w:vAlign w:val="bottom"/>
          </w:tcPr>
          <w:p>
            <w:pPr>
              <w:jc w:val="right"/>
              <w:ind w:right="347"/>
              <w:spacing w:after="0"/>
              <w:rPr>
                <w:sz w:val="20"/>
                <w:szCs w:val="20"/>
                <w:color w:val="auto"/>
              </w:rPr>
            </w:pPr>
            <w:r>
              <w:rPr>
                <w:rFonts w:ascii="Arial" w:cs="Arial" w:eastAsia="Arial" w:hAnsi="Arial"/>
                <w:sz w:val="14"/>
                <w:szCs w:val="14"/>
                <w:color w:val="auto"/>
              </w:rPr>
              <w:t>$175,000</w:t>
            </w:r>
          </w:p>
        </w:tc>
        <w:tc>
          <w:tcPr>
            <w:tcW w:w="1560" w:type="dxa"/>
            <w:vAlign w:val="bottom"/>
          </w:tcPr>
          <w:p>
            <w:pPr>
              <w:spacing w:after="0"/>
              <w:rPr>
                <w:sz w:val="23"/>
                <w:szCs w:val="23"/>
                <w:color w:val="auto"/>
              </w:rPr>
            </w:pPr>
          </w:p>
        </w:tc>
        <w:tc>
          <w:tcPr>
            <w:tcW w:w="1300" w:type="dxa"/>
            <w:vAlign w:val="bottom"/>
          </w:tcPr>
          <w:p>
            <w:pPr>
              <w:jc w:val="right"/>
              <w:ind w:right="307"/>
              <w:spacing w:after="0"/>
              <w:rPr>
                <w:sz w:val="20"/>
                <w:szCs w:val="20"/>
                <w:color w:val="auto"/>
              </w:rPr>
            </w:pPr>
            <w:r>
              <w:rPr>
                <w:rFonts w:ascii="Arial" w:cs="Arial" w:eastAsia="Arial" w:hAnsi="Arial"/>
                <w:sz w:val="14"/>
                <w:szCs w:val="14"/>
                <w:color w:val="auto"/>
              </w:rPr>
              <w:t>$294,000</w:t>
            </w:r>
          </w:p>
        </w:tc>
        <w:tc>
          <w:tcPr>
            <w:tcW w:w="0" w:type="dxa"/>
            <w:vAlign w:val="bottom"/>
          </w:tcPr>
          <w:p>
            <w:pPr>
              <w:spacing w:after="0"/>
              <w:rPr>
                <w:sz w:val="1"/>
                <w:szCs w:val="1"/>
                <w:color w:val="auto"/>
              </w:rPr>
            </w:pPr>
          </w:p>
        </w:tc>
      </w:tr>
      <w:tr>
        <w:trPr>
          <w:trHeight w:val="270"/>
        </w:trPr>
        <w:tc>
          <w:tcPr>
            <w:tcW w:w="1420" w:type="dxa"/>
            <w:vAlign w:val="bottom"/>
          </w:tcPr>
          <w:p>
            <w:pPr>
              <w:ind w:left="40"/>
              <w:spacing w:after="0"/>
              <w:rPr>
                <w:sz w:val="20"/>
                <w:szCs w:val="20"/>
                <w:color w:val="auto"/>
              </w:rPr>
            </w:pPr>
            <w:r>
              <w:rPr>
                <w:rFonts w:ascii="Arial" w:cs="Arial" w:eastAsia="Arial" w:hAnsi="Arial"/>
                <w:sz w:val="14"/>
                <w:szCs w:val="14"/>
                <w:color w:val="auto"/>
              </w:rPr>
              <w:t>Dr. Kaelin</w:t>
            </w:r>
          </w:p>
        </w:tc>
        <w:tc>
          <w:tcPr>
            <w:tcW w:w="2040" w:type="dxa"/>
            <w:vAlign w:val="bottom"/>
          </w:tcPr>
          <w:p>
            <w:pPr>
              <w:jc w:val="right"/>
              <w:ind w:right="150"/>
              <w:spacing w:after="0"/>
              <w:rPr>
                <w:sz w:val="20"/>
                <w:szCs w:val="20"/>
                <w:color w:val="auto"/>
              </w:rPr>
            </w:pPr>
            <w:r>
              <w:rPr>
                <w:rFonts w:ascii="Arial" w:cs="Arial" w:eastAsia="Arial" w:hAnsi="Arial"/>
                <w:sz w:val="14"/>
                <w:szCs w:val="14"/>
                <w:color w:val="auto"/>
              </w:rPr>
              <w:t>$134,000</w:t>
            </w:r>
          </w:p>
        </w:tc>
        <w:tc>
          <w:tcPr>
            <w:tcW w:w="1660" w:type="dxa"/>
            <w:vAlign w:val="bottom"/>
          </w:tcPr>
          <w:p>
            <w:pPr>
              <w:jc w:val="right"/>
              <w:ind w:right="347"/>
              <w:spacing w:after="0"/>
              <w:rPr>
                <w:sz w:val="20"/>
                <w:szCs w:val="20"/>
                <w:color w:val="auto"/>
              </w:rPr>
            </w:pPr>
            <w:r>
              <w:rPr>
                <w:rFonts w:ascii="Arial" w:cs="Arial" w:eastAsia="Arial" w:hAnsi="Arial"/>
                <w:sz w:val="14"/>
                <w:szCs w:val="14"/>
                <w:color w:val="auto"/>
              </w:rPr>
              <w:t>$175,000</w:t>
            </w:r>
          </w:p>
        </w:tc>
        <w:tc>
          <w:tcPr>
            <w:tcW w:w="1560" w:type="dxa"/>
            <w:vAlign w:val="bottom"/>
          </w:tcPr>
          <w:p>
            <w:pPr>
              <w:spacing w:after="0"/>
              <w:rPr>
                <w:sz w:val="23"/>
                <w:szCs w:val="23"/>
                <w:color w:val="auto"/>
              </w:rPr>
            </w:pPr>
          </w:p>
        </w:tc>
        <w:tc>
          <w:tcPr>
            <w:tcW w:w="1300" w:type="dxa"/>
            <w:vAlign w:val="bottom"/>
          </w:tcPr>
          <w:p>
            <w:pPr>
              <w:jc w:val="right"/>
              <w:ind w:right="307"/>
              <w:spacing w:after="0"/>
              <w:rPr>
                <w:sz w:val="20"/>
                <w:szCs w:val="20"/>
                <w:color w:val="auto"/>
              </w:rPr>
            </w:pPr>
            <w:r>
              <w:rPr>
                <w:rFonts w:ascii="Arial" w:cs="Arial" w:eastAsia="Arial" w:hAnsi="Arial"/>
                <w:sz w:val="14"/>
                <w:szCs w:val="14"/>
                <w:color w:val="auto"/>
              </w:rPr>
              <w:t>$309,000</w:t>
            </w:r>
          </w:p>
        </w:tc>
        <w:tc>
          <w:tcPr>
            <w:tcW w:w="0" w:type="dxa"/>
            <w:vAlign w:val="bottom"/>
          </w:tcPr>
          <w:p>
            <w:pPr>
              <w:spacing w:after="0"/>
              <w:rPr>
                <w:sz w:val="1"/>
                <w:szCs w:val="1"/>
                <w:color w:val="auto"/>
              </w:rPr>
            </w:pPr>
          </w:p>
        </w:tc>
      </w:tr>
      <w:tr>
        <w:trPr>
          <w:trHeight w:val="270"/>
        </w:trPr>
        <w:tc>
          <w:tcPr>
            <w:tcW w:w="1420" w:type="dxa"/>
            <w:vAlign w:val="bottom"/>
          </w:tcPr>
          <w:p>
            <w:pPr>
              <w:ind w:left="40"/>
              <w:spacing w:after="0"/>
              <w:rPr>
                <w:sz w:val="20"/>
                <w:szCs w:val="20"/>
                <w:color w:val="auto"/>
              </w:rPr>
            </w:pPr>
            <w:r>
              <w:rPr>
                <w:rFonts w:ascii="Arial" w:cs="Arial" w:eastAsia="Arial" w:hAnsi="Arial"/>
                <w:sz w:val="14"/>
                <w:szCs w:val="14"/>
                <w:color w:val="auto"/>
              </w:rPr>
              <w:t>Mr. Luciano</w:t>
            </w:r>
          </w:p>
        </w:tc>
        <w:tc>
          <w:tcPr>
            <w:tcW w:w="2040" w:type="dxa"/>
            <w:vAlign w:val="bottom"/>
          </w:tcPr>
          <w:p>
            <w:pPr>
              <w:jc w:val="right"/>
              <w:ind w:right="150"/>
              <w:spacing w:after="0"/>
              <w:rPr>
                <w:sz w:val="20"/>
                <w:szCs w:val="20"/>
                <w:color w:val="auto"/>
              </w:rPr>
            </w:pPr>
            <w:r>
              <w:rPr>
                <w:rFonts w:ascii="Arial" w:cs="Arial" w:eastAsia="Arial" w:hAnsi="Arial"/>
                <w:sz w:val="14"/>
                <w:szCs w:val="14"/>
                <w:color w:val="auto"/>
              </w:rPr>
              <w:t>$124,000</w:t>
            </w:r>
          </w:p>
        </w:tc>
        <w:tc>
          <w:tcPr>
            <w:tcW w:w="1660" w:type="dxa"/>
            <w:vAlign w:val="bottom"/>
          </w:tcPr>
          <w:p>
            <w:pPr>
              <w:jc w:val="right"/>
              <w:ind w:right="347"/>
              <w:spacing w:after="0"/>
              <w:rPr>
                <w:sz w:val="20"/>
                <w:szCs w:val="20"/>
                <w:color w:val="auto"/>
              </w:rPr>
            </w:pPr>
            <w:r>
              <w:rPr>
                <w:rFonts w:ascii="Arial" w:cs="Arial" w:eastAsia="Arial" w:hAnsi="Arial"/>
                <w:sz w:val="14"/>
                <w:szCs w:val="14"/>
                <w:color w:val="auto"/>
              </w:rPr>
              <w:t>$175,000</w:t>
            </w:r>
          </w:p>
        </w:tc>
        <w:tc>
          <w:tcPr>
            <w:tcW w:w="1560" w:type="dxa"/>
            <w:vAlign w:val="bottom"/>
          </w:tcPr>
          <w:p>
            <w:pPr>
              <w:spacing w:after="0"/>
              <w:rPr>
                <w:sz w:val="23"/>
                <w:szCs w:val="23"/>
                <w:color w:val="auto"/>
              </w:rPr>
            </w:pPr>
          </w:p>
        </w:tc>
        <w:tc>
          <w:tcPr>
            <w:tcW w:w="1300" w:type="dxa"/>
            <w:vAlign w:val="bottom"/>
          </w:tcPr>
          <w:p>
            <w:pPr>
              <w:jc w:val="right"/>
              <w:ind w:right="307"/>
              <w:spacing w:after="0"/>
              <w:rPr>
                <w:sz w:val="20"/>
                <w:szCs w:val="20"/>
                <w:color w:val="auto"/>
              </w:rPr>
            </w:pPr>
            <w:r>
              <w:rPr>
                <w:rFonts w:ascii="Arial" w:cs="Arial" w:eastAsia="Arial" w:hAnsi="Arial"/>
                <w:sz w:val="14"/>
                <w:szCs w:val="14"/>
                <w:color w:val="auto"/>
              </w:rPr>
              <w:t>$299,000</w:t>
            </w:r>
          </w:p>
        </w:tc>
        <w:tc>
          <w:tcPr>
            <w:tcW w:w="0" w:type="dxa"/>
            <w:vAlign w:val="bottom"/>
          </w:tcPr>
          <w:p>
            <w:pPr>
              <w:spacing w:after="0"/>
              <w:rPr>
                <w:sz w:val="1"/>
                <w:szCs w:val="1"/>
                <w:color w:val="auto"/>
              </w:rPr>
            </w:pPr>
          </w:p>
        </w:tc>
      </w:tr>
      <w:tr>
        <w:trPr>
          <w:trHeight w:val="270"/>
        </w:trPr>
        <w:tc>
          <w:tcPr>
            <w:tcW w:w="1420" w:type="dxa"/>
            <w:vAlign w:val="bottom"/>
          </w:tcPr>
          <w:p>
            <w:pPr>
              <w:ind w:left="40"/>
              <w:spacing w:after="0"/>
              <w:rPr>
                <w:sz w:val="20"/>
                <w:szCs w:val="20"/>
                <w:color w:val="auto"/>
              </w:rPr>
            </w:pPr>
            <w:r>
              <w:rPr>
                <w:rFonts w:ascii="Arial" w:cs="Arial" w:eastAsia="Arial" w:hAnsi="Arial"/>
                <w:sz w:val="14"/>
                <w:szCs w:val="14"/>
                <w:color w:val="auto"/>
              </w:rPr>
              <w:t>Ms. Marram</w:t>
            </w:r>
          </w:p>
        </w:tc>
        <w:tc>
          <w:tcPr>
            <w:tcW w:w="2040" w:type="dxa"/>
            <w:vAlign w:val="bottom"/>
          </w:tcPr>
          <w:p>
            <w:pPr>
              <w:jc w:val="right"/>
              <w:ind w:right="150"/>
              <w:spacing w:after="0"/>
              <w:rPr>
                <w:sz w:val="20"/>
                <w:szCs w:val="20"/>
                <w:color w:val="auto"/>
              </w:rPr>
            </w:pPr>
            <w:r>
              <w:rPr>
                <w:rFonts w:ascii="Arial" w:cs="Arial" w:eastAsia="Arial" w:hAnsi="Arial"/>
                <w:sz w:val="14"/>
                <w:szCs w:val="14"/>
                <w:color w:val="auto"/>
              </w:rPr>
              <w:t>$163,000</w:t>
            </w:r>
          </w:p>
        </w:tc>
        <w:tc>
          <w:tcPr>
            <w:tcW w:w="1660" w:type="dxa"/>
            <w:vAlign w:val="bottom"/>
          </w:tcPr>
          <w:p>
            <w:pPr>
              <w:jc w:val="right"/>
              <w:ind w:right="347"/>
              <w:spacing w:after="0"/>
              <w:rPr>
                <w:sz w:val="20"/>
                <w:szCs w:val="20"/>
                <w:color w:val="auto"/>
              </w:rPr>
            </w:pPr>
            <w:r>
              <w:rPr>
                <w:rFonts w:ascii="Arial" w:cs="Arial" w:eastAsia="Arial" w:hAnsi="Arial"/>
                <w:sz w:val="14"/>
                <w:szCs w:val="14"/>
                <w:color w:val="auto"/>
              </w:rPr>
              <w:t>$175,000</w:t>
            </w:r>
          </w:p>
        </w:tc>
        <w:tc>
          <w:tcPr>
            <w:tcW w:w="1560" w:type="dxa"/>
            <w:vAlign w:val="bottom"/>
          </w:tcPr>
          <w:p>
            <w:pPr>
              <w:spacing w:after="0"/>
              <w:rPr>
                <w:sz w:val="23"/>
                <w:szCs w:val="23"/>
                <w:color w:val="auto"/>
              </w:rPr>
            </w:pPr>
          </w:p>
        </w:tc>
        <w:tc>
          <w:tcPr>
            <w:tcW w:w="1300" w:type="dxa"/>
            <w:vAlign w:val="bottom"/>
          </w:tcPr>
          <w:p>
            <w:pPr>
              <w:jc w:val="right"/>
              <w:ind w:right="307"/>
              <w:spacing w:after="0"/>
              <w:rPr>
                <w:sz w:val="20"/>
                <w:szCs w:val="20"/>
                <w:color w:val="auto"/>
              </w:rPr>
            </w:pPr>
            <w:r>
              <w:rPr>
                <w:rFonts w:ascii="Arial" w:cs="Arial" w:eastAsia="Arial" w:hAnsi="Arial"/>
                <w:sz w:val="14"/>
                <w:szCs w:val="14"/>
                <w:color w:val="auto"/>
              </w:rPr>
              <w:t>$338,000</w:t>
            </w:r>
          </w:p>
        </w:tc>
        <w:tc>
          <w:tcPr>
            <w:tcW w:w="0" w:type="dxa"/>
            <w:vAlign w:val="bottom"/>
          </w:tcPr>
          <w:p>
            <w:pPr>
              <w:spacing w:after="0"/>
              <w:rPr>
                <w:sz w:val="1"/>
                <w:szCs w:val="1"/>
                <w:color w:val="auto"/>
              </w:rPr>
            </w:pPr>
          </w:p>
        </w:tc>
      </w:tr>
      <w:tr>
        <w:trPr>
          <w:trHeight w:val="270"/>
        </w:trPr>
        <w:tc>
          <w:tcPr>
            <w:tcW w:w="1420" w:type="dxa"/>
            <w:vAlign w:val="bottom"/>
          </w:tcPr>
          <w:p>
            <w:pPr>
              <w:ind w:left="40"/>
              <w:spacing w:after="0"/>
              <w:rPr>
                <w:sz w:val="20"/>
                <w:szCs w:val="20"/>
                <w:color w:val="auto"/>
              </w:rPr>
            </w:pPr>
            <w:r>
              <w:rPr>
                <w:rFonts w:ascii="Arial" w:cs="Arial" w:eastAsia="Arial" w:hAnsi="Arial"/>
                <w:sz w:val="14"/>
                <w:szCs w:val="14"/>
                <w:color w:val="auto"/>
              </w:rPr>
              <w:t>Dr. Runge</w:t>
            </w:r>
          </w:p>
        </w:tc>
        <w:tc>
          <w:tcPr>
            <w:tcW w:w="2040" w:type="dxa"/>
            <w:vAlign w:val="bottom"/>
          </w:tcPr>
          <w:p>
            <w:pPr>
              <w:jc w:val="right"/>
              <w:ind w:right="150"/>
              <w:spacing w:after="0"/>
              <w:rPr>
                <w:sz w:val="20"/>
                <w:szCs w:val="20"/>
                <w:color w:val="auto"/>
              </w:rPr>
            </w:pPr>
            <w:r>
              <w:rPr>
                <w:rFonts w:ascii="Arial" w:cs="Arial" w:eastAsia="Arial" w:hAnsi="Arial"/>
                <w:sz w:val="14"/>
                <w:szCs w:val="14"/>
                <w:color w:val="auto"/>
              </w:rPr>
              <w:t>$119,000</w:t>
            </w:r>
          </w:p>
        </w:tc>
        <w:tc>
          <w:tcPr>
            <w:tcW w:w="1660" w:type="dxa"/>
            <w:vAlign w:val="bottom"/>
          </w:tcPr>
          <w:p>
            <w:pPr>
              <w:jc w:val="right"/>
              <w:ind w:right="347"/>
              <w:spacing w:after="0"/>
              <w:rPr>
                <w:sz w:val="20"/>
                <w:szCs w:val="20"/>
                <w:color w:val="auto"/>
              </w:rPr>
            </w:pPr>
            <w:r>
              <w:rPr>
                <w:rFonts w:ascii="Arial" w:cs="Arial" w:eastAsia="Arial" w:hAnsi="Arial"/>
                <w:sz w:val="14"/>
                <w:szCs w:val="14"/>
                <w:color w:val="auto"/>
              </w:rPr>
              <w:t>$175,000</w:t>
            </w:r>
          </w:p>
        </w:tc>
        <w:tc>
          <w:tcPr>
            <w:tcW w:w="1560" w:type="dxa"/>
            <w:vAlign w:val="bottom"/>
          </w:tcPr>
          <w:p>
            <w:pPr>
              <w:spacing w:after="0"/>
              <w:rPr>
                <w:sz w:val="23"/>
                <w:szCs w:val="23"/>
                <w:color w:val="auto"/>
              </w:rPr>
            </w:pPr>
          </w:p>
        </w:tc>
        <w:tc>
          <w:tcPr>
            <w:tcW w:w="1300" w:type="dxa"/>
            <w:vAlign w:val="bottom"/>
          </w:tcPr>
          <w:p>
            <w:pPr>
              <w:jc w:val="right"/>
              <w:ind w:right="307"/>
              <w:spacing w:after="0"/>
              <w:rPr>
                <w:sz w:val="20"/>
                <w:szCs w:val="20"/>
                <w:color w:val="auto"/>
              </w:rPr>
            </w:pPr>
            <w:r>
              <w:rPr>
                <w:rFonts w:ascii="Arial" w:cs="Arial" w:eastAsia="Arial" w:hAnsi="Arial"/>
                <w:sz w:val="14"/>
                <w:szCs w:val="14"/>
                <w:color w:val="auto"/>
              </w:rPr>
              <w:t>$294,000</w:t>
            </w:r>
          </w:p>
        </w:tc>
        <w:tc>
          <w:tcPr>
            <w:tcW w:w="0" w:type="dxa"/>
            <w:vAlign w:val="bottom"/>
          </w:tcPr>
          <w:p>
            <w:pPr>
              <w:spacing w:after="0"/>
              <w:rPr>
                <w:sz w:val="1"/>
                <w:szCs w:val="1"/>
                <w:color w:val="auto"/>
              </w:rPr>
            </w:pPr>
          </w:p>
        </w:tc>
      </w:tr>
      <w:tr>
        <w:trPr>
          <w:trHeight w:val="270"/>
        </w:trPr>
        <w:tc>
          <w:tcPr>
            <w:tcW w:w="1420" w:type="dxa"/>
            <w:vAlign w:val="bottom"/>
          </w:tcPr>
          <w:p>
            <w:pPr>
              <w:ind w:left="40"/>
              <w:spacing w:after="0"/>
              <w:rPr>
                <w:sz w:val="20"/>
                <w:szCs w:val="20"/>
                <w:color w:val="auto"/>
              </w:rPr>
            </w:pPr>
            <w:r>
              <w:rPr>
                <w:rFonts w:ascii="Arial" w:cs="Arial" w:eastAsia="Arial" w:hAnsi="Arial"/>
                <w:sz w:val="14"/>
                <w:szCs w:val="14"/>
                <w:color w:val="auto"/>
              </w:rPr>
              <w:t>Ms. Seifert</w:t>
            </w:r>
          </w:p>
        </w:tc>
        <w:tc>
          <w:tcPr>
            <w:tcW w:w="2040" w:type="dxa"/>
            <w:vAlign w:val="bottom"/>
          </w:tcPr>
          <w:p>
            <w:pPr>
              <w:jc w:val="right"/>
              <w:ind w:right="150"/>
              <w:spacing w:after="0"/>
              <w:rPr>
                <w:sz w:val="20"/>
                <w:szCs w:val="20"/>
                <w:color w:val="auto"/>
              </w:rPr>
            </w:pPr>
            <w:r>
              <w:rPr>
                <w:rFonts w:ascii="Arial" w:cs="Arial" w:eastAsia="Arial" w:hAnsi="Arial"/>
                <w:sz w:val="14"/>
                <w:szCs w:val="14"/>
                <w:color w:val="auto"/>
              </w:rPr>
              <w:t>$119,000</w:t>
            </w:r>
          </w:p>
        </w:tc>
        <w:tc>
          <w:tcPr>
            <w:tcW w:w="1660" w:type="dxa"/>
            <w:vAlign w:val="bottom"/>
          </w:tcPr>
          <w:p>
            <w:pPr>
              <w:jc w:val="right"/>
              <w:ind w:right="347"/>
              <w:spacing w:after="0"/>
              <w:rPr>
                <w:sz w:val="20"/>
                <w:szCs w:val="20"/>
                <w:color w:val="auto"/>
              </w:rPr>
            </w:pPr>
            <w:r>
              <w:rPr>
                <w:rFonts w:ascii="Arial" w:cs="Arial" w:eastAsia="Arial" w:hAnsi="Arial"/>
                <w:sz w:val="14"/>
                <w:szCs w:val="14"/>
                <w:color w:val="auto"/>
              </w:rPr>
              <w:t>$175,000</w:t>
            </w:r>
          </w:p>
        </w:tc>
        <w:tc>
          <w:tcPr>
            <w:tcW w:w="1560" w:type="dxa"/>
            <w:vAlign w:val="bottom"/>
          </w:tcPr>
          <w:p>
            <w:pPr>
              <w:spacing w:after="0"/>
              <w:rPr>
                <w:sz w:val="23"/>
                <w:szCs w:val="23"/>
                <w:color w:val="auto"/>
              </w:rPr>
            </w:pPr>
          </w:p>
        </w:tc>
        <w:tc>
          <w:tcPr>
            <w:tcW w:w="1300" w:type="dxa"/>
            <w:vAlign w:val="bottom"/>
          </w:tcPr>
          <w:p>
            <w:pPr>
              <w:jc w:val="right"/>
              <w:ind w:right="307"/>
              <w:spacing w:after="0"/>
              <w:rPr>
                <w:sz w:val="20"/>
                <w:szCs w:val="20"/>
                <w:color w:val="auto"/>
              </w:rPr>
            </w:pPr>
            <w:r>
              <w:rPr>
                <w:rFonts w:ascii="Arial" w:cs="Arial" w:eastAsia="Arial" w:hAnsi="Arial"/>
                <w:sz w:val="14"/>
                <w:szCs w:val="14"/>
                <w:color w:val="auto"/>
              </w:rPr>
              <w:t>$294,000</w:t>
            </w:r>
          </w:p>
        </w:tc>
        <w:tc>
          <w:tcPr>
            <w:tcW w:w="0" w:type="dxa"/>
            <w:vAlign w:val="bottom"/>
          </w:tcPr>
          <w:p>
            <w:pPr>
              <w:spacing w:after="0"/>
              <w:rPr>
                <w:sz w:val="1"/>
                <w:szCs w:val="1"/>
                <w:color w:val="auto"/>
              </w:rPr>
            </w:pPr>
          </w:p>
        </w:tc>
      </w:tr>
      <w:tr>
        <w:trPr>
          <w:trHeight w:val="270"/>
        </w:trPr>
        <w:tc>
          <w:tcPr>
            <w:tcW w:w="1420" w:type="dxa"/>
            <w:vAlign w:val="bottom"/>
          </w:tcPr>
          <w:p>
            <w:pPr>
              <w:ind w:left="40"/>
              <w:spacing w:after="0"/>
              <w:rPr>
                <w:sz w:val="20"/>
                <w:szCs w:val="20"/>
                <w:color w:val="auto"/>
              </w:rPr>
            </w:pPr>
            <w:r>
              <w:rPr>
                <w:rFonts w:ascii="Arial" w:cs="Arial" w:eastAsia="Arial" w:hAnsi="Arial"/>
                <w:sz w:val="14"/>
                <w:szCs w:val="14"/>
                <w:color w:val="auto"/>
              </w:rPr>
              <w:t>Mr. Tai</w:t>
            </w:r>
          </w:p>
        </w:tc>
        <w:tc>
          <w:tcPr>
            <w:tcW w:w="2040" w:type="dxa"/>
            <w:vAlign w:val="bottom"/>
          </w:tcPr>
          <w:p>
            <w:pPr>
              <w:jc w:val="right"/>
              <w:ind w:right="150"/>
              <w:spacing w:after="0"/>
              <w:rPr>
                <w:sz w:val="20"/>
                <w:szCs w:val="20"/>
                <w:color w:val="auto"/>
              </w:rPr>
            </w:pPr>
            <w:r>
              <w:rPr>
                <w:rFonts w:ascii="Arial" w:cs="Arial" w:eastAsia="Arial" w:hAnsi="Arial"/>
                <w:sz w:val="14"/>
                <w:szCs w:val="14"/>
                <w:color w:val="auto"/>
              </w:rPr>
              <w:t>$121,000</w:t>
            </w:r>
          </w:p>
        </w:tc>
        <w:tc>
          <w:tcPr>
            <w:tcW w:w="1660" w:type="dxa"/>
            <w:vAlign w:val="bottom"/>
          </w:tcPr>
          <w:p>
            <w:pPr>
              <w:jc w:val="right"/>
              <w:ind w:right="347"/>
              <w:spacing w:after="0"/>
              <w:rPr>
                <w:sz w:val="20"/>
                <w:szCs w:val="20"/>
                <w:color w:val="auto"/>
              </w:rPr>
            </w:pPr>
            <w:r>
              <w:rPr>
                <w:rFonts w:ascii="Arial" w:cs="Arial" w:eastAsia="Arial" w:hAnsi="Arial"/>
                <w:sz w:val="14"/>
                <w:szCs w:val="14"/>
                <w:color w:val="auto"/>
              </w:rPr>
              <w:t>$175,000</w:t>
            </w:r>
          </w:p>
        </w:tc>
        <w:tc>
          <w:tcPr>
            <w:tcW w:w="1560" w:type="dxa"/>
            <w:vAlign w:val="bottom"/>
          </w:tcPr>
          <w:p>
            <w:pPr>
              <w:spacing w:after="0"/>
              <w:rPr>
                <w:sz w:val="23"/>
                <w:szCs w:val="23"/>
                <w:color w:val="auto"/>
              </w:rPr>
            </w:pPr>
          </w:p>
        </w:tc>
        <w:tc>
          <w:tcPr>
            <w:tcW w:w="1300" w:type="dxa"/>
            <w:vAlign w:val="bottom"/>
          </w:tcPr>
          <w:p>
            <w:pPr>
              <w:jc w:val="right"/>
              <w:ind w:right="307"/>
              <w:spacing w:after="0"/>
              <w:rPr>
                <w:sz w:val="20"/>
                <w:szCs w:val="20"/>
                <w:color w:val="auto"/>
              </w:rPr>
            </w:pPr>
            <w:r>
              <w:rPr>
                <w:rFonts w:ascii="Arial" w:cs="Arial" w:eastAsia="Arial" w:hAnsi="Arial"/>
                <w:sz w:val="14"/>
                <w:szCs w:val="14"/>
                <w:color w:val="auto"/>
              </w:rPr>
              <w:t>$296,000</w:t>
            </w:r>
          </w:p>
        </w:tc>
        <w:tc>
          <w:tcPr>
            <w:tcW w:w="0" w:type="dxa"/>
            <w:vAlign w:val="bottom"/>
          </w:tcPr>
          <w:p>
            <w:pPr>
              <w:spacing w:after="0"/>
              <w:rPr>
                <w:sz w:val="1"/>
                <w:szCs w:val="1"/>
                <w:color w:val="auto"/>
              </w:rPr>
            </w:pPr>
          </w:p>
        </w:tc>
      </w:tr>
      <w:tr>
        <w:trPr>
          <w:trHeight w:val="274"/>
        </w:trPr>
        <w:tc>
          <w:tcPr>
            <w:tcW w:w="1420" w:type="dxa"/>
            <w:vAlign w:val="bottom"/>
          </w:tcPr>
          <w:p>
            <w:pPr>
              <w:ind w:left="40"/>
              <w:spacing w:after="0"/>
              <w:rPr>
                <w:sz w:val="20"/>
                <w:szCs w:val="20"/>
                <w:color w:val="auto"/>
              </w:rPr>
            </w:pPr>
            <w:r>
              <w:rPr>
                <w:rFonts w:ascii="Arial" w:cs="Arial" w:eastAsia="Arial" w:hAnsi="Arial"/>
                <w:sz w:val="14"/>
                <w:szCs w:val="14"/>
                <w:color w:val="auto"/>
              </w:rPr>
              <w:t>Ms. Walker</w:t>
            </w:r>
          </w:p>
        </w:tc>
        <w:tc>
          <w:tcPr>
            <w:tcW w:w="2040" w:type="dxa"/>
            <w:vAlign w:val="bottom"/>
          </w:tcPr>
          <w:p>
            <w:pPr>
              <w:jc w:val="right"/>
              <w:ind w:right="150"/>
              <w:spacing w:after="0"/>
              <w:rPr>
                <w:sz w:val="20"/>
                <w:szCs w:val="20"/>
                <w:color w:val="auto"/>
              </w:rPr>
            </w:pPr>
            <w:r>
              <w:rPr>
                <w:rFonts w:ascii="Arial" w:cs="Arial" w:eastAsia="Arial" w:hAnsi="Arial"/>
                <w:sz w:val="14"/>
                <w:szCs w:val="14"/>
                <w:color w:val="auto"/>
              </w:rPr>
              <w:t>$9,917</w:t>
            </w:r>
          </w:p>
        </w:tc>
        <w:tc>
          <w:tcPr>
            <w:tcW w:w="1660" w:type="dxa"/>
            <w:vAlign w:val="bottom"/>
          </w:tcPr>
          <w:p>
            <w:pPr>
              <w:jc w:val="right"/>
              <w:ind w:right="347"/>
              <w:spacing w:after="0"/>
              <w:rPr>
                <w:sz w:val="20"/>
                <w:szCs w:val="20"/>
                <w:color w:val="auto"/>
              </w:rPr>
            </w:pPr>
            <w:r>
              <w:rPr>
                <w:rFonts w:ascii="Arial" w:cs="Arial" w:eastAsia="Arial" w:hAnsi="Arial"/>
                <w:sz w:val="14"/>
                <w:szCs w:val="14"/>
                <w:color w:val="auto"/>
              </w:rPr>
              <w:t>$14,583</w:t>
            </w:r>
          </w:p>
        </w:tc>
        <w:tc>
          <w:tcPr>
            <w:tcW w:w="1560" w:type="dxa"/>
            <w:vAlign w:val="bottom"/>
          </w:tcPr>
          <w:p>
            <w:pPr>
              <w:spacing w:after="0"/>
              <w:rPr>
                <w:sz w:val="23"/>
                <w:szCs w:val="23"/>
                <w:color w:val="auto"/>
              </w:rPr>
            </w:pPr>
          </w:p>
        </w:tc>
        <w:tc>
          <w:tcPr>
            <w:tcW w:w="1300" w:type="dxa"/>
            <w:vAlign w:val="bottom"/>
          </w:tcPr>
          <w:p>
            <w:pPr>
              <w:jc w:val="right"/>
              <w:ind w:right="307"/>
              <w:spacing w:after="0"/>
              <w:rPr>
                <w:sz w:val="20"/>
                <w:szCs w:val="20"/>
                <w:color w:val="auto"/>
              </w:rPr>
            </w:pPr>
            <w:r>
              <w:rPr>
                <w:rFonts w:ascii="Arial" w:cs="Arial" w:eastAsia="Arial" w:hAnsi="Arial"/>
                <w:sz w:val="14"/>
                <w:szCs w:val="14"/>
                <w:color w:val="auto"/>
              </w:rPr>
              <w:t>$24,500</w:t>
            </w:r>
          </w:p>
        </w:tc>
        <w:tc>
          <w:tcPr>
            <w:tcW w:w="0" w:type="dxa"/>
            <w:vAlign w:val="bottom"/>
          </w:tcPr>
          <w:p>
            <w:pPr>
              <w:spacing w:after="0"/>
              <w:rPr>
                <w:sz w:val="1"/>
                <w:szCs w:val="1"/>
                <w:color w:val="auto"/>
              </w:rPr>
            </w:pPr>
          </w:p>
        </w:tc>
      </w:tr>
      <w:tr>
        <w:trPr>
          <w:trHeight w:val="274"/>
        </w:trPr>
        <w:tc>
          <w:tcPr>
            <w:tcW w:w="1420" w:type="dxa"/>
            <w:vAlign w:val="bottom"/>
            <w:shd w:val="clear" w:color="auto" w:fill="C8C9CB"/>
          </w:tcPr>
          <w:p>
            <w:pPr>
              <w:ind w:left="40"/>
              <w:spacing w:after="0"/>
              <w:rPr>
                <w:sz w:val="20"/>
                <w:szCs w:val="20"/>
                <w:color w:val="auto"/>
              </w:rPr>
            </w:pPr>
            <w:r>
              <w:rPr>
                <w:rFonts w:ascii="Arial" w:cs="Arial" w:eastAsia="Arial" w:hAnsi="Arial"/>
                <w:sz w:val="16"/>
                <w:szCs w:val="16"/>
                <w:b w:val="1"/>
                <w:bCs w:val="1"/>
                <w:color w:val="00ABE8"/>
              </w:rPr>
              <w:t>Retired</w:t>
            </w:r>
          </w:p>
        </w:tc>
        <w:tc>
          <w:tcPr>
            <w:tcW w:w="2040" w:type="dxa"/>
            <w:vAlign w:val="bottom"/>
            <w:shd w:val="clear" w:color="auto" w:fill="C8C9CB"/>
          </w:tcPr>
          <w:p>
            <w:pPr>
              <w:spacing w:after="0"/>
              <w:rPr>
                <w:sz w:val="23"/>
                <w:szCs w:val="23"/>
                <w:color w:val="auto"/>
              </w:rPr>
            </w:pPr>
          </w:p>
        </w:tc>
        <w:tc>
          <w:tcPr>
            <w:tcW w:w="1660" w:type="dxa"/>
            <w:vAlign w:val="bottom"/>
            <w:shd w:val="clear" w:color="auto" w:fill="C8C9CB"/>
          </w:tcPr>
          <w:p>
            <w:pPr>
              <w:spacing w:after="0"/>
              <w:rPr>
                <w:sz w:val="23"/>
                <w:szCs w:val="23"/>
                <w:color w:val="auto"/>
              </w:rPr>
            </w:pPr>
          </w:p>
        </w:tc>
        <w:tc>
          <w:tcPr>
            <w:tcW w:w="1560" w:type="dxa"/>
            <w:vAlign w:val="bottom"/>
            <w:shd w:val="clear" w:color="auto" w:fill="C8C9CB"/>
          </w:tcPr>
          <w:p>
            <w:pPr>
              <w:spacing w:after="0"/>
              <w:rPr>
                <w:sz w:val="23"/>
                <w:szCs w:val="23"/>
                <w:color w:val="auto"/>
              </w:rPr>
            </w:pPr>
          </w:p>
        </w:tc>
        <w:tc>
          <w:tcPr>
            <w:tcW w:w="1300" w:type="dxa"/>
            <w:vAlign w:val="bottom"/>
            <w:shd w:val="clear" w:color="auto" w:fill="C8C9CB"/>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1420" w:type="dxa"/>
            <w:vAlign w:val="bottom"/>
          </w:tcPr>
          <w:p>
            <w:pPr>
              <w:ind w:left="40"/>
              <w:spacing w:after="0"/>
              <w:rPr>
                <w:sz w:val="20"/>
                <w:szCs w:val="20"/>
                <w:color w:val="auto"/>
              </w:rPr>
            </w:pPr>
            <w:r>
              <w:rPr>
                <w:rFonts w:ascii="Arial" w:cs="Arial" w:eastAsia="Arial" w:hAnsi="Arial"/>
                <w:sz w:val="14"/>
                <w:szCs w:val="14"/>
                <w:color w:val="auto"/>
              </w:rPr>
              <w:t>Mr. Hoover</w:t>
            </w:r>
          </w:p>
        </w:tc>
        <w:tc>
          <w:tcPr>
            <w:tcW w:w="2040" w:type="dxa"/>
            <w:vAlign w:val="bottom"/>
          </w:tcPr>
          <w:p>
            <w:pPr>
              <w:jc w:val="right"/>
              <w:ind w:right="150"/>
              <w:spacing w:after="0"/>
              <w:rPr>
                <w:sz w:val="20"/>
                <w:szCs w:val="20"/>
                <w:color w:val="auto"/>
              </w:rPr>
            </w:pPr>
            <w:r>
              <w:rPr>
                <w:rFonts w:ascii="Arial" w:cs="Arial" w:eastAsia="Arial" w:hAnsi="Arial"/>
                <w:sz w:val="14"/>
                <w:szCs w:val="14"/>
                <w:color w:val="auto"/>
              </w:rPr>
              <w:t>$53,333</w:t>
            </w:r>
          </w:p>
        </w:tc>
        <w:tc>
          <w:tcPr>
            <w:tcW w:w="1660" w:type="dxa"/>
            <w:vAlign w:val="bottom"/>
          </w:tcPr>
          <w:p>
            <w:pPr>
              <w:jc w:val="right"/>
              <w:ind w:right="347"/>
              <w:spacing w:after="0"/>
              <w:rPr>
                <w:sz w:val="20"/>
                <w:szCs w:val="20"/>
                <w:color w:val="auto"/>
              </w:rPr>
            </w:pPr>
            <w:r>
              <w:rPr>
                <w:rFonts w:ascii="Arial" w:cs="Arial" w:eastAsia="Arial" w:hAnsi="Arial"/>
                <w:sz w:val="14"/>
                <w:szCs w:val="14"/>
                <w:color w:val="auto"/>
              </w:rPr>
              <w:t>$72,917</w:t>
            </w:r>
          </w:p>
        </w:tc>
        <w:tc>
          <w:tcPr>
            <w:tcW w:w="1560" w:type="dxa"/>
            <w:vAlign w:val="bottom"/>
          </w:tcPr>
          <w:p>
            <w:pPr>
              <w:spacing w:after="0"/>
              <w:rPr>
                <w:sz w:val="22"/>
                <w:szCs w:val="22"/>
                <w:color w:val="auto"/>
              </w:rPr>
            </w:pPr>
          </w:p>
        </w:tc>
        <w:tc>
          <w:tcPr>
            <w:tcW w:w="1300" w:type="dxa"/>
            <w:vAlign w:val="bottom"/>
          </w:tcPr>
          <w:p>
            <w:pPr>
              <w:jc w:val="right"/>
              <w:ind w:right="307"/>
              <w:spacing w:after="0"/>
              <w:rPr>
                <w:sz w:val="20"/>
                <w:szCs w:val="20"/>
                <w:color w:val="auto"/>
              </w:rPr>
            </w:pPr>
            <w:r>
              <w:rPr>
                <w:rFonts w:ascii="Arial" w:cs="Arial" w:eastAsia="Arial" w:hAnsi="Arial"/>
                <w:sz w:val="14"/>
                <w:szCs w:val="14"/>
                <w:color w:val="auto"/>
              </w:rPr>
              <w:t>$126,250</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20" w:hanging="107"/>
        <w:spacing w:after="0" w:line="254" w:lineRule="auto"/>
        <w:rPr>
          <w:sz w:val="20"/>
          <w:szCs w:val="20"/>
          <w:color w:val="auto"/>
        </w:rPr>
      </w:pPr>
      <w:r>
        <w:rPr>
          <w:rFonts w:ascii="Arial" w:cs="Arial" w:eastAsia="Arial" w:hAnsi="Arial"/>
          <w:sz w:val="14"/>
          <w:szCs w:val="14"/>
          <w:color w:val="auto"/>
        </w:rPr>
        <w:t xml:space="preserve">1 </w:t>
      </w:r>
      <w:r>
        <w:rPr>
          <w:rFonts w:ascii="Arial" w:cs="Arial" w:eastAsia="Arial" w:hAnsi="Arial"/>
          <w:sz w:val="17"/>
          <w:szCs w:val="17"/>
          <w:color w:val="auto"/>
        </w:rPr>
        <w:t>Each non-employee director received an award of stock valued at $175,000 (approximately 1,511 shares), except Mr. Hoover (who retired from the</w:t>
      </w:r>
      <w:r>
        <w:rPr>
          <w:rFonts w:ascii="Arial" w:cs="Arial" w:eastAsia="Arial" w:hAnsi="Arial"/>
          <w:sz w:val="14"/>
          <w:szCs w:val="14"/>
          <w:color w:val="auto"/>
        </w:rPr>
        <w:t xml:space="preserve"> </w:t>
      </w:r>
      <w:r>
        <w:rPr>
          <w:rFonts w:ascii="Arial" w:cs="Arial" w:eastAsia="Arial" w:hAnsi="Arial"/>
          <w:sz w:val="17"/>
          <w:szCs w:val="17"/>
          <w:color w:val="auto"/>
        </w:rPr>
        <w:t xml:space="preserve">board in May 2018) and Ms. Walker (who joined the board in December 2018), who each received a pro-rated award for a partial year of service. This stock award and all prior stock awards are fully vested; however, the shares are not issued until the second January following the director's departure from board service, as described above under “Lilly Directors’ Deferral Plan.” The column shows the grant date fair value for each director’s stock award computed in accordance with FASB ASC Topic 718, based on the closing stock price on the grant date. See </w:t>
      </w:r>
      <w:r>
        <w:rPr>
          <w:rFonts w:ascii="Arial" w:cs="Arial" w:eastAsia="Arial" w:hAnsi="Arial"/>
          <w:sz w:val="17"/>
          <w:szCs w:val="17"/>
          <w:u w:val="single" w:color="auto"/>
          <w:color w:val="auto"/>
        </w:rPr>
        <w:t>Note 11</w:t>
      </w:r>
      <w:r>
        <w:rPr>
          <w:rFonts w:ascii="Arial" w:cs="Arial" w:eastAsia="Arial" w:hAnsi="Arial"/>
          <w:sz w:val="17"/>
          <w:szCs w:val="17"/>
          <w:color w:val="auto"/>
        </w:rPr>
        <w:t xml:space="preserve"> of the consolidated financial statements in the company’s Annual Report on Form 10-K for the fiscal year ended December 31, 2018 for additional detail regarding assumptions underlying the valuation of equity awards. Aggregate outstanding stock awards are shown in the “Common Stock Ownership by Directors and Executive Officers” table in the “Stock Units Not Distributable Within 60 Days” column.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P20</w:t>
      </w:r>
    </w:p>
    <w:p>
      <w:pPr>
        <w:sectPr>
          <w:pgSz w:w="11900" w:h="16838" w:orient="portrait"/>
          <w:cols w:equalWidth="0" w:num="1">
            <w:col w:w="11400"/>
          </w:cols>
          <w:pgMar w:left="240" w:top="557" w:right="259" w:bottom="1440" w:gutter="0" w:footer="0" w:header="0"/>
        </w:sectPr>
      </w:pPr>
    </w:p>
    <w:bookmarkStart w:id="24" w:name="page25"/>
    <w:bookmarkEnd w:id="24"/>
    <w:p>
      <w:pPr>
        <w:ind w:left="140" w:hanging="134"/>
        <w:spacing w:after="0" w:line="263" w:lineRule="auto"/>
        <w:rPr>
          <w:sz w:val="20"/>
          <w:szCs w:val="20"/>
          <w:color w:val="auto"/>
        </w:rPr>
      </w:pPr>
      <w:r>
        <w:rPr>
          <w:rFonts w:ascii="Arial" w:cs="Arial" w:eastAsia="Arial" w:hAnsi="Arial"/>
          <w:sz w:val="14"/>
          <w:szCs w:val="14"/>
          <w:color w:val="auto"/>
        </w:rPr>
        <w:t xml:space="preserve">2 </w:t>
      </w:r>
      <w:r>
        <w:rPr>
          <w:rFonts w:ascii="Arial" w:cs="Arial" w:eastAsia="Arial" w:hAnsi="Arial"/>
          <w:sz w:val="17"/>
          <w:szCs w:val="17"/>
          <w:color w:val="auto"/>
        </w:rPr>
        <w:t>This column consists of amounts donated by the Eli Lilly and Company Foundation, Inc. ("Foundation") under its matching gift program, which is</w:t>
      </w:r>
      <w:r>
        <w:rPr>
          <w:rFonts w:ascii="Arial" w:cs="Arial" w:eastAsia="Arial" w:hAnsi="Arial"/>
          <w:sz w:val="14"/>
          <w:szCs w:val="14"/>
          <w:color w:val="auto"/>
        </w:rPr>
        <w:t xml:space="preserve"> </w:t>
      </w:r>
      <w:r>
        <w:rPr>
          <w:rFonts w:ascii="Arial" w:cs="Arial" w:eastAsia="Arial" w:hAnsi="Arial"/>
          <w:sz w:val="17"/>
          <w:szCs w:val="17"/>
          <w:color w:val="auto"/>
        </w:rPr>
        <w:t>generally available to U.S. employees as well as non-employee directors. Under this program, the Foundation matched 100 percent of charitable donations over $25 made to eligible charities, up to a maximum of $30,000 per year for each individual. The Foundation matched these donations via payments made directly to the recipient charity. The amounts for XXXXXXXXXX .</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7"/>
          <w:szCs w:val="17"/>
          <w:color w:val="auto"/>
        </w:rPr>
        <w:t>Directors do not participate in a company pension plan or non-equity incentive plan.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Director Compensation</w:t>
      </w:r>
    </w:p>
    <w:p>
      <w:pPr>
        <w:spacing w:after="0" w:line="25" w:lineRule="exact"/>
        <w:rPr>
          <w:sz w:val="20"/>
          <w:szCs w:val="20"/>
          <w:color w:val="auto"/>
        </w:rPr>
      </w:pPr>
    </w:p>
    <w:p>
      <w:pPr>
        <w:jc w:val="both"/>
        <w:ind w:right="60"/>
        <w:spacing w:after="0" w:line="256" w:lineRule="auto"/>
        <w:rPr>
          <w:sz w:val="20"/>
          <w:szCs w:val="20"/>
          <w:color w:val="auto"/>
        </w:rPr>
      </w:pPr>
      <w:r>
        <w:rPr>
          <w:rFonts w:ascii="Arial" w:cs="Arial" w:eastAsia="Arial" w:hAnsi="Arial"/>
          <w:sz w:val="17"/>
          <w:szCs w:val="17"/>
          <w:color w:val="auto"/>
        </w:rPr>
        <w:t>In 2018, the Directors and Corporate Governance Committee reviewed the company’s compensation for independent directors, including a peer group analysis which showed total director compensation slightly above the median. As a result of this analysis, the committee recommended no changes to independent director compensation for 2019.</w:t>
      </w:r>
    </w:p>
    <w:p>
      <w:pPr>
        <w:spacing w:after="0" w:line="287"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Director Independence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board annually determines the independence of directors based on a review by the Directors and</w:t>
      </w:r>
    </w:p>
    <w:p>
      <w:pPr>
        <w:spacing w:after="0" w:line="2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Corporate Governance Committee. No director is considered independent unless the board has determined that he or she has no material relationship with the company, either directly or as a partner, significant shareholder, or officer of an organization that has a material relationship with the company. Material relationships can include commercial, industrial, banking, consulting, legal, accounting, charitable, and familial relationships, among others. To evaluate the materiality of any such relationship, the board has adopted categorical independence standards consistent with the New York Stock Exchange (NYSE) listing standards, except that the “look-back period” for determining whether a director’s prior relationship(s) with the company impairs independence is extended from three to four years.</w:t>
      </w:r>
    </w:p>
    <w:p>
      <w:pPr>
        <w:spacing w:after="0" w:line="129" w:lineRule="exact"/>
        <w:rPr>
          <w:sz w:val="20"/>
          <w:szCs w:val="20"/>
          <w:color w:val="auto"/>
        </w:rPr>
      </w:pPr>
    </w:p>
    <w:p>
      <w:pPr>
        <w:ind w:right="400"/>
        <w:spacing w:after="0" w:line="292" w:lineRule="auto"/>
        <w:rPr>
          <w:sz w:val="20"/>
          <w:szCs w:val="20"/>
          <w:color w:val="auto"/>
        </w:rPr>
      </w:pPr>
      <w:r>
        <w:rPr>
          <w:rFonts w:ascii="Arial" w:cs="Arial" w:eastAsia="Arial" w:hAnsi="Arial"/>
          <w:sz w:val="17"/>
          <w:szCs w:val="17"/>
          <w:color w:val="auto"/>
        </w:rPr>
        <w:t xml:space="preserve">The company's process for determining director independence is set forth in our Standards for Director Independence, which can be found on our website at </w:t>
      </w:r>
      <w:r>
        <w:rPr>
          <w:rFonts w:ascii="Arial" w:cs="Arial" w:eastAsia="Arial" w:hAnsi="Arial"/>
          <w:sz w:val="17"/>
          <w:szCs w:val="17"/>
          <w:color w:val="EE2724"/>
        </w:rPr>
        <w:t>lilly.com/who-we-are/governance</w:t>
      </w:r>
      <w:r>
        <w:rPr>
          <w:rFonts w:ascii="Arial" w:cs="Arial" w:eastAsia="Arial" w:hAnsi="Arial"/>
          <w:sz w:val="17"/>
          <w:szCs w:val="17"/>
          <w:color w:val="auto"/>
        </w:rPr>
        <w:t>, along with our Corporate Governance Guidelines.</w:t>
      </w:r>
    </w:p>
    <w:p>
      <w:pPr>
        <w:spacing w:after="0" w:line="9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On the recommendation of the Directors and Corporate Governance Committee, the board determined that each current non-employee director is independent. Prior to his retirement in 2018, the board reached the same conclusions regarding Dr. Hoover, and determined that the members of each committee also meet our independence standards. The board determined that none of the non-employee directors has had during the last four years</w:t>
      </w:r>
    </w:p>
    <w:p>
      <w:pPr>
        <w:spacing w:after="0" w:line="2" w:lineRule="exact"/>
        <w:rPr>
          <w:sz w:val="20"/>
          <w:szCs w:val="20"/>
          <w:color w:val="auto"/>
        </w:rPr>
      </w:pPr>
    </w:p>
    <w:p>
      <w:pPr>
        <w:ind w:right="100" w:firstLine="8"/>
        <w:spacing w:after="0" w:line="256" w:lineRule="auto"/>
        <w:tabs>
          <w:tab w:leader="none" w:pos="199"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of the relationships identified in the company’s categorical independence standards or (ii) any other material relationship with the company that would compromise his or her independence. The table that follows includes a description of categories or types of transactions, relationships, or arrangements the board considered in reaching its determinations.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P21</w:t>
      </w:r>
    </w:p>
    <w:p>
      <w:pPr>
        <w:sectPr>
          <w:pgSz w:w="11900" w:h="16838" w:orient="portrait"/>
          <w:cols w:equalWidth="0" w:num="1">
            <w:col w:w="11400"/>
          </w:cols>
          <w:pgMar w:left="240" w:top="557" w:right="259" w:bottom="1440" w:gutter="0" w:footer="0" w:header="0"/>
        </w:sectPr>
      </w:pPr>
    </w:p>
    <w:bookmarkStart w:id="25" w:name="page26"/>
    <w:bookmarkEnd w:id="25"/>
    <w:tbl>
      <w:tblPr>
        <w:tblLayout w:type="fixed"/>
        <w:tblInd w:w="1560" w:type="dxa"/>
        <w:tblCellMar>
          <w:top w:w="0" w:type="dxa"/>
          <w:left w:w="0" w:type="dxa"/>
          <w:bottom w:w="0" w:type="dxa"/>
          <w:right w:w="0" w:type="dxa"/>
        </w:tblCellMar>
      </w:tblPr>
      <w:tr>
        <w:trPr>
          <w:trHeight w:val="196"/>
        </w:trPr>
        <w:tc>
          <w:tcPr>
            <w:tcW w:w="1140" w:type="dxa"/>
            <w:vAlign w:val="bottom"/>
            <w:shd w:val="clear" w:color="auto" w:fill="C8C9CB"/>
          </w:tcPr>
          <w:p>
            <w:pPr>
              <w:spacing w:after="0"/>
              <w:rPr>
                <w:sz w:val="17"/>
                <w:szCs w:val="17"/>
                <w:color w:val="auto"/>
              </w:rPr>
            </w:pPr>
          </w:p>
        </w:tc>
        <w:tc>
          <w:tcPr>
            <w:tcW w:w="1060" w:type="dxa"/>
            <w:vAlign w:val="bottom"/>
            <w:shd w:val="clear" w:color="auto" w:fill="C8C9CB"/>
          </w:tcPr>
          <w:p>
            <w:pPr>
              <w:spacing w:after="0"/>
              <w:rPr>
                <w:sz w:val="17"/>
                <w:szCs w:val="17"/>
                <w:color w:val="auto"/>
              </w:rPr>
            </w:pPr>
          </w:p>
        </w:tc>
        <w:tc>
          <w:tcPr>
            <w:tcW w:w="940" w:type="dxa"/>
            <w:vAlign w:val="bottom"/>
            <w:shd w:val="clear" w:color="auto" w:fill="C8C9CB"/>
          </w:tcPr>
          <w:p>
            <w:pPr>
              <w:spacing w:after="0"/>
              <w:rPr>
                <w:sz w:val="17"/>
                <w:szCs w:val="17"/>
                <w:color w:val="auto"/>
              </w:rPr>
            </w:pPr>
          </w:p>
        </w:tc>
        <w:tc>
          <w:tcPr>
            <w:tcW w:w="1160" w:type="dxa"/>
            <w:vAlign w:val="bottom"/>
            <w:shd w:val="clear" w:color="auto" w:fill="C8C9CB"/>
          </w:tcPr>
          <w:p>
            <w:pPr>
              <w:ind w:left="320"/>
              <w:spacing w:after="0"/>
              <w:rPr>
                <w:sz w:val="20"/>
                <w:szCs w:val="20"/>
                <w:color w:val="auto"/>
              </w:rPr>
            </w:pPr>
            <w:r>
              <w:rPr>
                <w:rFonts w:ascii="Arial" w:cs="Arial" w:eastAsia="Arial" w:hAnsi="Arial"/>
                <w:sz w:val="16"/>
                <w:szCs w:val="16"/>
                <w:b w:val="1"/>
                <w:bCs w:val="1"/>
                <w:color w:val="00ABE8"/>
              </w:rPr>
              <w:t>Director</w:t>
            </w:r>
          </w:p>
        </w:tc>
        <w:tc>
          <w:tcPr>
            <w:tcW w:w="2460" w:type="dxa"/>
            <w:vAlign w:val="bottom"/>
            <w:shd w:val="clear" w:color="auto" w:fill="C8C9CB"/>
          </w:tcPr>
          <w:p>
            <w:pPr>
              <w:spacing w:after="0"/>
              <w:rPr>
                <w:sz w:val="17"/>
                <w:szCs w:val="17"/>
                <w:color w:val="auto"/>
              </w:rPr>
            </w:pPr>
          </w:p>
        </w:tc>
        <w:tc>
          <w:tcPr>
            <w:tcW w:w="1560" w:type="dxa"/>
            <w:vAlign w:val="bottom"/>
            <w:shd w:val="clear" w:color="auto" w:fill="C8C9CB"/>
          </w:tcPr>
          <w:p>
            <w:pPr>
              <w:jc w:val="center"/>
              <w:spacing w:after="0"/>
              <w:rPr>
                <w:sz w:val="20"/>
                <w:szCs w:val="20"/>
                <w:color w:val="auto"/>
              </w:rPr>
            </w:pPr>
            <w:r>
              <w:rPr>
                <w:rFonts w:ascii="Arial" w:cs="Arial" w:eastAsia="Arial" w:hAnsi="Arial"/>
                <w:sz w:val="16"/>
                <w:szCs w:val="16"/>
                <w:b w:val="1"/>
                <w:bCs w:val="1"/>
                <w:color w:val="00ABE8"/>
              </w:rPr>
              <w:t>2018 Aggregate</w:t>
            </w:r>
          </w:p>
        </w:tc>
        <w:tc>
          <w:tcPr>
            <w:tcW w:w="0" w:type="dxa"/>
            <w:vAlign w:val="bottom"/>
          </w:tcPr>
          <w:p>
            <w:pPr>
              <w:spacing w:after="0"/>
              <w:rPr>
                <w:sz w:val="1"/>
                <w:szCs w:val="1"/>
                <w:color w:val="auto"/>
              </w:rPr>
            </w:pPr>
          </w:p>
        </w:tc>
      </w:tr>
      <w:tr>
        <w:trPr>
          <w:trHeight w:val="189"/>
        </w:trPr>
        <w:tc>
          <w:tcPr>
            <w:tcW w:w="1140" w:type="dxa"/>
            <w:vAlign w:val="bottom"/>
            <w:shd w:val="clear" w:color="auto" w:fill="C8C9CB"/>
          </w:tcPr>
          <w:p>
            <w:pPr>
              <w:spacing w:after="0"/>
              <w:rPr>
                <w:sz w:val="16"/>
                <w:szCs w:val="16"/>
                <w:color w:val="auto"/>
              </w:rPr>
            </w:pPr>
          </w:p>
        </w:tc>
        <w:tc>
          <w:tcPr>
            <w:tcW w:w="1060" w:type="dxa"/>
            <w:vAlign w:val="bottom"/>
            <w:shd w:val="clear" w:color="auto" w:fill="C8C9CB"/>
          </w:tcPr>
          <w:p>
            <w:pPr>
              <w:spacing w:after="0"/>
              <w:rPr>
                <w:sz w:val="16"/>
                <w:szCs w:val="16"/>
                <w:color w:val="auto"/>
              </w:rPr>
            </w:pPr>
          </w:p>
        </w:tc>
        <w:tc>
          <w:tcPr>
            <w:tcW w:w="940" w:type="dxa"/>
            <w:vAlign w:val="bottom"/>
            <w:shd w:val="clear" w:color="auto" w:fill="C8C9CB"/>
          </w:tcPr>
          <w:p>
            <w:pPr>
              <w:spacing w:after="0"/>
              <w:rPr>
                <w:sz w:val="16"/>
                <w:szCs w:val="16"/>
                <w:color w:val="auto"/>
              </w:rPr>
            </w:pPr>
          </w:p>
        </w:tc>
        <w:tc>
          <w:tcPr>
            <w:tcW w:w="1160" w:type="dxa"/>
            <w:vAlign w:val="bottom"/>
            <w:shd w:val="clear" w:color="auto" w:fill="C8C9CB"/>
          </w:tcPr>
          <w:p>
            <w:pPr>
              <w:ind w:left="140"/>
              <w:spacing w:after="0"/>
              <w:rPr>
                <w:sz w:val="20"/>
                <w:szCs w:val="20"/>
                <w:color w:val="auto"/>
              </w:rPr>
            </w:pPr>
            <w:r>
              <w:rPr>
                <w:rFonts w:ascii="Arial" w:cs="Arial" w:eastAsia="Arial" w:hAnsi="Arial"/>
                <w:sz w:val="16"/>
                <w:szCs w:val="16"/>
                <w:b w:val="1"/>
                <w:bCs w:val="1"/>
                <w:color w:val="00ABE8"/>
              </w:rPr>
              <w:t>Relationship</w:t>
            </w:r>
          </w:p>
        </w:tc>
        <w:tc>
          <w:tcPr>
            <w:tcW w:w="2460" w:type="dxa"/>
            <w:vAlign w:val="bottom"/>
            <w:shd w:val="clear" w:color="auto" w:fill="C8C9CB"/>
          </w:tcPr>
          <w:p>
            <w:pPr>
              <w:ind w:left="120"/>
              <w:spacing w:after="0"/>
              <w:rPr>
                <w:sz w:val="20"/>
                <w:szCs w:val="20"/>
                <w:color w:val="auto"/>
              </w:rPr>
            </w:pPr>
            <w:r>
              <w:rPr>
                <w:rFonts w:ascii="Arial" w:cs="Arial" w:eastAsia="Arial" w:hAnsi="Arial"/>
                <w:sz w:val="16"/>
                <w:szCs w:val="16"/>
                <w:b w:val="1"/>
                <w:bCs w:val="1"/>
                <w:color w:val="00ABE8"/>
              </w:rPr>
              <w:t>Primary Type of Transaction/</w:t>
            </w:r>
          </w:p>
        </w:tc>
        <w:tc>
          <w:tcPr>
            <w:tcW w:w="1560" w:type="dxa"/>
            <w:vAlign w:val="bottom"/>
            <w:shd w:val="clear" w:color="auto" w:fill="C8C9CB"/>
          </w:tcPr>
          <w:p>
            <w:pPr>
              <w:jc w:val="center"/>
              <w:spacing w:after="0"/>
              <w:rPr>
                <w:sz w:val="20"/>
                <w:szCs w:val="20"/>
                <w:color w:val="auto"/>
              </w:rPr>
            </w:pPr>
            <w:r>
              <w:rPr>
                <w:rFonts w:ascii="Arial" w:cs="Arial" w:eastAsia="Arial" w:hAnsi="Arial"/>
                <w:sz w:val="16"/>
                <w:szCs w:val="16"/>
                <w:b w:val="1"/>
                <w:bCs w:val="1"/>
                <w:color w:val="00ABE8"/>
              </w:rPr>
              <w:t>Percentage of</w:t>
            </w:r>
          </w:p>
        </w:tc>
        <w:tc>
          <w:tcPr>
            <w:tcW w:w="0" w:type="dxa"/>
            <w:vAlign w:val="bottom"/>
          </w:tcPr>
          <w:p>
            <w:pPr>
              <w:spacing w:after="0"/>
              <w:rPr>
                <w:sz w:val="1"/>
                <w:szCs w:val="1"/>
                <w:color w:val="auto"/>
              </w:rPr>
            </w:pPr>
          </w:p>
        </w:tc>
      </w:tr>
      <w:tr>
        <w:trPr>
          <w:trHeight w:val="189"/>
        </w:trPr>
        <w:tc>
          <w:tcPr>
            <w:tcW w:w="1140" w:type="dxa"/>
            <w:vAlign w:val="bottom"/>
            <w:shd w:val="clear" w:color="auto" w:fill="C8C9CB"/>
          </w:tcPr>
          <w:p>
            <w:pPr>
              <w:spacing w:after="0"/>
              <w:rPr>
                <w:sz w:val="16"/>
                <w:szCs w:val="16"/>
                <w:color w:val="auto"/>
              </w:rPr>
            </w:pPr>
          </w:p>
        </w:tc>
        <w:tc>
          <w:tcPr>
            <w:tcW w:w="1060" w:type="dxa"/>
            <w:vAlign w:val="bottom"/>
            <w:shd w:val="clear" w:color="auto" w:fill="C8C9CB"/>
          </w:tcPr>
          <w:p>
            <w:pPr>
              <w:spacing w:after="0"/>
              <w:rPr>
                <w:sz w:val="16"/>
                <w:szCs w:val="16"/>
                <w:color w:val="auto"/>
              </w:rPr>
            </w:pPr>
          </w:p>
        </w:tc>
        <w:tc>
          <w:tcPr>
            <w:tcW w:w="940" w:type="dxa"/>
            <w:vAlign w:val="bottom"/>
            <w:shd w:val="clear" w:color="auto" w:fill="C8C9CB"/>
          </w:tcPr>
          <w:p>
            <w:pPr>
              <w:ind w:left="240"/>
              <w:spacing w:after="0"/>
              <w:rPr>
                <w:sz w:val="20"/>
                <w:szCs w:val="20"/>
                <w:color w:val="auto"/>
              </w:rPr>
            </w:pPr>
            <w:r>
              <w:rPr>
                <w:rFonts w:ascii="Arial" w:cs="Arial" w:eastAsia="Arial" w:hAnsi="Arial"/>
                <w:sz w:val="16"/>
                <w:szCs w:val="16"/>
                <w:b w:val="1"/>
                <w:bCs w:val="1"/>
                <w:color w:val="00ABE8"/>
              </w:rPr>
              <w:t>Type of</w:t>
            </w:r>
          </w:p>
        </w:tc>
        <w:tc>
          <w:tcPr>
            <w:tcW w:w="1160" w:type="dxa"/>
            <w:vAlign w:val="bottom"/>
            <w:shd w:val="clear" w:color="auto" w:fill="C8C9CB"/>
          </w:tcPr>
          <w:p>
            <w:pPr>
              <w:ind w:left="560"/>
              <w:spacing w:after="0"/>
              <w:rPr>
                <w:sz w:val="20"/>
                <w:szCs w:val="20"/>
                <w:color w:val="auto"/>
              </w:rPr>
            </w:pPr>
            <w:r>
              <w:rPr>
                <w:rFonts w:ascii="Arial" w:cs="Arial" w:eastAsia="Arial" w:hAnsi="Arial"/>
                <w:sz w:val="16"/>
                <w:szCs w:val="16"/>
                <w:b w:val="1"/>
                <w:bCs w:val="1"/>
                <w:color w:val="00ABE8"/>
              </w:rPr>
              <w:t>to</w:t>
            </w:r>
          </w:p>
        </w:tc>
        <w:tc>
          <w:tcPr>
            <w:tcW w:w="2460" w:type="dxa"/>
            <w:vAlign w:val="bottom"/>
            <w:shd w:val="clear" w:color="auto" w:fill="C8C9CB"/>
          </w:tcPr>
          <w:p>
            <w:pPr>
              <w:ind w:left="200"/>
              <w:spacing w:after="0"/>
              <w:rPr>
                <w:sz w:val="20"/>
                <w:szCs w:val="20"/>
                <w:color w:val="auto"/>
              </w:rPr>
            </w:pPr>
            <w:r>
              <w:rPr>
                <w:rFonts w:ascii="Arial" w:cs="Arial" w:eastAsia="Arial" w:hAnsi="Arial"/>
                <w:sz w:val="16"/>
                <w:szCs w:val="16"/>
                <w:b w:val="1"/>
                <w:bCs w:val="1"/>
                <w:color w:val="00ABE8"/>
              </w:rPr>
              <w:t>Relationship/ Arrangement</w:t>
            </w:r>
          </w:p>
        </w:tc>
        <w:tc>
          <w:tcPr>
            <w:tcW w:w="1560" w:type="dxa"/>
            <w:vAlign w:val="bottom"/>
            <w:shd w:val="clear" w:color="auto" w:fill="C8C9CB"/>
          </w:tcPr>
          <w:p>
            <w:pPr>
              <w:jc w:val="center"/>
              <w:spacing w:after="0"/>
              <w:rPr>
                <w:sz w:val="20"/>
                <w:szCs w:val="20"/>
                <w:color w:val="auto"/>
              </w:rPr>
            </w:pPr>
            <w:r>
              <w:rPr>
                <w:rFonts w:ascii="Arial" w:cs="Arial" w:eastAsia="Arial" w:hAnsi="Arial"/>
                <w:sz w:val="16"/>
                <w:szCs w:val="16"/>
                <w:b w:val="1"/>
                <w:bCs w:val="1"/>
                <w:color w:val="00ABE8"/>
              </w:rPr>
              <w:t>Organization's</w:t>
            </w:r>
          </w:p>
        </w:tc>
        <w:tc>
          <w:tcPr>
            <w:tcW w:w="0" w:type="dxa"/>
            <w:vAlign w:val="bottom"/>
          </w:tcPr>
          <w:p>
            <w:pPr>
              <w:spacing w:after="0"/>
              <w:rPr>
                <w:sz w:val="1"/>
                <w:szCs w:val="1"/>
                <w:color w:val="auto"/>
              </w:rPr>
            </w:pPr>
          </w:p>
        </w:tc>
      </w:tr>
      <w:tr>
        <w:trPr>
          <w:trHeight w:val="236"/>
        </w:trPr>
        <w:tc>
          <w:tcPr>
            <w:tcW w:w="1140" w:type="dxa"/>
            <w:vAlign w:val="bottom"/>
            <w:shd w:val="clear" w:color="auto" w:fill="C8C9CB"/>
          </w:tcPr>
          <w:p>
            <w:pPr>
              <w:ind w:left="260"/>
              <w:spacing w:after="0"/>
              <w:rPr>
                <w:sz w:val="20"/>
                <w:szCs w:val="20"/>
                <w:color w:val="auto"/>
              </w:rPr>
            </w:pPr>
            <w:r>
              <w:rPr>
                <w:rFonts w:ascii="Arial" w:cs="Arial" w:eastAsia="Arial" w:hAnsi="Arial"/>
                <w:sz w:val="16"/>
                <w:szCs w:val="16"/>
                <w:b w:val="1"/>
                <w:bCs w:val="1"/>
                <w:color w:val="00ABE8"/>
              </w:rPr>
              <w:t>Director</w:t>
            </w:r>
          </w:p>
        </w:tc>
        <w:tc>
          <w:tcPr>
            <w:tcW w:w="5620" w:type="dxa"/>
            <w:vAlign w:val="bottom"/>
            <w:gridSpan w:val="4"/>
            <w:shd w:val="clear" w:color="auto" w:fill="C8C9CB"/>
          </w:tcPr>
          <w:p>
            <w:pPr>
              <w:ind w:left="40"/>
              <w:spacing w:after="0"/>
              <w:rPr>
                <w:sz w:val="20"/>
                <w:szCs w:val="20"/>
                <w:color w:val="auto"/>
              </w:rPr>
            </w:pPr>
            <w:r>
              <w:rPr>
                <w:rFonts w:ascii="Arial" w:cs="Arial" w:eastAsia="Arial" w:hAnsi="Arial"/>
                <w:sz w:val="16"/>
                <w:szCs w:val="16"/>
                <w:b w:val="1"/>
                <w:bCs w:val="1"/>
                <w:color w:val="00ABE8"/>
              </w:rPr>
              <w:t>Organization Organization Organization between Lilly and Organization</w:t>
            </w:r>
          </w:p>
        </w:tc>
        <w:tc>
          <w:tcPr>
            <w:tcW w:w="1560" w:type="dxa"/>
            <w:vAlign w:val="bottom"/>
            <w:shd w:val="clear" w:color="auto" w:fill="C8C9CB"/>
          </w:tcPr>
          <w:p>
            <w:pPr>
              <w:jc w:val="center"/>
              <w:spacing w:after="0"/>
              <w:rPr>
                <w:sz w:val="20"/>
                <w:szCs w:val="20"/>
                <w:color w:val="auto"/>
              </w:rPr>
            </w:pPr>
            <w:r>
              <w:rPr>
                <w:rFonts w:ascii="Arial" w:cs="Arial" w:eastAsia="Arial" w:hAnsi="Arial"/>
                <w:sz w:val="16"/>
                <w:szCs w:val="16"/>
                <w:b w:val="1"/>
                <w:bCs w:val="1"/>
                <w:color w:val="00ABE8"/>
              </w:rPr>
              <w:t>Revenue</w:t>
            </w: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1060" w:type="dxa"/>
            <w:vAlign w:val="bottom"/>
          </w:tcPr>
          <w:p>
            <w:pPr>
              <w:ind w:left="20"/>
              <w:spacing w:after="0" w:line="159" w:lineRule="exact"/>
              <w:rPr>
                <w:sz w:val="20"/>
                <w:szCs w:val="20"/>
                <w:color w:val="auto"/>
              </w:rPr>
            </w:pPr>
            <w:r>
              <w:rPr>
                <w:rFonts w:ascii="Arial" w:cs="Arial" w:eastAsia="Arial" w:hAnsi="Arial"/>
                <w:sz w:val="14"/>
                <w:szCs w:val="14"/>
                <w:color w:val="auto"/>
              </w:rPr>
              <w:t>University of</w:t>
            </w:r>
          </w:p>
        </w:tc>
        <w:tc>
          <w:tcPr>
            <w:tcW w:w="940" w:type="dxa"/>
            <w:vAlign w:val="bottom"/>
          </w:tcPr>
          <w:p>
            <w:pPr>
              <w:ind w:left="20"/>
              <w:spacing w:after="0" w:line="159" w:lineRule="exact"/>
              <w:rPr>
                <w:sz w:val="20"/>
                <w:szCs w:val="20"/>
                <w:color w:val="auto"/>
              </w:rPr>
            </w:pPr>
            <w:r>
              <w:rPr>
                <w:rFonts w:ascii="Arial" w:cs="Arial" w:eastAsia="Arial" w:hAnsi="Arial"/>
                <w:sz w:val="14"/>
                <w:szCs w:val="14"/>
                <w:color w:val="auto"/>
              </w:rPr>
              <w:t>Educational</w:t>
            </w: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14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Dr. Baicker</w:t>
            </w:r>
          </w:p>
        </w:tc>
        <w:tc>
          <w:tcPr>
            <w:tcW w:w="106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Chicago</w:t>
            </w:r>
          </w:p>
        </w:tc>
        <w:tc>
          <w:tcPr>
            <w:tcW w:w="94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Institution</w:t>
            </w:r>
          </w:p>
        </w:tc>
        <w:tc>
          <w:tcPr>
            <w:tcW w:w="1160" w:type="dxa"/>
            <w:vAlign w:val="bottom"/>
            <w:tcBorders>
              <w:bottom w:val="single" w:sz="8" w:color="C8C9CB"/>
            </w:tcBorders>
          </w:tcPr>
          <w:p>
            <w:pPr>
              <w:ind w:left="140"/>
              <w:spacing w:after="0"/>
              <w:rPr>
                <w:sz w:val="20"/>
                <w:szCs w:val="20"/>
                <w:color w:val="auto"/>
              </w:rPr>
            </w:pPr>
            <w:r>
              <w:rPr>
                <w:rFonts w:ascii="Arial" w:cs="Arial" w:eastAsia="Arial" w:hAnsi="Arial"/>
                <w:sz w:val="14"/>
                <w:szCs w:val="14"/>
                <w:color w:val="auto"/>
              </w:rPr>
              <w:t>Employee</w:t>
            </w:r>
          </w:p>
        </w:tc>
        <w:tc>
          <w:tcPr>
            <w:tcW w:w="246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Research grants</w:t>
            </w:r>
          </w:p>
        </w:tc>
        <w:tc>
          <w:tcPr>
            <w:tcW w:w="156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58"/>
        </w:trPr>
        <w:tc>
          <w:tcPr>
            <w:tcW w:w="1140" w:type="dxa"/>
            <w:vAlign w:val="bottom"/>
            <w:shd w:val="clear" w:color="auto" w:fill="F4F6F6"/>
          </w:tcPr>
          <w:p>
            <w:pPr>
              <w:spacing w:after="0"/>
              <w:rPr>
                <w:sz w:val="13"/>
                <w:szCs w:val="13"/>
                <w:color w:val="auto"/>
              </w:rPr>
            </w:pPr>
          </w:p>
        </w:tc>
        <w:tc>
          <w:tcPr>
            <w:tcW w:w="1060" w:type="dxa"/>
            <w:vAlign w:val="bottom"/>
            <w:shd w:val="clear" w:color="auto" w:fill="F4F6F6"/>
          </w:tcPr>
          <w:p>
            <w:pPr>
              <w:ind w:left="20"/>
              <w:spacing w:after="0" w:line="159" w:lineRule="exact"/>
              <w:rPr>
                <w:sz w:val="20"/>
                <w:szCs w:val="20"/>
                <w:color w:val="auto"/>
              </w:rPr>
            </w:pPr>
            <w:r>
              <w:rPr>
                <w:rFonts w:ascii="Arial" w:cs="Arial" w:eastAsia="Arial" w:hAnsi="Arial"/>
                <w:sz w:val="14"/>
                <w:szCs w:val="14"/>
                <w:color w:val="auto"/>
              </w:rPr>
              <w:t>Stanford</w:t>
            </w:r>
          </w:p>
        </w:tc>
        <w:tc>
          <w:tcPr>
            <w:tcW w:w="940" w:type="dxa"/>
            <w:vAlign w:val="bottom"/>
            <w:shd w:val="clear" w:color="auto" w:fill="F4F6F6"/>
          </w:tcPr>
          <w:p>
            <w:pPr>
              <w:ind w:left="20"/>
              <w:spacing w:after="0" w:line="159" w:lineRule="exact"/>
              <w:rPr>
                <w:sz w:val="20"/>
                <w:szCs w:val="20"/>
                <w:color w:val="auto"/>
              </w:rPr>
            </w:pPr>
            <w:r>
              <w:rPr>
                <w:rFonts w:ascii="Arial" w:cs="Arial" w:eastAsia="Arial" w:hAnsi="Arial"/>
                <w:sz w:val="14"/>
                <w:szCs w:val="14"/>
                <w:color w:val="auto"/>
              </w:rPr>
              <w:t>Educational</w:t>
            </w:r>
          </w:p>
        </w:tc>
        <w:tc>
          <w:tcPr>
            <w:tcW w:w="1160" w:type="dxa"/>
            <w:vAlign w:val="bottom"/>
            <w:shd w:val="clear" w:color="auto" w:fill="F4F6F6"/>
          </w:tcPr>
          <w:p>
            <w:pPr>
              <w:spacing w:after="0"/>
              <w:rPr>
                <w:sz w:val="13"/>
                <w:szCs w:val="13"/>
                <w:color w:val="auto"/>
              </w:rPr>
            </w:pPr>
          </w:p>
        </w:tc>
        <w:tc>
          <w:tcPr>
            <w:tcW w:w="2460" w:type="dxa"/>
            <w:vAlign w:val="bottom"/>
            <w:shd w:val="clear" w:color="auto" w:fill="F4F6F6"/>
          </w:tcPr>
          <w:p>
            <w:pPr>
              <w:spacing w:after="0"/>
              <w:rPr>
                <w:sz w:val="13"/>
                <w:szCs w:val="13"/>
                <w:color w:val="auto"/>
              </w:rPr>
            </w:pPr>
          </w:p>
        </w:tc>
        <w:tc>
          <w:tcPr>
            <w:tcW w:w="156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14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Dr. Bertozzi</w:t>
            </w:r>
          </w:p>
        </w:tc>
        <w:tc>
          <w:tcPr>
            <w:tcW w:w="106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University</w:t>
            </w:r>
          </w:p>
        </w:tc>
        <w:tc>
          <w:tcPr>
            <w:tcW w:w="94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Institution</w:t>
            </w:r>
          </w:p>
        </w:tc>
        <w:tc>
          <w:tcPr>
            <w:tcW w:w="1160" w:type="dxa"/>
            <w:vAlign w:val="bottom"/>
            <w:tcBorders>
              <w:bottom w:val="single" w:sz="8" w:color="C8C9CB"/>
            </w:tcBorders>
            <w:shd w:val="clear" w:color="auto" w:fill="F4F6F6"/>
          </w:tcPr>
          <w:p>
            <w:pPr>
              <w:ind w:left="140"/>
              <w:spacing w:after="0"/>
              <w:rPr>
                <w:sz w:val="20"/>
                <w:szCs w:val="20"/>
                <w:color w:val="auto"/>
              </w:rPr>
            </w:pPr>
            <w:r>
              <w:rPr>
                <w:rFonts w:ascii="Arial" w:cs="Arial" w:eastAsia="Arial" w:hAnsi="Arial"/>
                <w:sz w:val="14"/>
                <w:szCs w:val="14"/>
                <w:color w:val="auto"/>
              </w:rPr>
              <w:t>Employee</w:t>
            </w:r>
          </w:p>
        </w:tc>
        <w:tc>
          <w:tcPr>
            <w:tcW w:w="246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Research grants</w:t>
            </w:r>
          </w:p>
        </w:tc>
        <w:tc>
          <w:tcPr>
            <w:tcW w:w="156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1060" w:type="dxa"/>
            <w:vAlign w:val="bottom"/>
          </w:tcPr>
          <w:p>
            <w:pPr>
              <w:ind w:left="20"/>
              <w:spacing w:after="0" w:line="159" w:lineRule="exact"/>
              <w:rPr>
                <w:sz w:val="20"/>
                <w:szCs w:val="20"/>
                <w:color w:val="auto"/>
              </w:rPr>
            </w:pPr>
            <w:r>
              <w:rPr>
                <w:rFonts w:ascii="Arial" w:cs="Arial" w:eastAsia="Arial" w:hAnsi="Arial"/>
                <w:sz w:val="14"/>
                <w:szCs w:val="14"/>
                <w:color w:val="auto"/>
              </w:rPr>
              <w:t>Syngenta</w:t>
            </w:r>
          </w:p>
        </w:tc>
        <w:tc>
          <w:tcPr>
            <w:tcW w:w="940" w:type="dxa"/>
            <w:vAlign w:val="bottom"/>
          </w:tcPr>
          <w:p>
            <w:pPr>
              <w:ind w:left="20"/>
              <w:spacing w:after="0" w:line="159" w:lineRule="exact"/>
              <w:rPr>
                <w:sz w:val="20"/>
                <w:szCs w:val="20"/>
                <w:color w:val="auto"/>
              </w:rPr>
            </w:pPr>
            <w:r>
              <w:rPr>
                <w:rFonts w:ascii="Arial" w:cs="Arial" w:eastAsia="Arial" w:hAnsi="Arial"/>
                <w:sz w:val="14"/>
                <w:szCs w:val="14"/>
                <w:color w:val="auto"/>
              </w:rPr>
              <w:t>For-profit</w:t>
            </w:r>
          </w:p>
        </w:tc>
        <w:tc>
          <w:tcPr>
            <w:tcW w:w="1160" w:type="dxa"/>
            <w:vAlign w:val="bottom"/>
          </w:tcPr>
          <w:p>
            <w:pPr>
              <w:ind w:left="140"/>
              <w:spacing w:after="0" w:line="159" w:lineRule="exact"/>
              <w:rPr>
                <w:sz w:val="20"/>
                <w:szCs w:val="20"/>
                <w:color w:val="auto"/>
              </w:rPr>
            </w:pPr>
            <w:r>
              <w:rPr>
                <w:rFonts w:ascii="Arial" w:cs="Arial" w:eastAsia="Arial" w:hAnsi="Arial"/>
                <w:sz w:val="14"/>
                <w:szCs w:val="14"/>
                <w:color w:val="auto"/>
              </w:rPr>
              <w:t>Executive</w:t>
            </w:r>
          </w:p>
        </w:tc>
        <w:tc>
          <w:tcPr>
            <w:tcW w:w="24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14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Mr. Fyrwald</w:t>
            </w:r>
          </w:p>
        </w:tc>
        <w:tc>
          <w:tcPr>
            <w:tcW w:w="106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International AG</w:t>
            </w:r>
          </w:p>
        </w:tc>
        <w:tc>
          <w:tcPr>
            <w:tcW w:w="94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Corporation</w:t>
            </w:r>
          </w:p>
        </w:tc>
        <w:tc>
          <w:tcPr>
            <w:tcW w:w="1160" w:type="dxa"/>
            <w:vAlign w:val="bottom"/>
            <w:tcBorders>
              <w:bottom w:val="single" w:sz="8" w:color="C8C9CB"/>
            </w:tcBorders>
          </w:tcPr>
          <w:p>
            <w:pPr>
              <w:ind w:left="140"/>
              <w:spacing w:after="0"/>
              <w:rPr>
                <w:sz w:val="20"/>
                <w:szCs w:val="20"/>
                <w:color w:val="auto"/>
              </w:rPr>
            </w:pPr>
            <w:r>
              <w:rPr>
                <w:rFonts w:ascii="Arial" w:cs="Arial" w:eastAsia="Arial" w:hAnsi="Arial"/>
                <w:sz w:val="14"/>
                <w:szCs w:val="14"/>
                <w:color w:val="auto"/>
              </w:rPr>
              <w:t>Officer</w:t>
            </w:r>
          </w:p>
        </w:tc>
        <w:tc>
          <w:tcPr>
            <w:tcW w:w="246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Purchase of products</w:t>
            </w:r>
          </w:p>
        </w:tc>
        <w:tc>
          <w:tcPr>
            <w:tcW w:w="156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58"/>
        </w:trPr>
        <w:tc>
          <w:tcPr>
            <w:tcW w:w="1140" w:type="dxa"/>
            <w:vAlign w:val="bottom"/>
            <w:shd w:val="clear" w:color="auto" w:fill="F4F6F6"/>
          </w:tcPr>
          <w:p>
            <w:pPr>
              <w:spacing w:after="0"/>
              <w:rPr>
                <w:sz w:val="13"/>
                <w:szCs w:val="13"/>
                <w:color w:val="auto"/>
              </w:rPr>
            </w:pPr>
          </w:p>
        </w:tc>
        <w:tc>
          <w:tcPr>
            <w:tcW w:w="1060" w:type="dxa"/>
            <w:vAlign w:val="bottom"/>
            <w:shd w:val="clear" w:color="auto" w:fill="F4F6F6"/>
          </w:tcPr>
          <w:p>
            <w:pPr>
              <w:ind w:left="20"/>
              <w:spacing w:after="0" w:line="159" w:lineRule="exact"/>
              <w:rPr>
                <w:sz w:val="20"/>
                <w:szCs w:val="20"/>
                <w:color w:val="auto"/>
              </w:rPr>
            </w:pPr>
            <w:r>
              <w:rPr>
                <w:rFonts w:ascii="Arial" w:cs="Arial" w:eastAsia="Arial" w:hAnsi="Arial"/>
                <w:sz w:val="14"/>
                <w:szCs w:val="14"/>
                <w:color w:val="auto"/>
              </w:rPr>
              <w:t>Hertz Global</w:t>
            </w:r>
          </w:p>
        </w:tc>
        <w:tc>
          <w:tcPr>
            <w:tcW w:w="940" w:type="dxa"/>
            <w:vAlign w:val="bottom"/>
            <w:shd w:val="clear" w:color="auto" w:fill="F4F6F6"/>
          </w:tcPr>
          <w:p>
            <w:pPr>
              <w:ind w:left="20"/>
              <w:spacing w:after="0" w:line="159" w:lineRule="exact"/>
              <w:rPr>
                <w:sz w:val="20"/>
                <w:szCs w:val="20"/>
                <w:color w:val="auto"/>
              </w:rPr>
            </w:pPr>
            <w:r>
              <w:rPr>
                <w:rFonts w:ascii="Arial" w:cs="Arial" w:eastAsia="Arial" w:hAnsi="Arial"/>
                <w:sz w:val="14"/>
                <w:szCs w:val="14"/>
                <w:color w:val="auto"/>
              </w:rPr>
              <w:t>For-profit</w:t>
            </w:r>
          </w:p>
        </w:tc>
        <w:tc>
          <w:tcPr>
            <w:tcW w:w="1160" w:type="dxa"/>
            <w:vAlign w:val="bottom"/>
            <w:shd w:val="clear" w:color="auto" w:fill="F4F6F6"/>
          </w:tcPr>
          <w:p>
            <w:pPr>
              <w:ind w:left="140"/>
              <w:spacing w:after="0" w:line="159" w:lineRule="exact"/>
              <w:rPr>
                <w:sz w:val="20"/>
                <w:szCs w:val="20"/>
                <w:color w:val="auto"/>
              </w:rPr>
            </w:pPr>
            <w:r>
              <w:rPr>
                <w:rFonts w:ascii="Arial" w:cs="Arial" w:eastAsia="Arial" w:hAnsi="Arial"/>
                <w:sz w:val="14"/>
                <w:szCs w:val="14"/>
                <w:color w:val="auto"/>
              </w:rPr>
              <w:t>Executive</w:t>
            </w:r>
          </w:p>
        </w:tc>
        <w:tc>
          <w:tcPr>
            <w:tcW w:w="2460" w:type="dxa"/>
            <w:vAlign w:val="bottom"/>
            <w:shd w:val="clear" w:color="auto" w:fill="F4F6F6"/>
          </w:tcPr>
          <w:p>
            <w:pPr>
              <w:spacing w:after="0"/>
              <w:rPr>
                <w:sz w:val="13"/>
                <w:szCs w:val="13"/>
                <w:color w:val="auto"/>
              </w:rPr>
            </w:pPr>
          </w:p>
        </w:tc>
        <w:tc>
          <w:tcPr>
            <w:tcW w:w="156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40" w:type="dxa"/>
            <w:vAlign w:val="bottom"/>
            <w:vMerge w:val="restart"/>
            <w:shd w:val="clear" w:color="auto" w:fill="F4F6F6"/>
          </w:tcPr>
          <w:p>
            <w:pPr>
              <w:ind w:left="20"/>
              <w:spacing w:after="0"/>
              <w:rPr>
                <w:sz w:val="20"/>
                <w:szCs w:val="20"/>
                <w:color w:val="auto"/>
              </w:rPr>
            </w:pPr>
            <w:r>
              <w:rPr>
                <w:rFonts w:ascii="Arial" w:cs="Arial" w:eastAsia="Arial" w:hAnsi="Arial"/>
                <w:sz w:val="14"/>
                <w:szCs w:val="14"/>
                <w:color w:val="auto"/>
              </w:rPr>
              <w:t>Mr. Jackson</w:t>
            </w:r>
          </w:p>
        </w:tc>
        <w:tc>
          <w:tcPr>
            <w:tcW w:w="1060" w:type="dxa"/>
            <w:vAlign w:val="bottom"/>
            <w:shd w:val="clear" w:color="auto" w:fill="F4F6F6"/>
          </w:tcPr>
          <w:p>
            <w:pPr>
              <w:ind w:left="20"/>
              <w:spacing w:after="0"/>
              <w:rPr>
                <w:sz w:val="20"/>
                <w:szCs w:val="20"/>
                <w:color w:val="auto"/>
              </w:rPr>
            </w:pPr>
            <w:r>
              <w:rPr>
                <w:rFonts w:ascii="Arial" w:cs="Arial" w:eastAsia="Arial" w:hAnsi="Arial"/>
                <w:sz w:val="14"/>
                <w:szCs w:val="14"/>
                <w:color w:val="auto"/>
              </w:rPr>
              <w:t>Holdings Inc</w:t>
            </w:r>
          </w:p>
        </w:tc>
        <w:tc>
          <w:tcPr>
            <w:tcW w:w="940" w:type="dxa"/>
            <w:vAlign w:val="bottom"/>
            <w:shd w:val="clear" w:color="auto" w:fill="F4F6F6"/>
          </w:tcPr>
          <w:p>
            <w:pPr>
              <w:ind w:left="20"/>
              <w:spacing w:after="0"/>
              <w:rPr>
                <w:sz w:val="20"/>
                <w:szCs w:val="20"/>
                <w:color w:val="auto"/>
              </w:rPr>
            </w:pPr>
            <w:r>
              <w:rPr>
                <w:rFonts w:ascii="Arial" w:cs="Arial" w:eastAsia="Arial" w:hAnsi="Arial"/>
                <w:sz w:val="14"/>
                <w:szCs w:val="14"/>
                <w:color w:val="auto"/>
              </w:rPr>
              <w:t>Corporation</w:t>
            </w:r>
          </w:p>
        </w:tc>
        <w:tc>
          <w:tcPr>
            <w:tcW w:w="1160" w:type="dxa"/>
            <w:vAlign w:val="bottom"/>
            <w:shd w:val="clear" w:color="auto" w:fill="F4F6F6"/>
          </w:tcPr>
          <w:p>
            <w:pPr>
              <w:ind w:left="140"/>
              <w:spacing w:after="0"/>
              <w:rPr>
                <w:sz w:val="20"/>
                <w:szCs w:val="20"/>
                <w:color w:val="auto"/>
              </w:rPr>
            </w:pPr>
            <w:r>
              <w:rPr>
                <w:rFonts w:ascii="Arial" w:cs="Arial" w:eastAsia="Arial" w:hAnsi="Arial"/>
                <w:sz w:val="14"/>
                <w:szCs w:val="14"/>
                <w:color w:val="auto"/>
              </w:rPr>
              <w:t>Officer</w:t>
            </w:r>
          </w:p>
        </w:tc>
        <w:tc>
          <w:tcPr>
            <w:tcW w:w="2460" w:type="dxa"/>
            <w:vAlign w:val="bottom"/>
            <w:shd w:val="clear" w:color="auto" w:fill="F4F6F6"/>
          </w:tcPr>
          <w:p>
            <w:pPr>
              <w:ind w:left="20"/>
              <w:spacing w:after="0"/>
              <w:rPr>
                <w:sz w:val="20"/>
                <w:szCs w:val="20"/>
                <w:color w:val="auto"/>
              </w:rPr>
            </w:pPr>
            <w:r>
              <w:rPr>
                <w:rFonts w:ascii="Arial" w:cs="Arial" w:eastAsia="Arial" w:hAnsi="Arial"/>
                <w:sz w:val="14"/>
                <w:szCs w:val="14"/>
                <w:color w:val="auto"/>
              </w:rPr>
              <w:t>Purchase of products</w:t>
            </w:r>
          </w:p>
        </w:tc>
        <w:tc>
          <w:tcPr>
            <w:tcW w:w="1560" w:type="dxa"/>
            <w:vAlign w:val="bottom"/>
            <w:shd w:val="clear" w:color="auto" w:fill="F4F6F6"/>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71"/>
        </w:trPr>
        <w:tc>
          <w:tcPr>
            <w:tcW w:w="1140" w:type="dxa"/>
            <w:vAlign w:val="bottom"/>
            <w:vMerge w:val="continue"/>
            <w:shd w:val="clear" w:color="auto" w:fill="F4F6F6"/>
          </w:tcPr>
          <w:p>
            <w:pPr>
              <w:spacing w:after="0"/>
              <w:rPr>
                <w:sz w:val="14"/>
                <w:szCs w:val="14"/>
                <w:color w:val="auto"/>
              </w:rPr>
            </w:pPr>
          </w:p>
        </w:tc>
        <w:tc>
          <w:tcPr>
            <w:tcW w:w="1060" w:type="dxa"/>
            <w:vAlign w:val="bottom"/>
            <w:shd w:val="clear" w:color="auto" w:fill="F4F6F6"/>
          </w:tcPr>
          <w:p>
            <w:pPr>
              <w:spacing w:after="0"/>
              <w:rPr>
                <w:sz w:val="14"/>
                <w:szCs w:val="14"/>
                <w:color w:val="auto"/>
              </w:rPr>
            </w:pPr>
          </w:p>
        </w:tc>
        <w:tc>
          <w:tcPr>
            <w:tcW w:w="940" w:type="dxa"/>
            <w:vAlign w:val="bottom"/>
            <w:shd w:val="clear" w:color="auto" w:fill="F4F6F6"/>
          </w:tcPr>
          <w:p>
            <w:pPr>
              <w:spacing w:after="0"/>
              <w:rPr>
                <w:sz w:val="14"/>
                <w:szCs w:val="14"/>
                <w:color w:val="auto"/>
              </w:rPr>
            </w:pPr>
          </w:p>
        </w:tc>
        <w:tc>
          <w:tcPr>
            <w:tcW w:w="1160" w:type="dxa"/>
            <w:vAlign w:val="bottom"/>
            <w:shd w:val="clear" w:color="auto" w:fill="F4F6F6"/>
          </w:tcPr>
          <w:p>
            <w:pPr>
              <w:ind w:left="140"/>
              <w:spacing w:after="0"/>
              <w:rPr>
                <w:sz w:val="20"/>
                <w:szCs w:val="20"/>
                <w:color w:val="auto"/>
              </w:rPr>
            </w:pPr>
            <w:r>
              <w:rPr>
                <w:rFonts w:ascii="Arial" w:cs="Arial" w:eastAsia="Arial" w:hAnsi="Arial"/>
                <w:sz w:val="14"/>
                <w:szCs w:val="14"/>
                <w:color w:val="auto"/>
              </w:rPr>
              <w:t>Former</w:t>
            </w:r>
          </w:p>
        </w:tc>
        <w:tc>
          <w:tcPr>
            <w:tcW w:w="2460" w:type="dxa"/>
            <w:vAlign w:val="bottom"/>
            <w:shd w:val="clear" w:color="auto" w:fill="F4F6F6"/>
          </w:tcPr>
          <w:p>
            <w:pPr>
              <w:spacing w:after="0"/>
              <w:rPr>
                <w:sz w:val="14"/>
                <w:szCs w:val="14"/>
                <w:color w:val="auto"/>
              </w:rPr>
            </w:pPr>
          </w:p>
        </w:tc>
        <w:tc>
          <w:tcPr>
            <w:tcW w:w="1560" w:type="dxa"/>
            <w:vAlign w:val="bottom"/>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F4F6F6"/>
          </w:tcPr>
          <w:p>
            <w:pPr>
              <w:spacing w:after="0"/>
              <w:rPr>
                <w:sz w:val="12"/>
                <w:szCs w:val="12"/>
                <w:color w:val="auto"/>
              </w:rPr>
            </w:pPr>
          </w:p>
        </w:tc>
        <w:tc>
          <w:tcPr>
            <w:tcW w:w="1060" w:type="dxa"/>
            <w:vAlign w:val="bottom"/>
            <w:shd w:val="clear" w:color="auto" w:fill="F4F6F6"/>
          </w:tcPr>
          <w:p>
            <w:pPr>
              <w:ind w:left="20"/>
              <w:spacing w:after="0" w:line="149" w:lineRule="exact"/>
              <w:rPr>
                <w:sz w:val="20"/>
                <w:szCs w:val="20"/>
                <w:color w:val="auto"/>
              </w:rPr>
            </w:pPr>
            <w:r>
              <w:rPr>
                <w:rFonts w:ascii="Arial" w:cs="Arial" w:eastAsia="Arial" w:hAnsi="Arial"/>
                <w:sz w:val="14"/>
                <w:szCs w:val="14"/>
                <w:color w:val="auto"/>
              </w:rPr>
              <w:t>Nielsen</w:t>
            </w:r>
          </w:p>
        </w:tc>
        <w:tc>
          <w:tcPr>
            <w:tcW w:w="940" w:type="dxa"/>
            <w:vAlign w:val="bottom"/>
            <w:shd w:val="clear" w:color="auto" w:fill="F4F6F6"/>
          </w:tcPr>
          <w:p>
            <w:pPr>
              <w:ind w:left="20"/>
              <w:spacing w:after="0" w:line="149" w:lineRule="exact"/>
              <w:rPr>
                <w:sz w:val="20"/>
                <w:szCs w:val="20"/>
                <w:color w:val="auto"/>
              </w:rPr>
            </w:pPr>
            <w:r>
              <w:rPr>
                <w:rFonts w:ascii="Arial" w:cs="Arial" w:eastAsia="Arial" w:hAnsi="Arial"/>
                <w:sz w:val="14"/>
                <w:szCs w:val="14"/>
                <w:color w:val="auto"/>
              </w:rPr>
              <w:t>For-profit</w:t>
            </w:r>
          </w:p>
        </w:tc>
        <w:tc>
          <w:tcPr>
            <w:tcW w:w="1160" w:type="dxa"/>
            <w:vAlign w:val="bottom"/>
            <w:shd w:val="clear" w:color="auto" w:fill="F4F6F6"/>
          </w:tcPr>
          <w:p>
            <w:pPr>
              <w:ind w:left="140"/>
              <w:spacing w:after="0" w:line="149" w:lineRule="exact"/>
              <w:rPr>
                <w:sz w:val="20"/>
                <w:szCs w:val="20"/>
                <w:color w:val="auto"/>
              </w:rPr>
            </w:pPr>
            <w:r>
              <w:rPr>
                <w:rFonts w:ascii="Arial" w:cs="Arial" w:eastAsia="Arial" w:hAnsi="Arial"/>
                <w:sz w:val="14"/>
                <w:szCs w:val="14"/>
                <w:color w:val="auto"/>
              </w:rPr>
              <w:t>Executive</w:t>
            </w:r>
          </w:p>
        </w:tc>
        <w:tc>
          <w:tcPr>
            <w:tcW w:w="2460" w:type="dxa"/>
            <w:vAlign w:val="bottom"/>
            <w:shd w:val="clear" w:color="auto" w:fill="F4F6F6"/>
          </w:tcPr>
          <w:p>
            <w:pPr>
              <w:spacing w:after="0"/>
              <w:rPr>
                <w:sz w:val="12"/>
                <w:szCs w:val="12"/>
                <w:color w:val="auto"/>
              </w:rPr>
            </w:pPr>
          </w:p>
        </w:tc>
        <w:tc>
          <w:tcPr>
            <w:tcW w:w="1560" w:type="dxa"/>
            <w:vAlign w:val="bottom"/>
            <w:shd w:val="clear" w:color="auto" w:fill="F4F6F6"/>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140" w:type="dxa"/>
            <w:vAlign w:val="bottom"/>
            <w:tcBorders>
              <w:bottom w:val="single" w:sz="8" w:color="C8C9CB"/>
            </w:tcBorders>
            <w:shd w:val="clear" w:color="auto" w:fill="F4F6F6"/>
          </w:tcPr>
          <w:p>
            <w:pPr>
              <w:spacing w:after="0"/>
              <w:rPr>
                <w:sz w:val="16"/>
                <w:szCs w:val="16"/>
                <w:color w:val="auto"/>
              </w:rPr>
            </w:pPr>
          </w:p>
        </w:tc>
        <w:tc>
          <w:tcPr>
            <w:tcW w:w="106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Holdings plc</w:t>
            </w:r>
          </w:p>
        </w:tc>
        <w:tc>
          <w:tcPr>
            <w:tcW w:w="94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Corporation</w:t>
            </w:r>
          </w:p>
        </w:tc>
        <w:tc>
          <w:tcPr>
            <w:tcW w:w="1160" w:type="dxa"/>
            <w:vAlign w:val="bottom"/>
            <w:tcBorders>
              <w:bottom w:val="single" w:sz="8" w:color="C8C9CB"/>
            </w:tcBorders>
            <w:shd w:val="clear" w:color="auto" w:fill="F4F6F6"/>
          </w:tcPr>
          <w:p>
            <w:pPr>
              <w:ind w:left="140"/>
              <w:spacing w:after="0"/>
              <w:rPr>
                <w:sz w:val="20"/>
                <w:szCs w:val="20"/>
                <w:color w:val="auto"/>
              </w:rPr>
            </w:pPr>
            <w:r>
              <w:rPr>
                <w:rFonts w:ascii="Arial" w:cs="Arial" w:eastAsia="Arial" w:hAnsi="Arial"/>
                <w:sz w:val="14"/>
                <w:szCs w:val="14"/>
                <w:color w:val="auto"/>
              </w:rPr>
              <w:t>Officer</w:t>
            </w:r>
          </w:p>
        </w:tc>
        <w:tc>
          <w:tcPr>
            <w:tcW w:w="246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Purchase of products</w:t>
            </w:r>
          </w:p>
        </w:tc>
        <w:tc>
          <w:tcPr>
            <w:tcW w:w="156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1060" w:type="dxa"/>
            <w:vAlign w:val="bottom"/>
          </w:tcPr>
          <w:p>
            <w:pPr>
              <w:ind w:left="20"/>
              <w:spacing w:after="0" w:line="159" w:lineRule="exact"/>
              <w:rPr>
                <w:sz w:val="20"/>
                <w:szCs w:val="20"/>
                <w:color w:val="auto"/>
              </w:rPr>
            </w:pPr>
            <w:r>
              <w:rPr>
                <w:rFonts w:ascii="Arial" w:cs="Arial" w:eastAsia="Arial" w:hAnsi="Arial"/>
                <w:sz w:val="14"/>
                <w:szCs w:val="14"/>
                <w:color w:val="auto"/>
              </w:rPr>
              <w:t>Harvard</w:t>
            </w:r>
          </w:p>
        </w:tc>
        <w:tc>
          <w:tcPr>
            <w:tcW w:w="940" w:type="dxa"/>
            <w:vAlign w:val="bottom"/>
          </w:tcPr>
          <w:p>
            <w:pPr>
              <w:ind w:left="20"/>
              <w:spacing w:after="0" w:line="159" w:lineRule="exact"/>
              <w:rPr>
                <w:sz w:val="20"/>
                <w:szCs w:val="20"/>
                <w:color w:val="auto"/>
              </w:rPr>
            </w:pPr>
            <w:r>
              <w:rPr>
                <w:rFonts w:ascii="Arial" w:cs="Arial" w:eastAsia="Arial" w:hAnsi="Arial"/>
                <w:sz w:val="14"/>
                <w:szCs w:val="14"/>
                <w:color w:val="auto"/>
              </w:rPr>
              <w:t>Educational</w:t>
            </w: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University</w:t>
            </w:r>
          </w:p>
        </w:tc>
        <w:tc>
          <w:tcPr>
            <w:tcW w:w="940" w:type="dxa"/>
            <w:vAlign w:val="bottom"/>
          </w:tcPr>
          <w:p>
            <w:pPr>
              <w:ind w:left="20"/>
              <w:spacing w:after="0"/>
              <w:rPr>
                <w:sz w:val="20"/>
                <w:szCs w:val="20"/>
                <w:color w:val="auto"/>
              </w:rPr>
            </w:pPr>
            <w:r>
              <w:rPr>
                <w:rFonts w:ascii="Arial" w:cs="Arial" w:eastAsia="Arial" w:hAnsi="Arial"/>
                <w:sz w:val="14"/>
                <w:szCs w:val="14"/>
                <w:color w:val="auto"/>
              </w:rPr>
              <w:t>Institution</w:t>
            </w:r>
          </w:p>
        </w:tc>
        <w:tc>
          <w:tcPr>
            <w:tcW w:w="1160" w:type="dxa"/>
            <w:vAlign w:val="bottom"/>
          </w:tcPr>
          <w:p>
            <w:pPr>
              <w:ind w:left="140"/>
              <w:spacing w:after="0"/>
              <w:rPr>
                <w:sz w:val="20"/>
                <w:szCs w:val="20"/>
                <w:color w:val="auto"/>
              </w:rPr>
            </w:pPr>
            <w:r>
              <w:rPr>
                <w:rFonts w:ascii="Arial" w:cs="Arial" w:eastAsia="Arial" w:hAnsi="Arial"/>
                <w:sz w:val="14"/>
                <w:szCs w:val="14"/>
                <w:color w:val="auto"/>
              </w:rPr>
              <w:t>Employee</w:t>
            </w:r>
          </w:p>
        </w:tc>
        <w:tc>
          <w:tcPr>
            <w:tcW w:w="2460" w:type="dxa"/>
            <w:vAlign w:val="bottom"/>
          </w:tcPr>
          <w:p>
            <w:pPr>
              <w:ind w:left="20"/>
              <w:spacing w:after="0"/>
              <w:rPr>
                <w:sz w:val="20"/>
                <w:szCs w:val="20"/>
                <w:color w:val="auto"/>
              </w:rPr>
            </w:pPr>
            <w:r>
              <w:rPr>
                <w:rFonts w:ascii="Arial" w:cs="Arial" w:eastAsia="Arial" w:hAnsi="Arial"/>
                <w:sz w:val="14"/>
                <w:szCs w:val="14"/>
                <w:color w:val="auto"/>
              </w:rPr>
              <w:t>Research grants</w:t>
            </w:r>
          </w:p>
        </w:tc>
        <w:tc>
          <w:tcPr>
            <w:tcW w:w="1560" w:type="dxa"/>
            <w:vAlign w:val="bottom"/>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Brigham and</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Dr. Kaelin</w:t>
            </w:r>
          </w:p>
        </w:tc>
        <w:tc>
          <w:tcPr>
            <w:tcW w:w="1060" w:type="dxa"/>
            <w:vAlign w:val="bottom"/>
          </w:tcPr>
          <w:p>
            <w:pPr>
              <w:ind w:left="20"/>
              <w:spacing w:after="0" w:line="149" w:lineRule="exact"/>
              <w:rPr>
                <w:sz w:val="20"/>
                <w:szCs w:val="20"/>
                <w:color w:val="auto"/>
              </w:rPr>
            </w:pPr>
            <w:r>
              <w:rPr>
                <w:rFonts w:ascii="Arial" w:cs="Arial" w:eastAsia="Arial" w:hAnsi="Arial"/>
                <w:sz w:val="14"/>
                <w:szCs w:val="14"/>
                <w:color w:val="auto"/>
              </w:rPr>
              <w:t>Women's</w:t>
            </w:r>
          </w:p>
        </w:tc>
        <w:tc>
          <w:tcPr>
            <w:tcW w:w="940" w:type="dxa"/>
            <w:vAlign w:val="bottom"/>
          </w:tcPr>
          <w:p>
            <w:pPr>
              <w:ind w:left="20"/>
              <w:spacing w:after="0" w:line="149" w:lineRule="exact"/>
              <w:rPr>
                <w:sz w:val="20"/>
                <w:szCs w:val="20"/>
                <w:color w:val="auto"/>
              </w:rPr>
            </w:pPr>
            <w:r>
              <w:rPr>
                <w:rFonts w:ascii="Arial" w:cs="Arial" w:eastAsia="Arial" w:hAnsi="Arial"/>
                <w:sz w:val="14"/>
                <w:szCs w:val="14"/>
                <w:color w:val="auto"/>
              </w:rPr>
              <w:t>Health Care</w:t>
            </w:r>
          </w:p>
        </w:tc>
        <w:tc>
          <w:tcPr>
            <w:tcW w:w="1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Hospital</w:t>
            </w:r>
          </w:p>
        </w:tc>
        <w:tc>
          <w:tcPr>
            <w:tcW w:w="940" w:type="dxa"/>
            <w:vAlign w:val="bottom"/>
          </w:tcPr>
          <w:p>
            <w:pPr>
              <w:ind w:left="20"/>
              <w:spacing w:after="0"/>
              <w:rPr>
                <w:sz w:val="20"/>
                <w:szCs w:val="20"/>
                <w:color w:val="auto"/>
              </w:rPr>
            </w:pPr>
            <w:r>
              <w:rPr>
                <w:rFonts w:ascii="Arial" w:cs="Arial" w:eastAsia="Arial" w:hAnsi="Arial"/>
                <w:sz w:val="14"/>
                <w:szCs w:val="14"/>
                <w:color w:val="auto"/>
              </w:rPr>
              <w:t>Institution</w:t>
            </w:r>
          </w:p>
        </w:tc>
        <w:tc>
          <w:tcPr>
            <w:tcW w:w="1160" w:type="dxa"/>
            <w:vAlign w:val="bottom"/>
          </w:tcPr>
          <w:p>
            <w:pPr>
              <w:ind w:left="140"/>
              <w:spacing w:after="0"/>
              <w:rPr>
                <w:sz w:val="20"/>
                <w:szCs w:val="20"/>
                <w:color w:val="auto"/>
              </w:rPr>
            </w:pPr>
            <w:r>
              <w:rPr>
                <w:rFonts w:ascii="Arial" w:cs="Arial" w:eastAsia="Arial" w:hAnsi="Arial"/>
                <w:sz w:val="14"/>
                <w:szCs w:val="14"/>
                <w:color w:val="auto"/>
              </w:rPr>
              <w:t>Employee</w:t>
            </w:r>
          </w:p>
        </w:tc>
        <w:tc>
          <w:tcPr>
            <w:tcW w:w="2460" w:type="dxa"/>
            <w:vAlign w:val="bottom"/>
          </w:tcPr>
          <w:p>
            <w:pPr>
              <w:ind w:left="20"/>
              <w:spacing w:after="0"/>
              <w:rPr>
                <w:sz w:val="20"/>
                <w:szCs w:val="20"/>
                <w:color w:val="auto"/>
              </w:rPr>
            </w:pPr>
            <w:r>
              <w:rPr>
                <w:rFonts w:ascii="Arial" w:cs="Arial" w:eastAsia="Arial" w:hAnsi="Arial"/>
                <w:sz w:val="14"/>
                <w:szCs w:val="14"/>
                <w:color w:val="auto"/>
              </w:rPr>
              <w:t>Research grants</w:t>
            </w:r>
          </w:p>
        </w:tc>
        <w:tc>
          <w:tcPr>
            <w:tcW w:w="1560" w:type="dxa"/>
            <w:vAlign w:val="bottom"/>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Dana-Farber</w:t>
            </w:r>
          </w:p>
        </w:tc>
        <w:tc>
          <w:tcPr>
            <w:tcW w:w="940" w:type="dxa"/>
            <w:vAlign w:val="bottom"/>
          </w:tcPr>
          <w:p>
            <w:pPr>
              <w:ind w:left="20"/>
              <w:spacing w:after="0"/>
              <w:rPr>
                <w:sz w:val="20"/>
                <w:szCs w:val="20"/>
                <w:color w:val="auto"/>
              </w:rPr>
            </w:pPr>
            <w:r>
              <w:rPr>
                <w:rFonts w:ascii="Arial" w:cs="Arial" w:eastAsia="Arial" w:hAnsi="Arial"/>
                <w:sz w:val="14"/>
                <w:szCs w:val="14"/>
                <w:color w:val="auto"/>
              </w:rPr>
              <w:t>Health Care</w:t>
            </w:r>
          </w:p>
        </w:tc>
        <w:tc>
          <w:tcPr>
            <w:tcW w:w="11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40" w:type="dxa"/>
            <w:vAlign w:val="bottom"/>
            <w:tcBorders>
              <w:bottom w:val="single" w:sz="8" w:color="C8C9CB"/>
            </w:tcBorders>
          </w:tcPr>
          <w:p>
            <w:pPr>
              <w:spacing w:after="0"/>
              <w:rPr>
                <w:sz w:val="16"/>
                <w:szCs w:val="16"/>
                <w:color w:val="auto"/>
              </w:rPr>
            </w:pPr>
          </w:p>
        </w:tc>
        <w:tc>
          <w:tcPr>
            <w:tcW w:w="106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Cancer Institute</w:t>
            </w:r>
          </w:p>
        </w:tc>
        <w:tc>
          <w:tcPr>
            <w:tcW w:w="94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Institution</w:t>
            </w:r>
          </w:p>
        </w:tc>
        <w:tc>
          <w:tcPr>
            <w:tcW w:w="1160" w:type="dxa"/>
            <w:vAlign w:val="bottom"/>
            <w:tcBorders>
              <w:bottom w:val="single" w:sz="8" w:color="C8C9CB"/>
            </w:tcBorders>
          </w:tcPr>
          <w:p>
            <w:pPr>
              <w:ind w:left="140"/>
              <w:spacing w:after="0"/>
              <w:rPr>
                <w:sz w:val="20"/>
                <w:szCs w:val="20"/>
                <w:color w:val="auto"/>
              </w:rPr>
            </w:pPr>
            <w:r>
              <w:rPr>
                <w:rFonts w:ascii="Arial" w:cs="Arial" w:eastAsia="Arial" w:hAnsi="Arial"/>
                <w:sz w:val="14"/>
                <w:szCs w:val="14"/>
                <w:color w:val="auto"/>
              </w:rPr>
              <w:t>Employee</w:t>
            </w:r>
          </w:p>
        </w:tc>
        <w:tc>
          <w:tcPr>
            <w:tcW w:w="246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Research grants</w:t>
            </w:r>
          </w:p>
        </w:tc>
        <w:tc>
          <w:tcPr>
            <w:tcW w:w="156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90"/>
        </w:trPr>
        <w:tc>
          <w:tcPr>
            <w:tcW w:w="1140" w:type="dxa"/>
            <w:vAlign w:val="bottom"/>
            <w:vMerge w:val="restart"/>
            <w:shd w:val="clear" w:color="auto" w:fill="F4F6F6"/>
          </w:tcPr>
          <w:p>
            <w:pPr>
              <w:ind w:left="20"/>
              <w:spacing w:after="0"/>
              <w:rPr>
                <w:sz w:val="20"/>
                <w:szCs w:val="20"/>
                <w:color w:val="auto"/>
              </w:rPr>
            </w:pPr>
            <w:r>
              <w:rPr>
                <w:rFonts w:ascii="Arial" w:cs="Arial" w:eastAsia="Arial" w:hAnsi="Arial"/>
                <w:sz w:val="14"/>
                <w:szCs w:val="14"/>
                <w:color w:val="auto"/>
              </w:rPr>
              <w:t>Mr. Luciano</w:t>
            </w:r>
          </w:p>
        </w:tc>
        <w:tc>
          <w:tcPr>
            <w:tcW w:w="1060" w:type="dxa"/>
            <w:vAlign w:val="bottom"/>
            <w:vMerge w:val="restart"/>
            <w:shd w:val="clear" w:color="auto" w:fill="F4F6F6"/>
          </w:tcPr>
          <w:p>
            <w:pPr>
              <w:ind w:left="20"/>
              <w:spacing w:after="0"/>
              <w:rPr>
                <w:sz w:val="20"/>
                <w:szCs w:val="20"/>
                <w:color w:val="auto"/>
              </w:rPr>
            </w:pPr>
            <w:r>
              <w:rPr>
                <w:rFonts w:ascii="Arial" w:cs="Arial" w:eastAsia="Arial" w:hAnsi="Arial"/>
                <w:sz w:val="14"/>
                <w:szCs w:val="14"/>
                <w:color w:val="auto"/>
              </w:rPr>
              <w:t>Archer Daniels</w:t>
            </w:r>
          </w:p>
        </w:tc>
        <w:tc>
          <w:tcPr>
            <w:tcW w:w="940" w:type="dxa"/>
            <w:vAlign w:val="bottom"/>
            <w:vMerge w:val="restart"/>
            <w:shd w:val="clear" w:color="auto" w:fill="F4F6F6"/>
          </w:tcPr>
          <w:p>
            <w:pPr>
              <w:ind w:left="20"/>
              <w:spacing w:after="0"/>
              <w:rPr>
                <w:sz w:val="20"/>
                <w:szCs w:val="20"/>
                <w:color w:val="auto"/>
              </w:rPr>
            </w:pPr>
            <w:r>
              <w:rPr>
                <w:rFonts w:ascii="Arial" w:cs="Arial" w:eastAsia="Arial" w:hAnsi="Arial"/>
                <w:sz w:val="14"/>
                <w:szCs w:val="14"/>
                <w:color w:val="auto"/>
              </w:rPr>
              <w:t>For-profit</w:t>
            </w:r>
          </w:p>
        </w:tc>
        <w:tc>
          <w:tcPr>
            <w:tcW w:w="1160" w:type="dxa"/>
            <w:vAlign w:val="bottom"/>
            <w:vMerge w:val="restart"/>
            <w:shd w:val="clear" w:color="auto" w:fill="F4F6F6"/>
          </w:tcPr>
          <w:p>
            <w:pPr>
              <w:ind w:left="140"/>
              <w:spacing w:after="0"/>
              <w:rPr>
                <w:sz w:val="20"/>
                <w:szCs w:val="20"/>
                <w:color w:val="auto"/>
              </w:rPr>
            </w:pPr>
            <w:r>
              <w:rPr>
                <w:rFonts w:ascii="Arial" w:cs="Arial" w:eastAsia="Arial" w:hAnsi="Arial"/>
                <w:sz w:val="14"/>
                <w:szCs w:val="14"/>
                <w:color w:val="auto"/>
              </w:rPr>
              <w:t>Executive</w:t>
            </w:r>
          </w:p>
        </w:tc>
        <w:tc>
          <w:tcPr>
            <w:tcW w:w="2460" w:type="dxa"/>
            <w:vAlign w:val="bottom"/>
            <w:shd w:val="clear" w:color="auto" w:fill="F4F6F6"/>
          </w:tcPr>
          <w:p>
            <w:pPr>
              <w:ind w:left="20"/>
              <w:spacing w:after="0"/>
              <w:rPr>
                <w:sz w:val="20"/>
                <w:szCs w:val="20"/>
                <w:color w:val="auto"/>
              </w:rPr>
            </w:pPr>
            <w:r>
              <w:rPr>
                <w:rFonts w:ascii="Arial" w:cs="Arial" w:eastAsia="Arial" w:hAnsi="Arial"/>
                <w:sz w:val="14"/>
                <w:szCs w:val="14"/>
                <w:color w:val="auto"/>
              </w:rPr>
              <w:t>Purchase of products</w:t>
            </w:r>
          </w:p>
        </w:tc>
        <w:tc>
          <w:tcPr>
            <w:tcW w:w="1560" w:type="dxa"/>
            <w:vAlign w:val="bottom"/>
            <w:shd w:val="clear" w:color="auto" w:fill="F4F6F6"/>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63"/>
        </w:trPr>
        <w:tc>
          <w:tcPr>
            <w:tcW w:w="1140" w:type="dxa"/>
            <w:vAlign w:val="bottom"/>
            <w:vMerge w:val="continue"/>
            <w:shd w:val="clear" w:color="auto" w:fill="F4F6F6"/>
          </w:tcPr>
          <w:p>
            <w:pPr>
              <w:spacing w:after="0"/>
              <w:rPr>
                <w:sz w:val="5"/>
                <w:szCs w:val="5"/>
                <w:color w:val="auto"/>
              </w:rPr>
            </w:pPr>
          </w:p>
        </w:tc>
        <w:tc>
          <w:tcPr>
            <w:tcW w:w="1060" w:type="dxa"/>
            <w:vAlign w:val="bottom"/>
            <w:vMerge w:val="continue"/>
            <w:shd w:val="clear" w:color="auto" w:fill="F4F6F6"/>
          </w:tcPr>
          <w:p>
            <w:pPr>
              <w:spacing w:after="0"/>
              <w:rPr>
                <w:sz w:val="5"/>
                <w:szCs w:val="5"/>
                <w:color w:val="auto"/>
              </w:rPr>
            </w:pPr>
          </w:p>
        </w:tc>
        <w:tc>
          <w:tcPr>
            <w:tcW w:w="940" w:type="dxa"/>
            <w:vAlign w:val="bottom"/>
            <w:vMerge w:val="continue"/>
            <w:shd w:val="clear" w:color="auto" w:fill="F4F6F6"/>
          </w:tcPr>
          <w:p>
            <w:pPr>
              <w:spacing w:after="0"/>
              <w:rPr>
                <w:sz w:val="5"/>
                <w:szCs w:val="5"/>
                <w:color w:val="auto"/>
              </w:rPr>
            </w:pPr>
          </w:p>
        </w:tc>
        <w:tc>
          <w:tcPr>
            <w:tcW w:w="1160" w:type="dxa"/>
            <w:vAlign w:val="bottom"/>
            <w:vMerge w:val="continue"/>
            <w:shd w:val="clear" w:color="auto" w:fill="F4F6F6"/>
          </w:tcPr>
          <w:p>
            <w:pPr>
              <w:spacing w:after="0"/>
              <w:rPr>
                <w:sz w:val="5"/>
                <w:szCs w:val="5"/>
                <w:color w:val="auto"/>
              </w:rPr>
            </w:pPr>
          </w:p>
        </w:tc>
        <w:tc>
          <w:tcPr>
            <w:tcW w:w="2460" w:type="dxa"/>
            <w:vAlign w:val="bottom"/>
            <w:shd w:val="clear" w:color="auto" w:fill="F4F6F6"/>
          </w:tcPr>
          <w:p>
            <w:pPr>
              <w:spacing w:after="0"/>
              <w:rPr>
                <w:sz w:val="5"/>
                <w:szCs w:val="5"/>
                <w:color w:val="auto"/>
              </w:rPr>
            </w:pPr>
          </w:p>
        </w:tc>
        <w:tc>
          <w:tcPr>
            <w:tcW w:w="1560" w:type="dxa"/>
            <w:vAlign w:val="bottom"/>
            <w:vMerge w:val="restart"/>
            <w:shd w:val="clear" w:color="auto" w:fill="F4F6F6"/>
          </w:tcPr>
          <w:p>
            <w:pPr>
              <w:ind w:left="20"/>
              <w:spacing w:after="0"/>
              <w:rPr>
                <w:sz w:val="20"/>
                <w:szCs w:val="20"/>
                <w:color w:val="auto"/>
              </w:rPr>
            </w:pPr>
            <w:r>
              <w:rPr>
                <w:rFonts w:ascii="Arial" w:cs="Arial" w:eastAsia="Arial" w:hAnsi="Arial"/>
                <w:sz w:val="14"/>
                <w:szCs w:val="14"/>
                <w:color w:val="auto"/>
              </w:rPr>
              <w:t>Less than 0.1 percent of</w:t>
            </w:r>
          </w:p>
        </w:tc>
        <w:tc>
          <w:tcPr>
            <w:tcW w:w="0" w:type="dxa"/>
            <w:vAlign w:val="bottom"/>
          </w:tcPr>
          <w:p>
            <w:pPr>
              <w:spacing w:after="0"/>
              <w:rPr>
                <w:sz w:val="1"/>
                <w:szCs w:val="1"/>
                <w:color w:val="auto"/>
              </w:rPr>
            </w:pPr>
          </w:p>
        </w:tc>
      </w:tr>
      <w:tr>
        <w:trPr>
          <w:trHeight w:val="138"/>
        </w:trPr>
        <w:tc>
          <w:tcPr>
            <w:tcW w:w="1140" w:type="dxa"/>
            <w:vAlign w:val="bottom"/>
            <w:vMerge w:val="continue"/>
            <w:shd w:val="clear" w:color="auto" w:fill="F4F6F6"/>
          </w:tcPr>
          <w:p>
            <w:pPr>
              <w:spacing w:after="0"/>
              <w:rPr>
                <w:sz w:val="12"/>
                <w:szCs w:val="12"/>
                <w:color w:val="auto"/>
              </w:rPr>
            </w:pPr>
          </w:p>
        </w:tc>
        <w:tc>
          <w:tcPr>
            <w:tcW w:w="1060" w:type="dxa"/>
            <w:vAlign w:val="bottom"/>
            <w:shd w:val="clear" w:color="auto" w:fill="F4F6F6"/>
          </w:tcPr>
          <w:p>
            <w:pPr>
              <w:ind w:left="20"/>
              <w:spacing w:after="0" w:line="139" w:lineRule="exact"/>
              <w:rPr>
                <w:sz w:val="20"/>
                <w:szCs w:val="20"/>
                <w:color w:val="auto"/>
              </w:rPr>
            </w:pPr>
            <w:r>
              <w:rPr>
                <w:rFonts w:ascii="Arial" w:cs="Arial" w:eastAsia="Arial" w:hAnsi="Arial"/>
                <w:sz w:val="14"/>
                <w:szCs w:val="14"/>
                <w:color w:val="auto"/>
              </w:rPr>
              <w:t>Midland</w:t>
            </w:r>
          </w:p>
        </w:tc>
        <w:tc>
          <w:tcPr>
            <w:tcW w:w="940" w:type="dxa"/>
            <w:vAlign w:val="bottom"/>
            <w:shd w:val="clear" w:color="auto" w:fill="F4F6F6"/>
          </w:tcPr>
          <w:p>
            <w:pPr>
              <w:ind w:left="20"/>
              <w:spacing w:after="0" w:line="139" w:lineRule="exact"/>
              <w:rPr>
                <w:sz w:val="20"/>
                <w:szCs w:val="20"/>
                <w:color w:val="auto"/>
              </w:rPr>
            </w:pPr>
            <w:r>
              <w:rPr>
                <w:rFonts w:ascii="Arial" w:cs="Arial" w:eastAsia="Arial" w:hAnsi="Arial"/>
                <w:sz w:val="14"/>
                <w:szCs w:val="14"/>
                <w:color w:val="auto"/>
              </w:rPr>
              <w:t>Corporation</w:t>
            </w:r>
          </w:p>
        </w:tc>
        <w:tc>
          <w:tcPr>
            <w:tcW w:w="1160" w:type="dxa"/>
            <w:vAlign w:val="bottom"/>
            <w:shd w:val="clear" w:color="auto" w:fill="F4F6F6"/>
          </w:tcPr>
          <w:p>
            <w:pPr>
              <w:ind w:left="140"/>
              <w:spacing w:after="0" w:line="139" w:lineRule="exact"/>
              <w:rPr>
                <w:sz w:val="20"/>
                <w:szCs w:val="20"/>
                <w:color w:val="auto"/>
              </w:rPr>
            </w:pPr>
            <w:r>
              <w:rPr>
                <w:rFonts w:ascii="Arial" w:cs="Arial" w:eastAsia="Arial" w:hAnsi="Arial"/>
                <w:sz w:val="14"/>
                <w:szCs w:val="14"/>
                <w:color w:val="auto"/>
              </w:rPr>
              <w:t>Officer</w:t>
            </w:r>
          </w:p>
        </w:tc>
        <w:tc>
          <w:tcPr>
            <w:tcW w:w="2460" w:type="dxa"/>
            <w:vAlign w:val="bottom"/>
            <w:vMerge w:val="restart"/>
            <w:shd w:val="clear" w:color="auto" w:fill="F4F6F6"/>
          </w:tcPr>
          <w:p>
            <w:pPr>
              <w:ind w:left="20"/>
              <w:spacing w:after="0"/>
              <w:rPr>
                <w:sz w:val="20"/>
                <w:szCs w:val="20"/>
                <w:color w:val="auto"/>
              </w:rPr>
            </w:pPr>
            <w:r>
              <w:rPr>
                <w:rFonts w:ascii="Arial" w:cs="Arial" w:eastAsia="Arial" w:hAnsi="Arial"/>
                <w:sz w:val="14"/>
                <w:szCs w:val="14"/>
                <w:color w:val="auto"/>
              </w:rPr>
              <w:t>Sale of products</w:t>
            </w:r>
          </w:p>
        </w:tc>
        <w:tc>
          <w:tcPr>
            <w:tcW w:w="1560" w:type="dxa"/>
            <w:vAlign w:val="bottom"/>
            <w:vMerge w:val="continue"/>
            <w:shd w:val="clear" w:color="auto" w:fill="F4F6F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tcBorders>
              <w:bottom w:val="single" w:sz="8" w:color="C8C9CB"/>
            </w:tcBorders>
            <w:shd w:val="clear" w:color="auto" w:fill="F4F6F6"/>
          </w:tcPr>
          <w:p>
            <w:pPr>
              <w:spacing w:after="0"/>
              <w:rPr>
                <w:sz w:val="14"/>
                <w:szCs w:val="14"/>
                <w:color w:val="auto"/>
              </w:rPr>
            </w:pPr>
          </w:p>
        </w:tc>
        <w:tc>
          <w:tcPr>
            <w:tcW w:w="1060" w:type="dxa"/>
            <w:vAlign w:val="bottom"/>
            <w:tcBorders>
              <w:bottom w:val="single" w:sz="8" w:color="C8C9CB"/>
            </w:tcBorders>
            <w:shd w:val="clear" w:color="auto" w:fill="F4F6F6"/>
          </w:tcPr>
          <w:p>
            <w:pPr>
              <w:spacing w:after="0"/>
              <w:rPr>
                <w:sz w:val="14"/>
                <w:szCs w:val="14"/>
                <w:color w:val="auto"/>
              </w:rPr>
            </w:pPr>
          </w:p>
        </w:tc>
        <w:tc>
          <w:tcPr>
            <w:tcW w:w="940" w:type="dxa"/>
            <w:vAlign w:val="bottom"/>
            <w:tcBorders>
              <w:bottom w:val="single" w:sz="8" w:color="C8C9CB"/>
            </w:tcBorders>
            <w:shd w:val="clear" w:color="auto" w:fill="F4F6F6"/>
          </w:tcPr>
          <w:p>
            <w:pPr>
              <w:spacing w:after="0"/>
              <w:rPr>
                <w:sz w:val="14"/>
                <w:szCs w:val="14"/>
                <w:color w:val="auto"/>
              </w:rPr>
            </w:pPr>
          </w:p>
        </w:tc>
        <w:tc>
          <w:tcPr>
            <w:tcW w:w="1160" w:type="dxa"/>
            <w:vAlign w:val="bottom"/>
            <w:tcBorders>
              <w:bottom w:val="single" w:sz="8" w:color="C8C9CB"/>
            </w:tcBorders>
            <w:shd w:val="clear" w:color="auto" w:fill="F4F6F6"/>
          </w:tcPr>
          <w:p>
            <w:pPr>
              <w:spacing w:after="0"/>
              <w:rPr>
                <w:sz w:val="14"/>
                <w:szCs w:val="14"/>
                <w:color w:val="auto"/>
              </w:rPr>
            </w:pPr>
          </w:p>
        </w:tc>
        <w:tc>
          <w:tcPr>
            <w:tcW w:w="2460" w:type="dxa"/>
            <w:vAlign w:val="bottom"/>
            <w:tcBorders>
              <w:bottom w:val="single" w:sz="8" w:color="C8C9CB"/>
            </w:tcBorders>
            <w:vMerge w:val="continue"/>
            <w:shd w:val="clear" w:color="auto" w:fill="F4F6F6"/>
          </w:tcPr>
          <w:p>
            <w:pPr>
              <w:spacing w:after="0"/>
              <w:rPr>
                <w:sz w:val="14"/>
                <w:szCs w:val="14"/>
                <w:color w:val="auto"/>
              </w:rPr>
            </w:pPr>
          </w:p>
        </w:tc>
        <w:tc>
          <w:tcPr>
            <w:tcW w:w="156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Lilly's revenue</w:t>
            </w:r>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1060" w:type="dxa"/>
            <w:vAlign w:val="bottom"/>
          </w:tcPr>
          <w:p>
            <w:pPr>
              <w:ind w:left="20"/>
              <w:spacing w:after="0" w:line="153" w:lineRule="exact"/>
              <w:rPr>
                <w:sz w:val="20"/>
                <w:szCs w:val="20"/>
                <w:color w:val="auto"/>
              </w:rPr>
            </w:pPr>
            <w:r>
              <w:rPr>
                <w:rFonts w:ascii="Arial" w:cs="Arial" w:eastAsia="Arial" w:hAnsi="Arial"/>
                <w:sz w:val="14"/>
                <w:szCs w:val="14"/>
                <w:color w:val="auto"/>
              </w:rPr>
              <w:t>University of</w:t>
            </w: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060" w:type="dxa"/>
            <w:vAlign w:val="bottom"/>
          </w:tcPr>
          <w:p>
            <w:pPr>
              <w:ind w:left="20"/>
              <w:spacing w:after="0" w:line="149" w:lineRule="exact"/>
              <w:rPr>
                <w:sz w:val="20"/>
                <w:szCs w:val="20"/>
                <w:color w:val="auto"/>
              </w:rPr>
            </w:pPr>
            <w:r>
              <w:rPr>
                <w:rFonts w:ascii="Arial" w:cs="Arial" w:eastAsia="Arial" w:hAnsi="Arial"/>
                <w:sz w:val="14"/>
                <w:szCs w:val="14"/>
                <w:color w:val="auto"/>
              </w:rPr>
              <w:t>Michigan</w:t>
            </w:r>
          </w:p>
        </w:tc>
        <w:tc>
          <w:tcPr>
            <w:tcW w:w="940" w:type="dxa"/>
            <w:vAlign w:val="bottom"/>
          </w:tcPr>
          <w:p>
            <w:pPr>
              <w:ind w:left="20"/>
              <w:spacing w:after="0" w:line="149" w:lineRule="exact"/>
              <w:rPr>
                <w:sz w:val="20"/>
                <w:szCs w:val="20"/>
                <w:color w:val="auto"/>
              </w:rPr>
            </w:pPr>
            <w:r>
              <w:rPr>
                <w:rFonts w:ascii="Arial" w:cs="Arial" w:eastAsia="Arial" w:hAnsi="Arial"/>
                <w:sz w:val="14"/>
                <w:szCs w:val="14"/>
                <w:color w:val="auto"/>
              </w:rPr>
              <w:t>Educational</w:t>
            </w:r>
          </w:p>
        </w:tc>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Executive</w:t>
            </w:r>
          </w:p>
        </w:tc>
        <w:tc>
          <w:tcPr>
            <w:tcW w:w="2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14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Dr. Runge</w:t>
            </w:r>
          </w:p>
        </w:tc>
        <w:tc>
          <w:tcPr>
            <w:tcW w:w="106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Medical School</w:t>
            </w:r>
          </w:p>
        </w:tc>
        <w:tc>
          <w:tcPr>
            <w:tcW w:w="94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Institution</w:t>
            </w:r>
          </w:p>
        </w:tc>
        <w:tc>
          <w:tcPr>
            <w:tcW w:w="1160" w:type="dxa"/>
            <w:vAlign w:val="bottom"/>
            <w:tcBorders>
              <w:bottom w:val="single" w:sz="8" w:color="C8C9CB"/>
            </w:tcBorders>
          </w:tcPr>
          <w:p>
            <w:pPr>
              <w:ind w:left="140"/>
              <w:spacing w:after="0"/>
              <w:rPr>
                <w:sz w:val="20"/>
                <w:szCs w:val="20"/>
                <w:color w:val="auto"/>
              </w:rPr>
            </w:pPr>
            <w:r>
              <w:rPr>
                <w:rFonts w:ascii="Arial" w:cs="Arial" w:eastAsia="Arial" w:hAnsi="Arial"/>
                <w:sz w:val="14"/>
                <w:szCs w:val="14"/>
                <w:color w:val="auto"/>
              </w:rPr>
              <w:t>Officer</w:t>
            </w:r>
          </w:p>
        </w:tc>
        <w:tc>
          <w:tcPr>
            <w:tcW w:w="246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Research grants</w:t>
            </w:r>
          </w:p>
        </w:tc>
        <w:tc>
          <w:tcPr>
            <w:tcW w:w="156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r>
        <w:trPr>
          <w:trHeight w:val="158"/>
        </w:trPr>
        <w:tc>
          <w:tcPr>
            <w:tcW w:w="1140" w:type="dxa"/>
            <w:vAlign w:val="bottom"/>
            <w:shd w:val="clear" w:color="auto" w:fill="F4F6F6"/>
          </w:tcPr>
          <w:p>
            <w:pPr>
              <w:spacing w:after="0"/>
              <w:rPr>
                <w:sz w:val="13"/>
                <w:szCs w:val="13"/>
                <w:color w:val="auto"/>
              </w:rPr>
            </w:pPr>
          </w:p>
        </w:tc>
        <w:tc>
          <w:tcPr>
            <w:tcW w:w="1060" w:type="dxa"/>
            <w:vAlign w:val="bottom"/>
            <w:shd w:val="clear" w:color="auto" w:fill="F4F6F6"/>
          </w:tcPr>
          <w:p>
            <w:pPr>
              <w:ind w:left="20"/>
              <w:spacing w:after="0" w:line="159" w:lineRule="exact"/>
              <w:rPr>
                <w:sz w:val="20"/>
                <w:szCs w:val="20"/>
                <w:color w:val="auto"/>
              </w:rPr>
            </w:pPr>
            <w:r>
              <w:rPr>
                <w:rFonts w:ascii="Arial" w:cs="Arial" w:eastAsia="Arial" w:hAnsi="Arial"/>
                <w:sz w:val="14"/>
                <w:szCs w:val="14"/>
                <w:color w:val="auto"/>
              </w:rPr>
              <w:t>Cisco Systems</w:t>
            </w:r>
          </w:p>
        </w:tc>
        <w:tc>
          <w:tcPr>
            <w:tcW w:w="940" w:type="dxa"/>
            <w:vAlign w:val="bottom"/>
            <w:shd w:val="clear" w:color="auto" w:fill="F4F6F6"/>
          </w:tcPr>
          <w:p>
            <w:pPr>
              <w:ind w:left="20"/>
              <w:spacing w:after="0" w:line="159" w:lineRule="exact"/>
              <w:rPr>
                <w:sz w:val="20"/>
                <w:szCs w:val="20"/>
                <w:color w:val="auto"/>
              </w:rPr>
            </w:pPr>
            <w:r>
              <w:rPr>
                <w:rFonts w:ascii="Arial" w:cs="Arial" w:eastAsia="Arial" w:hAnsi="Arial"/>
                <w:sz w:val="14"/>
                <w:szCs w:val="14"/>
                <w:color w:val="auto"/>
              </w:rPr>
              <w:t>For-profit</w:t>
            </w:r>
          </w:p>
        </w:tc>
        <w:tc>
          <w:tcPr>
            <w:tcW w:w="1160" w:type="dxa"/>
            <w:vAlign w:val="bottom"/>
            <w:shd w:val="clear" w:color="auto" w:fill="F4F6F6"/>
          </w:tcPr>
          <w:p>
            <w:pPr>
              <w:spacing w:after="0"/>
              <w:rPr>
                <w:sz w:val="13"/>
                <w:szCs w:val="13"/>
                <w:color w:val="auto"/>
              </w:rPr>
            </w:pPr>
          </w:p>
        </w:tc>
        <w:tc>
          <w:tcPr>
            <w:tcW w:w="2460" w:type="dxa"/>
            <w:vAlign w:val="bottom"/>
            <w:shd w:val="clear" w:color="auto" w:fill="F4F6F6"/>
          </w:tcPr>
          <w:p>
            <w:pPr>
              <w:spacing w:after="0"/>
              <w:rPr>
                <w:sz w:val="13"/>
                <w:szCs w:val="13"/>
                <w:color w:val="auto"/>
              </w:rPr>
            </w:pPr>
          </w:p>
        </w:tc>
        <w:tc>
          <w:tcPr>
            <w:tcW w:w="156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14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Ms. Walker</w:t>
            </w:r>
          </w:p>
        </w:tc>
        <w:tc>
          <w:tcPr>
            <w:tcW w:w="106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Inc</w:t>
            </w:r>
          </w:p>
        </w:tc>
        <w:tc>
          <w:tcPr>
            <w:tcW w:w="94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Corporation</w:t>
            </w:r>
          </w:p>
        </w:tc>
        <w:tc>
          <w:tcPr>
            <w:tcW w:w="1160" w:type="dxa"/>
            <w:vAlign w:val="bottom"/>
            <w:tcBorders>
              <w:bottom w:val="single" w:sz="8" w:color="C8C9CB"/>
            </w:tcBorders>
            <w:shd w:val="clear" w:color="auto" w:fill="F4F6F6"/>
          </w:tcPr>
          <w:p>
            <w:pPr>
              <w:ind w:left="140"/>
              <w:spacing w:after="0"/>
              <w:rPr>
                <w:sz w:val="20"/>
                <w:szCs w:val="20"/>
                <w:color w:val="auto"/>
              </w:rPr>
            </w:pPr>
            <w:r>
              <w:rPr>
                <w:rFonts w:ascii="Arial" w:cs="Arial" w:eastAsia="Arial" w:hAnsi="Arial"/>
                <w:sz w:val="14"/>
                <w:szCs w:val="14"/>
                <w:color w:val="auto"/>
              </w:rPr>
              <w:t>Employee</w:t>
            </w:r>
          </w:p>
        </w:tc>
        <w:tc>
          <w:tcPr>
            <w:tcW w:w="246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Purchase of products</w:t>
            </w:r>
          </w:p>
        </w:tc>
        <w:tc>
          <w:tcPr>
            <w:tcW w:w="156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Less than 0.1 percent</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All of the transactions described above were entered into at arm’s length in the normal course of business and, to the extent they are commercial relationships, have standard commercial terms. Aggregate payments to each of the organizations, in each of the last four fiscal years, did not exceed the greater of $1 million or 2 percent of that organization's consolidated gross revenues in a single fiscal year for the relevant four-year period. No director had any direct business relationships with the company or received any direct personal benefit from any of these transactions, relationships, or arrangements.</w:t>
      </w:r>
    </w:p>
    <w:p>
      <w:pPr>
        <w:spacing w:after="0" w:line="325"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Committees of the Board of Directors</w:t>
      </w:r>
    </w:p>
    <w:p>
      <w:pPr>
        <w:spacing w:after="0" w:line="227" w:lineRule="exact"/>
        <w:rPr>
          <w:sz w:val="20"/>
          <w:szCs w:val="20"/>
          <w:color w:val="auto"/>
        </w:rPr>
      </w:pPr>
    </w:p>
    <w:p>
      <w:pPr>
        <w:jc w:val="both"/>
        <w:ind w:right="280"/>
        <w:spacing w:after="0" w:line="270" w:lineRule="auto"/>
        <w:rPr>
          <w:sz w:val="20"/>
          <w:szCs w:val="20"/>
          <w:color w:val="auto"/>
        </w:rPr>
      </w:pPr>
      <w:r>
        <w:rPr>
          <w:rFonts w:ascii="Arial" w:cs="Arial" w:eastAsia="Arial" w:hAnsi="Arial"/>
          <w:sz w:val="17"/>
          <w:szCs w:val="17"/>
          <w:color w:val="auto"/>
        </w:rPr>
        <w:t>The duties and membership of the six board-appointed committees are described below. All committee members are independent as defined in the NYSE listing requirements and Lilly's independence standards. The members of the Audit and Compensation Committees each meet the additional independence requirements applicable to them as members of those committees.</w:t>
      </w:r>
    </w:p>
    <w:p>
      <w:pPr>
        <w:spacing w:after="0" w:line="15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Directors and Corporate Governance Committee makes recommendations to the board regarding director committee membership and selection of committee chairs. The board has no set policy for rotation of committee members or chairs but annually reviews committee memberships and chair positions, seeking the best blend of continuity and fresh perspectives.</w:t>
      </w:r>
    </w:p>
    <w:p>
      <w:pPr>
        <w:spacing w:after="0" w:line="151" w:lineRule="exact"/>
        <w:rPr>
          <w:sz w:val="20"/>
          <w:szCs w:val="20"/>
          <w:color w:val="auto"/>
        </w:rPr>
      </w:pPr>
    </w:p>
    <w:p>
      <w:pPr>
        <w:ind w:right="780"/>
        <w:spacing w:after="0" w:line="292" w:lineRule="auto"/>
        <w:rPr>
          <w:sz w:val="20"/>
          <w:szCs w:val="20"/>
          <w:color w:val="auto"/>
        </w:rPr>
      </w:pPr>
      <w:r>
        <w:rPr>
          <w:rFonts w:ascii="Arial" w:cs="Arial" w:eastAsia="Arial" w:hAnsi="Arial"/>
          <w:sz w:val="17"/>
          <w:szCs w:val="17"/>
          <w:color w:val="auto"/>
        </w:rPr>
        <w:t>The chair of each committee determines the frequency and agenda of committee meetings. The Audit, Compensation, and Public Policy and Compliance Committees meet alone in executive session on a regular basis; all other committees meet in executive session as needed.</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P22</w:t>
      </w:r>
    </w:p>
    <w:p>
      <w:pPr>
        <w:sectPr>
          <w:pgSz w:w="11900" w:h="16838" w:orient="portrait"/>
          <w:cols w:equalWidth="0" w:num="1">
            <w:col w:w="11400"/>
          </w:cols>
          <w:pgMar w:left="240" w:top="720" w:right="259" w:bottom="1440" w:gutter="0" w:footer="0" w:header="0"/>
        </w:sectPr>
      </w:pPr>
    </w:p>
    <w:bookmarkStart w:id="26" w:name="page27"/>
    <w:bookmarkEnd w:id="26"/>
    <w:p>
      <w:pPr>
        <w:spacing w:after="0"/>
        <w:rPr>
          <w:sz w:val="20"/>
          <w:szCs w:val="20"/>
          <w:color w:val="auto"/>
        </w:rPr>
      </w:pPr>
      <w:r>
        <w:rPr>
          <w:rFonts w:ascii="Arial" w:cs="Arial" w:eastAsia="Arial" w:hAnsi="Arial"/>
          <w:sz w:val="27"/>
          <w:szCs w:val="27"/>
          <w:b w:val="1"/>
          <w:bCs w:val="1"/>
          <w:color w:val="EF3729"/>
        </w:rPr>
        <w:t>Membership and Meetings of the Board and Its Committees</w:t>
      </w:r>
    </w:p>
    <w:p>
      <w:pPr>
        <w:spacing w:after="0" w:line="21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2018, each director attended at least 80 percent of the total number of meetings of the board and the committees on which he or she served during his or her tenure as a board or committee member. In addition, all board members are expected to attend the 2019 annual meeting, and all directors then serving attended the annual meeting in 2018. Current committee membership and the number of meetings of the board and each committee in 2018 are shown in the table below.</w:t>
      </w:r>
    </w:p>
    <w:p>
      <w:pPr>
        <w:spacing w:after="0" w:line="110" w:lineRule="exact"/>
        <w:rPr>
          <w:sz w:val="20"/>
          <w:szCs w:val="20"/>
          <w:color w:val="auto"/>
        </w:rPr>
      </w:pPr>
    </w:p>
    <w:tbl>
      <w:tblPr>
        <w:tblLayout w:type="fixed"/>
        <w:tblInd w:w="1420" w:type="dxa"/>
        <w:tblCellMar>
          <w:top w:w="0" w:type="dxa"/>
          <w:left w:w="0" w:type="dxa"/>
          <w:bottom w:w="0" w:type="dxa"/>
          <w:right w:w="0" w:type="dxa"/>
        </w:tblCellMar>
      </w:tblPr>
      <w:tr>
        <w:trPr>
          <w:trHeight w:val="172"/>
        </w:trPr>
        <w:tc>
          <w:tcPr>
            <w:tcW w:w="920" w:type="dxa"/>
            <w:vAlign w:val="bottom"/>
            <w:shd w:val="clear" w:color="auto" w:fill="C8C9CB"/>
          </w:tcPr>
          <w:p>
            <w:pPr>
              <w:spacing w:after="0"/>
              <w:rPr>
                <w:sz w:val="14"/>
                <w:szCs w:val="14"/>
                <w:color w:val="auto"/>
              </w:rPr>
            </w:pPr>
          </w:p>
        </w:tc>
        <w:tc>
          <w:tcPr>
            <w:tcW w:w="1180" w:type="dxa"/>
            <w:vAlign w:val="bottom"/>
            <w:shd w:val="clear" w:color="auto" w:fill="C8C9CB"/>
          </w:tcPr>
          <w:p>
            <w:pPr>
              <w:spacing w:after="0"/>
              <w:rPr>
                <w:sz w:val="14"/>
                <w:szCs w:val="14"/>
                <w:color w:val="auto"/>
              </w:rPr>
            </w:pPr>
          </w:p>
        </w:tc>
        <w:tc>
          <w:tcPr>
            <w:tcW w:w="840" w:type="dxa"/>
            <w:vAlign w:val="bottom"/>
            <w:shd w:val="clear" w:color="auto" w:fill="C8C9CB"/>
          </w:tcPr>
          <w:p>
            <w:pPr>
              <w:spacing w:after="0"/>
              <w:rPr>
                <w:sz w:val="14"/>
                <w:szCs w:val="14"/>
                <w:color w:val="auto"/>
              </w:rPr>
            </w:pPr>
          </w:p>
        </w:tc>
        <w:tc>
          <w:tcPr>
            <w:tcW w:w="2480" w:type="dxa"/>
            <w:vAlign w:val="bottom"/>
            <w:shd w:val="clear" w:color="auto" w:fill="C8C9CB"/>
          </w:tcPr>
          <w:p>
            <w:pPr>
              <w:ind w:left="1320"/>
              <w:spacing w:after="0"/>
              <w:rPr>
                <w:sz w:val="20"/>
                <w:szCs w:val="20"/>
                <w:color w:val="auto"/>
              </w:rPr>
            </w:pPr>
            <w:r>
              <w:rPr>
                <w:rFonts w:ascii="Arial" w:cs="Arial" w:eastAsia="Arial" w:hAnsi="Arial"/>
                <w:sz w:val="15"/>
                <w:szCs w:val="15"/>
                <w:b w:val="1"/>
                <w:bCs w:val="1"/>
                <w:color w:val="00ABE8"/>
              </w:rPr>
              <w:t>Directors and</w:t>
            </w:r>
          </w:p>
        </w:tc>
        <w:tc>
          <w:tcPr>
            <w:tcW w:w="940" w:type="dxa"/>
            <w:vAlign w:val="bottom"/>
            <w:shd w:val="clear" w:color="auto" w:fill="C8C9CB"/>
          </w:tcPr>
          <w:p>
            <w:pPr>
              <w:spacing w:after="0"/>
              <w:rPr>
                <w:sz w:val="14"/>
                <w:szCs w:val="14"/>
                <w:color w:val="auto"/>
              </w:rPr>
            </w:pPr>
          </w:p>
        </w:tc>
        <w:tc>
          <w:tcPr>
            <w:tcW w:w="1220" w:type="dxa"/>
            <w:vAlign w:val="bottom"/>
            <w:shd w:val="clear" w:color="auto" w:fill="C8C9CB"/>
          </w:tcPr>
          <w:p>
            <w:pPr>
              <w:ind w:left="220"/>
              <w:spacing w:after="0"/>
              <w:rPr>
                <w:sz w:val="20"/>
                <w:szCs w:val="20"/>
                <w:color w:val="auto"/>
              </w:rPr>
            </w:pPr>
            <w:r>
              <w:rPr>
                <w:rFonts w:ascii="Arial" w:cs="Arial" w:eastAsia="Arial" w:hAnsi="Arial"/>
                <w:sz w:val="15"/>
                <w:szCs w:val="15"/>
                <w:b w:val="1"/>
                <w:bCs w:val="1"/>
                <w:color w:val="00ABE8"/>
              </w:rPr>
              <w:t>Public Policy</w:t>
            </w:r>
          </w:p>
        </w:tc>
        <w:tc>
          <w:tcPr>
            <w:tcW w:w="1020" w:type="dxa"/>
            <w:vAlign w:val="bottom"/>
            <w:vMerge w:val="restart"/>
            <w:shd w:val="clear" w:color="auto" w:fill="C8C9CB"/>
          </w:tcPr>
          <w:p>
            <w:pPr>
              <w:ind w:left="40"/>
              <w:spacing w:after="0"/>
              <w:rPr>
                <w:sz w:val="20"/>
                <w:szCs w:val="20"/>
                <w:color w:val="auto"/>
              </w:rPr>
            </w:pPr>
            <w:r>
              <w:rPr>
                <w:rFonts w:ascii="Arial" w:cs="Arial" w:eastAsia="Arial" w:hAnsi="Arial"/>
                <w:sz w:val="15"/>
                <w:szCs w:val="15"/>
                <w:b w:val="1"/>
                <w:bCs w:val="1"/>
                <w:color w:val="00ABE8"/>
              </w:rPr>
              <w:t>Science and</w:t>
            </w:r>
          </w:p>
        </w:tc>
        <w:tc>
          <w:tcPr>
            <w:tcW w:w="0" w:type="dxa"/>
            <w:vAlign w:val="bottom"/>
          </w:tcPr>
          <w:p>
            <w:pPr>
              <w:spacing w:after="0"/>
              <w:rPr>
                <w:sz w:val="1"/>
                <w:szCs w:val="1"/>
                <w:color w:val="auto"/>
              </w:rPr>
            </w:pPr>
          </w:p>
        </w:tc>
      </w:tr>
      <w:tr>
        <w:trPr>
          <w:trHeight w:val="162"/>
        </w:trPr>
        <w:tc>
          <w:tcPr>
            <w:tcW w:w="920" w:type="dxa"/>
            <w:vAlign w:val="bottom"/>
            <w:vMerge w:val="restart"/>
            <w:shd w:val="clear" w:color="auto" w:fill="C8C9CB"/>
          </w:tcPr>
          <w:p>
            <w:pPr>
              <w:ind w:left="20"/>
              <w:spacing w:after="0"/>
              <w:rPr>
                <w:sz w:val="20"/>
                <w:szCs w:val="20"/>
                <w:color w:val="auto"/>
              </w:rPr>
            </w:pPr>
            <w:r>
              <w:rPr>
                <w:rFonts w:ascii="Arial" w:cs="Arial" w:eastAsia="Arial" w:hAnsi="Arial"/>
                <w:sz w:val="15"/>
                <w:szCs w:val="15"/>
                <w:b w:val="1"/>
                <w:bCs w:val="1"/>
                <w:color w:val="00ABE8"/>
              </w:rPr>
              <w:t>Name</w:t>
            </w:r>
          </w:p>
        </w:tc>
        <w:tc>
          <w:tcPr>
            <w:tcW w:w="1180" w:type="dxa"/>
            <w:vAlign w:val="bottom"/>
            <w:vMerge w:val="restart"/>
            <w:shd w:val="clear" w:color="auto" w:fill="C8C9CB"/>
          </w:tcPr>
          <w:p>
            <w:pPr>
              <w:ind w:left="480"/>
              <w:spacing w:after="0"/>
              <w:rPr>
                <w:sz w:val="20"/>
                <w:szCs w:val="20"/>
                <w:color w:val="auto"/>
              </w:rPr>
            </w:pPr>
            <w:r>
              <w:rPr>
                <w:rFonts w:ascii="Arial" w:cs="Arial" w:eastAsia="Arial" w:hAnsi="Arial"/>
                <w:sz w:val="15"/>
                <w:szCs w:val="15"/>
                <w:b w:val="1"/>
                <w:bCs w:val="1"/>
                <w:color w:val="00ABE8"/>
              </w:rPr>
              <w:t>Board</w:t>
            </w:r>
          </w:p>
        </w:tc>
        <w:tc>
          <w:tcPr>
            <w:tcW w:w="840" w:type="dxa"/>
            <w:vAlign w:val="bottom"/>
            <w:vMerge w:val="restart"/>
            <w:shd w:val="clear" w:color="auto" w:fill="C8C9CB"/>
          </w:tcPr>
          <w:p>
            <w:pPr>
              <w:ind w:left="280"/>
              <w:spacing w:after="0"/>
              <w:rPr>
                <w:sz w:val="20"/>
                <w:szCs w:val="20"/>
                <w:color w:val="auto"/>
              </w:rPr>
            </w:pPr>
            <w:r>
              <w:rPr>
                <w:rFonts w:ascii="Arial" w:cs="Arial" w:eastAsia="Arial" w:hAnsi="Arial"/>
                <w:sz w:val="15"/>
                <w:szCs w:val="15"/>
                <w:b w:val="1"/>
                <w:bCs w:val="1"/>
                <w:color w:val="00ABE8"/>
              </w:rPr>
              <w:t>Audit</w:t>
            </w:r>
          </w:p>
        </w:tc>
        <w:tc>
          <w:tcPr>
            <w:tcW w:w="2480" w:type="dxa"/>
            <w:vAlign w:val="bottom"/>
            <w:shd w:val="clear" w:color="auto" w:fill="C8C9CB"/>
          </w:tcPr>
          <w:p>
            <w:pPr>
              <w:ind w:left="1320"/>
              <w:spacing w:after="0" w:line="162" w:lineRule="exact"/>
              <w:rPr>
                <w:sz w:val="20"/>
                <w:szCs w:val="20"/>
                <w:color w:val="auto"/>
              </w:rPr>
            </w:pPr>
            <w:r>
              <w:rPr>
                <w:rFonts w:ascii="Arial" w:cs="Arial" w:eastAsia="Arial" w:hAnsi="Arial"/>
                <w:sz w:val="15"/>
                <w:szCs w:val="15"/>
                <w:b w:val="1"/>
                <w:bCs w:val="1"/>
                <w:color w:val="00ABE8"/>
              </w:rPr>
              <w:t>Corporate</w:t>
            </w:r>
          </w:p>
        </w:tc>
        <w:tc>
          <w:tcPr>
            <w:tcW w:w="940" w:type="dxa"/>
            <w:vAlign w:val="bottom"/>
            <w:vMerge w:val="restart"/>
            <w:shd w:val="clear" w:color="auto" w:fill="C8C9CB"/>
          </w:tcPr>
          <w:p>
            <w:pPr>
              <w:ind w:left="160"/>
              <w:spacing w:after="0"/>
              <w:rPr>
                <w:sz w:val="20"/>
                <w:szCs w:val="20"/>
                <w:color w:val="auto"/>
              </w:rPr>
            </w:pPr>
            <w:r>
              <w:rPr>
                <w:rFonts w:ascii="Arial" w:cs="Arial" w:eastAsia="Arial" w:hAnsi="Arial"/>
                <w:sz w:val="15"/>
                <w:szCs w:val="15"/>
                <w:b w:val="1"/>
                <w:bCs w:val="1"/>
                <w:color w:val="00ABE8"/>
              </w:rPr>
              <w:t>Finance</w:t>
            </w:r>
          </w:p>
        </w:tc>
        <w:tc>
          <w:tcPr>
            <w:tcW w:w="1220" w:type="dxa"/>
            <w:vAlign w:val="bottom"/>
            <w:shd w:val="clear" w:color="auto" w:fill="C8C9CB"/>
          </w:tcPr>
          <w:p>
            <w:pPr>
              <w:ind w:left="220"/>
              <w:spacing w:after="0" w:line="162" w:lineRule="exact"/>
              <w:rPr>
                <w:sz w:val="20"/>
                <w:szCs w:val="20"/>
                <w:color w:val="auto"/>
              </w:rPr>
            </w:pPr>
            <w:r>
              <w:rPr>
                <w:rFonts w:ascii="Arial" w:cs="Arial" w:eastAsia="Arial" w:hAnsi="Arial"/>
                <w:sz w:val="15"/>
                <w:szCs w:val="15"/>
                <w:b w:val="1"/>
                <w:bCs w:val="1"/>
                <w:color w:val="00ABE8"/>
              </w:rPr>
              <w:t>and</w:t>
            </w:r>
          </w:p>
        </w:tc>
        <w:tc>
          <w:tcPr>
            <w:tcW w:w="1020" w:type="dxa"/>
            <w:vAlign w:val="bottom"/>
            <w:vMerge w:val="continue"/>
            <w:shd w:val="clear" w:color="auto" w:fill="C8C9CB"/>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920" w:type="dxa"/>
            <w:vAlign w:val="bottom"/>
            <w:vMerge w:val="continue"/>
            <w:shd w:val="clear" w:color="auto" w:fill="C8C9CB"/>
          </w:tcPr>
          <w:p>
            <w:pPr>
              <w:spacing w:after="0"/>
              <w:rPr>
                <w:sz w:val="18"/>
                <w:szCs w:val="18"/>
                <w:color w:val="auto"/>
              </w:rPr>
            </w:pPr>
          </w:p>
        </w:tc>
        <w:tc>
          <w:tcPr>
            <w:tcW w:w="1180" w:type="dxa"/>
            <w:vAlign w:val="bottom"/>
            <w:vMerge w:val="continue"/>
            <w:shd w:val="clear" w:color="auto" w:fill="C8C9CB"/>
          </w:tcPr>
          <w:p>
            <w:pPr>
              <w:spacing w:after="0"/>
              <w:rPr>
                <w:sz w:val="18"/>
                <w:szCs w:val="18"/>
                <w:color w:val="auto"/>
              </w:rPr>
            </w:pPr>
          </w:p>
        </w:tc>
        <w:tc>
          <w:tcPr>
            <w:tcW w:w="840" w:type="dxa"/>
            <w:vAlign w:val="bottom"/>
            <w:vMerge w:val="continue"/>
            <w:shd w:val="clear" w:color="auto" w:fill="C8C9CB"/>
          </w:tcPr>
          <w:p>
            <w:pPr>
              <w:spacing w:after="0"/>
              <w:rPr>
                <w:sz w:val="18"/>
                <w:szCs w:val="18"/>
                <w:color w:val="auto"/>
              </w:rPr>
            </w:pPr>
          </w:p>
        </w:tc>
        <w:tc>
          <w:tcPr>
            <w:tcW w:w="2480" w:type="dxa"/>
            <w:vAlign w:val="bottom"/>
            <w:shd w:val="clear" w:color="auto" w:fill="C8C9CB"/>
          </w:tcPr>
          <w:p>
            <w:pPr>
              <w:ind w:left="200"/>
              <w:spacing w:after="0"/>
              <w:rPr>
                <w:sz w:val="20"/>
                <w:szCs w:val="20"/>
                <w:color w:val="auto"/>
              </w:rPr>
            </w:pPr>
            <w:r>
              <w:rPr>
                <w:rFonts w:ascii="Arial" w:cs="Arial" w:eastAsia="Arial" w:hAnsi="Arial"/>
                <w:sz w:val="15"/>
                <w:szCs w:val="15"/>
                <w:b w:val="1"/>
                <w:bCs w:val="1"/>
                <w:color w:val="00ABE8"/>
              </w:rPr>
              <w:t>Compensation Governance</w:t>
            </w:r>
          </w:p>
        </w:tc>
        <w:tc>
          <w:tcPr>
            <w:tcW w:w="940" w:type="dxa"/>
            <w:vAlign w:val="bottom"/>
            <w:vMerge w:val="continue"/>
            <w:shd w:val="clear" w:color="auto" w:fill="C8C9CB"/>
          </w:tcPr>
          <w:p>
            <w:pPr>
              <w:spacing w:after="0"/>
              <w:rPr>
                <w:sz w:val="18"/>
                <w:szCs w:val="18"/>
                <w:color w:val="auto"/>
              </w:rPr>
            </w:pPr>
          </w:p>
        </w:tc>
        <w:tc>
          <w:tcPr>
            <w:tcW w:w="1220" w:type="dxa"/>
            <w:vAlign w:val="bottom"/>
            <w:shd w:val="clear" w:color="auto" w:fill="C8C9CB"/>
          </w:tcPr>
          <w:p>
            <w:pPr>
              <w:ind w:left="220"/>
              <w:spacing w:after="0"/>
              <w:rPr>
                <w:sz w:val="20"/>
                <w:szCs w:val="20"/>
                <w:color w:val="auto"/>
              </w:rPr>
            </w:pPr>
            <w:r>
              <w:rPr>
                <w:rFonts w:ascii="Arial" w:cs="Arial" w:eastAsia="Arial" w:hAnsi="Arial"/>
                <w:sz w:val="15"/>
                <w:szCs w:val="15"/>
                <w:b w:val="1"/>
                <w:bCs w:val="1"/>
                <w:color w:val="00ABE8"/>
              </w:rPr>
              <w:t>Compliance</w:t>
            </w:r>
          </w:p>
        </w:tc>
        <w:tc>
          <w:tcPr>
            <w:tcW w:w="1020" w:type="dxa"/>
            <w:vAlign w:val="bottom"/>
            <w:shd w:val="clear" w:color="auto" w:fill="C8C9CB"/>
          </w:tcPr>
          <w:p>
            <w:pPr>
              <w:ind w:left="40"/>
              <w:spacing w:after="0"/>
              <w:rPr>
                <w:sz w:val="20"/>
                <w:szCs w:val="20"/>
                <w:color w:val="auto"/>
              </w:rPr>
            </w:pPr>
            <w:r>
              <w:rPr>
                <w:rFonts w:ascii="Arial" w:cs="Arial" w:eastAsia="Arial" w:hAnsi="Arial"/>
                <w:sz w:val="15"/>
                <w:szCs w:val="15"/>
                <w:b w:val="1"/>
                <w:bCs w:val="1"/>
                <w:color w:val="00ABE8"/>
              </w:rPr>
              <w:t>Technology</w:t>
            </w:r>
          </w:p>
        </w:tc>
        <w:tc>
          <w:tcPr>
            <w:tcW w:w="0" w:type="dxa"/>
            <w:vAlign w:val="bottom"/>
          </w:tcPr>
          <w:p>
            <w:pPr>
              <w:spacing w:after="0"/>
              <w:rPr>
                <w:sz w:val="1"/>
                <w:szCs w:val="1"/>
                <w:color w:val="auto"/>
              </w:rPr>
            </w:pPr>
          </w:p>
        </w:tc>
      </w:tr>
    </w:tbl>
    <w:p>
      <w:pPr>
        <w:spacing w:after="0" w:line="7" w:lineRule="exact"/>
        <w:rPr>
          <w:sz w:val="20"/>
          <w:szCs w:val="20"/>
          <w:color w:val="auto"/>
        </w:rPr>
      </w:pPr>
    </w:p>
    <w:tbl>
      <w:tblPr>
        <w:tblLayout w:type="fixed"/>
        <w:tblInd w:w="1420" w:type="dxa"/>
        <w:tblCellMar>
          <w:top w:w="0" w:type="dxa"/>
          <w:left w:w="0" w:type="dxa"/>
          <w:bottom w:w="0" w:type="dxa"/>
          <w:right w:w="0" w:type="dxa"/>
        </w:tblCellMar>
      </w:tblPr>
      <w:tr>
        <w:trPr>
          <w:trHeight w:val="232"/>
        </w:trPr>
        <w:tc>
          <w:tcPr>
            <w:tcW w:w="138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Mr. Alvarez</w:t>
            </w:r>
          </w:p>
        </w:tc>
        <w:tc>
          <w:tcPr>
            <w:tcW w:w="92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920" w:type="dxa"/>
            <w:vAlign w:val="bottom"/>
            <w:tcBorders>
              <w:bottom w:val="single" w:sz="8" w:color="C8C9CB"/>
            </w:tcBorders>
          </w:tcPr>
          <w:p>
            <w:pPr>
              <w:spacing w:after="0"/>
              <w:rPr>
                <w:sz w:val="20"/>
                <w:szCs w:val="20"/>
                <w:color w:val="auto"/>
              </w:rPr>
            </w:pPr>
          </w:p>
        </w:tc>
        <w:tc>
          <w:tcPr>
            <w:tcW w:w="1060" w:type="dxa"/>
            <w:vAlign w:val="bottom"/>
            <w:tcBorders>
              <w:bottom w:val="single" w:sz="8" w:color="C8C9CB"/>
            </w:tcBorders>
          </w:tcPr>
          <w:p>
            <w:pPr>
              <w:ind w:left="400"/>
              <w:spacing w:after="0"/>
              <w:rPr>
                <w:sz w:val="20"/>
                <w:szCs w:val="20"/>
                <w:color w:val="auto"/>
              </w:rPr>
            </w:pPr>
            <w:r>
              <w:rPr>
                <w:rFonts w:ascii="Arial" w:cs="Arial" w:eastAsia="Arial" w:hAnsi="Arial"/>
                <w:sz w:val="16"/>
                <w:szCs w:val="16"/>
                <w:b w:val="1"/>
                <w:bCs w:val="1"/>
                <w:color w:val="EE2724"/>
              </w:rPr>
              <w:t>C</w:t>
            </w:r>
          </w:p>
        </w:tc>
        <w:tc>
          <w:tcPr>
            <w:tcW w:w="1200" w:type="dxa"/>
            <w:vAlign w:val="bottom"/>
            <w:tcBorders>
              <w:bottom w:val="single" w:sz="8" w:color="C8C9CB"/>
            </w:tcBorders>
          </w:tcPr>
          <w:p>
            <w:pPr>
              <w:spacing w:after="0"/>
              <w:rPr>
                <w:sz w:val="20"/>
                <w:szCs w:val="20"/>
                <w:color w:val="auto"/>
              </w:rPr>
            </w:pPr>
          </w:p>
        </w:tc>
        <w:tc>
          <w:tcPr>
            <w:tcW w:w="1080" w:type="dxa"/>
            <w:vAlign w:val="bottom"/>
            <w:tcBorders>
              <w:bottom w:val="single" w:sz="8" w:color="C8C9CB"/>
            </w:tcBorders>
          </w:tcPr>
          <w:p>
            <w:pPr>
              <w:spacing w:after="0"/>
              <w:rPr>
                <w:sz w:val="20"/>
                <w:szCs w:val="20"/>
                <w:color w:val="auto"/>
              </w:rPr>
            </w:pPr>
          </w:p>
        </w:tc>
        <w:tc>
          <w:tcPr>
            <w:tcW w:w="1020" w:type="dxa"/>
            <w:vAlign w:val="bottom"/>
            <w:tcBorders>
              <w:bottom w:val="single" w:sz="8" w:color="C8C9CB"/>
            </w:tcBorders>
          </w:tcPr>
          <w:p>
            <w:pPr>
              <w:spacing w:after="0"/>
              <w:rPr>
                <w:sz w:val="20"/>
                <w:szCs w:val="20"/>
                <w:color w:val="auto"/>
              </w:rPr>
            </w:pPr>
          </w:p>
        </w:tc>
        <w:tc>
          <w:tcPr>
            <w:tcW w:w="102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0" w:type="dxa"/>
            <w:vAlign w:val="bottom"/>
          </w:tcPr>
          <w:p>
            <w:pPr>
              <w:spacing w:after="0"/>
              <w:rPr>
                <w:sz w:val="1"/>
                <w:szCs w:val="1"/>
                <w:color w:val="auto"/>
              </w:rPr>
            </w:pPr>
          </w:p>
        </w:tc>
      </w:tr>
      <w:tr>
        <w:trPr>
          <w:trHeight w:val="237"/>
        </w:trPr>
        <w:tc>
          <w:tcPr>
            <w:tcW w:w="138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Dr. Baicker</w:t>
            </w:r>
          </w:p>
        </w:tc>
        <w:tc>
          <w:tcPr>
            <w:tcW w:w="920" w:type="dxa"/>
            <w:vAlign w:val="bottom"/>
            <w:tcBorders>
              <w:bottom w:val="single" w:sz="8" w:color="C8C9CB"/>
            </w:tcBorders>
            <w:shd w:val="clear" w:color="auto" w:fill="F4F6F6"/>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920" w:type="dxa"/>
            <w:vAlign w:val="bottom"/>
            <w:tcBorders>
              <w:bottom w:val="single" w:sz="8" w:color="C8C9CB"/>
            </w:tcBorders>
            <w:shd w:val="clear" w:color="auto" w:fill="F4F6F6"/>
          </w:tcPr>
          <w:p>
            <w:pPr>
              <w:jc w:val="center"/>
              <w:spacing w:after="0"/>
              <w:rPr>
                <w:sz w:val="20"/>
                <w:szCs w:val="20"/>
                <w:color w:val="auto"/>
              </w:rPr>
            </w:pPr>
            <w:r>
              <w:rPr>
                <w:rFonts w:ascii="Times New Roman" w:cs="Times New Roman" w:eastAsia="Times New Roman" w:hAnsi="Times New Roman"/>
                <w:sz w:val="14"/>
                <w:szCs w:val="14"/>
                <w:color w:val="auto"/>
                <w:w w:val="85"/>
              </w:rPr>
              <w:t>ü</w:t>
            </w:r>
          </w:p>
        </w:tc>
        <w:tc>
          <w:tcPr>
            <w:tcW w:w="1060" w:type="dxa"/>
            <w:vAlign w:val="bottom"/>
            <w:tcBorders>
              <w:bottom w:val="single" w:sz="8" w:color="C8C9CB"/>
            </w:tcBorders>
            <w:shd w:val="clear" w:color="auto" w:fill="F4F6F6"/>
          </w:tcPr>
          <w:p>
            <w:pPr>
              <w:spacing w:after="0"/>
              <w:rPr>
                <w:sz w:val="20"/>
                <w:szCs w:val="20"/>
                <w:color w:val="auto"/>
              </w:rPr>
            </w:pPr>
          </w:p>
        </w:tc>
        <w:tc>
          <w:tcPr>
            <w:tcW w:w="1200" w:type="dxa"/>
            <w:vAlign w:val="bottom"/>
            <w:tcBorders>
              <w:bottom w:val="single" w:sz="8" w:color="C8C9CB"/>
            </w:tcBorders>
            <w:shd w:val="clear" w:color="auto" w:fill="F4F6F6"/>
          </w:tcPr>
          <w:p>
            <w:pPr>
              <w:spacing w:after="0"/>
              <w:rPr>
                <w:sz w:val="20"/>
                <w:szCs w:val="20"/>
                <w:color w:val="auto"/>
              </w:rPr>
            </w:pPr>
          </w:p>
        </w:tc>
        <w:tc>
          <w:tcPr>
            <w:tcW w:w="1080" w:type="dxa"/>
            <w:vAlign w:val="bottom"/>
            <w:tcBorders>
              <w:bottom w:val="single" w:sz="8" w:color="C8C9CB"/>
            </w:tcBorders>
            <w:shd w:val="clear" w:color="auto" w:fill="F4F6F6"/>
          </w:tcPr>
          <w:p>
            <w:pPr>
              <w:spacing w:after="0"/>
              <w:rPr>
                <w:sz w:val="20"/>
                <w:szCs w:val="20"/>
                <w:color w:val="auto"/>
              </w:rPr>
            </w:pPr>
          </w:p>
        </w:tc>
        <w:tc>
          <w:tcPr>
            <w:tcW w:w="1020" w:type="dxa"/>
            <w:vAlign w:val="bottom"/>
            <w:tcBorders>
              <w:bottom w:val="single" w:sz="8" w:color="C8C9CB"/>
            </w:tcBorders>
            <w:shd w:val="clear" w:color="auto" w:fill="F4F6F6"/>
          </w:tcPr>
          <w:p>
            <w:pPr>
              <w:ind w:left="460"/>
              <w:spacing w:after="0"/>
              <w:rPr>
                <w:sz w:val="20"/>
                <w:szCs w:val="20"/>
                <w:color w:val="auto"/>
              </w:rPr>
            </w:pPr>
            <w:r>
              <w:rPr>
                <w:rFonts w:ascii="Arial" w:cs="Arial" w:eastAsia="Arial" w:hAnsi="Arial"/>
                <w:sz w:val="16"/>
                <w:szCs w:val="16"/>
                <w:b w:val="1"/>
                <w:bCs w:val="1"/>
                <w:color w:val="EE2724"/>
              </w:rPr>
              <w:t>C</w:t>
            </w:r>
          </w:p>
        </w:tc>
        <w:tc>
          <w:tcPr>
            <w:tcW w:w="1020" w:type="dxa"/>
            <w:vAlign w:val="bottom"/>
            <w:tcBorders>
              <w:bottom w:val="single" w:sz="8" w:color="C8C9CB"/>
            </w:tcBorders>
            <w:shd w:val="clear" w:color="auto" w:fill="F4F6F6"/>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8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Dr. Bertozzi</w:t>
            </w:r>
          </w:p>
        </w:tc>
        <w:tc>
          <w:tcPr>
            <w:tcW w:w="92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920" w:type="dxa"/>
            <w:vAlign w:val="bottom"/>
            <w:tcBorders>
              <w:bottom w:val="single" w:sz="8" w:color="C8C9CB"/>
            </w:tcBorders>
          </w:tcPr>
          <w:p>
            <w:pPr>
              <w:spacing w:after="0"/>
              <w:rPr>
                <w:sz w:val="18"/>
                <w:szCs w:val="18"/>
                <w:color w:val="auto"/>
              </w:rPr>
            </w:pPr>
          </w:p>
        </w:tc>
        <w:tc>
          <w:tcPr>
            <w:tcW w:w="1060" w:type="dxa"/>
            <w:vAlign w:val="bottom"/>
            <w:tcBorders>
              <w:bottom w:val="single" w:sz="8" w:color="C8C9CB"/>
            </w:tcBorders>
          </w:tcPr>
          <w:p>
            <w:pPr>
              <w:spacing w:after="0"/>
              <w:rPr>
                <w:sz w:val="18"/>
                <w:szCs w:val="18"/>
                <w:color w:val="auto"/>
              </w:rPr>
            </w:pPr>
          </w:p>
        </w:tc>
        <w:tc>
          <w:tcPr>
            <w:tcW w:w="1200" w:type="dxa"/>
            <w:vAlign w:val="bottom"/>
            <w:tcBorders>
              <w:bottom w:val="single" w:sz="8" w:color="C8C9CB"/>
            </w:tcBorders>
          </w:tcPr>
          <w:p>
            <w:pPr>
              <w:spacing w:after="0"/>
              <w:rPr>
                <w:sz w:val="18"/>
                <w:szCs w:val="18"/>
                <w:color w:val="auto"/>
              </w:rPr>
            </w:pPr>
          </w:p>
        </w:tc>
        <w:tc>
          <w:tcPr>
            <w:tcW w:w="1080" w:type="dxa"/>
            <w:vAlign w:val="bottom"/>
            <w:tcBorders>
              <w:bottom w:val="single" w:sz="8" w:color="C8C9CB"/>
            </w:tcBorders>
          </w:tcPr>
          <w:p>
            <w:pPr>
              <w:spacing w:after="0"/>
              <w:rPr>
                <w:sz w:val="18"/>
                <w:szCs w:val="18"/>
                <w:color w:val="auto"/>
              </w:rPr>
            </w:pPr>
          </w:p>
        </w:tc>
        <w:tc>
          <w:tcPr>
            <w:tcW w:w="102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w w:val="85"/>
              </w:rPr>
              <w:t>ü</w:t>
            </w:r>
          </w:p>
        </w:tc>
        <w:tc>
          <w:tcPr>
            <w:tcW w:w="102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0" w:type="dxa"/>
            <w:vAlign w:val="bottom"/>
          </w:tcPr>
          <w:p>
            <w:pPr>
              <w:spacing w:after="0"/>
              <w:rPr>
                <w:sz w:val="1"/>
                <w:szCs w:val="1"/>
                <w:color w:val="auto"/>
              </w:rPr>
            </w:pPr>
          </w:p>
        </w:tc>
      </w:tr>
      <w:tr>
        <w:trPr>
          <w:trHeight w:val="237"/>
        </w:trPr>
        <w:tc>
          <w:tcPr>
            <w:tcW w:w="138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Mr. Eskew</w:t>
            </w:r>
          </w:p>
        </w:tc>
        <w:tc>
          <w:tcPr>
            <w:tcW w:w="920" w:type="dxa"/>
            <w:vAlign w:val="bottom"/>
            <w:tcBorders>
              <w:bottom w:val="single" w:sz="8" w:color="C8C9CB"/>
            </w:tcBorders>
            <w:shd w:val="clear" w:color="auto" w:fill="F4F6F6"/>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920" w:type="dxa"/>
            <w:vAlign w:val="bottom"/>
            <w:tcBorders>
              <w:bottom w:val="single" w:sz="8" w:color="C8C9CB"/>
            </w:tcBorders>
            <w:shd w:val="clear" w:color="auto" w:fill="F4F6F6"/>
          </w:tcPr>
          <w:p>
            <w:pPr>
              <w:ind w:left="360"/>
              <w:spacing w:after="0"/>
              <w:rPr>
                <w:sz w:val="20"/>
                <w:szCs w:val="20"/>
                <w:color w:val="auto"/>
              </w:rPr>
            </w:pPr>
            <w:r>
              <w:rPr>
                <w:rFonts w:ascii="Arial" w:cs="Arial" w:eastAsia="Arial" w:hAnsi="Arial"/>
                <w:sz w:val="16"/>
                <w:szCs w:val="16"/>
                <w:b w:val="1"/>
                <w:bCs w:val="1"/>
                <w:color w:val="EE2724"/>
              </w:rPr>
              <w:t>C</w:t>
            </w:r>
          </w:p>
        </w:tc>
        <w:tc>
          <w:tcPr>
            <w:tcW w:w="1060" w:type="dxa"/>
            <w:vAlign w:val="bottom"/>
            <w:tcBorders>
              <w:bottom w:val="single" w:sz="8" w:color="C8C9CB"/>
            </w:tcBorders>
            <w:shd w:val="clear" w:color="auto" w:fill="F4F6F6"/>
          </w:tcPr>
          <w:p>
            <w:pPr>
              <w:jc w:val="center"/>
              <w:ind w:right="87"/>
              <w:spacing w:after="0"/>
              <w:rPr>
                <w:sz w:val="20"/>
                <w:szCs w:val="20"/>
                <w:color w:val="auto"/>
              </w:rPr>
            </w:pPr>
            <w:r>
              <w:rPr>
                <w:rFonts w:ascii="Times New Roman" w:cs="Times New Roman" w:eastAsia="Times New Roman" w:hAnsi="Times New Roman"/>
                <w:sz w:val="14"/>
                <w:szCs w:val="14"/>
                <w:color w:val="auto"/>
                <w:w w:val="85"/>
              </w:rPr>
              <w:t>ü</w:t>
            </w:r>
          </w:p>
        </w:tc>
        <w:tc>
          <w:tcPr>
            <w:tcW w:w="1200" w:type="dxa"/>
            <w:vAlign w:val="bottom"/>
            <w:tcBorders>
              <w:bottom w:val="single" w:sz="8" w:color="C8C9CB"/>
            </w:tcBorders>
            <w:shd w:val="clear" w:color="auto" w:fill="F4F6F6"/>
          </w:tcPr>
          <w:p>
            <w:pPr>
              <w:jc w:val="center"/>
              <w:spacing w:after="0"/>
              <w:rPr>
                <w:sz w:val="20"/>
                <w:szCs w:val="20"/>
                <w:color w:val="auto"/>
              </w:rPr>
            </w:pPr>
            <w:r>
              <w:rPr>
                <w:rFonts w:ascii="Times New Roman" w:cs="Times New Roman" w:eastAsia="Times New Roman" w:hAnsi="Times New Roman"/>
                <w:sz w:val="14"/>
                <w:szCs w:val="14"/>
                <w:color w:val="auto"/>
                <w:w w:val="85"/>
              </w:rPr>
              <w:t>ü</w:t>
            </w:r>
          </w:p>
        </w:tc>
        <w:tc>
          <w:tcPr>
            <w:tcW w:w="1080" w:type="dxa"/>
            <w:vAlign w:val="bottom"/>
            <w:tcBorders>
              <w:bottom w:val="single" w:sz="8" w:color="C8C9CB"/>
            </w:tcBorders>
            <w:shd w:val="clear" w:color="auto" w:fill="F4F6F6"/>
          </w:tcPr>
          <w:p>
            <w:pPr>
              <w:spacing w:after="0"/>
              <w:rPr>
                <w:sz w:val="20"/>
                <w:szCs w:val="20"/>
                <w:color w:val="auto"/>
              </w:rPr>
            </w:pPr>
          </w:p>
        </w:tc>
        <w:tc>
          <w:tcPr>
            <w:tcW w:w="1020" w:type="dxa"/>
            <w:vAlign w:val="bottom"/>
            <w:tcBorders>
              <w:bottom w:val="single" w:sz="8" w:color="C8C9CB"/>
            </w:tcBorders>
            <w:shd w:val="clear" w:color="auto" w:fill="F4F6F6"/>
          </w:tcPr>
          <w:p>
            <w:pPr>
              <w:spacing w:after="0"/>
              <w:rPr>
                <w:sz w:val="20"/>
                <w:szCs w:val="20"/>
                <w:color w:val="auto"/>
              </w:rPr>
            </w:pPr>
          </w:p>
        </w:tc>
        <w:tc>
          <w:tcPr>
            <w:tcW w:w="1020" w:type="dxa"/>
            <w:vAlign w:val="bottom"/>
            <w:tcBorders>
              <w:bottom w:val="single" w:sz="8" w:color="C8C9CB"/>
            </w:tcBorders>
            <w:shd w:val="clear" w:color="auto" w:fill="F4F6F6"/>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8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Mr. Fyrwald</w:t>
            </w:r>
          </w:p>
        </w:tc>
        <w:tc>
          <w:tcPr>
            <w:tcW w:w="92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920" w:type="dxa"/>
            <w:vAlign w:val="bottom"/>
            <w:tcBorders>
              <w:bottom w:val="single" w:sz="8" w:color="C8C9CB"/>
            </w:tcBorders>
          </w:tcPr>
          <w:p>
            <w:pPr>
              <w:spacing w:after="0"/>
              <w:rPr>
                <w:sz w:val="20"/>
                <w:szCs w:val="20"/>
                <w:color w:val="auto"/>
              </w:rPr>
            </w:pPr>
          </w:p>
        </w:tc>
        <w:tc>
          <w:tcPr>
            <w:tcW w:w="1060" w:type="dxa"/>
            <w:vAlign w:val="bottom"/>
            <w:tcBorders>
              <w:bottom w:val="single" w:sz="8" w:color="C8C9CB"/>
            </w:tcBorders>
          </w:tcPr>
          <w:p>
            <w:pPr>
              <w:spacing w:after="0"/>
              <w:rPr>
                <w:sz w:val="20"/>
                <w:szCs w:val="20"/>
                <w:color w:val="auto"/>
              </w:rPr>
            </w:pPr>
          </w:p>
        </w:tc>
        <w:tc>
          <w:tcPr>
            <w:tcW w:w="1200" w:type="dxa"/>
            <w:vAlign w:val="bottom"/>
            <w:tcBorders>
              <w:bottom w:val="single" w:sz="8" w:color="C8C9CB"/>
            </w:tcBorders>
          </w:tcPr>
          <w:p>
            <w:pPr>
              <w:spacing w:after="0"/>
              <w:rPr>
                <w:sz w:val="20"/>
                <w:szCs w:val="20"/>
                <w:color w:val="auto"/>
              </w:rPr>
            </w:pPr>
          </w:p>
        </w:tc>
        <w:tc>
          <w:tcPr>
            <w:tcW w:w="1080" w:type="dxa"/>
            <w:vAlign w:val="bottom"/>
            <w:tcBorders>
              <w:bottom w:val="single" w:sz="8" w:color="C8C9CB"/>
            </w:tcBorders>
          </w:tcPr>
          <w:p>
            <w:pPr>
              <w:spacing w:after="0"/>
              <w:rPr>
                <w:sz w:val="20"/>
                <w:szCs w:val="20"/>
                <w:color w:val="auto"/>
              </w:rPr>
            </w:pPr>
          </w:p>
        </w:tc>
        <w:tc>
          <w:tcPr>
            <w:tcW w:w="102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w w:val="85"/>
              </w:rPr>
              <w:t>ü</w:t>
            </w:r>
          </w:p>
        </w:tc>
        <w:tc>
          <w:tcPr>
            <w:tcW w:w="102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0" w:type="dxa"/>
            <w:vAlign w:val="bottom"/>
          </w:tcPr>
          <w:p>
            <w:pPr>
              <w:spacing w:after="0"/>
              <w:rPr>
                <w:sz w:val="1"/>
                <w:szCs w:val="1"/>
                <w:color w:val="auto"/>
              </w:rPr>
            </w:pPr>
          </w:p>
        </w:tc>
      </w:tr>
      <w:tr>
        <w:trPr>
          <w:trHeight w:val="210"/>
        </w:trPr>
        <w:tc>
          <w:tcPr>
            <w:tcW w:w="138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Mr. Jackson</w:t>
            </w:r>
          </w:p>
        </w:tc>
        <w:tc>
          <w:tcPr>
            <w:tcW w:w="920" w:type="dxa"/>
            <w:vAlign w:val="bottom"/>
            <w:tcBorders>
              <w:bottom w:val="single" w:sz="8" w:color="C8C9CB"/>
            </w:tcBorders>
            <w:shd w:val="clear" w:color="auto" w:fill="F4F6F6"/>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920" w:type="dxa"/>
            <w:vAlign w:val="bottom"/>
            <w:tcBorders>
              <w:bottom w:val="single" w:sz="8" w:color="C8C9CB"/>
            </w:tcBorders>
            <w:shd w:val="clear" w:color="auto" w:fill="F4F6F6"/>
          </w:tcPr>
          <w:p>
            <w:pPr>
              <w:jc w:val="center"/>
              <w:spacing w:after="0"/>
              <w:rPr>
                <w:sz w:val="20"/>
                <w:szCs w:val="20"/>
                <w:color w:val="auto"/>
              </w:rPr>
            </w:pPr>
            <w:r>
              <w:rPr>
                <w:rFonts w:ascii="Times New Roman" w:cs="Times New Roman" w:eastAsia="Times New Roman" w:hAnsi="Times New Roman"/>
                <w:sz w:val="14"/>
                <w:szCs w:val="14"/>
                <w:color w:val="auto"/>
                <w:w w:val="85"/>
              </w:rPr>
              <w:t>ü</w:t>
            </w:r>
          </w:p>
        </w:tc>
        <w:tc>
          <w:tcPr>
            <w:tcW w:w="1060" w:type="dxa"/>
            <w:vAlign w:val="bottom"/>
            <w:tcBorders>
              <w:bottom w:val="single" w:sz="8" w:color="C8C9CB"/>
            </w:tcBorders>
            <w:shd w:val="clear" w:color="auto" w:fill="F4F6F6"/>
          </w:tcPr>
          <w:p>
            <w:pPr>
              <w:spacing w:after="0"/>
              <w:rPr>
                <w:sz w:val="18"/>
                <w:szCs w:val="18"/>
                <w:color w:val="auto"/>
              </w:rPr>
            </w:pPr>
          </w:p>
        </w:tc>
        <w:tc>
          <w:tcPr>
            <w:tcW w:w="1200" w:type="dxa"/>
            <w:vAlign w:val="bottom"/>
            <w:tcBorders>
              <w:bottom w:val="single" w:sz="8" w:color="C8C9CB"/>
            </w:tcBorders>
            <w:shd w:val="clear" w:color="auto" w:fill="F4F6F6"/>
          </w:tcPr>
          <w:p>
            <w:pPr>
              <w:spacing w:after="0"/>
              <w:rPr>
                <w:sz w:val="18"/>
                <w:szCs w:val="18"/>
                <w:color w:val="auto"/>
              </w:rPr>
            </w:pPr>
          </w:p>
        </w:tc>
        <w:tc>
          <w:tcPr>
            <w:tcW w:w="1080" w:type="dxa"/>
            <w:vAlign w:val="bottom"/>
            <w:tcBorders>
              <w:bottom w:val="single" w:sz="8" w:color="C8C9CB"/>
            </w:tcBorders>
            <w:shd w:val="clear" w:color="auto" w:fill="F4F6F6"/>
          </w:tcPr>
          <w:p>
            <w:pPr>
              <w:jc w:val="center"/>
              <w:spacing w:after="0"/>
              <w:rPr>
                <w:sz w:val="20"/>
                <w:szCs w:val="20"/>
                <w:color w:val="auto"/>
              </w:rPr>
            </w:pPr>
            <w:r>
              <w:rPr>
                <w:rFonts w:ascii="Times New Roman" w:cs="Times New Roman" w:eastAsia="Times New Roman" w:hAnsi="Times New Roman"/>
                <w:sz w:val="14"/>
                <w:szCs w:val="14"/>
                <w:color w:val="auto"/>
                <w:w w:val="85"/>
              </w:rPr>
              <w:t>ü</w:t>
            </w:r>
          </w:p>
        </w:tc>
        <w:tc>
          <w:tcPr>
            <w:tcW w:w="1020" w:type="dxa"/>
            <w:vAlign w:val="bottom"/>
            <w:tcBorders>
              <w:bottom w:val="single" w:sz="8" w:color="C8C9CB"/>
            </w:tcBorders>
            <w:shd w:val="clear" w:color="auto" w:fill="F4F6F6"/>
          </w:tcPr>
          <w:p>
            <w:pPr>
              <w:spacing w:after="0"/>
              <w:rPr>
                <w:sz w:val="18"/>
                <w:szCs w:val="18"/>
                <w:color w:val="auto"/>
              </w:rPr>
            </w:pPr>
          </w:p>
        </w:tc>
        <w:tc>
          <w:tcPr>
            <w:tcW w:w="1020" w:type="dxa"/>
            <w:vAlign w:val="bottom"/>
            <w:tcBorders>
              <w:bottom w:val="single" w:sz="8" w:color="C8C9CB"/>
            </w:tcBorders>
            <w:shd w:val="clear" w:color="auto" w:fill="F4F6F6"/>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Dr. Kaelin</w:t>
            </w:r>
          </w:p>
        </w:tc>
        <w:tc>
          <w:tcPr>
            <w:tcW w:w="92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920" w:type="dxa"/>
            <w:vAlign w:val="bottom"/>
            <w:tcBorders>
              <w:bottom w:val="single" w:sz="8" w:color="C8C9CB"/>
            </w:tcBorders>
          </w:tcPr>
          <w:p>
            <w:pPr>
              <w:spacing w:after="0"/>
              <w:rPr>
                <w:sz w:val="20"/>
                <w:szCs w:val="20"/>
                <w:color w:val="auto"/>
              </w:rPr>
            </w:pPr>
          </w:p>
        </w:tc>
        <w:tc>
          <w:tcPr>
            <w:tcW w:w="1060" w:type="dxa"/>
            <w:vAlign w:val="bottom"/>
            <w:tcBorders>
              <w:bottom w:val="single" w:sz="8" w:color="C8C9CB"/>
            </w:tcBorders>
          </w:tcPr>
          <w:p>
            <w:pPr>
              <w:spacing w:after="0"/>
              <w:rPr>
                <w:sz w:val="20"/>
                <w:szCs w:val="20"/>
                <w:color w:val="auto"/>
              </w:rPr>
            </w:pPr>
          </w:p>
        </w:tc>
        <w:tc>
          <w:tcPr>
            <w:tcW w:w="1200" w:type="dxa"/>
            <w:vAlign w:val="bottom"/>
            <w:tcBorders>
              <w:bottom w:val="single" w:sz="8" w:color="C8C9CB"/>
            </w:tcBorders>
          </w:tcPr>
          <w:p>
            <w:pPr>
              <w:spacing w:after="0"/>
              <w:rPr>
                <w:sz w:val="20"/>
                <w:szCs w:val="20"/>
                <w:color w:val="auto"/>
              </w:rPr>
            </w:pPr>
          </w:p>
        </w:tc>
        <w:tc>
          <w:tcPr>
            <w:tcW w:w="108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w w:val="85"/>
              </w:rPr>
              <w:t>ü</w:t>
            </w:r>
          </w:p>
        </w:tc>
        <w:tc>
          <w:tcPr>
            <w:tcW w:w="1020" w:type="dxa"/>
            <w:vAlign w:val="bottom"/>
            <w:tcBorders>
              <w:bottom w:val="single" w:sz="8" w:color="C8C9CB"/>
            </w:tcBorders>
          </w:tcPr>
          <w:p>
            <w:pPr>
              <w:spacing w:after="0"/>
              <w:rPr>
                <w:sz w:val="20"/>
                <w:szCs w:val="20"/>
                <w:color w:val="auto"/>
              </w:rPr>
            </w:pPr>
          </w:p>
        </w:tc>
        <w:tc>
          <w:tcPr>
            <w:tcW w:w="1020" w:type="dxa"/>
            <w:vAlign w:val="bottom"/>
            <w:tcBorders>
              <w:bottom w:val="single" w:sz="8" w:color="C8C9CB"/>
            </w:tcBorders>
          </w:tcPr>
          <w:p>
            <w:pPr>
              <w:ind w:left="460"/>
              <w:spacing w:after="0"/>
              <w:rPr>
                <w:sz w:val="20"/>
                <w:szCs w:val="20"/>
                <w:color w:val="auto"/>
              </w:rPr>
            </w:pPr>
            <w:r>
              <w:rPr>
                <w:rFonts w:ascii="Arial" w:cs="Arial" w:eastAsia="Arial" w:hAnsi="Arial"/>
                <w:sz w:val="16"/>
                <w:szCs w:val="16"/>
                <w:b w:val="1"/>
                <w:bCs w:val="1"/>
                <w:color w:val="EE2724"/>
              </w:rPr>
              <w:t>C</w:t>
            </w:r>
          </w:p>
        </w:tc>
        <w:tc>
          <w:tcPr>
            <w:tcW w:w="0" w:type="dxa"/>
            <w:vAlign w:val="bottom"/>
          </w:tcPr>
          <w:p>
            <w:pPr>
              <w:spacing w:after="0"/>
              <w:rPr>
                <w:sz w:val="1"/>
                <w:szCs w:val="1"/>
                <w:color w:val="auto"/>
              </w:rPr>
            </w:pPr>
          </w:p>
        </w:tc>
      </w:tr>
      <w:tr>
        <w:trPr>
          <w:trHeight w:val="240"/>
        </w:trPr>
        <w:tc>
          <w:tcPr>
            <w:tcW w:w="138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Mr. Luciano</w:t>
            </w:r>
          </w:p>
        </w:tc>
        <w:tc>
          <w:tcPr>
            <w:tcW w:w="920" w:type="dxa"/>
            <w:vAlign w:val="bottom"/>
            <w:tcBorders>
              <w:bottom w:val="single" w:sz="8" w:color="C8C9CB"/>
            </w:tcBorders>
            <w:shd w:val="clear" w:color="auto" w:fill="F4F6F6"/>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920" w:type="dxa"/>
            <w:vAlign w:val="bottom"/>
            <w:tcBorders>
              <w:bottom w:val="single" w:sz="8" w:color="C8C9CB"/>
            </w:tcBorders>
            <w:shd w:val="clear" w:color="auto" w:fill="F4F6F6"/>
          </w:tcPr>
          <w:p>
            <w:pPr>
              <w:spacing w:after="0"/>
              <w:rPr>
                <w:sz w:val="20"/>
                <w:szCs w:val="20"/>
                <w:color w:val="auto"/>
              </w:rPr>
            </w:pPr>
          </w:p>
        </w:tc>
        <w:tc>
          <w:tcPr>
            <w:tcW w:w="1060" w:type="dxa"/>
            <w:vAlign w:val="bottom"/>
            <w:tcBorders>
              <w:bottom w:val="single" w:sz="8" w:color="C8C9CB"/>
            </w:tcBorders>
            <w:shd w:val="clear" w:color="auto" w:fill="F4F6F6"/>
          </w:tcPr>
          <w:p>
            <w:pPr>
              <w:spacing w:after="0"/>
              <w:rPr>
                <w:sz w:val="20"/>
                <w:szCs w:val="20"/>
                <w:color w:val="auto"/>
              </w:rPr>
            </w:pPr>
          </w:p>
        </w:tc>
        <w:tc>
          <w:tcPr>
            <w:tcW w:w="1200" w:type="dxa"/>
            <w:vAlign w:val="bottom"/>
            <w:tcBorders>
              <w:bottom w:val="single" w:sz="8" w:color="C8C9CB"/>
            </w:tcBorders>
            <w:shd w:val="clear" w:color="auto" w:fill="F4F6F6"/>
          </w:tcPr>
          <w:p>
            <w:pPr>
              <w:spacing w:after="0"/>
              <w:rPr>
                <w:sz w:val="20"/>
                <w:szCs w:val="20"/>
                <w:color w:val="auto"/>
              </w:rPr>
            </w:pPr>
          </w:p>
        </w:tc>
        <w:tc>
          <w:tcPr>
            <w:tcW w:w="1080" w:type="dxa"/>
            <w:vAlign w:val="bottom"/>
            <w:tcBorders>
              <w:bottom w:val="single" w:sz="8" w:color="C8C9CB"/>
            </w:tcBorders>
            <w:shd w:val="clear" w:color="auto" w:fill="F4F6F6"/>
          </w:tcPr>
          <w:p>
            <w:pPr>
              <w:ind w:left="500"/>
              <w:spacing w:after="0"/>
              <w:rPr>
                <w:sz w:val="20"/>
                <w:szCs w:val="20"/>
                <w:color w:val="auto"/>
              </w:rPr>
            </w:pPr>
            <w:r>
              <w:rPr>
                <w:rFonts w:ascii="Arial" w:cs="Arial" w:eastAsia="Arial" w:hAnsi="Arial"/>
                <w:sz w:val="17"/>
                <w:szCs w:val="17"/>
                <w:b w:val="1"/>
                <w:bCs w:val="1"/>
                <w:color w:val="EE2724"/>
              </w:rPr>
              <w:t>C</w:t>
            </w:r>
          </w:p>
        </w:tc>
        <w:tc>
          <w:tcPr>
            <w:tcW w:w="1020" w:type="dxa"/>
            <w:vAlign w:val="bottom"/>
            <w:tcBorders>
              <w:bottom w:val="single" w:sz="8" w:color="C8C9CB"/>
            </w:tcBorders>
            <w:shd w:val="clear" w:color="auto" w:fill="F4F6F6"/>
          </w:tcPr>
          <w:p>
            <w:pPr>
              <w:jc w:val="center"/>
              <w:spacing w:after="0"/>
              <w:rPr>
                <w:sz w:val="20"/>
                <w:szCs w:val="20"/>
                <w:color w:val="auto"/>
              </w:rPr>
            </w:pPr>
            <w:r>
              <w:rPr>
                <w:rFonts w:ascii="Times New Roman" w:cs="Times New Roman" w:eastAsia="Times New Roman" w:hAnsi="Times New Roman"/>
                <w:sz w:val="14"/>
                <w:szCs w:val="14"/>
                <w:color w:val="auto"/>
                <w:w w:val="85"/>
              </w:rPr>
              <w:t>ü</w:t>
            </w:r>
          </w:p>
        </w:tc>
        <w:tc>
          <w:tcPr>
            <w:tcW w:w="1020" w:type="dxa"/>
            <w:vAlign w:val="bottom"/>
            <w:tcBorders>
              <w:bottom w:val="single" w:sz="8" w:color="C8C9CB"/>
            </w:tcBorders>
            <w:shd w:val="clear" w:color="auto" w:fill="F4F6F6"/>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38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Ms. Marram</w:t>
            </w:r>
          </w:p>
        </w:tc>
        <w:tc>
          <w:tcPr>
            <w:tcW w:w="920" w:type="dxa"/>
            <w:vAlign w:val="bottom"/>
            <w:tcBorders>
              <w:bottom w:val="single" w:sz="8" w:color="C8C9CB"/>
            </w:tcBorders>
          </w:tcPr>
          <w:p>
            <w:pPr>
              <w:ind w:left="360"/>
              <w:spacing w:after="0"/>
              <w:rPr>
                <w:sz w:val="20"/>
                <w:szCs w:val="20"/>
                <w:color w:val="auto"/>
              </w:rPr>
            </w:pPr>
            <w:r>
              <w:rPr>
                <w:rFonts w:ascii="Arial" w:cs="Arial" w:eastAsia="Arial" w:hAnsi="Arial"/>
                <w:sz w:val="16"/>
                <w:szCs w:val="16"/>
                <w:b w:val="1"/>
                <w:bCs w:val="1"/>
                <w:color w:val="EE2724"/>
              </w:rPr>
              <w:t>LD</w:t>
            </w:r>
          </w:p>
        </w:tc>
        <w:tc>
          <w:tcPr>
            <w:tcW w:w="920" w:type="dxa"/>
            <w:vAlign w:val="bottom"/>
            <w:tcBorders>
              <w:bottom w:val="single" w:sz="8" w:color="C8C9CB"/>
            </w:tcBorders>
          </w:tcPr>
          <w:p>
            <w:pPr>
              <w:spacing w:after="0"/>
              <w:rPr>
                <w:sz w:val="20"/>
                <w:szCs w:val="20"/>
                <w:color w:val="auto"/>
              </w:rPr>
            </w:pPr>
          </w:p>
        </w:tc>
        <w:tc>
          <w:tcPr>
            <w:tcW w:w="1060" w:type="dxa"/>
            <w:vAlign w:val="bottom"/>
            <w:tcBorders>
              <w:bottom w:val="single" w:sz="8" w:color="C8C9CB"/>
            </w:tcBorders>
          </w:tcPr>
          <w:p>
            <w:pPr>
              <w:jc w:val="center"/>
              <w:ind w:right="87"/>
              <w:spacing w:after="0"/>
              <w:rPr>
                <w:sz w:val="20"/>
                <w:szCs w:val="20"/>
                <w:color w:val="auto"/>
              </w:rPr>
            </w:pPr>
            <w:r>
              <w:rPr>
                <w:rFonts w:ascii="Times New Roman" w:cs="Times New Roman" w:eastAsia="Times New Roman" w:hAnsi="Times New Roman"/>
                <w:sz w:val="14"/>
                <w:szCs w:val="14"/>
                <w:color w:val="auto"/>
                <w:w w:val="85"/>
              </w:rPr>
              <w:t>ü</w:t>
            </w:r>
          </w:p>
        </w:tc>
        <w:tc>
          <w:tcPr>
            <w:tcW w:w="1200" w:type="dxa"/>
            <w:vAlign w:val="bottom"/>
            <w:tcBorders>
              <w:bottom w:val="single" w:sz="8" w:color="C8C9CB"/>
            </w:tcBorders>
          </w:tcPr>
          <w:p>
            <w:pPr>
              <w:ind w:left="560"/>
              <w:spacing w:after="0"/>
              <w:rPr>
                <w:sz w:val="20"/>
                <w:szCs w:val="20"/>
                <w:color w:val="auto"/>
              </w:rPr>
            </w:pPr>
            <w:r>
              <w:rPr>
                <w:rFonts w:ascii="Arial" w:cs="Arial" w:eastAsia="Arial" w:hAnsi="Arial"/>
                <w:sz w:val="16"/>
                <w:szCs w:val="16"/>
                <w:b w:val="1"/>
                <w:bCs w:val="1"/>
                <w:color w:val="EE2724"/>
              </w:rPr>
              <w:t>C</w:t>
            </w:r>
          </w:p>
        </w:tc>
        <w:tc>
          <w:tcPr>
            <w:tcW w:w="1080" w:type="dxa"/>
            <w:vAlign w:val="bottom"/>
            <w:tcBorders>
              <w:bottom w:val="single" w:sz="8" w:color="C8C9CB"/>
            </w:tcBorders>
          </w:tcPr>
          <w:p>
            <w:pPr>
              <w:spacing w:after="0"/>
              <w:rPr>
                <w:sz w:val="20"/>
                <w:szCs w:val="20"/>
                <w:color w:val="auto"/>
              </w:rPr>
            </w:pPr>
          </w:p>
        </w:tc>
        <w:tc>
          <w:tcPr>
            <w:tcW w:w="1020" w:type="dxa"/>
            <w:vAlign w:val="bottom"/>
            <w:tcBorders>
              <w:bottom w:val="single" w:sz="8" w:color="C8C9CB"/>
            </w:tcBorders>
          </w:tcPr>
          <w:p>
            <w:pPr>
              <w:spacing w:after="0"/>
              <w:rPr>
                <w:sz w:val="20"/>
                <w:szCs w:val="20"/>
                <w:color w:val="auto"/>
              </w:rPr>
            </w:pPr>
          </w:p>
        </w:tc>
        <w:tc>
          <w:tcPr>
            <w:tcW w:w="1020" w:type="dxa"/>
            <w:vAlign w:val="bottom"/>
            <w:tcBorders>
              <w:bottom w:val="single" w:sz="8" w:color="C8C9CB"/>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8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Mr. Ricks</w:t>
            </w:r>
          </w:p>
        </w:tc>
        <w:tc>
          <w:tcPr>
            <w:tcW w:w="920" w:type="dxa"/>
            <w:vAlign w:val="bottom"/>
            <w:tcBorders>
              <w:bottom w:val="single" w:sz="8" w:color="C8C9CB"/>
            </w:tcBorders>
            <w:shd w:val="clear" w:color="auto" w:fill="F4F6F6"/>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920" w:type="dxa"/>
            <w:vAlign w:val="bottom"/>
            <w:tcBorders>
              <w:bottom w:val="single" w:sz="8" w:color="C8C9CB"/>
            </w:tcBorders>
            <w:shd w:val="clear" w:color="auto" w:fill="F4F6F6"/>
          </w:tcPr>
          <w:p>
            <w:pPr>
              <w:spacing w:after="0"/>
              <w:rPr>
                <w:sz w:val="18"/>
                <w:szCs w:val="18"/>
                <w:color w:val="auto"/>
              </w:rPr>
            </w:pPr>
          </w:p>
        </w:tc>
        <w:tc>
          <w:tcPr>
            <w:tcW w:w="1060" w:type="dxa"/>
            <w:vAlign w:val="bottom"/>
            <w:tcBorders>
              <w:bottom w:val="single" w:sz="8" w:color="C8C9CB"/>
            </w:tcBorders>
            <w:shd w:val="clear" w:color="auto" w:fill="F4F6F6"/>
          </w:tcPr>
          <w:p>
            <w:pPr>
              <w:spacing w:after="0"/>
              <w:rPr>
                <w:sz w:val="18"/>
                <w:szCs w:val="18"/>
                <w:color w:val="auto"/>
              </w:rPr>
            </w:pPr>
          </w:p>
        </w:tc>
        <w:tc>
          <w:tcPr>
            <w:tcW w:w="1200" w:type="dxa"/>
            <w:vAlign w:val="bottom"/>
            <w:tcBorders>
              <w:bottom w:val="single" w:sz="8" w:color="C8C9CB"/>
            </w:tcBorders>
            <w:shd w:val="clear" w:color="auto" w:fill="F4F6F6"/>
          </w:tcPr>
          <w:p>
            <w:pPr>
              <w:spacing w:after="0"/>
              <w:rPr>
                <w:sz w:val="18"/>
                <w:szCs w:val="18"/>
                <w:color w:val="auto"/>
              </w:rPr>
            </w:pPr>
          </w:p>
        </w:tc>
        <w:tc>
          <w:tcPr>
            <w:tcW w:w="1080" w:type="dxa"/>
            <w:vAlign w:val="bottom"/>
            <w:tcBorders>
              <w:bottom w:val="single" w:sz="8" w:color="C8C9CB"/>
            </w:tcBorders>
            <w:shd w:val="clear" w:color="auto" w:fill="F4F6F6"/>
          </w:tcPr>
          <w:p>
            <w:pPr>
              <w:spacing w:after="0"/>
              <w:rPr>
                <w:sz w:val="18"/>
                <w:szCs w:val="18"/>
                <w:color w:val="auto"/>
              </w:rPr>
            </w:pPr>
          </w:p>
        </w:tc>
        <w:tc>
          <w:tcPr>
            <w:tcW w:w="1020" w:type="dxa"/>
            <w:vAlign w:val="bottom"/>
            <w:tcBorders>
              <w:bottom w:val="single" w:sz="8" w:color="C8C9CB"/>
            </w:tcBorders>
            <w:shd w:val="clear" w:color="auto" w:fill="F4F6F6"/>
          </w:tcPr>
          <w:p>
            <w:pPr>
              <w:spacing w:after="0"/>
              <w:rPr>
                <w:sz w:val="18"/>
                <w:szCs w:val="18"/>
                <w:color w:val="auto"/>
              </w:rPr>
            </w:pPr>
          </w:p>
        </w:tc>
        <w:tc>
          <w:tcPr>
            <w:tcW w:w="1020" w:type="dxa"/>
            <w:vAlign w:val="bottom"/>
            <w:tcBorders>
              <w:bottom w:val="single" w:sz="8" w:color="C8C9CB"/>
            </w:tcBorders>
            <w:shd w:val="clear" w:color="auto" w:fill="F4F6F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Dr. Runge</w:t>
            </w:r>
          </w:p>
        </w:tc>
        <w:tc>
          <w:tcPr>
            <w:tcW w:w="92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920" w:type="dxa"/>
            <w:vAlign w:val="bottom"/>
            <w:tcBorders>
              <w:bottom w:val="single" w:sz="8" w:color="C8C9CB"/>
            </w:tcBorders>
          </w:tcPr>
          <w:p>
            <w:pPr>
              <w:spacing w:after="0"/>
              <w:rPr>
                <w:sz w:val="18"/>
                <w:szCs w:val="18"/>
                <w:color w:val="auto"/>
              </w:rPr>
            </w:pPr>
          </w:p>
        </w:tc>
        <w:tc>
          <w:tcPr>
            <w:tcW w:w="1060" w:type="dxa"/>
            <w:vAlign w:val="bottom"/>
            <w:tcBorders>
              <w:bottom w:val="single" w:sz="8" w:color="C8C9CB"/>
            </w:tcBorders>
          </w:tcPr>
          <w:p>
            <w:pPr>
              <w:spacing w:after="0"/>
              <w:rPr>
                <w:sz w:val="18"/>
                <w:szCs w:val="18"/>
                <w:color w:val="auto"/>
              </w:rPr>
            </w:pPr>
          </w:p>
        </w:tc>
        <w:tc>
          <w:tcPr>
            <w:tcW w:w="1200" w:type="dxa"/>
            <w:vAlign w:val="bottom"/>
            <w:tcBorders>
              <w:bottom w:val="single" w:sz="8" w:color="C8C9CB"/>
            </w:tcBorders>
          </w:tcPr>
          <w:p>
            <w:pPr>
              <w:spacing w:after="0"/>
              <w:rPr>
                <w:sz w:val="18"/>
                <w:szCs w:val="18"/>
                <w:color w:val="auto"/>
              </w:rPr>
            </w:pPr>
          </w:p>
        </w:tc>
        <w:tc>
          <w:tcPr>
            <w:tcW w:w="1080" w:type="dxa"/>
            <w:vAlign w:val="bottom"/>
            <w:tcBorders>
              <w:bottom w:val="single" w:sz="8" w:color="C8C9CB"/>
            </w:tcBorders>
          </w:tcPr>
          <w:p>
            <w:pPr>
              <w:spacing w:after="0"/>
              <w:rPr>
                <w:sz w:val="18"/>
                <w:szCs w:val="18"/>
                <w:color w:val="auto"/>
              </w:rPr>
            </w:pPr>
          </w:p>
        </w:tc>
        <w:tc>
          <w:tcPr>
            <w:tcW w:w="102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w w:val="85"/>
              </w:rPr>
              <w:t>ü</w:t>
            </w:r>
          </w:p>
        </w:tc>
        <w:tc>
          <w:tcPr>
            <w:tcW w:w="102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0" w:type="dxa"/>
            <w:vAlign w:val="bottom"/>
          </w:tcPr>
          <w:p>
            <w:pPr>
              <w:spacing w:after="0"/>
              <w:rPr>
                <w:sz w:val="1"/>
                <w:szCs w:val="1"/>
                <w:color w:val="auto"/>
              </w:rPr>
            </w:pPr>
          </w:p>
        </w:tc>
      </w:tr>
      <w:tr>
        <w:trPr>
          <w:trHeight w:val="210"/>
        </w:trPr>
        <w:tc>
          <w:tcPr>
            <w:tcW w:w="138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Ms. Seifert</w:t>
            </w:r>
          </w:p>
        </w:tc>
        <w:tc>
          <w:tcPr>
            <w:tcW w:w="920" w:type="dxa"/>
            <w:vAlign w:val="bottom"/>
            <w:tcBorders>
              <w:bottom w:val="single" w:sz="8" w:color="C8C9CB"/>
            </w:tcBorders>
            <w:shd w:val="clear" w:color="auto" w:fill="F4F6F6"/>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920" w:type="dxa"/>
            <w:vAlign w:val="bottom"/>
            <w:tcBorders>
              <w:bottom w:val="single" w:sz="8" w:color="C8C9CB"/>
            </w:tcBorders>
            <w:shd w:val="clear" w:color="auto" w:fill="F4F6F6"/>
          </w:tcPr>
          <w:p>
            <w:pPr>
              <w:jc w:val="center"/>
              <w:spacing w:after="0"/>
              <w:rPr>
                <w:sz w:val="20"/>
                <w:szCs w:val="20"/>
                <w:color w:val="auto"/>
              </w:rPr>
            </w:pPr>
            <w:r>
              <w:rPr>
                <w:rFonts w:ascii="Times New Roman" w:cs="Times New Roman" w:eastAsia="Times New Roman" w:hAnsi="Times New Roman"/>
                <w:sz w:val="14"/>
                <w:szCs w:val="14"/>
                <w:color w:val="auto"/>
                <w:w w:val="85"/>
              </w:rPr>
              <w:t>ü</w:t>
            </w:r>
          </w:p>
        </w:tc>
        <w:tc>
          <w:tcPr>
            <w:tcW w:w="1060" w:type="dxa"/>
            <w:vAlign w:val="bottom"/>
            <w:tcBorders>
              <w:bottom w:val="single" w:sz="8" w:color="C8C9CB"/>
            </w:tcBorders>
            <w:shd w:val="clear" w:color="auto" w:fill="F4F6F6"/>
          </w:tcPr>
          <w:p>
            <w:pPr>
              <w:jc w:val="center"/>
              <w:ind w:right="87"/>
              <w:spacing w:after="0"/>
              <w:rPr>
                <w:sz w:val="20"/>
                <w:szCs w:val="20"/>
                <w:color w:val="auto"/>
              </w:rPr>
            </w:pPr>
            <w:r>
              <w:rPr>
                <w:rFonts w:ascii="Times New Roman" w:cs="Times New Roman" w:eastAsia="Times New Roman" w:hAnsi="Times New Roman"/>
                <w:sz w:val="14"/>
                <w:szCs w:val="14"/>
                <w:color w:val="auto"/>
                <w:w w:val="85"/>
              </w:rPr>
              <w:t>ü</w:t>
            </w:r>
          </w:p>
        </w:tc>
        <w:tc>
          <w:tcPr>
            <w:tcW w:w="1200" w:type="dxa"/>
            <w:vAlign w:val="bottom"/>
            <w:tcBorders>
              <w:bottom w:val="single" w:sz="8" w:color="C8C9CB"/>
            </w:tcBorders>
            <w:shd w:val="clear" w:color="auto" w:fill="F4F6F6"/>
          </w:tcPr>
          <w:p>
            <w:pPr>
              <w:spacing w:after="0"/>
              <w:rPr>
                <w:sz w:val="18"/>
                <w:szCs w:val="18"/>
                <w:color w:val="auto"/>
              </w:rPr>
            </w:pPr>
          </w:p>
        </w:tc>
        <w:tc>
          <w:tcPr>
            <w:tcW w:w="1080" w:type="dxa"/>
            <w:vAlign w:val="bottom"/>
            <w:tcBorders>
              <w:bottom w:val="single" w:sz="8" w:color="C8C9CB"/>
            </w:tcBorders>
            <w:shd w:val="clear" w:color="auto" w:fill="F4F6F6"/>
          </w:tcPr>
          <w:p>
            <w:pPr>
              <w:spacing w:after="0"/>
              <w:rPr>
                <w:sz w:val="18"/>
                <w:szCs w:val="18"/>
                <w:color w:val="auto"/>
              </w:rPr>
            </w:pPr>
          </w:p>
        </w:tc>
        <w:tc>
          <w:tcPr>
            <w:tcW w:w="1020" w:type="dxa"/>
            <w:vAlign w:val="bottom"/>
            <w:tcBorders>
              <w:bottom w:val="single" w:sz="8" w:color="C8C9CB"/>
            </w:tcBorders>
            <w:shd w:val="clear" w:color="auto" w:fill="F4F6F6"/>
          </w:tcPr>
          <w:p>
            <w:pPr>
              <w:spacing w:after="0"/>
              <w:rPr>
                <w:sz w:val="18"/>
                <w:szCs w:val="18"/>
                <w:color w:val="auto"/>
              </w:rPr>
            </w:pPr>
          </w:p>
        </w:tc>
        <w:tc>
          <w:tcPr>
            <w:tcW w:w="1020" w:type="dxa"/>
            <w:vAlign w:val="bottom"/>
            <w:tcBorders>
              <w:bottom w:val="single" w:sz="8" w:color="C8C9CB"/>
            </w:tcBorders>
            <w:shd w:val="clear" w:color="auto" w:fill="F4F6F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Mr. Tai</w:t>
            </w:r>
          </w:p>
        </w:tc>
        <w:tc>
          <w:tcPr>
            <w:tcW w:w="92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92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w w:val="85"/>
              </w:rPr>
              <w:t>ü</w:t>
            </w:r>
          </w:p>
        </w:tc>
        <w:tc>
          <w:tcPr>
            <w:tcW w:w="1060" w:type="dxa"/>
            <w:vAlign w:val="bottom"/>
            <w:tcBorders>
              <w:bottom w:val="single" w:sz="8" w:color="C8C9CB"/>
            </w:tcBorders>
          </w:tcPr>
          <w:p>
            <w:pPr>
              <w:spacing w:after="0"/>
              <w:rPr>
                <w:sz w:val="18"/>
                <w:szCs w:val="18"/>
                <w:color w:val="auto"/>
              </w:rPr>
            </w:pPr>
          </w:p>
        </w:tc>
        <w:tc>
          <w:tcPr>
            <w:tcW w:w="120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w w:val="85"/>
              </w:rPr>
              <w:t>ü</w:t>
            </w:r>
          </w:p>
        </w:tc>
        <w:tc>
          <w:tcPr>
            <w:tcW w:w="1080" w:type="dxa"/>
            <w:vAlign w:val="bottom"/>
            <w:tcBorders>
              <w:bottom w:val="single" w:sz="8" w:color="C8C9CB"/>
            </w:tcBorders>
          </w:tcPr>
          <w:p>
            <w:pPr>
              <w:jc w:val="center"/>
              <w:spacing w:after="0"/>
              <w:rPr>
                <w:sz w:val="20"/>
                <w:szCs w:val="20"/>
                <w:color w:val="auto"/>
              </w:rPr>
            </w:pPr>
            <w:r>
              <w:rPr>
                <w:rFonts w:ascii="Times New Roman" w:cs="Times New Roman" w:eastAsia="Times New Roman" w:hAnsi="Times New Roman"/>
                <w:sz w:val="14"/>
                <w:szCs w:val="14"/>
                <w:color w:val="auto"/>
                <w:w w:val="85"/>
              </w:rPr>
              <w:t>ü</w:t>
            </w:r>
          </w:p>
        </w:tc>
        <w:tc>
          <w:tcPr>
            <w:tcW w:w="1020" w:type="dxa"/>
            <w:vAlign w:val="bottom"/>
            <w:tcBorders>
              <w:bottom w:val="single" w:sz="8" w:color="C8C9CB"/>
            </w:tcBorders>
          </w:tcPr>
          <w:p>
            <w:pPr>
              <w:spacing w:after="0"/>
              <w:rPr>
                <w:sz w:val="18"/>
                <w:szCs w:val="18"/>
                <w:color w:val="auto"/>
              </w:rPr>
            </w:pPr>
          </w:p>
        </w:tc>
        <w:tc>
          <w:tcPr>
            <w:tcW w:w="1020" w:type="dxa"/>
            <w:vAlign w:val="bottom"/>
            <w:tcBorders>
              <w:bottom w:val="single" w:sz="8" w:color="C8C9CB"/>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shd w:val="clear" w:color="auto" w:fill="F4F6F6"/>
          </w:tcPr>
          <w:p>
            <w:pPr>
              <w:ind w:left="20"/>
              <w:spacing w:after="0"/>
              <w:rPr>
                <w:sz w:val="20"/>
                <w:szCs w:val="20"/>
                <w:color w:val="auto"/>
              </w:rPr>
            </w:pPr>
            <w:r>
              <w:rPr>
                <w:rFonts w:ascii="Arial" w:cs="Arial" w:eastAsia="Arial" w:hAnsi="Arial"/>
                <w:sz w:val="14"/>
                <w:szCs w:val="14"/>
                <w:color w:val="auto"/>
              </w:rPr>
              <w:t>Ms. Walker</w:t>
            </w:r>
          </w:p>
        </w:tc>
        <w:tc>
          <w:tcPr>
            <w:tcW w:w="920" w:type="dxa"/>
            <w:vAlign w:val="bottom"/>
            <w:shd w:val="clear" w:color="auto" w:fill="F4F6F6"/>
          </w:tcPr>
          <w:p>
            <w:pPr>
              <w:jc w:val="center"/>
              <w:spacing w:after="0"/>
              <w:rPr>
                <w:sz w:val="20"/>
                <w:szCs w:val="20"/>
                <w:color w:val="auto"/>
              </w:rPr>
            </w:pPr>
            <w:r>
              <w:rPr>
                <w:rFonts w:ascii="Times New Roman" w:cs="Times New Roman" w:eastAsia="Times New Roman" w:hAnsi="Times New Roman"/>
                <w:sz w:val="14"/>
                <w:szCs w:val="14"/>
                <w:color w:val="auto"/>
              </w:rPr>
              <w:t>ü</w:t>
            </w:r>
          </w:p>
        </w:tc>
        <w:tc>
          <w:tcPr>
            <w:tcW w:w="920" w:type="dxa"/>
            <w:vAlign w:val="bottom"/>
            <w:shd w:val="clear" w:color="auto" w:fill="F4F6F6"/>
          </w:tcPr>
          <w:p>
            <w:pPr>
              <w:jc w:val="center"/>
              <w:spacing w:after="0"/>
              <w:rPr>
                <w:sz w:val="20"/>
                <w:szCs w:val="20"/>
                <w:color w:val="auto"/>
              </w:rPr>
            </w:pPr>
            <w:r>
              <w:rPr>
                <w:rFonts w:ascii="Times New Roman" w:cs="Times New Roman" w:eastAsia="Times New Roman" w:hAnsi="Times New Roman"/>
                <w:sz w:val="14"/>
                <w:szCs w:val="14"/>
                <w:color w:val="auto"/>
                <w:w w:val="85"/>
              </w:rPr>
              <w:t>ü</w:t>
            </w:r>
          </w:p>
        </w:tc>
        <w:tc>
          <w:tcPr>
            <w:tcW w:w="1060" w:type="dxa"/>
            <w:vAlign w:val="bottom"/>
            <w:shd w:val="clear" w:color="auto" w:fill="F4F6F6"/>
          </w:tcPr>
          <w:p>
            <w:pPr>
              <w:spacing w:after="0"/>
              <w:rPr>
                <w:sz w:val="18"/>
                <w:szCs w:val="18"/>
                <w:color w:val="auto"/>
              </w:rPr>
            </w:pPr>
          </w:p>
        </w:tc>
        <w:tc>
          <w:tcPr>
            <w:tcW w:w="1200" w:type="dxa"/>
            <w:vAlign w:val="bottom"/>
            <w:shd w:val="clear" w:color="auto" w:fill="F4F6F6"/>
          </w:tcPr>
          <w:p>
            <w:pPr>
              <w:spacing w:after="0"/>
              <w:rPr>
                <w:sz w:val="18"/>
                <w:szCs w:val="18"/>
                <w:color w:val="auto"/>
              </w:rPr>
            </w:pPr>
          </w:p>
        </w:tc>
        <w:tc>
          <w:tcPr>
            <w:tcW w:w="1080" w:type="dxa"/>
            <w:vAlign w:val="bottom"/>
            <w:shd w:val="clear" w:color="auto" w:fill="F4F6F6"/>
          </w:tcPr>
          <w:p>
            <w:pPr>
              <w:spacing w:after="0"/>
              <w:rPr>
                <w:sz w:val="18"/>
                <w:szCs w:val="18"/>
                <w:color w:val="auto"/>
              </w:rPr>
            </w:pPr>
          </w:p>
        </w:tc>
        <w:tc>
          <w:tcPr>
            <w:tcW w:w="1020" w:type="dxa"/>
            <w:vAlign w:val="bottom"/>
            <w:shd w:val="clear" w:color="auto" w:fill="F4F6F6"/>
          </w:tcPr>
          <w:p>
            <w:pPr>
              <w:jc w:val="center"/>
              <w:spacing w:after="0"/>
              <w:rPr>
                <w:sz w:val="20"/>
                <w:szCs w:val="20"/>
                <w:color w:val="auto"/>
              </w:rPr>
            </w:pPr>
            <w:r>
              <w:rPr>
                <w:rFonts w:ascii="Times New Roman" w:cs="Times New Roman" w:eastAsia="Times New Roman" w:hAnsi="Times New Roman"/>
                <w:sz w:val="14"/>
                <w:szCs w:val="14"/>
                <w:color w:val="auto"/>
                <w:w w:val="85"/>
              </w:rPr>
              <w:t>ü</w:t>
            </w:r>
          </w:p>
        </w:tc>
        <w:tc>
          <w:tcPr>
            <w:tcW w:w="1020" w:type="dxa"/>
            <w:vAlign w:val="bottom"/>
            <w:shd w:val="clear" w:color="auto" w:fill="F4F6F6"/>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8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Number of 2018</w:t>
            </w:r>
          </w:p>
        </w:tc>
        <w:tc>
          <w:tcPr>
            <w:tcW w:w="920" w:type="dxa"/>
            <w:vAlign w:val="bottom"/>
            <w:vMerge w:val="restart"/>
            <w:shd w:val="clear" w:color="auto" w:fill="C8C9CB"/>
          </w:tcPr>
          <w:p>
            <w:pPr>
              <w:jc w:val="center"/>
              <w:spacing w:after="0"/>
              <w:rPr>
                <w:sz w:val="20"/>
                <w:szCs w:val="20"/>
                <w:color w:val="auto"/>
              </w:rPr>
            </w:pPr>
            <w:r>
              <w:rPr>
                <w:rFonts w:ascii="Arial" w:cs="Arial" w:eastAsia="Arial" w:hAnsi="Arial"/>
                <w:sz w:val="16"/>
                <w:szCs w:val="16"/>
                <w:b w:val="1"/>
                <w:bCs w:val="1"/>
                <w:color w:val="00ABE8"/>
                <w:w w:val="89"/>
              </w:rPr>
              <w:t>6</w:t>
            </w:r>
          </w:p>
        </w:tc>
        <w:tc>
          <w:tcPr>
            <w:tcW w:w="920" w:type="dxa"/>
            <w:vAlign w:val="bottom"/>
            <w:vMerge w:val="restart"/>
            <w:shd w:val="clear" w:color="auto" w:fill="C8C9CB"/>
          </w:tcPr>
          <w:p>
            <w:pPr>
              <w:jc w:val="center"/>
              <w:spacing w:after="0"/>
              <w:rPr>
                <w:sz w:val="20"/>
                <w:szCs w:val="20"/>
                <w:color w:val="auto"/>
              </w:rPr>
            </w:pPr>
            <w:r>
              <w:rPr>
                <w:rFonts w:ascii="Arial" w:cs="Arial" w:eastAsia="Arial" w:hAnsi="Arial"/>
                <w:sz w:val="16"/>
                <w:szCs w:val="16"/>
                <w:b w:val="1"/>
                <w:bCs w:val="1"/>
                <w:color w:val="00ABE8"/>
              </w:rPr>
              <w:t>10</w:t>
            </w:r>
          </w:p>
        </w:tc>
        <w:tc>
          <w:tcPr>
            <w:tcW w:w="1060" w:type="dxa"/>
            <w:vAlign w:val="bottom"/>
            <w:vMerge w:val="restart"/>
            <w:shd w:val="clear" w:color="auto" w:fill="C8C9CB"/>
          </w:tcPr>
          <w:p>
            <w:pPr>
              <w:jc w:val="center"/>
              <w:ind w:right="87"/>
              <w:spacing w:after="0"/>
              <w:rPr>
                <w:sz w:val="20"/>
                <w:szCs w:val="20"/>
                <w:color w:val="auto"/>
              </w:rPr>
            </w:pPr>
            <w:r>
              <w:rPr>
                <w:rFonts w:ascii="Arial" w:cs="Arial" w:eastAsia="Arial" w:hAnsi="Arial"/>
                <w:sz w:val="16"/>
                <w:szCs w:val="16"/>
                <w:b w:val="1"/>
                <w:bCs w:val="1"/>
                <w:color w:val="00ABE8"/>
              </w:rPr>
              <w:t>6</w:t>
            </w:r>
          </w:p>
        </w:tc>
        <w:tc>
          <w:tcPr>
            <w:tcW w:w="1200" w:type="dxa"/>
            <w:vAlign w:val="bottom"/>
            <w:vMerge w:val="restart"/>
            <w:shd w:val="clear" w:color="auto" w:fill="C8C9CB"/>
          </w:tcPr>
          <w:p>
            <w:pPr>
              <w:jc w:val="center"/>
              <w:spacing w:after="0"/>
              <w:rPr>
                <w:sz w:val="20"/>
                <w:szCs w:val="20"/>
                <w:color w:val="auto"/>
              </w:rPr>
            </w:pPr>
            <w:r>
              <w:rPr>
                <w:rFonts w:ascii="Arial" w:cs="Arial" w:eastAsia="Arial" w:hAnsi="Arial"/>
                <w:sz w:val="16"/>
                <w:szCs w:val="16"/>
                <w:b w:val="1"/>
                <w:bCs w:val="1"/>
                <w:color w:val="00ABE8"/>
              </w:rPr>
              <w:t>6</w:t>
            </w:r>
          </w:p>
        </w:tc>
        <w:tc>
          <w:tcPr>
            <w:tcW w:w="1080" w:type="dxa"/>
            <w:vAlign w:val="bottom"/>
            <w:vMerge w:val="restart"/>
            <w:shd w:val="clear" w:color="auto" w:fill="C8C9CB"/>
          </w:tcPr>
          <w:p>
            <w:pPr>
              <w:jc w:val="center"/>
              <w:spacing w:after="0"/>
              <w:rPr>
                <w:sz w:val="20"/>
                <w:szCs w:val="20"/>
                <w:color w:val="auto"/>
              </w:rPr>
            </w:pPr>
            <w:r>
              <w:rPr>
                <w:rFonts w:ascii="Arial" w:cs="Arial" w:eastAsia="Arial" w:hAnsi="Arial"/>
                <w:sz w:val="16"/>
                <w:szCs w:val="16"/>
                <w:b w:val="1"/>
                <w:bCs w:val="1"/>
                <w:color w:val="00ABE8"/>
              </w:rPr>
              <w:t>8</w:t>
            </w:r>
          </w:p>
        </w:tc>
        <w:tc>
          <w:tcPr>
            <w:tcW w:w="1020" w:type="dxa"/>
            <w:vAlign w:val="bottom"/>
            <w:vMerge w:val="restart"/>
            <w:shd w:val="clear" w:color="auto" w:fill="C8C9CB"/>
          </w:tcPr>
          <w:p>
            <w:pPr>
              <w:jc w:val="center"/>
              <w:spacing w:after="0"/>
              <w:rPr>
                <w:sz w:val="20"/>
                <w:szCs w:val="20"/>
                <w:color w:val="auto"/>
              </w:rPr>
            </w:pPr>
            <w:r>
              <w:rPr>
                <w:rFonts w:ascii="Arial" w:cs="Arial" w:eastAsia="Arial" w:hAnsi="Arial"/>
                <w:sz w:val="16"/>
                <w:szCs w:val="16"/>
                <w:b w:val="1"/>
                <w:bCs w:val="1"/>
                <w:color w:val="00ABE8"/>
                <w:w w:val="89"/>
              </w:rPr>
              <w:t>4</w:t>
            </w:r>
          </w:p>
        </w:tc>
        <w:tc>
          <w:tcPr>
            <w:tcW w:w="1020" w:type="dxa"/>
            <w:vAlign w:val="bottom"/>
            <w:vMerge w:val="restart"/>
            <w:shd w:val="clear" w:color="auto" w:fill="C8C9CB"/>
          </w:tcPr>
          <w:p>
            <w:pPr>
              <w:jc w:val="center"/>
              <w:spacing w:after="0"/>
              <w:rPr>
                <w:sz w:val="20"/>
                <w:szCs w:val="20"/>
                <w:color w:val="auto"/>
              </w:rPr>
            </w:pPr>
            <w:r>
              <w:rPr>
                <w:rFonts w:ascii="Arial" w:cs="Arial" w:eastAsia="Arial" w:hAnsi="Arial"/>
                <w:sz w:val="16"/>
                <w:szCs w:val="16"/>
                <w:b w:val="1"/>
                <w:bCs w:val="1"/>
                <w:color w:val="00ABE8"/>
                <w:w w:val="89"/>
              </w:rPr>
              <w:t>5</w:t>
            </w:r>
          </w:p>
        </w:tc>
        <w:tc>
          <w:tcPr>
            <w:tcW w:w="0" w:type="dxa"/>
            <w:vAlign w:val="bottom"/>
          </w:tcPr>
          <w:p>
            <w:pPr>
              <w:spacing w:after="0"/>
              <w:rPr>
                <w:sz w:val="1"/>
                <w:szCs w:val="1"/>
                <w:color w:val="auto"/>
              </w:rPr>
            </w:pPr>
          </w:p>
        </w:tc>
      </w:tr>
      <w:tr>
        <w:trPr>
          <w:trHeight w:val="129"/>
        </w:trPr>
        <w:tc>
          <w:tcPr>
            <w:tcW w:w="1380" w:type="dxa"/>
            <w:vAlign w:val="bottom"/>
            <w:vMerge w:val="restart"/>
            <w:shd w:val="clear" w:color="auto" w:fill="C8C9CB"/>
          </w:tcPr>
          <w:p>
            <w:pPr>
              <w:ind w:left="20"/>
              <w:spacing w:after="0"/>
              <w:rPr>
                <w:sz w:val="20"/>
                <w:szCs w:val="20"/>
                <w:color w:val="auto"/>
              </w:rPr>
            </w:pPr>
            <w:r>
              <w:rPr>
                <w:rFonts w:ascii="Arial" w:cs="Arial" w:eastAsia="Arial" w:hAnsi="Arial"/>
                <w:sz w:val="14"/>
                <w:szCs w:val="14"/>
                <w:b w:val="1"/>
                <w:bCs w:val="1"/>
                <w:color w:val="00ABE8"/>
              </w:rPr>
              <w:t>Meetings</w:t>
            </w:r>
          </w:p>
        </w:tc>
        <w:tc>
          <w:tcPr>
            <w:tcW w:w="920" w:type="dxa"/>
            <w:vAlign w:val="bottom"/>
            <w:vMerge w:val="continue"/>
            <w:shd w:val="clear" w:color="auto" w:fill="C8C9CB"/>
          </w:tcPr>
          <w:p>
            <w:pPr>
              <w:spacing w:after="0"/>
              <w:rPr>
                <w:sz w:val="11"/>
                <w:szCs w:val="11"/>
                <w:color w:val="auto"/>
              </w:rPr>
            </w:pPr>
          </w:p>
        </w:tc>
        <w:tc>
          <w:tcPr>
            <w:tcW w:w="920" w:type="dxa"/>
            <w:vAlign w:val="bottom"/>
            <w:vMerge w:val="continue"/>
            <w:shd w:val="clear" w:color="auto" w:fill="C8C9CB"/>
          </w:tcPr>
          <w:p>
            <w:pPr>
              <w:spacing w:after="0"/>
              <w:rPr>
                <w:sz w:val="11"/>
                <w:szCs w:val="11"/>
                <w:color w:val="auto"/>
              </w:rPr>
            </w:pPr>
          </w:p>
        </w:tc>
        <w:tc>
          <w:tcPr>
            <w:tcW w:w="1060" w:type="dxa"/>
            <w:vAlign w:val="bottom"/>
            <w:vMerge w:val="continue"/>
            <w:shd w:val="clear" w:color="auto" w:fill="C8C9CB"/>
          </w:tcPr>
          <w:p>
            <w:pPr>
              <w:spacing w:after="0"/>
              <w:rPr>
                <w:sz w:val="11"/>
                <w:szCs w:val="11"/>
                <w:color w:val="auto"/>
              </w:rPr>
            </w:pPr>
          </w:p>
        </w:tc>
        <w:tc>
          <w:tcPr>
            <w:tcW w:w="1200" w:type="dxa"/>
            <w:vAlign w:val="bottom"/>
            <w:vMerge w:val="continue"/>
            <w:shd w:val="clear" w:color="auto" w:fill="C8C9CB"/>
          </w:tcPr>
          <w:p>
            <w:pPr>
              <w:spacing w:after="0"/>
              <w:rPr>
                <w:sz w:val="11"/>
                <w:szCs w:val="11"/>
                <w:color w:val="auto"/>
              </w:rPr>
            </w:pPr>
          </w:p>
        </w:tc>
        <w:tc>
          <w:tcPr>
            <w:tcW w:w="1080" w:type="dxa"/>
            <w:vAlign w:val="bottom"/>
            <w:vMerge w:val="continue"/>
            <w:shd w:val="clear" w:color="auto" w:fill="C8C9CB"/>
          </w:tcPr>
          <w:p>
            <w:pPr>
              <w:spacing w:after="0"/>
              <w:rPr>
                <w:sz w:val="11"/>
                <w:szCs w:val="11"/>
                <w:color w:val="auto"/>
              </w:rPr>
            </w:pPr>
          </w:p>
        </w:tc>
        <w:tc>
          <w:tcPr>
            <w:tcW w:w="1020" w:type="dxa"/>
            <w:vAlign w:val="bottom"/>
            <w:vMerge w:val="continue"/>
            <w:shd w:val="clear" w:color="auto" w:fill="C8C9CB"/>
          </w:tcPr>
          <w:p>
            <w:pPr>
              <w:spacing w:after="0"/>
              <w:rPr>
                <w:sz w:val="11"/>
                <w:szCs w:val="11"/>
                <w:color w:val="auto"/>
              </w:rPr>
            </w:pPr>
          </w:p>
        </w:tc>
        <w:tc>
          <w:tcPr>
            <w:tcW w:w="1020" w:type="dxa"/>
            <w:vAlign w:val="bottom"/>
            <w:vMerge w:val="continue"/>
            <w:shd w:val="clear" w:color="auto" w:fill="C8C9CB"/>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380" w:type="dxa"/>
            <w:vAlign w:val="bottom"/>
            <w:vMerge w:val="continue"/>
            <w:shd w:val="clear" w:color="auto" w:fill="C8C9CB"/>
          </w:tcPr>
          <w:p>
            <w:pPr>
              <w:spacing w:after="0"/>
              <w:rPr>
                <w:sz w:val="6"/>
                <w:szCs w:val="6"/>
                <w:color w:val="auto"/>
              </w:rPr>
            </w:pPr>
          </w:p>
        </w:tc>
        <w:tc>
          <w:tcPr>
            <w:tcW w:w="920" w:type="dxa"/>
            <w:vAlign w:val="bottom"/>
            <w:shd w:val="clear" w:color="auto" w:fill="C8C9CB"/>
          </w:tcPr>
          <w:p>
            <w:pPr>
              <w:spacing w:after="0"/>
              <w:rPr>
                <w:sz w:val="6"/>
                <w:szCs w:val="6"/>
                <w:color w:val="auto"/>
              </w:rPr>
            </w:pPr>
          </w:p>
        </w:tc>
        <w:tc>
          <w:tcPr>
            <w:tcW w:w="920" w:type="dxa"/>
            <w:vAlign w:val="bottom"/>
            <w:shd w:val="clear" w:color="auto" w:fill="C8C9CB"/>
          </w:tcPr>
          <w:p>
            <w:pPr>
              <w:spacing w:after="0"/>
              <w:rPr>
                <w:sz w:val="6"/>
                <w:szCs w:val="6"/>
                <w:color w:val="auto"/>
              </w:rPr>
            </w:pPr>
          </w:p>
        </w:tc>
        <w:tc>
          <w:tcPr>
            <w:tcW w:w="1060" w:type="dxa"/>
            <w:vAlign w:val="bottom"/>
            <w:shd w:val="clear" w:color="auto" w:fill="C8C9CB"/>
          </w:tcPr>
          <w:p>
            <w:pPr>
              <w:spacing w:after="0"/>
              <w:rPr>
                <w:sz w:val="6"/>
                <w:szCs w:val="6"/>
                <w:color w:val="auto"/>
              </w:rPr>
            </w:pPr>
          </w:p>
        </w:tc>
        <w:tc>
          <w:tcPr>
            <w:tcW w:w="1200" w:type="dxa"/>
            <w:vAlign w:val="bottom"/>
            <w:shd w:val="clear" w:color="auto" w:fill="C8C9CB"/>
          </w:tcPr>
          <w:p>
            <w:pPr>
              <w:spacing w:after="0"/>
              <w:rPr>
                <w:sz w:val="6"/>
                <w:szCs w:val="6"/>
                <w:color w:val="auto"/>
              </w:rPr>
            </w:pPr>
          </w:p>
        </w:tc>
        <w:tc>
          <w:tcPr>
            <w:tcW w:w="1080" w:type="dxa"/>
            <w:vAlign w:val="bottom"/>
            <w:shd w:val="clear" w:color="auto" w:fill="C8C9CB"/>
          </w:tcPr>
          <w:p>
            <w:pPr>
              <w:spacing w:after="0"/>
              <w:rPr>
                <w:sz w:val="6"/>
                <w:szCs w:val="6"/>
                <w:color w:val="auto"/>
              </w:rPr>
            </w:pPr>
          </w:p>
        </w:tc>
        <w:tc>
          <w:tcPr>
            <w:tcW w:w="1020" w:type="dxa"/>
            <w:vAlign w:val="bottom"/>
            <w:shd w:val="clear" w:color="auto" w:fill="C8C9CB"/>
          </w:tcPr>
          <w:p>
            <w:pPr>
              <w:spacing w:after="0"/>
              <w:rPr>
                <w:sz w:val="6"/>
                <w:szCs w:val="6"/>
                <w:color w:val="auto"/>
              </w:rPr>
            </w:pPr>
          </w:p>
        </w:tc>
        <w:tc>
          <w:tcPr>
            <w:tcW w:w="1020" w:type="dxa"/>
            <w:vAlign w:val="bottom"/>
            <w:shd w:val="clear" w:color="auto" w:fill="C8C9CB"/>
          </w:tcPr>
          <w:p>
            <w:pPr>
              <w:spacing w:after="0"/>
              <w:rPr>
                <w:sz w:val="6"/>
                <w:szCs w:val="6"/>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0"/>
        </w:numPr>
        <w:rPr>
          <w:rFonts w:ascii="Arial" w:cs="Arial" w:eastAsia="Arial" w:hAnsi="Arial"/>
          <w:sz w:val="14"/>
          <w:szCs w:val="14"/>
          <w:b w:val="1"/>
          <w:bCs w:val="1"/>
          <w:color w:val="EE2724"/>
        </w:rPr>
      </w:pPr>
      <w:r>
        <w:rPr>
          <w:rFonts w:ascii="Arial" w:cs="Arial" w:eastAsia="Arial" w:hAnsi="Arial"/>
          <w:sz w:val="14"/>
          <w:szCs w:val="14"/>
          <w:b w:val="1"/>
          <w:bCs w:val="1"/>
          <w:color w:val="EE2724"/>
        </w:rPr>
        <w:t>Committee Chair</w:t>
      </w:r>
    </w:p>
    <w:p>
      <w:pPr>
        <w:spacing w:after="0" w:line="144" w:lineRule="exact"/>
        <w:rPr>
          <w:sz w:val="20"/>
          <w:szCs w:val="20"/>
          <w:color w:val="auto"/>
        </w:rPr>
      </w:pPr>
    </w:p>
    <w:p>
      <w:pPr>
        <w:ind w:left="660" w:right="380" w:hanging="659"/>
        <w:spacing w:after="0" w:line="279" w:lineRule="auto"/>
        <w:tabs>
          <w:tab w:leader="none" w:pos="640" w:val="left"/>
        </w:tabs>
        <w:rPr>
          <w:sz w:val="20"/>
          <w:szCs w:val="20"/>
          <w:color w:val="auto"/>
        </w:rPr>
      </w:pPr>
      <w:r>
        <w:rPr>
          <w:rFonts w:ascii="Arial" w:cs="Arial" w:eastAsia="Arial" w:hAnsi="Arial"/>
          <w:sz w:val="14"/>
          <w:szCs w:val="14"/>
          <w:b w:val="1"/>
          <w:bCs w:val="1"/>
          <w:color w:val="EE2724"/>
        </w:rPr>
        <w:t>LD</w:t>
      </w:r>
      <w:r>
        <w:rPr>
          <w:sz w:val="20"/>
          <w:szCs w:val="20"/>
          <w:color w:val="auto"/>
        </w:rPr>
        <w:tab/>
      </w:r>
      <w:r>
        <w:rPr>
          <w:rFonts w:ascii="Arial" w:cs="Arial" w:eastAsia="Arial" w:hAnsi="Arial"/>
          <w:sz w:val="14"/>
          <w:szCs w:val="14"/>
          <w:b w:val="1"/>
          <w:bCs w:val="1"/>
          <w:color w:val="EE2724"/>
        </w:rPr>
        <w:t xml:space="preserve">Lead Independent Director: </w:t>
      </w:r>
      <w:r>
        <w:rPr>
          <w:rFonts w:ascii="Arial" w:cs="Arial" w:eastAsia="Arial" w:hAnsi="Arial"/>
          <w:sz w:val="12"/>
          <w:szCs w:val="12"/>
          <w:b w:val="1"/>
          <w:bCs w:val="1"/>
          <w:color w:val="EE2724"/>
        </w:rPr>
        <w:t>Ms. Marram will be the lead independent director until May 2019, at which time she will retire from serving on the board. Mr. Luciano has been</w:t>
      </w:r>
      <w:r>
        <w:rPr>
          <w:rFonts w:ascii="Arial" w:cs="Arial" w:eastAsia="Arial" w:hAnsi="Arial"/>
          <w:sz w:val="14"/>
          <w:szCs w:val="14"/>
          <w:b w:val="1"/>
          <w:bCs w:val="1"/>
          <w:color w:val="EE2724"/>
        </w:rPr>
        <w:t xml:space="preserve"> </w:t>
      </w:r>
      <w:r>
        <w:rPr>
          <w:rFonts w:ascii="Arial" w:cs="Arial" w:eastAsia="Arial" w:hAnsi="Arial"/>
          <w:sz w:val="12"/>
          <w:szCs w:val="12"/>
          <w:b w:val="1"/>
          <w:bCs w:val="1"/>
          <w:color w:val="EE2724"/>
        </w:rPr>
        <w:t>appointed as the new lead independent director starting in May 2019, pending his reelection at the 2019 annual meeting.</w:t>
      </w:r>
    </w:p>
    <w:p>
      <w:pPr>
        <w:spacing w:after="0" w:line="143" w:lineRule="exact"/>
        <w:rPr>
          <w:sz w:val="20"/>
          <w:szCs w:val="20"/>
          <w:color w:val="auto"/>
        </w:rPr>
      </w:pPr>
    </w:p>
    <w:p>
      <w:pPr>
        <w:ind w:right="580"/>
        <w:spacing w:after="0" w:line="292" w:lineRule="auto"/>
        <w:rPr>
          <w:sz w:val="20"/>
          <w:szCs w:val="20"/>
          <w:color w:val="auto"/>
        </w:rPr>
      </w:pPr>
      <w:r>
        <w:rPr>
          <w:rFonts w:ascii="Arial" w:cs="Arial" w:eastAsia="Arial" w:hAnsi="Arial"/>
          <w:sz w:val="17"/>
          <w:szCs w:val="17"/>
          <w:color w:val="auto"/>
        </w:rPr>
        <w:t xml:space="preserve">All six committee charters are available online at </w:t>
      </w:r>
      <w:r>
        <w:rPr>
          <w:rFonts w:ascii="Arial" w:cs="Arial" w:eastAsia="Arial" w:hAnsi="Arial"/>
          <w:sz w:val="17"/>
          <w:szCs w:val="17"/>
          <w:color w:val="EE2724"/>
        </w:rPr>
        <w:t>lilly.com/who-we-are/governance</w:t>
      </w:r>
      <w:r>
        <w:rPr>
          <w:rFonts w:ascii="Arial" w:cs="Arial" w:eastAsia="Arial" w:hAnsi="Arial"/>
          <w:sz w:val="17"/>
          <w:szCs w:val="17"/>
          <w:color w:val="auto"/>
        </w:rPr>
        <w:t>, or upon request to the company's corporate secretary. Key responsibilities of each committee are set forth below.</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Audit Committee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assists the board in fulfilling its oversight responsibilities by monitoring:</w:t>
      </w:r>
    </w:p>
    <w:p>
      <w:pPr>
        <w:spacing w:after="0" w:line="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integrity of financial information provided to the shareholders and others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management's systems of internal controls and disclosure controls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performance of internal and independent audit functions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company's compliance with legal and regulatory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committee has sole authority to appoint or replace the independent auditor, subject to shareholder ratification.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has determined that Mr. Eskew, Mr. Jackson, and Mr. Tai are audit committee financial experts, as defined in the SEC rules.</w:t>
      </w:r>
    </w:p>
    <w:p>
      <w:pPr>
        <w:spacing w:after="0" w:line="305"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Compensation Committee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w:t>
      </w:r>
    </w:p>
    <w:p>
      <w:pPr>
        <w:spacing w:after="0" w:line="13" w:lineRule="exact"/>
        <w:rPr>
          <w:sz w:val="20"/>
          <w:szCs w:val="20"/>
          <w:color w:val="auto"/>
        </w:rPr>
      </w:pPr>
    </w:p>
    <w:p>
      <w:pPr>
        <w:ind w:left="720" w:hanging="388"/>
        <w:spacing w:after="0"/>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oversees the company’s global compensation philosophy and policies</w:t>
      </w:r>
    </w:p>
    <w:p>
      <w:pPr>
        <w:spacing w:after="0" w:line="59" w:lineRule="exact"/>
        <w:rPr>
          <w:rFonts w:ascii="Arial" w:cs="Arial" w:eastAsia="Arial" w:hAnsi="Arial"/>
          <w:sz w:val="17"/>
          <w:szCs w:val="17"/>
          <w:color w:val="auto"/>
        </w:rPr>
      </w:pPr>
    </w:p>
    <w:p>
      <w:pPr>
        <w:ind w:left="720" w:hanging="388"/>
        <w:spacing w:after="0"/>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establishes the compensation of our CEO and other executive officers</w:t>
      </w:r>
    </w:p>
    <w:p>
      <w:pPr>
        <w:spacing w:after="0" w:line="35" w:lineRule="exact"/>
        <w:rPr>
          <w:rFonts w:ascii="Arial" w:cs="Arial" w:eastAsia="Arial" w:hAnsi="Arial"/>
          <w:sz w:val="17"/>
          <w:szCs w:val="17"/>
          <w:color w:val="auto"/>
        </w:rPr>
      </w:pPr>
    </w:p>
    <w:p>
      <w:pPr>
        <w:ind w:left="660" w:right="880" w:hanging="328"/>
        <w:spacing w:after="0" w:line="290"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acts as the oversight committee with respect to the company’s deferred compensation plans, management stock plans, and other management incentive compensation programs</w:t>
      </w:r>
    </w:p>
    <w:p>
      <w:pPr>
        <w:spacing w:after="0" w:line="17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P23</w:t>
      </w:r>
    </w:p>
    <w:p>
      <w:pPr>
        <w:sectPr>
          <w:pgSz w:w="11900" w:h="16838" w:orient="portrait"/>
          <w:cols w:equalWidth="0" w:num="1">
            <w:col w:w="11300"/>
          </w:cols>
          <w:pgMar w:left="240" w:top="559" w:right="359" w:bottom="1440" w:gutter="0" w:footer="0" w:header="0"/>
        </w:sectPr>
      </w:pPr>
    </w:p>
    <w:bookmarkStart w:id="27" w:name="page28"/>
    <w:bookmarkEnd w:id="27"/>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reviews succession plans for the CEO and other key senior leadership positions.</w:t>
      </w:r>
    </w:p>
    <w:p>
      <w:pPr>
        <w:spacing w:after="0" w:line="29"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reviews, monitors, and oversees stock ownership guidelines for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None of the Compensation Committee members:</w:t>
      </w:r>
    </w:p>
    <w:p>
      <w:pPr>
        <w:spacing w:after="0" w:line="13" w:lineRule="exact"/>
        <w:rPr>
          <w:sz w:val="20"/>
          <w:szCs w:val="20"/>
          <w:color w:val="auto"/>
        </w:rPr>
      </w:pPr>
    </w:p>
    <w:p>
      <w:pPr>
        <w:ind w:left="720" w:hanging="388"/>
        <w:spacing w:after="0"/>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has ever been an officer or employee of the company</w:t>
      </w:r>
    </w:p>
    <w:p>
      <w:pPr>
        <w:spacing w:after="0" w:line="34" w:lineRule="exact"/>
        <w:rPr>
          <w:rFonts w:ascii="Arial" w:cs="Arial" w:eastAsia="Arial" w:hAnsi="Arial"/>
          <w:sz w:val="17"/>
          <w:szCs w:val="17"/>
          <w:color w:val="auto"/>
        </w:rPr>
      </w:pPr>
    </w:p>
    <w:p>
      <w:pPr>
        <w:ind w:left="660" w:right="620" w:hanging="328"/>
        <w:spacing w:after="0" w:line="261"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is or has been a participant in a related person transaction with the company (see “Review and Approval of Transactions with Related Persons” for a description of our policy on related person transactions)</w:t>
      </w: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has any other interlocking relationships requiring disclosure under applicable SEC rules.</w:t>
      </w:r>
    </w:p>
    <w:p>
      <w:pPr>
        <w:spacing w:after="0" w:line="188"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Directors and Corporate Governance Committee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Directors and Corporate Governance Committee:</w:t>
      </w:r>
    </w:p>
    <w:p>
      <w:pPr>
        <w:spacing w:after="0" w:line="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leads the process for director recruitment, together with the lead independent director</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recommends to the board candidates for membership on the board and its committees, as well as for the role of lead independent director</w:t>
      </w:r>
    </w:p>
    <w:p>
      <w:pPr>
        <w:spacing w:after="0" w:line="7" w:lineRule="exact"/>
        <w:rPr>
          <w:rFonts w:ascii="Arial" w:cs="Arial" w:eastAsia="Arial" w:hAnsi="Arial"/>
          <w:sz w:val="17"/>
          <w:szCs w:val="17"/>
          <w:color w:val="auto"/>
        </w:rPr>
      </w:pPr>
    </w:p>
    <w:p>
      <w:pPr>
        <w:ind w:left="660" w:right="240" w:hanging="328"/>
        <w:spacing w:after="0" w:line="265"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oversees matters of corporate governance, including board performance, director independence and compensation, corporate governance guidelines, and shareholder engagement on governance matters.</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Finance Committee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Finance Committee reviews and makes recommendations to the board regarding financial matters, including:</w:t>
      </w:r>
    </w:p>
    <w:p>
      <w:pPr>
        <w:spacing w:after="0" w:line="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capital structure and strategies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dividends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stock repurchases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capital expenditures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investments, financing, and borrowings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benefit plan funding and investments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financial risk management</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significant business development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Public Policy and Compliance Committee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Public Policy and Compliance Committee:</w:t>
      </w:r>
    </w:p>
    <w:p>
      <w:pPr>
        <w:spacing w:after="0" w:line="7" w:lineRule="exact"/>
        <w:rPr>
          <w:sz w:val="20"/>
          <w:szCs w:val="20"/>
          <w:color w:val="auto"/>
        </w:rPr>
      </w:pPr>
    </w:p>
    <w:p>
      <w:pPr>
        <w:ind w:left="660" w:hanging="328"/>
        <w:spacing w:after="0" w:line="24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reviews, identifies and when appropriate, brings to the attention of the board political, social, and legal trends and issues, and compliance and quality matters that may have an impact on the business operations, financial performance or public image of the company</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reviews, monitors and makes recommendations to the board on corporate policies and practices that relate to public policy and compliance.</w:t>
      </w:r>
    </w:p>
    <w:p>
      <w:pPr>
        <w:spacing w:after="0" w:line="188"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Science and Technology Committee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Science and Technology Committee:</w:t>
      </w:r>
    </w:p>
    <w:p>
      <w:pPr>
        <w:spacing w:after="0" w:line="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reviews and makes recommendations regarding the company’s strategic research goals and objectives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reviews new developments, technologies, and trends in pharmaceutical research and development</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reviews the progress of the company's product pipeline</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reviews the scientific aspects of significant business development opportunities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oversees matters of scientific and medical integrity and risk management.</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P24</w:t>
      </w:r>
    </w:p>
    <w:p>
      <w:pPr>
        <w:sectPr>
          <w:pgSz w:w="11900" w:h="16838" w:orient="portrait"/>
          <w:cols w:equalWidth="0" w:num="1">
            <w:col w:w="11360"/>
          </w:cols>
          <w:pgMar w:left="240" w:top="557" w:right="299" w:bottom="1440" w:gutter="0" w:footer="0" w:header="0"/>
        </w:sectPr>
      </w:pPr>
    </w:p>
    <w:bookmarkStart w:id="28" w:name="page29"/>
    <w:bookmarkEnd w:id="28"/>
    <w:p>
      <w:pPr>
        <w:spacing w:after="0"/>
        <w:rPr>
          <w:sz w:val="20"/>
          <w:szCs w:val="20"/>
          <w:color w:val="auto"/>
        </w:rPr>
      </w:pPr>
      <w:r>
        <w:rPr>
          <w:rFonts w:ascii="Arial" w:cs="Arial" w:eastAsia="Arial" w:hAnsi="Arial"/>
          <w:sz w:val="27"/>
          <w:szCs w:val="27"/>
          <w:b w:val="1"/>
          <w:bCs w:val="1"/>
          <w:color w:val="EF3729"/>
        </w:rPr>
        <w:t>Board Oversight of Compliance and Risk Management</w:t>
      </w:r>
    </w:p>
    <w:p>
      <w:pPr>
        <w:spacing w:after="0" w:line="214"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The board, together with its committees, oversees the processes by which the company conducts its business to ensure the company operates in a manner that complies with laws and regulations and reflects the highest standards of integrity. On an annual basis, the full board reviews the company's overall state of compliance.</w:t>
      </w:r>
    </w:p>
    <w:p>
      <w:pPr>
        <w:spacing w:after="0" w:line="15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company also has an enterprise risk management program directed by its chief ethics and compliance officer, who reports directly to the CEO. Enterprise risks are identified and prioritized by management through both top-down and bottom-up processes. The risk management program is overseen by the full board and certain prioritized risks are reviewed by a board committee or the full board. Company management is charged with managing risk through robust internal processes and controls. The enterprise risk management program as a whole is reviewed annually at a full board meeting, and enterprise risks are also addressed in periodic business function reviews and at the annual board and senior management strategy session.</w:t>
      </w:r>
    </w:p>
    <w:p>
      <w:pPr>
        <w:spacing w:after="0" w:line="163"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Code of Ethics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board approves the company's code of ethics, which is set out in:</w:t>
      </w:r>
    </w:p>
    <w:p>
      <w:pPr>
        <w:spacing w:after="0" w:line="186"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b w:val="1"/>
          <w:bCs w:val="1"/>
          <w:color w:val="EE2724"/>
        </w:rPr>
        <w:t xml:space="preserve">The Red Book: </w:t>
      </w:r>
      <w:r>
        <w:rPr>
          <w:rFonts w:ascii="Arial" w:cs="Arial" w:eastAsia="Arial" w:hAnsi="Arial"/>
          <w:sz w:val="17"/>
          <w:szCs w:val="17"/>
          <w:color w:val="000000"/>
        </w:rPr>
        <w:t>a comprehensive code of ethical and legal business conduct applicable to all employees worldwide and to our Board of Directors. The</w:t>
      </w:r>
      <w:r>
        <w:rPr>
          <w:rFonts w:ascii="Arial" w:cs="Arial" w:eastAsia="Arial" w:hAnsi="Arial"/>
          <w:sz w:val="17"/>
          <w:szCs w:val="17"/>
          <w:b w:val="1"/>
          <w:bCs w:val="1"/>
          <w:color w:val="EE2724"/>
        </w:rPr>
        <w:t xml:space="preserve"> </w:t>
      </w:r>
      <w:r>
        <w:rPr>
          <w:rFonts w:ascii="Arial" w:cs="Arial" w:eastAsia="Arial" w:hAnsi="Arial"/>
          <w:sz w:val="17"/>
          <w:szCs w:val="17"/>
          <w:color w:val="000000"/>
        </w:rPr>
        <w:t>Red Book is reviewed and approved annually by the board.</w:t>
      </w:r>
    </w:p>
    <w:p>
      <w:pPr>
        <w:spacing w:after="0" w:line="129" w:lineRule="exact"/>
        <w:rPr>
          <w:sz w:val="20"/>
          <w:szCs w:val="20"/>
          <w:color w:val="auto"/>
        </w:rPr>
      </w:pPr>
    </w:p>
    <w:p>
      <w:pPr>
        <w:ind w:right="800"/>
        <w:spacing w:after="0" w:line="294" w:lineRule="auto"/>
        <w:rPr>
          <w:sz w:val="20"/>
          <w:szCs w:val="20"/>
          <w:color w:val="auto"/>
        </w:rPr>
      </w:pPr>
      <w:r>
        <w:rPr>
          <w:rFonts w:ascii="Arial" w:cs="Arial" w:eastAsia="Arial" w:hAnsi="Arial"/>
          <w:sz w:val="17"/>
          <w:szCs w:val="17"/>
          <w:b w:val="1"/>
          <w:bCs w:val="1"/>
          <w:color w:val="EE2724"/>
        </w:rPr>
        <w:t xml:space="preserve">Code of Ethical Conduct for Lilly Financial Management: </w:t>
      </w:r>
      <w:r>
        <w:rPr>
          <w:rFonts w:ascii="Arial" w:cs="Arial" w:eastAsia="Arial" w:hAnsi="Arial"/>
          <w:sz w:val="17"/>
          <w:szCs w:val="17"/>
          <w:color w:val="000000"/>
        </w:rPr>
        <w:t>a supplemental code for our CEO and all members of financial management, in</w:t>
      </w:r>
      <w:r>
        <w:rPr>
          <w:rFonts w:ascii="Arial" w:cs="Arial" w:eastAsia="Arial" w:hAnsi="Arial"/>
          <w:sz w:val="17"/>
          <w:szCs w:val="17"/>
          <w:b w:val="1"/>
          <w:bCs w:val="1"/>
          <w:color w:val="EE2724"/>
        </w:rPr>
        <w:t xml:space="preserve"> </w:t>
      </w:r>
      <w:r>
        <w:rPr>
          <w:rFonts w:ascii="Arial" w:cs="Arial" w:eastAsia="Arial" w:hAnsi="Arial"/>
          <w:sz w:val="17"/>
          <w:szCs w:val="17"/>
          <w:color w:val="000000"/>
        </w:rPr>
        <w:t>recognition of their unique responsibilities to ensure proper accounting, financial reporting, internal controls, and financial stewardship.</w:t>
      </w:r>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 xml:space="preserve">These documents are available online at: </w:t>
      </w:r>
      <w:r>
        <w:rPr>
          <w:rFonts w:ascii="Arial" w:cs="Arial" w:eastAsia="Arial" w:hAnsi="Arial"/>
          <w:sz w:val="17"/>
          <w:szCs w:val="17"/>
          <w:color w:val="EE2724"/>
        </w:rPr>
        <w:t>lilly.com/who-we-are/governance/ethics-and-compliance-program</w:t>
      </w:r>
      <w:r>
        <w:rPr>
          <w:rFonts w:ascii="Arial" w:cs="Arial" w:eastAsia="Arial" w:hAnsi="Arial"/>
          <w:sz w:val="17"/>
          <w:szCs w:val="17"/>
          <w:color w:val="auto"/>
        </w:rPr>
        <w:t xml:space="preserve"> and </w:t>
      </w:r>
      <w:r>
        <w:rPr>
          <w:rFonts w:ascii="Arial" w:cs="Arial" w:eastAsia="Arial" w:hAnsi="Arial"/>
          <w:sz w:val="17"/>
          <w:szCs w:val="17"/>
          <w:color w:val="EE2724"/>
        </w:rPr>
        <w:t>lilly.com/ethical-conduct-for-financial-management</w:t>
      </w:r>
      <w:r>
        <w:rPr>
          <w:rFonts w:ascii="Arial" w:cs="Arial" w:eastAsia="Arial" w:hAnsi="Arial"/>
          <w:sz w:val="17"/>
          <w:szCs w:val="17"/>
          <w:color w:val="000000"/>
        </w:rPr>
        <w:t>, or upon request to the company's corporate secretary. In the event of any amendments to, or waivers from, a provision of the code</w:t>
      </w:r>
      <w:r>
        <w:rPr>
          <w:rFonts w:ascii="Arial" w:cs="Arial" w:eastAsia="Arial" w:hAnsi="Arial"/>
          <w:sz w:val="17"/>
          <w:szCs w:val="17"/>
          <w:color w:val="EE2724"/>
        </w:rPr>
        <w:t xml:space="preserve"> </w:t>
      </w:r>
      <w:r>
        <w:rPr>
          <w:rFonts w:ascii="Arial" w:cs="Arial" w:eastAsia="Arial" w:hAnsi="Arial"/>
          <w:sz w:val="17"/>
          <w:szCs w:val="17"/>
          <w:color w:val="000000"/>
        </w:rPr>
        <w:t>affecting the CEO, chief financial officer, chief accounting officer, controller, or persons performing similar functions, we intend to post on the above website within four business days after the event a description of the amendment or waiver as required under applicable SEC rules, and we will maintain that information on our website for at least 12 months.</w:t>
      </w:r>
    </w:p>
    <w:p>
      <w:pPr>
        <w:spacing w:after="0" w:line="163"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Highlights of the Company’s Corporate Governance</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The company is committed to good corporate governance, which promotes the long-term interests of shareholders and other company stakeholders, builds confidence in our company leadership, and strengthens accountability by the board and company management. The board has adopted corporate governance guidelines that set forth the company's basic principles of corporate governance. The section that follows outlines key elements of the guidelines and other governance matters. Investors can learn more by reviewing the corporate governance guidelines, which are available online at </w:t>
      </w:r>
      <w:r>
        <w:rPr>
          <w:rFonts w:ascii="Arial" w:cs="Arial" w:eastAsia="Arial" w:hAnsi="Arial"/>
          <w:sz w:val="17"/>
          <w:szCs w:val="17"/>
          <w:color w:val="EE2724"/>
        </w:rPr>
        <w:t>lilly.com/who-we-are/governance</w:t>
      </w:r>
      <w:r>
        <w:rPr>
          <w:rFonts w:ascii="Arial" w:cs="Arial" w:eastAsia="Arial" w:hAnsi="Arial"/>
          <w:sz w:val="17"/>
          <w:szCs w:val="17"/>
          <w:color w:val="auto"/>
        </w:rPr>
        <w:t xml:space="preserve"> or upon request to the company’s corporate secretary.</w:t>
      </w:r>
    </w:p>
    <w:p>
      <w:pPr>
        <w:spacing w:after="0" w:line="161"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Role of the Board</w:t>
      </w:r>
    </w:p>
    <w:p>
      <w:pPr>
        <w:spacing w:after="0" w:line="27"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The directors are elected by the shareholders to oversee the actions and results of the company’s management. The board exercises oversight over a broad range of areas, but the board's key responsibilities include the following (certain of which are carried out through the board's committees):</w:t>
      </w:r>
    </w:p>
    <w:p>
      <w:pPr>
        <w:spacing w:after="0" w:line="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providing general oversight of the business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approving corporate strategy</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approving major management initiatives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selecting, compensating, evaluating, and, when necessary, replacing the CEO, and compensating other key senior leadership positions</w:t>
      </w:r>
    </w:p>
    <w:p>
      <w:pPr>
        <w:spacing w:after="0" w:line="7" w:lineRule="exact"/>
        <w:rPr>
          <w:rFonts w:ascii="Arial" w:cs="Arial" w:eastAsia="Arial" w:hAnsi="Arial"/>
          <w:sz w:val="17"/>
          <w:szCs w:val="17"/>
          <w:color w:val="auto"/>
        </w:rPr>
      </w:pPr>
    </w:p>
    <w:p>
      <w:pPr>
        <w:ind w:left="660" w:right="400" w:hanging="328"/>
        <w:spacing w:after="0" w:line="24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ensuring that an effective succession plan is in place for all key senior leadership positions and reviewing the broader talent management process, including diversity and inclusion</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overseeing the company’s ethics and compliance program and management of significant business risks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nominating, compensating, and evaluating directors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overseeing the company's enterprise risk management program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P25</w:t>
      </w:r>
    </w:p>
    <w:p>
      <w:pPr>
        <w:sectPr>
          <w:pgSz w:w="11900" w:h="16838" w:orient="portrait"/>
          <w:cols w:equalWidth="0" w:num="1">
            <w:col w:w="11420"/>
          </w:cols>
          <w:pgMar w:left="240" w:top="559" w:right="239" w:bottom="1440" w:gutter="0" w:footer="0" w:header="0"/>
        </w:sectPr>
      </w:pPr>
    </w:p>
    <w:bookmarkStart w:id="29" w:name="page30"/>
    <w:bookmarkEnd w:id="29"/>
    <w:p>
      <w:pPr>
        <w:jc w:val="both"/>
        <w:ind w:right="660"/>
        <w:spacing w:after="0" w:line="270" w:lineRule="auto"/>
        <w:rPr>
          <w:sz w:val="20"/>
          <w:szCs w:val="20"/>
          <w:color w:val="auto"/>
        </w:rPr>
      </w:pPr>
      <w:r>
        <w:rPr>
          <w:rFonts w:ascii="Arial" w:cs="Arial" w:eastAsia="Arial" w:hAnsi="Arial"/>
          <w:sz w:val="17"/>
          <w:szCs w:val="17"/>
          <w:color w:val="auto"/>
        </w:rPr>
        <w:t>The board takes an active role in its oversight of our corporate strategy. Each year, the board and executive management closely examine the company's strategy, including key risks and decisions facing the company. Decisions reached in this session are updated throughout the year, including as the board discusses the company's financial performance, the performance of our business units, and progress in our pipeline.</w:t>
      </w:r>
    </w:p>
    <w:p>
      <w:pPr>
        <w:spacing w:after="0" w:line="151"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Board Composition and Requirements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Mix of Independent Directors and Officer-Directors</w:t>
      </w:r>
    </w:p>
    <w:p>
      <w:pPr>
        <w:spacing w:after="0"/>
        <w:rPr>
          <w:sz w:val="20"/>
          <w:szCs w:val="20"/>
          <w:color w:val="auto"/>
        </w:rPr>
      </w:pPr>
      <w:r>
        <w:rPr>
          <w:rFonts w:ascii="Arial" w:cs="Arial" w:eastAsia="Arial" w:hAnsi="Arial"/>
          <w:sz w:val="17"/>
          <w:szCs w:val="17"/>
          <w:color w:val="auto"/>
        </w:rPr>
        <w:t>We believe there should always be a substantial majority (75 percent or more) of independent directors. The CEO should be a member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for Directors</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 an uncontested election, directors are elected by a majority of votes cast. An incumbent nominee who fails to receive a greater number of votes “for” than “against” his or her election will tender his or her resignation from the board (following the certification of the shareholder vote). The board, on recommendation of the Directors and Corporate Governance Committee, will decide whether to accept the resignation. The company will promptly disclose the board's decision, including, if applicable, the reasons the board rejected the resignation.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Tenure and Retirement Policy</w:t>
      </w:r>
    </w:p>
    <w:p>
      <w:pPr>
        <w:spacing w:after="0" w:line="25"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Non-employee directors must retire no later than the date of the annual meeting that follows their seventy-second birthday, although the Directors and Corporate Governance Committee has authority to recommend exceptions to this policy. The Directors and Corporate Governance Committee, with input from all board members, also considers the contributions of the individual directors annually, with a more robust assessment at least every three years when considering whether to nominate directors to new three-year terms. The company has not adopted term limits because the board believes that arbitrary term limits on a director’s service are not appropriate.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Board Service</w:t>
      </w:r>
    </w:p>
    <w:p>
      <w:pPr>
        <w:spacing w:after="0" w:line="2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general, no director may serve on more than three other public company boards. The Directors and Corporate Governance Committee may approve exceptions if it determines that the additional service will not impair the director's effectiveness on the Lilly board.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Confidentiality Policy</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The board has adopted a Confidentiality Policy, applicable to all current and future members of the board. The policy prohibits a director from sharing confidential information obtained in his or her role as a director with any outside party except under limited circumstances where the director is seeking legal advice or is required to disclose information by order of law. The Confidentiality Policy can be viewed on the company's website: </w:t>
      </w:r>
      <w:r>
        <w:rPr>
          <w:rFonts w:ascii="Arial" w:cs="Arial" w:eastAsia="Arial" w:hAnsi="Arial"/>
          <w:sz w:val="17"/>
          <w:szCs w:val="17"/>
          <w:color w:val="EE2724"/>
        </w:rPr>
        <w:t>lilly.com/about/corporate-governance/Pages/corporate-governance.aspx</w:t>
      </w:r>
      <w:r>
        <w:rPr>
          <w:rFonts w:ascii="Arial" w:cs="Arial" w:eastAsia="Arial" w:hAnsi="Arial"/>
          <w:sz w:val="17"/>
          <w:szCs w:val="17"/>
          <w:color w:val="000000"/>
        </w:rPr>
        <w:t>.</w:t>
      </w:r>
    </w:p>
    <w:p>
      <w:pPr>
        <w:spacing w:after="0" w:line="164"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Leadership Structure; Oversight of Chairman, CEO, and Senior Management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Leadership Structure</w:t>
      </w:r>
    </w:p>
    <w:p>
      <w:pPr>
        <w:ind w:right="40"/>
        <w:spacing w:after="0" w:line="252" w:lineRule="auto"/>
        <w:rPr>
          <w:sz w:val="20"/>
          <w:szCs w:val="20"/>
          <w:color w:val="auto"/>
        </w:rPr>
      </w:pPr>
      <w:r>
        <w:rPr>
          <w:rFonts w:ascii="Arial" w:cs="Arial" w:eastAsia="Arial" w:hAnsi="Arial"/>
          <w:sz w:val="17"/>
          <w:szCs w:val="17"/>
          <w:color w:val="auto"/>
        </w:rPr>
        <w:t>The board currently believes that combining the role of Chairman of the Board and CEO, coupled with a strong lead independent director position (see the description of the role below), is the most efficient and effective leadership model for the company, fostering clear accountability, effective decision making, and alignment on corporate strategy. The board periodically reviews its leadership structure and developments in the area of corporate governance to ensure that this approach continues to strike the appropriate balance for the company and our stakeholders. Such a review was conducted most recently during the succession-management process relating to the appointment of Mr. Ricks as chairman, effective June 2017.</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Independence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board has put in place a number of governance practices to ensure effective independent oversight, including:</w:t>
      </w:r>
    </w:p>
    <w:p>
      <w:pPr>
        <w:spacing w:after="0" w:line="208" w:lineRule="exact"/>
        <w:rPr>
          <w:sz w:val="20"/>
          <w:szCs w:val="20"/>
          <w:color w:val="auto"/>
        </w:rPr>
      </w:pPr>
    </w:p>
    <w:p>
      <w:pPr>
        <w:ind w:left="720" w:hanging="388"/>
        <w:spacing w:after="0"/>
        <w:tabs>
          <w:tab w:leader="none" w:pos="720" w:val="left"/>
        </w:tabs>
        <w:numPr>
          <w:ilvl w:val="0"/>
          <w:numId w:val="40"/>
        </w:numPr>
        <w:rPr>
          <w:rFonts w:ascii="Arial" w:cs="Arial" w:eastAsia="Arial" w:hAnsi="Arial"/>
          <w:sz w:val="17"/>
          <w:szCs w:val="17"/>
          <w:b w:val="1"/>
          <w:bCs w:val="1"/>
          <w:i w:val="1"/>
          <w:iCs w:val="1"/>
          <w:color w:val="auto"/>
        </w:rPr>
      </w:pPr>
      <w:r>
        <w:rPr>
          <w:rFonts w:ascii="Arial" w:cs="Arial" w:eastAsia="Arial" w:hAnsi="Arial"/>
          <w:sz w:val="17"/>
          <w:szCs w:val="17"/>
          <w:b w:val="1"/>
          <w:bCs w:val="1"/>
          <w:color w:val="00ABE8"/>
        </w:rPr>
        <w:t>Executive sessions of the independent directors</w:t>
      </w:r>
      <w:r>
        <w:rPr>
          <w:rFonts w:ascii="Arial" w:cs="Arial" w:eastAsia="Arial" w:hAnsi="Arial"/>
          <w:sz w:val="18"/>
          <w:szCs w:val="18"/>
          <w:b w:val="1"/>
          <w:bCs w:val="1"/>
          <w:color w:val="00ABE8"/>
        </w:rPr>
        <w:t>:</w:t>
      </w:r>
      <w:r>
        <w:rPr>
          <w:rFonts w:ascii="Arial" w:cs="Arial" w:eastAsia="Arial" w:hAnsi="Arial"/>
          <w:sz w:val="17"/>
          <w:szCs w:val="17"/>
          <w:b w:val="1"/>
          <w:bCs w:val="1"/>
          <w:color w:val="00ABE8"/>
        </w:rPr>
        <w:t xml:space="preserve"> </w:t>
      </w:r>
      <w:r>
        <w:rPr>
          <w:rFonts w:ascii="Arial" w:cs="Arial" w:eastAsia="Arial" w:hAnsi="Arial"/>
          <w:sz w:val="17"/>
          <w:szCs w:val="17"/>
          <w:color w:val="000000"/>
        </w:rPr>
        <w:t>held after every regular board meeting.</w:t>
      </w:r>
    </w:p>
    <w:p>
      <w:pPr>
        <w:spacing w:after="0" w:line="270" w:lineRule="exact"/>
        <w:rPr>
          <w:rFonts w:ascii="Arial" w:cs="Arial" w:eastAsia="Arial" w:hAnsi="Arial"/>
          <w:sz w:val="17"/>
          <w:szCs w:val="17"/>
          <w:b w:val="1"/>
          <w:bCs w:val="1"/>
          <w:i w:val="1"/>
          <w:iCs w:val="1"/>
          <w:color w:val="auto"/>
        </w:rPr>
      </w:pPr>
    </w:p>
    <w:p>
      <w:pPr>
        <w:ind w:left="980" w:right="2260" w:hanging="648"/>
        <w:spacing w:after="0" w:line="288" w:lineRule="auto"/>
        <w:tabs>
          <w:tab w:leader="none" w:pos="716" w:val="left"/>
        </w:tabs>
        <w:numPr>
          <w:ilvl w:val="0"/>
          <w:numId w:val="40"/>
        </w:numPr>
        <w:rPr>
          <w:rFonts w:ascii="Arial" w:cs="Arial" w:eastAsia="Arial" w:hAnsi="Arial"/>
          <w:sz w:val="17"/>
          <w:szCs w:val="17"/>
          <w:b w:val="1"/>
          <w:bCs w:val="1"/>
          <w:i w:val="1"/>
          <w:iCs w:val="1"/>
          <w:color w:val="auto"/>
        </w:rPr>
      </w:pPr>
      <w:r>
        <w:rPr>
          <w:rFonts w:ascii="Arial" w:cs="Arial" w:eastAsia="Arial" w:hAnsi="Arial"/>
          <w:sz w:val="17"/>
          <w:szCs w:val="17"/>
          <w:b w:val="1"/>
          <w:bCs w:val="1"/>
          <w:color w:val="00ABE8"/>
        </w:rPr>
        <w:t xml:space="preserve">Annual performance evaluation of the chairman and CEO: </w:t>
      </w:r>
      <w:r>
        <w:rPr>
          <w:rFonts w:ascii="Arial" w:cs="Arial" w:eastAsia="Arial" w:hAnsi="Arial"/>
          <w:sz w:val="17"/>
          <w:szCs w:val="17"/>
          <w:color w:val="000000"/>
        </w:rPr>
        <w:t>conducted by the independent directors, the</w:t>
      </w:r>
      <w:r>
        <w:rPr>
          <w:rFonts w:ascii="Arial" w:cs="Arial" w:eastAsia="Arial" w:hAnsi="Arial"/>
          <w:sz w:val="17"/>
          <w:szCs w:val="17"/>
          <w:b w:val="1"/>
          <w:bCs w:val="1"/>
          <w:color w:val="00ABE8"/>
        </w:rPr>
        <w:t xml:space="preserve"> </w:t>
      </w:r>
      <w:r>
        <w:rPr>
          <w:rFonts w:ascii="Arial" w:cs="Arial" w:eastAsia="Arial" w:hAnsi="Arial"/>
          <w:sz w:val="17"/>
          <w:szCs w:val="17"/>
          <w:color w:val="000000"/>
        </w:rPr>
        <w:t>results of which are reviewed with the CEO and considered by the Compensation Committee in establishing the CEO’s compensation for the next year.</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P26</w:t>
      </w:r>
    </w:p>
    <w:p>
      <w:pPr>
        <w:sectPr>
          <w:pgSz w:w="11900" w:h="16838" w:orient="portrait"/>
          <w:cols w:equalWidth="0" w:num="1">
            <w:col w:w="11380"/>
          </w:cols>
          <w:pgMar w:left="240" w:top="557" w:right="279" w:bottom="1440" w:gutter="0" w:footer="0" w:header="0"/>
        </w:sectPr>
      </w:pPr>
    </w:p>
    <w:bookmarkStart w:id="30" w:name="page31"/>
    <w:bookmarkEnd w:id="30"/>
    <w:p>
      <w:pPr>
        <w:ind w:left="980" w:right="2540" w:hanging="648"/>
        <w:spacing w:after="0" w:line="283" w:lineRule="auto"/>
        <w:tabs>
          <w:tab w:leader="none" w:pos="716" w:val="left"/>
        </w:tabs>
        <w:numPr>
          <w:ilvl w:val="0"/>
          <w:numId w:val="41"/>
        </w:numPr>
        <w:rPr>
          <w:rFonts w:ascii="Arial" w:cs="Arial" w:eastAsia="Arial" w:hAnsi="Arial"/>
          <w:sz w:val="17"/>
          <w:szCs w:val="17"/>
          <w:b w:val="1"/>
          <w:bCs w:val="1"/>
          <w:i w:val="1"/>
          <w:iCs w:val="1"/>
          <w:color w:val="auto"/>
        </w:rPr>
      </w:pPr>
      <w:r>
        <w:rPr>
          <w:rFonts w:ascii="Arial" w:cs="Arial" w:eastAsia="Arial" w:hAnsi="Arial"/>
          <w:sz w:val="17"/>
          <w:szCs w:val="17"/>
          <w:b w:val="1"/>
          <w:bCs w:val="1"/>
          <w:color w:val="00ABE8"/>
        </w:rPr>
        <w:t xml:space="preserve">A strong, independent, clearly defined lead independent director role: </w:t>
      </w:r>
      <w:r>
        <w:rPr>
          <w:rFonts w:ascii="Arial" w:cs="Arial" w:eastAsia="Arial" w:hAnsi="Arial"/>
          <w:sz w:val="17"/>
          <w:szCs w:val="17"/>
          <w:color w:val="000000"/>
        </w:rPr>
        <w:t>The lead Independent director's</w:t>
      </w:r>
      <w:r>
        <w:rPr>
          <w:rFonts w:ascii="Arial" w:cs="Arial" w:eastAsia="Arial" w:hAnsi="Arial"/>
          <w:sz w:val="17"/>
          <w:szCs w:val="17"/>
          <w:b w:val="1"/>
          <w:bCs w:val="1"/>
          <w:color w:val="00ABE8"/>
        </w:rPr>
        <w:t xml:space="preserve"> </w:t>
      </w:r>
      <w:r>
        <w:rPr>
          <w:rFonts w:ascii="Arial" w:cs="Arial" w:eastAsia="Arial" w:hAnsi="Arial"/>
          <w:sz w:val="17"/>
          <w:szCs w:val="17"/>
          <w:color w:val="000000"/>
        </w:rPr>
        <w:t>responsibilities include:</w:t>
      </w:r>
    </w:p>
    <w:p>
      <w:pPr>
        <w:spacing w:after="0" w:line="1" w:lineRule="exact"/>
        <w:rPr>
          <w:rFonts w:ascii="Arial" w:cs="Arial" w:eastAsia="Arial" w:hAnsi="Arial"/>
          <w:sz w:val="17"/>
          <w:szCs w:val="17"/>
          <w:b w:val="1"/>
          <w:bCs w:val="1"/>
          <w:i w:val="1"/>
          <w:iCs w:val="1"/>
          <w:color w:val="auto"/>
        </w:rPr>
      </w:pPr>
    </w:p>
    <w:p>
      <w:pPr>
        <w:ind w:left="960" w:hanging="304"/>
        <w:spacing w:after="0"/>
        <w:tabs>
          <w:tab w:leader="none" w:pos="9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leading the board’s processes for selecting and evaluating the CEO</w:t>
      </w:r>
    </w:p>
    <w:p>
      <w:pPr>
        <w:spacing w:after="0" w:line="59" w:lineRule="exact"/>
        <w:rPr>
          <w:rFonts w:ascii="Arial" w:cs="Arial" w:eastAsia="Arial" w:hAnsi="Arial"/>
          <w:sz w:val="17"/>
          <w:szCs w:val="17"/>
          <w:color w:val="auto"/>
        </w:rPr>
      </w:pPr>
    </w:p>
    <w:p>
      <w:pPr>
        <w:ind w:left="960" w:hanging="304"/>
        <w:spacing w:after="0"/>
        <w:tabs>
          <w:tab w:leader="none" w:pos="9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presiding at all meetings of the board at which the chairman is not present</w:t>
      </w:r>
    </w:p>
    <w:p>
      <w:pPr>
        <w:spacing w:after="0" w:line="61" w:lineRule="exact"/>
        <w:rPr>
          <w:rFonts w:ascii="Arial" w:cs="Arial" w:eastAsia="Arial" w:hAnsi="Arial"/>
          <w:sz w:val="17"/>
          <w:szCs w:val="17"/>
          <w:color w:val="auto"/>
        </w:rPr>
      </w:pPr>
    </w:p>
    <w:p>
      <w:pPr>
        <w:ind w:left="960" w:hanging="304"/>
        <w:spacing w:after="0"/>
        <w:tabs>
          <w:tab w:leader="none" w:pos="9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serving as a liaison between the chairman and the independent directors</w:t>
      </w:r>
    </w:p>
    <w:p>
      <w:pPr>
        <w:spacing w:after="0" w:line="61" w:lineRule="exact"/>
        <w:rPr>
          <w:rFonts w:ascii="Arial" w:cs="Arial" w:eastAsia="Arial" w:hAnsi="Arial"/>
          <w:sz w:val="17"/>
          <w:szCs w:val="17"/>
          <w:color w:val="auto"/>
        </w:rPr>
      </w:pPr>
    </w:p>
    <w:p>
      <w:pPr>
        <w:ind w:left="1300" w:right="3220" w:hanging="644"/>
        <w:spacing w:after="0" w:line="282" w:lineRule="auto"/>
        <w:tabs>
          <w:tab w:leader="none" w:pos="955" w:val="left"/>
        </w:tabs>
        <w:numPr>
          <w:ilvl w:val="1"/>
          <w:numId w:val="41"/>
        </w:numPr>
        <w:rPr>
          <w:rFonts w:ascii="Arial" w:cs="Arial" w:eastAsia="Arial" w:hAnsi="Arial"/>
          <w:sz w:val="17"/>
          <w:szCs w:val="17"/>
          <w:color w:val="auto"/>
        </w:rPr>
      </w:pPr>
      <w:r>
        <w:rPr>
          <w:rFonts w:ascii="Arial" w:cs="Arial" w:eastAsia="Arial" w:hAnsi="Arial"/>
          <w:sz w:val="17"/>
          <w:szCs w:val="17"/>
          <w:color w:val="auto"/>
        </w:rPr>
        <w:t>if requested by major shareholders, ensuring that he/she is available for consultation and direct communication</w:t>
      </w:r>
    </w:p>
    <w:p>
      <w:pPr>
        <w:ind w:left="960" w:hanging="304"/>
        <w:spacing w:after="0"/>
        <w:tabs>
          <w:tab w:leader="none" w:pos="9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approving meeting agendas and schedules and generally approving information sent to the board,</w:t>
      </w:r>
    </w:p>
    <w:p>
      <w:pPr>
        <w:spacing w:after="0" w:line="59" w:lineRule="exact"/>
        <w:rPr>
          <w:rFonts w:ascii="Arial" w:cs="Arial" w:eastAsia="Arial" w:hAnsi="Arial"/>
          <w:sz w:val="17"/>
          <w:szCs w:val="17"/>
          <w:color w:val="auto"/>
        </w:rPr>
      </w:pPr>
    </w:p>
    <w:p>
      <w:pPr>
        <w:ind w:left="960" w:hanging="304"/>
        <w:spacing w:after="0"/>
        <w:tabs>
          <w:tab w:leader="none" w:pos="9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conducting executive sessions of the independent directors</w:t>
      </w:r>
    </w:p>
    <w:p>
      <w:pPr>
        <w:spacing w:after="0" w:line="61" w:lineRule="exact"/>
        <w:rPr>
          <w:rFonts w:ascii="Arial" w:cs="Arial" w:eastAsia="Arial" w:hAnsi="Arial"/>
          <w:sz w:val="17"/>
          <w:szCs w:val="17"/>
          <w:color w:val="auto"/>
        </w:rPr>
      </w:pPr>
    </w:p>
    <w:p>
      <w:pPr>
        <w:ind w:left="960" w:hanging="304"/>
        <w:spacing w:after="0"/>
        <w:tabs>
          <w:tab w:leader="none" w:pos="9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overseeing the independent directors' annual performance evaluation of the chairman and CEO</w:t>
      </w:r>
    </w:p>
    <w:p>
      <w:pPr>
        <w:spacing w:after="0" w:line="61" w:lineRule="exact"/>
        <w:rPr>
          <w:rFonts w:ascii="Arial" w:cs="Arial" w:eastAsia="Arial" w:hAnsi="Arial"/>
          <w:sz w:val="17"/>
          <w:szCs w:val="17"/>
          <w:color w:val="auto"/>
        </w:rPr>
      </w:pPr>
    </w:p>
    <w:p>
      <w:pPr>
        <w:ind w:left="1300" w:right="2960" w:hanging="644"/>
        <w:spacing w:after="0" w:line="325" w:lineRule="auto"/>
        <w:tabs>
          <w:tab w:leader="none" w:pos="955" w:val="left"/>
        </w:tabs>
        <w:numPr>
          <w:ilvl w:val="1"/>
          <w:numId w:val="41"/>
        </w:numPr>
        <w:rPr>
          <w:rFonts w:ascii="Arial" w:cs="Arial" w:eastAsia="Arial" w:hAnsi="Arial"/>
          <w:sz w:val="17"/>
          <w:szCs w:val="17"/>
          <w:color w:val="auto"/>
        </w:rPr>
      </w:pPr>
      <w:r>
        <w:rPr>
          <w:rFonts w:ascii="Arial" w:cs="Arial" w:eastAsia="Arial" w:hAnsi="Arial"/>
          <w:sz w:val="17"/>
          <w:szCs w:val="17"/>
          <w:color w:val="auto"/>
        </w:rPr>
        <w:t>together with the Directors and Corporate Governance Committee, leading the director recruitment process.</w:t>
      </w:r>
    </w:p>
    <w:p>
      <w:pPr>
        <w:spacing w:after="0" w:line="132" w:lineRule="exact"/>
        <w:rPr>
          <w:rFonts w:ascii="Arial" w:cs="Arial" w:eastAsia="Arial" w:hAnsi="Arial"/>
          <w:sz w:val="17"/>
          <w:szCs w:val="17"/>
          <w:color w:val="auto"/>
        </w:rPr>
      </w:pPr>
    </w:p>
    <w:p>
      <w:pPr>
        <w:ind w:left="980" w:right="2580" w:hanging="648"/>
        <w:spacing w:after="0" w:line="325" w:lineRule="auto"/>
        <w:tabs>
          <w:tab w:leader="none" w:pos="7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lead independent director also has authority to call meetings of the independent directors and to retain advisors for the independent directors.</w:t>
      </w:r>
    </w:p>
    <w:p>
      <w:pPr>
        <w:spacing w:after="0" w:line="132" w:lineRule="exact"/>
        <w:rPr>
          <w:rFonts w:ascii="Arial" w:cs="Arial" w:eastAsia="Arial" w:hAnsi="Arial"/>
          <w:sz w:val="17"/>
          <w:szCs w:val="17"/>
          <w:color w:val="auto"/>
        </w:rPr>
      </w:pPr>
    </w:p>
    <w:p>
      <w:pPr>
        <w:ind w:left="720" w:hanging="388"/>
        <w:spacing w:after="0"/>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lead independent director is appointed annually by the board. Currently Ms. Marram is the lead</w:t>
      </w:r>
    </w:p>
    <w:p>
      <w:pPr>
        <w:spacing w:after="0" w:line="35" w:lineRule="exact"/>
        <w:rPr>
          <w:sz w:val="20"/>
          <w:szCs w:val="20"/>
          <w:color w:val="auto"/>
        </w:rPr>
      </w:pPr>
    </w:p>
    <w:p>
      <w:pPr>
        <w:ind w:left="660" w:right="40"/>
        <w:spacing w:after="0" w:line="290" w:lineRule="auto"/>
        <w:rPr>
          <w:sz w:val="20"/>
          <w:szCs w:val="20"/>
          <w:color w:val="auto"/>
        </w:rPr>
      </w:pPr>
      <w:r>
        <w:rPr>
          <w:rFonts w:ascii="Arial" w:cs="Arial" w:eastAsia="Arial" w:hAnsi="Arial"/>
          <w:sz w:val="17"/>
          <w:szCs w:val="17"/>
          <w:color w:val="auto"/>
        </w:rPr>
        <w:t>independent director. Ms. Marram will retire from the board in May 2019 at which time Mr. Luciano, contingent upon his reelection at the 2019 annual meeting, will become the new lead independent director.</w:t>
      </w:r>
    </w:p>
    <w:p>
      <w:pPr>
        <w:spacing w:after="0" w:line="132" w:lineRule="exact"/>
        <w:rPr>
          <w:sz w:val="20"/>
          <w:szCs w:val="20"/>
          <w:color w:val="auto"/>
        </w:rPr>
      </w:pPr>
    </w:p>
    <w:p>
      <w:pPr>
        <w:ind w:left="660" w:right="220" w:hanging="328"/>
        <w:spacing w:after="0" w:line="263" w:lineRule="auto"/>
        <w:tabs>
          <w:tab w:leader="none" w:pos="660" w:val="left"/>
        </w:tabs>
        <w:numPr>
          <w:ilvl w:val="0"/>
          <w:numId w:val="42"/>
        </w:numPr>
        <w:rPr>
          <w:rFonts w:ascii="Arial" w:cs="Arial" w:eastAsia="Arial" w:hAnsi="Arial"/>
          <w:sz w:val="17"/>
          <w:szCs w:val="17"/>
          <w:b w:val="1"/>
          <w:bCs w:val="1"/>
          <w:i w:val="1"/>
          <w:iCs w:val="1"/>
          <w:color w:val="auto"/>
        </w:rPr>
      </w:pPr>
      <w:r>
        <w:rPr>
          <w:rFonts w:ascii="Arial" w:cs="Arial" w:eastAsia="Arial" w:hAnsi="Arial"/>
          <w:sz w:val="17"/>
          <w:szCs w:val="17"/>
          <w:b w:val="1"/>
          <w:bCs w:val="1"/>
          <w:color w:val="00ABE8"/>
        </w:rPr>
        <w:t xml:space="preserve">Director access to management and independent advisors: </w:t>
      </w:r>
      <w:r>
        <w:rPr>
          <w:rFonts w:ascii="Arial" w:cs="Arial" w:eastAsia="Arial" w:hAnsi="Arial"/>
          <w:sz w:val="17"/>
          <w:szCs w:val="17"/>
          <w:color w:val="000000"/>
        </w:rPr>
        <w:t>Independent directors have direct access to members of management</w:t>
      </w:r>
      <w:r>
        <w:rPr>
          <w:rFonts w:ascii="Arial" w:cs="Arial" w:eastAsia="Arial" w:hAnsi="Arial"/>
          <w:sz w:val="17"/>
          <w:szCs w:val="17"/>
          <w:b w:val="1"/>
          <w:bCs w:val="1"/>
          <w:color w:val="00ABE8"/>
        </w:rPr>
        <w:t xml:space="preserve"> </w:t>
      </w:r>
      <w:r>
        <w:rPr>
          <w:rFonts w:ascii="Arial" w:cs="Arial" w:eastAsia="Arial" w:hAnsi="Arial"/>
          <w:sz w:val="17"/>
          <w:szCs w:val="17"/>
          <w:color w:val="000000"/>
        </w:rPr>
        <w:t>whenever they deem it necessary, and the company's executive officers attend part of each regularly scheduled board meeting. The independent directors and all committees are also free to retain their own independent advisors, at the company's expense, whenever they feel it would be desirable to do so.</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Succession Planning</w:t>
      </w:r>
    </w:p>
    <w:p>
      <w:pPr>
        <w:spacing w:after="0" w:line="25" w:lineRule="exact"/>
        <w:rPr>
          <w:sz w:val="20"/>
          <w:szCs w:val="20"/>
          <w:color w:val="auto"/>
        </w:rPr>
      </w:pPr>
    </w:p>
    <w:p>
      <w:pPr>
        <w:ind w:right="600"/>
        <w:spacing w:after="0" w:line="265" w:lineRule="auto"/>
        <w:rPr>
          <w:sz w:val="20"/>
          <w:szCs w:val="20"/>
          <w:color w:val="auto"/>
        </w:rPr>
      </w:pPr>
      <w:r>
        <w:rPr>
          <w:rFonts w:ascii="Arial" w:cs="Arial" w:eastAsia="Arial" w:hAnsi="Arial"/>
          <w:sz w:val="17"/>
          <w:szCs w:val="17"/>
          <w:color w:val="auto"/>
        </w:rPr>
        <w:t>The Compensation Committee, board, and CEO annually review the company's succession plans for the CEO and other key senior leadership positions. The independent directors also meet without the CEO to discuss CEO succession planning.</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During these reviews, the CEO and directors discuss:</w:t>
      </w:r>
    </w:p>
    <w:p>
      <w:pPr>
        <w:spacing w:after="0" w:line="29"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future candidates for the CEO and other senior leadership positions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succession timing</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development plans for the highest-potential candidates.</w:t>
      </w:r>
    </w:p>
    <w:p>
      <w:pPr>
        <w:spacing w:after="0" w:line="188"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color w:val="auto"/>
        </w:rPr>
        <w:t>The independent directors and the CEO maintain a confidential plan for the timely and efficient transfer of the CEO's responsibilities in the event of an emergency or his sudden departure, incapacitation, or death.</w:t>
      </w:r>
    </w:p>
    <w:p>
      <w:pPr>
        <w:spacing w:after="0" w:line="132" w:lineRule="exact"/>
        <w:rPr>
          <w:sz w:val="20"/>
          <w:szCs w:val="20"/>
          <w:color w:val="auto"/>
        </w:rPr>
      </w:pPr>
    </w:p>
    <w:p>
      <w:pPr>
        <w:ind w:right="300"/>
        <w:spacing w:after="0" w:line="292" w:lineRule="auto"/>
        <w:rPr>
          <w:sz w:val="20"/>
          <w:szCs w:val="20"/>
          <w:color w:val="auto"/>
        </w:rPr>
      </w:pPr>
      <w:r>
        <w:rPr>
          <w:rFonts w:ascii="Arial" w:cs="Arial" w:eastAsia="Arial" w:hAnsi="Arial"/>
          <w:sz w:val="17"/>
          <w:szCs w:val="17"/>
          <w:color w:val="auto"/>
        </w:rPr>
        <w:t>The company ensures that the directors have multiple opportunities to interact with the company's top leadership talent in both formal and informal settings to allow them to most effectively assess the candidates' qualifications and capabilities.</w:t>
      </w:r>
    </w:p>
    <w:p>
      <w:pPr>
        <w:spacing w:after="0" w:line="133"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Board Education and Annual Performance Assessment</w:t>
      </w:r>
    </w:p>
    <w:p>
      <w:pPr>
        <w:spacing w:after="0" w:line="208" w:lineRule="exact"/>
        <w:rPr>
          <w:sz w:val="20"/>
          <w:szCs w:val="20"/>
          <w:color w:val="auto"/>
        </w:rPr>
      </w:pPr>
    </w:p>
    <w:p>
      <w:pPr>
        <w:ind w:right="220"/>
        <w:spacing w:after="0" w:line="292" w:lineRule="auto"/>
        <w:rPr>
          <w:sz w:val="20"/>
          <w:szCs w:val="20"/>
          <w:color w:val="auto"/>
        </w:rPr>
      </w:pPr>
      <w:r>
        <w:rPr>
          <w:rFonts w:ascii="Arial" w:cs="Arial" w:eastAsia="Arial" w:hAnsi="Arial"/>
          <w:sz w:val="17"/>
          <w:szCs w:val="17"/>
          <w:color w:val="auto"/>
        </w:rPr>
        <w:t>The company engages in a comprehensive orientation process for incoming new directors. Directors also attend ongoing continuing educational sessions on areas of particular relevance or importance to our company, and we hold periodic mandatory training sessions for the Audit Committee.</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Every year the Directors and Corporate Governance Committee conducts a robust assessment of the board's performance, board committee performance, and all board processes, based on input from all directors. We also conduct an annual assessment of each individual director performance and every three years we conduct a detailed review of individual director performance when considering whether to nominate the director to a new three-year term.</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P27</w:t>
      </w:r>
    </w:p>
    <w:p>
      <w:pPr>
        <w:sectPr>
          <w:pgSz w:w="11900" w:h="16838" w:orient="portrait"/>
          <w:cols w:equalWidth="0" w:num="1">
            <w:col w:w="11360"/>
          </w:cols>
          <w:pgMar w:left="240" w:top="582" w:right="299" w:bottom="1440" w:gutter="0" w:footer="0" w:header="0"/>
        </w:sectPr>
      </w:pPr>
    </w:p>
    <w:bookmarkStart w:id="31" w:name="page32"/>
    <w:bookmarkEnd w:id="31"/>
    <w:p>
      <w:pPr>
        <w:spacing w:after="0"/>
        <w:rPr>
          <w:sz w:val="20"/>
          <w:szCs w:val="20"/>
          <w:color w:val="auto"/>
        </w:rPr>
      </w:pPr>
      <w:r>
        <w:rPr>
          <w:rFonts w:ascii="Arial" w:cs="Arial" w:eastAsia="Arial" w:hAnsi="Arial"/>
          <w:sz w:val="23"/>
          <w:szCs w:val="23"/>
          <w:b w:val="1"/>
          <w:bCs w:val="1"/>
          <w:color w:val="1CA8E1"/>
        </w:rPr>
        <w:t>Conflicts of Interest and Transactions with Related Persons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Conflicts of Interest</w:t>
      </w:r>
    </w:p>
    <w:p>
      <w:pPr>
        <w:ind w:right="160"/>
        <w:spacing w:after="0" w:line="252" w:lineRule="auto"/>
        <w:rPr>
          <w:sz w:val="20"/>
          <w:szCs w:val="20"/>
          <w:color w:val="auto"/>
        </w:rPr>
      </w:pPr>
      <w:r>
        <w:rPr>
          <w:rFonts w:ascii="Arial" w:cs="Arial" w:eastAsia="Arial" w:hAnsi="Arial"/>
          <w:sz w:val="17"/>
          <w:szCs w:val="17"/>
          <w:color w:val="auto"/>
        </w:rPr>
        <w:t>Occasionally a director's business or personal relationships may give rise to an interest that conflicts, or appears to conflict, with the interests of the company. As outlined in the company's corporate governance guidelines, directors must disclose to the company all relationships that could create a conflict or an appearance of a conflict. The board, after consultation with counsel, takes appropriate steps to identify actual or apparent conflicts and ensure that all directors voting on an issue are disinterested with respect to that issue. A director may be excused from board discussions and decisions on an issue related to an actual or apparent conflict, as appropriate.</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addition, a director’s relationship with Lilly may give rise to an interest that conflicts, or appears to conflict, with the interests of another company, institution, or other stakeholder. A director must disclose his or her relationship with Lilly in connection with any scientific publication, using the International Committee of Medical Journal Editors (ICMJE) conflict of interest form for this purpose when possible. Each director must disclose his or her service on the board to his or her employer and any other organization with which the director has a relationship of trust and where the relationship with the company is relevant. In addition, directors must follow the internal conflict of interest policies and procedures of each such organization.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Review and Approval of Transactions with Related Persons</w:t>
      </w:r>
    </w:p>
    <w:p>
      <w:pPr>
        <w:spacing w:after="0" w:line="25"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The board has adopted a policy and procedures for review, approval, and monitoring of transactions involving the company and related persons (directors and executive officers, their immediate family members, or shareholders of more than 5 percent of the company’s outstanding stock). The policy covers any related-person transaction that meets the minimum threshold for disclosure in the proxy statement under the relevant SEC rules (generally, transactions involving amounts exceeding $120,000 in which a related person has a direct or indirect material interest).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EE2724"/>
        </w:rPr>
        <w:t>Policy:</w:t>
      </w:r>
    </w:p>
    <w:p>
      <w:pPr>
        <w:spacing w:after="0" w:line="31" w:lineRule="exact"/>
        <w:rPr>
          <w:sz w:val="20"/>
          <w:szCs w:val="20"/>
          <w:color w:val="auto"/>
        </w:rPr>
      </w:pPr>
    </w:p>
    <w:p>
      <w:pPr>
        <w:ind w:right="360"/>
        <w:spacing w:after="0" w:line="248" w:lineRule="auto"/>
        <w:rPr>
          <w:sz w:val="20"/>
          <w:szCs w:val="20"/>
          <w:color w:val="auto"/>
        </w:rPr>
      </w:pPr>
      <w:r>
        <w:rPr>
          <w:rFonts w:ascii="Arial" w:cs="Arial" w:eastAsia="Arial" w:hAnsi="Arial"/>
          <w:sz w:val="17"/>
          <w:szCs w:val="17"/>
          <w:color w:val="auto"/>
        </w:rPr>
        <w:t>Related-person transactions must be approved by the board or by a committee of the board consisting solely of independent directors, who will approve the transaction only if the board or committee determines that it is in the best interests of the company. In considering the transaction, the board or committee will consider all relevant factors, including:</w:t>
      </w:r>
    </w:p>
    <w:p>
      <w:pPr>
        <w:spacing w:after="0" w:line="2"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company’s business rationale for entering into the transaction</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alternatives to entering into a related-person transaction</w:t>
      </w:r>
    </w:p>
    <w:p>
      <w:pPr>
        <w:spacing w:after="0" w:line="7" w:lineRule="exact"/>
        <w:rPr>
          <w:rFonts w:ascii="Arial" w:cs="Arial" w:eastAsia="Arial" w:hAnsi="Arial"/>
          <w:sz w:val="17"/>
          <w:szCs w:val="17"/>
          <w:color w:val="auto"/>
        </w:rPr>
      </w:pPr>
    </w:p>
    <w:p>
      <w:pPr>
        <w:ind w:left="660" w:right="200" w:hanging="328"/>
        <w:spacing w:after="0" w:line="24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whether the transaction is on terms comparable to those available to third parties, or in the case of employment relationships, to employees generally</w:t>
      </w:r>
    </w:p>
    <w:p>
      <w:pPr>
        <w:spacing w:after="0" w:line="1" w:lineRule="exact"/>
        <w:rPr>
          <w:rFonts w:ascii="Arial" w:cs="Arial" w:eastAsia="Arial" w:hAnsi="Arial"/>
          <w:sz w:val="17"/>
          <w:szCs w:val="17"/>
          <w:color w:val="auto"/>
        </w:rPr>
      </w:pPr>
    </w:p>
    <w:p>
      <w:pPr>
        <w:ind w:left="660" w:right="420" w:hanging="328"/>
        <w:spacing w:after="0" w:line="24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potential for the transaction to lead to an actual or apparent conflict of interest and any safeguards imposed to prevent such actual or apparent conflicts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overall fairness of the transaction to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EE2724"/>
        </w:rPr>
        <w:t>Procedures:</w:t>
      </w:r>
    </w:p>
    <w:p>
      <w:pPr>
        <w:spacing w:after="0" w:line="31" w:lineRule="exact"/>
        <w:rPr>
          <w:sz w:val="20"/>
          <w:szCs w:val="20"/>
          <w:color w:val="auto"/>
        </w:rPr>
      </w:pPr>
    </w:p>
    <w:p>
      <w:pPr>
        <w:ind w:left="660" w:right="220" w:hanging="328"/>
        <w:spacing w:after="0" w:line="24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Management or the affected director or executive officer will bring the matter to the attention of the chairman, the lead independent director, the chair of the Directors and Corporate Governance Committee, or the corporate secretary.</w:t>
      </w:r>
    </w:p>
    <w:p>
      <w:pPr>
        <w:spacing w:after="0" w:line="1" w:lineRule="exact"/>
        <w:rPr>
          <w:rFonts w:ascii="Arial" w:cs="Arial" w:eastAsia="Arial" w:hAnsi="Arial"/>
          <w:sz w:val="17"/>
          <w:szCs w:val="17"/>
          <w:color w:val="auto"/>
        </w:rPr>
      </w:pPr>
    </w:p>
    <w:p>
      <w:pPr>
        <w:ind w:left="660" w:right="260" w:hanging="328"/>
        <w:spacing w:after="0" w:line="24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chairman and the lead independent director shall jointly determine (or, if either is involved in the transaction, the other shall determine) whether the matter should be considered by the board or by one of its existing committees.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a director is involved in the transaction, he or she will be recused from all discussions and decisions about the transaction.</w:t>
      </w:r>
    </w:p>
    <w:p>
      <w:pPr>
        <w:spacing w:after="0" w:line="7" w:lineRule="exact"/>
        <w:rPr>
          <w:rFonts w:ascii="Arial" w:cs="Arial" w:eastAsia="Arial" w:hAnsi="Arial"/>
          <w:sz w:val="17"/>
          <w:szCs w:val="17"/>
          <w:color w:val="auto"/>
        </w:rPr>
      </w:pPr>
    </w:p>
    <w:p>
      <w:pPr>
        <w:ind w:left="660" w:right="360" w:hanging="328"/>
        <w:spacing w:after="0" w:line="24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transaction must be approved in advance whenever practicable, and if not practicable, must be ratified, if appropriate, as promptly as practicable.</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board or relevant committee will review the transaction annually to determine whether it continues to be in the company’s best interests.</w:t>
      </w:r>
    </w:p>
    <w:p>
      <w:pPr>
        <w:spacing w:after="0" w:line="188" w:lineRule="exact"/>
        <w:rPr>
          <w:sz w:val="20"/>
          <w:szCs w:val="20"/>
          <w:color w:val="auto"/>
        </w:rPr>
      </w:pPr>
    </w:p>
    <w:p>
      <w:pPr>
        <w:ind w:right="760"/>
        <w:spacing w:after="0" w:line="292" w:lineRule="auto"/>
        <w:rPr>
          <w:sz w:val="20"/>
          <w:szCs w:val="20"/>
          <w:color w:val="auto"/>
        </w:rPr>
      </w:pPr>
      <w:r>
        <w:rPr>
          <w:rFonts w:ascii="Arial" w:cs="Arial" w:eastAsia="Arial" w:hAnsi="Arial"/>
          <w:sz w:val="17"/>
          <w:szCs w:val="17"/>
          <w:color w:val="auto"/>
        </w:rPr>
        <w:t>The Directors and Corporate Governance Committee has approved the following employment relationships that are considered related-party transactions under the SEC rules.</w:t>
      </w:r>
    </w:p>
    <w:p>
      <w:pPr>
        <w:spacing w:after="0" w:line="13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Dr. John Bamforth is the spouse of Dr. Susan Mahony, a former executive officer. Dr. Bamforth, who retired as vice president, global marketing, received cash and equity payments totaling $1,220,000, and he participated in the company’s benefit programs generally available to U.S. employees while he was an active employee.</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P28</w:t>
      </w:r>
    </w:p>
    <w:p>
      <w:pPr>
        <w:sectPr>
          <w:pgSz w:w="11900" w:h="16838" w:orient="portrait"/>
          <w:cols w:equalWidth="0" w:num="1">
            <w:col w:w="11380"/>
          </w:cols>
          <w:pgMar w:left="240" w:top="557" w:right="279" w:bottom="1440" w:gutter="0" w:footer="0" w:header="0"/>
        </w:sectPr>
      </w:pPr>
    </w:p>
    <w:bookmarkStart w:id="32" w:name="page33"/>
    <w:bookmarkEnd w:id="32"/>
    <w:p>
      <w:pPr>
        <w:spacing w:after="0"/>
        <w:rPr>
          <w:sz w:val="20"/>
          <w:szCs w:val="20"/>
          <w:color w:val="auto"/>
        </w:rPr>
      </w:pPr>
      <w:r>
        <w:rPr>
          <w:rFonts w:ascii="Arial" w:cs="Arial" w:eastAsia="Arial" w:hAnsi="Arial"/>
          <w:sz w:val="27"/>
          <w:szCs w:val="27"/>
          <w:b w:val="1"/>
          <w:bCs w:val="1"/>
          <w:color w:val="EF3729"/>
        </w:rPr>
        <w:t>Communication with the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You may send written communications to members of the board, including independent directors, addressed to:</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Board of Directors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Eli Lilly and Company</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 Corporate Secretary</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Lilly Corporate Center</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Indianapolis, IN 46285</w:t>
      </w:r>
    </w:p>
    <w:p>
      <w:pPr>
        <w:spacing w:after="0" w:line="174"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Shareholder Engagement on Governance Issues</w:t>
      </w:r>
    </w:p>
    <w:p>
      <w:pPr>
        <w:spacing w:after="0" w:line="227"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Each year, the company engages large shareholders and other key constituents to discuss areas of interest or concern related to corporate governance, as well as any specific issues for the coming proxy season. In 2018, we spoke with a number of our largest investors on topics such as eliminating the company's classified board and supermajority voting requirements, board composition and succession planning, the company's executive compensation, environmental and social responsibility, drug pricing, and shareholders' ability to amend the bylaws, among other topics. The overall tone of these conversations was productive and positive, and the investors with whom we spoke were generally supportive of our performance and our overall compensation and governance policies, although a few shareholders communicated differing views on some of our governance practices. This feedback has been discussed with our CEO and chairman, the lead independent director, our Compensation Committee, and our Directors and Corporate Governance Committee, and it was a key input into board discussions on corporate governance topics. As a result of these discussions and its own deliberations, the board decided to put forward the two management proposals described below. We are committed to continuing to engage with our investors to ensure their diverse perspectives on corporate governance issues are thoughtfully considered.</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Proposals to Eliminate Classified Board and Supermajority Voting Requirements</w:t>
      </w:r>
    </w:p>
    <w:p>
      <w:pPr>
        <w:spacing w:after="0" w:line="25" w:lineRule="exact"/>
        <w:rPr>
          <w:sz w:val="20"/>
          <w:szCs w:val="20"/>
          <w:color w:val="auto"/>
        </w:rPr>
      </w:pPr>
    </w:p>
    <w:p>
      <w:pPr>
        <w:ind w:right="380"/>
        <w:spacing w:after="0" w:line="254" w:lineRule="auto"/>
        <w:rPr>
          <w:sz w:val="20"/>
          <w:szCs w:val="20"/>
          <w:color w:val="auto"/>
        </w:rPr>
      </w:pPr>
      <w:r>
        <w:rPr>
          <w:rFonts w:ascii="Arial" w:cs="Arial" w:eastAsia="Arial" w:hAnsi="Arial"/>
          <w:sz w:val="17"/>
          <w:szCs w:val="17"/>
          <w:color w:val="auto"/>
        </w:rPr>
        <w:t>Each year between 2007 and 2012, and again in 2018, our management put forward proposals to eliminate the company's classified board structure. The proposals did not pass because they failed to receive a “supermajority vote” of 80 percent of the outstanding shares of our common stock, as required in the company's articles of incorporation. In addition, in 2010, 2011, 2012, and 2018, we submitted management proposals to eliminate the supermajority voting requirements themselves. Those proposals also fell short of the required 80 percent vote.</w:t>
      </w:r>
    </w:p>
    <w:p>
      <w:pPr>
        <w:spacing w:after="0" w:line="163"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Prior to 2012, these proposals received support ranging from 72 to 77 percent of the outstanding shares. In 2012, the vote in support of these proposals was approximately 63 percent of the outstanding shares, driven in part by a 2012 NYSE rule revision prohibiting brokers from voting their clients' shares on corporate governance matters absent specific instructions from such clients. In 2018, the vote in support was approximately 62 percent of the outstanding shares.</w:t>
      </w:r>
    </w:p>
    <w:p>
      <w:pPr>
        <w:spacing w:after="0" w:line="156"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 xml:space="preserve">After considering the interests of the company and our shareholders, we have resubmitted management proposals to eliminate the classified board and supermajority voting requirements for consideration at the 2019 annual meeting (see </w:t>
      </w:r>
      <w:r>
        <w:rPr>
          <w:rFonts w:ascii="Arial" w:cs="Arial" w:eastAsia="Arial" w:hAnsi="Arial"/>
          <w:sz w:val="17"/>
          <w:szCs w:val="17"/>
          <w:u w:val="single" w:color="auto"/>
          <w:color w:val="auto"/>
        </w:rPr>
        <w:t>Items 4 and 5</w:t>
      </w:r>
      <w:r>
        <w:rPr>
          <w:rFonts w:ascii="Arial" w:cs="Arial" w:eastAsia="Arial" w:hAnsi="Arial"/>
          <w:sz w:val="17"/>
          <w:szCs w:val="17"/>
          <w:color w:val="auto"/>
        </w:rPr>
        <w:t>). We will continue to engage with our shareholders on these and other topics to ensure that we continue to demonstrate strong corporate governance and accountability to shareholders.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Proposals</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 xml:space="preserve">If a shareholder wishes to have a proposal considered for inclusion in next year’s proxy statement, he or she must submit the proposal in writing so that we receive it by November 23, 2019. Proposals should be addressed to the company’s corporate secretary, Lilly Corporate Center, Indianapolis, Indiana 46285. In addition, the company’s bylaws provide that any shareholder wishing to propose any other business at the 2020 annual meeting must give the company written notice by November 23, 2019, and no earlier than September 24, 2019. That notice must provide certain other information as described in the bylaws. Copies of the bylaws are available online at </w:t>
      </w:r>
      <w:r>
        <w:rPr>
          <w:rFonts w:ascii="Arial" w:cs="Arial" w:eastAsia="Arial" w:hAnsi="Arial"/>
          <w:sz w:val="17"/>
          <w:szCs w:val="17"/>
          <w:color w:val="EE2724"/>
        </w:rPr>
        <w:t>lilly.com/who-we-are/governance</w:t>
      </w:r>
      <w:r>
        <w:rPr>
          <w:rFonts w:ascii="Arial" w:cs="Arial" w:eastAsia="Arial" w:hAnsi="Arial"/>
          <w:sz w:val="17"/>
          <w:szCs w:val="17"/>
          <w:color w:val="auto"/>
        </w:rPr>
        <w:t xml:space="preserve"> or upon request to the company’s corporate secretary.</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P29</w:t>
      </w:r>
    </w:p>
    <w:p>
      <w:pPr>
        <w:sectPr>
          <w:pgSz w:w="11900" w:h="16838" w:orient="portrait"/>
          <w:cols w:equalWidth="0" w:num="1">
            <w:col w:w="11400"/>
          </w:cols>
          <w:pgMar w:left="240" w:top="559" w:right="25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Shareholder Recommendations and Nominations for Director Candidates</w:t>
      </w:r>
    </w:p>
    <w:p>
      <w:pPr>
        <w:spacing w:after="0" w:line="25" w:lineRule="exact"/>
        <w:rPr>
          <w:sz w:val="20"/>
          <w:szCs w:val="20"/>
          <w:color w:val="auto"/>
        </w:rPr>
      </w:pPr>
    </w:p>
    <w:p>
      <w:pPr>
        <w:ind w:right="780"/>
        <w:spacing w:after="0" w:line="265" w:lineRule="auto"/>
        <w:rPr>
          <w:sz w:val="20"/>
          <w:szCs w:val="20"/>
          <w:color w:val="auto"/>
        </w:rPr>
      </w:pPr>
      <w:r>
        <w:rPr>
          <w:rFonts w:ascii="Arial" w:cs="Arial" w:eastAsia="Arial" w:hAnsi="Arial"/>
          <w:sz w:val="17"/>
          <w:szCs w:val="17"/>
          <w:color w:val="auto"/>
        </w:rPr>
        <w:t>A shareholder who wishes to recommend a director candidate for evaluation should forward the candidate's name and information about the candidate's qualifications to:</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Chair of the Directors and Corporate Governance Committee</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 Corporate Secretary</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Lilly Corporate Center</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Indianapolis, IN 46285</w:t>
      </w:r>
    </w:p>
    <w:p>
      <w:pPr>
        <w:spacing w:after="0" w:line="188" w:lineRule="exact"/>
        <w:rPr>
          <w:sz w:val="20"/>
          <w:szCs w:val="20"/>
          <w:color w:val="auto"/>
        </w:rPr>
      </w:pPr>
    </w:p>
    <w:p>
      <w:pPr>
        <w:ind w:right="160"/>
        <w:spacing w:after="0" w:line="292" w:lineRule="auto"/>
        <w:rPr>
          <w:sz w:val="20"/>
          <w:szCs w:val="20"/>
          <w:color w:val="auto"/>
        </w:rPr>
      </w:pPr>
      <w:r>
        <w:rPr>
          <w:rFonts w:ascii="Arial" w:cs="Arial" w:eastAsia="Arial" w:hAnsi="Arial"/>
          <w:sz w:val="17"/>
          <w:szCs w:val="17"/>
          <w:color w:val="auto"/>
        </w:rPr>
        <w:t>The candidate must meet the selection criteria described above under "Director Qualifications and Nomination Process - Director Qualifications" and must be willing and expressly interested in serving on the board.</w:t>
      </w:r>
    </w:p>
    <w:p>
      <w:pPr>
        <w:spacing w:after="0" w:line="13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Under Section 1.9 of the company’s bylaws, a shareholder who wishes to directly nominate a director candidate at the 2020 annual meeting (i.e., to propose a candidate for election who is not otherwise nominated by the board through the recommendation process described above) must give the company written notice by November 23, 2019, and no earlier than September 24, 2019. The notice should be addressed to the corporate secretary at the address provided above. The notice must contain prescribed information about the candidate and about the shareholder proposing the candidate as described in more detail in Section 1.9 of the bylaws. A copy of the bylaws is available online at </w:t>
      </w:r>
      <w:r>
        <w:rPr>
          <w:rFonts w:ascii="Arial" w:cs="Arial" w:eastAsia="Arial" w:hAnsi="Arial"/>
          <w:sz w:val="17"/>
          <w:szCs w:val="17"/>
          <w:color w:val="EE2724"/>
        </w:rPr>
        <w:t>lilly.com/who-we-are/governance</w:t>
      </w:r>
      <w:r>
        <w:rPr>
          <w:rFonts w:ascii="Arial" w:cs="Arial" w:eastAsia="Arial" w:hAnsi="Arial"/>
          <w:sz w:val="17"/>
          <w:szCs w:val="17"/>
          <w:color w:val="auto"/>
        </w:rPr>
        <w:t>. The bylaws will also be provided by mail upon request to the corporate secretary.</w:t>
      </w:r>
    </w:p>
    <w:p>
      <w:pPr>
        <w:spacing w:after="0" w:line="162"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We have not received any notice regarding shareholder nominations for board candidates or other shareholder business to be presented at the 2019 shareholders' meeting.</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P30</w:t>
      </w:r>
    </w:p>
    <w:p>
      <w:pPr>
        <w:sectPr>
          <w:pgSz w:w="11900" w:h="16838" w:orient="portrait"/>
          <w:cols w:equalWidth="0" w:num="1">
            <w:col w:w="11360"/>
          </w:cols>
          <w:pgMar w:left="240" w:top="878" w:right="299" w:bottom="1440" w:gutter="0" w:footer="0" w:header="0"/>
        </w:sectPr>
      </w:pPr>
    </w:p>
    <w:bookmarkStart w:id="34" w:name="page35"/>
    <w:bookmarkEnd w:id="34"/>
    <w:p>
      <w:pPr>
        <w:spacing w:after="0"/>
        <w:rPr>
          <w:sz w:val="20"/>
          <w:szCs w:val="20"/>
          <w:color w:val="auto"/>
        </w:rPr>
      </w:pPr>
      <w:r>
        <w:rPr>
          <w:rFonts w:ascii="Arial" w:cs="Arial" w:eastAsia="Arial" w:hAnsi="Arial"/>
          <w:sz w:val="32"/>
          <w:szCs w:val="32"/>
          <w:b w:val="1"/>
          <w:bCs w:val="1"/>
          <w:color w:val="EF3729"/>
        </w:rPr>
        <w:t>Ownership of Company Stock</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Ownership by Directors and Executive Officers</w:t>
      </w:r>
    </w:p>
    <w:p>
      <w:pPr>
        <w:spacing w:after="0" w:line="25" w:lineRule="exact"/>
        <w:rPr>
          <w:sz w:val="20"/>
          <w:szCs w:val="20"/>
          <w:color w:val="auto"/>
        </w:rPr>
      </w:pPr>
    </w:p>
    <w:p>
      <w:pPr>
        <w:jc w:val="both"/>
        <w:ind w:right="80"/>
        <w:spacing w:after="0" w:line="256" w:lineRule="auto"/>
        <w:rPr>
          <w:sz w:val="20"/>
          <w:szCs w:val="20"/>
          <w:color w:val="auto"/>
        </w:rPr>
      </w:pPr>
      <w:r>
        <w:rPr>
          <w:rFonts w:ascii="Arial" w:cs="Arial" w:eastAsia="Arial" w:hAnsi="Arial"/>
          <w:sz w:val="17"/>
          <w:szCs w:val="17"/>
          <w:color w:val="auto"/>
        </w:rPr>
        <w:t>The following table sets forth the number of shares of company, including company subsidiaries, common stock, beneficially owned by the directors, the named executive officers, and all directors and executive officers as a group, as of February 15, 2019. None of the stock or stock units owned by any of the listed individuals has been pledged as collateral for a loan or other obligation.</w:t>
      </w:r>
    </w:p>
    <w:p>
      <w:pPr>
        <w:spacing w:after="0" w:line="123" w:lineRule="exact"/>
        <w:rPr>
          <w:sz w:val="20"/>
          <w:szCs w:val="20"/>
          <w:color w:val="auto"/>
        </w:rPr>
      </w:pPr>
    </w:p>
    <w:tbl>
      <w:tblPr>
        <w:tblLayout w:type="fixed"/>
        <w:tblInd w:w="1920" w:type="dxa"/>
        <w:tblCellMar>
          <w:top w:w="0" w:type="dxa"/>
          <w:left w:w="0" w:type="dxa"/>
          <w:bottom w:w="0" w:type="dxa"/>
          <w:right w:w="0" w:type="dxa"/>
        </w:tblCellMar>
      </w:tblPr>
      <w:tr>
        <w:trPr>
          <w:trHeight w:val="282"/>
        </w:trPr>
        <w:tc>
          <w:tcPr>
            <w:tcW w:w="238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Beneficial Owners</w:t>
            </w:r>
          </w:p>
        </w:tc>
        <w:tc>
          <w:tcPr>
            <w:tcW w:w="3700" w:type="dxa"/>
            <w:vAlign w:val="bottom"/>
            <w:gridSpan w:val="3"/>
            <w:shd w:val="clear" w:color="auto" w:fill="C8C9CB"/>
          </w:tcPr>
          <w:p>
            <w:pPr>
              <w:jc w:val="right"/>
              <w:ind w:right="1211"/>
              <w:spacing w:after="0"/>
              <w:rPr>
                <w:sz w:val="20"/>
                <w:szCs w:val="20"/>
                <w:color w:val="auto"/>
              </w:rPr>
            </w:pPr>
            <w:r>
              <w:rPr>
                <w:rFonts w:ascii="Arial" w:cs="Arial" w:eastAsia="Arial" w:hAnsi="Arial"/>
                <w:sz w:val="14"/>
                <w:szCs w:val="14"/>
                <w:b w:val="1"/>
                <w:bCs w:val="1"/>
                <w:color w:val="00ABE8"/>
              </w:rPr>
              <w:t xml:space="preserve">Common Stock </w:t>
            </w:r>
            <w:r>
              <w:rPr>
                <w:rFonts w:ascii="Arial" w:cs="Arial" w:eastAsia="Arial" w:hAnsi="Arial"/>
                <w:sz w:val="23"/>
                <w:szCs w:val="23"/>
                <w:b w:val="1"/>
                <w:bCs w:val="1"/>
                <w:color w:val="00ABE8"/>
                <w:vertAlign w:val="superscript"/>
              </w:rPr>
              <w:t>1</w:t>
            </w:r>
          </w:p>
        </w:tc>
        <w:tc>
          <w:tcPr>
            <w:tcW w:w="130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Stock Units Not</w:t>
            </w:r>
          </w:p>
        </w:tc>
        <w:tc>
          <w:tcPr>
            <w:tcW w:w="220" w:type="dxa"/>
            <w:vAlign w:val="bottom"/>
            <w:shd w:val="clear" w:color="auto" w:fill="C8C9CB"/>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380" w:type="dxa"/>
            <w:vAlign w:val="bottom"/>
            <w:shd w:val="clear" w:color="auto" w:fill="C8C9CB"/>
          </w:tcPr>
          <w:p>
            <w:pPr>
              <w:spacing w:after="0"/>
              <w:rPr>
                <w:sz w:val="13"/>
                <w:szCs w:val="13"/>
                <w:color w:val="auto"/>
              </w:rPr>
            </w:pPr>
          </w:p>
        </w:tc>
        <w:tc>
          <w:tcPr>
            <w:tcW w:w="1640" w:type="dxa"/>
            <w:vAlign w:val="bottom"/>
            <w:vMerge w:val="restart"/>
            <w:shd w:val="clear" w:color="auto" w:fill="C8C9CB"/>
          </w:tcPr>
          <w:p>
            <w:pPr>
              <w:jc w:val="right"/>
              <w:ind w:right="191"/>
              <w:spacing w:after="0"/>
              <w:rPr>
                <w:sz w:val="20"/>
                <w:szCs w:val="20"/>
                <w:color w:val="auto"/>
              </w:rPr>
            </w:pPr>
            <w:r>
              <w:rPr>
                <w:rFonts w:ascii="Arial" w:cs="Arial" w:eastAsia="Arial" w:hAnsi="Arial"/>
                <w:sz w:val="14"/>
                <w:szCs w:val="14"/>
                <w:b w:val="1"/>
                <w:bCs w:val="1"/>
                <w:color w:val="00ABE8"/>
              </w:rPr>
              <w:t xml:space="preserve">Shares Owned </w:t>
            </w:r>
            <w:r>
              <w:rPr>
                <w:rFonts w:ascii="Arial" w:cs="Arial" w:eastAsia="Arial" w:hAnsi="Arial"/>
                <w:sz w:val="23"/>
                <w:szCs w:val="23"/>
                <w:b w:val="1"/>
                <w:bCs w:val="1"/>
                <w:color w:val="00ABE8"/>
                <w:vertAlign w:val="superscript"/>
              </w:rPr>
              <w:t>2</w:t>
            </w:r>
          </w:p>
        </w:tc>
        <w:tc>
          <w:tcPr>
            <w:tcW w:w="180" w:type="dxa"/>
            <w:vAlign w:val="bottom"/>
            <w:shd w:val="clear" w:color="auto" w:fill="C8C9CB"/>
          </w:tcPr>
          <w:p>
            <w:pPr>
              <w:spacing w:after="0"/>
              <w:rPr>
                <w:sz w:val="13"/>
                <w:szCs w:val="13"/>
                <w:color w:val="auto"/>
              </w:rPr>
            </w:pPr>
          </w:p>
        </w:tc>
        <w:tc>
          <w:tcPr>
            <w:tcW w:w="1880" w:type="dxa"/>
            <w:vAlign w:val="bottom"/>
            <w:shd w:val="clear" w:color="auto" w:fill="C8C9CB"/>
          </w:tcPr>
          <w:p>
            <w:pPr>
              <w:jc w:val="right"/>
              <w:ind w:right="31"/>
              <w:spacing w:after="0"/>
              <w:rPr>
                <w:sz w:val="20"/>
                <w:szCs w:val="20"/>
                <w:color w:val="auto"/>
              </w:rPr>
            </w:pPr>
            <w:r>
              <w:rPr>
                <w:rFonts w:ascii="Arial" w:cs="Arial" w:eastAsia="Arial" w:hAnsi="Arial"/>
                <w:sz w:val="14"/>
                <w:szCs w:val="14"/>
                <w:b w:val="1"/>
                <w:bCs w:val="1"/>
                <w:color w:val="00ABE8"/>
              </w:rPr>
              <w:t>Stock Units Distributable</w:t>
            </w:r>
          </w:p>
        </w:tc>
        <w:tc>
          <w:tcPr>
            <w:tcW w:w="130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Distributable</w:t>
            </w:r>
          </w:p>
        </w:tc>
        <w:tc>
          <w:tcPr>
            <w:tcW w:w="220" w:type="dxa"/>
            <w:vAlign w:val="bottom"/>
            <w:shd w:val="clear" w:color="auto" w:fill="C8C9CB"/>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380" w:type="dxa"/>
            <w:vAlign w:val="bottom"/>
            <w:shd w:val="clear" w:color="auto" w:fill="C8C9CB"/>
          </w:tcPr>
          <w:p>
            <w:pPr>
              <w:spacing w:after="0"/>
              <w:rPr>
                <w:sz w:val="17"/>
                <w:szCs w:val="17"/>
                <w:color w:val="auto"/>
              </w:rPr>
            </w:pPr>
          </w:p>
        </w:tc>
        <w:tc>
          <w:tcPr>
            <w:tcW w:w="1640" w:type="dxa"/>
            <w:vAlign w:val="bottom"/>
            <w:vMerge w:val="continue"/>
            <w:shd w:val="clear" w:color="auto" w:fill="C8C9CB"/>
          </w:tcPr>
          <w:p>
            <w:pPr>
              <w:spacing w:after="0"/>
              <w:rPr>
                <w:sz w:val="17"/>
                <w:szCs w:val="17"/>
                <w:color w:val="auto"/>
              </w:rPr>
            </w:pPr>
          </w:p>
        </w:tc>
        <w:tc>
          <w:tcPr>
            <w:tcW w:w="180" w:type="dxa"/>
            <w:vAlign w:val="bottom"/>
            <w:shd w:val="clear" w:color="auto" w:fill="C8C9CB"/>
          </w:tcPr>
          <w:p>
            <w:pPr>
              <w:spacing w:after="0"/>
              <w:rPr>
                <w:sz w:val="17"/>
                <w:szCs w:val="17"/>
                <w:color w:val="auto"/>
              </w:rPr>
            </w:pPr>
          </w:p>
        </w:tc>
        <w:tc>
          <w:tcPr>
            <w:tcW w:w="1880" w:type="dxa"/>
            <w:vAlign w:val="bottom"/>
            <w:shd w:val="clear" w:color="auto" w:fill="C8C9CB"/>
          </w:tcPr>
          <w:p>
            <w:pPr>
              <w:jc w:val="right"/>
              <w:ind w:right="311"/>
              <w:spacing w:after="0" w:line="205" w:lineRule="exact"/>
              <w:rPr>
                <w:sz w:val="20"/>
                <w:szCs w:val="20"/>
                <w:color w:val="auto"/>
              </w:rPr>
            </w:pPr>
            <w:r>
              <w:rPr>
                <w:rFonts w:ascii="Arial" w:cs="Arial" w:eastAsia="Arial" w:hAnsi="Arial"/>
                <w:sz w:val="14"/>
                <w:szCs w:val="14"/>
                <w:b w:val="1"/>
                <w:bCs w:val="1"/>
                <w:color w:val="00ABE8"/>
              </w:rPr>
              <w:t xml:space="preserve">Within 60 Days </w:t>
            </w:r>
            <w:r>
              <w:rPr>
                <w:rFonts w:ascii="Arial" w:cs="Arial" w:eastAsia="Arial" w:hAnsi="Arial"/>
                <w:sz w:val="23"/>
                <w:szCs w:val="23"/>
                <w:b w:val="1"/>
                <w:bCs w:val="1"/>
                <w:color w:val="00ABE8"/>
                <w:vertAlign w:val="superscript"/>
              </w:rPr>
              <w:t>3</w:t>
            </w:r>
          </w:p>
        </w:tc>
        <w:tc>
          <w:tcPr>
            <w:tcW w:w="1300" w:type="dxa"/>
            <w:vAlign w:val="bottom"/>
            <w:shd w:val="clear" w:color="auto" w:fill="C8C9CB"/>
          </w:tcPr>
          <w:p>
            <w:pPr>
              <w:jc w:val="center"/>
              <w:spacing w:after="0" w:line="205" w:lineRule="exact"/>
              <w:rPr>
                <w:sz w:val="20"/>
                <w:szCs w:val="20"/>
                <w:color w:val="auto"/>
              </w:rPr>
            </w:pPr>
            <w:r>
              <w:rPr>
                <w:rFonts w:ascii="Arial" w:cs="Arial" w:eastAsia="Arial" w:hAnsi="Arial"/>
                <w:sz w:val="14"/>
                <w:szCs w:val="14"/>
                <w:b w:val="1"/>
                <w:bCs w:val="1"/>
                <w:color w:val="00ABE8"/>
                <w:w w:val="99"/>
              </w:rPr>
              <w:t xml:space="preserve">Within 60 Days </w:t>
            </w:r>
            <w:r>
              <w:rPr>
                <w:rFonts w:ascii="Arial" w:cs="Arial" w:eastAsia="Arial" w:hAnsi="Arial"/>
                <w:sz w:val="23"/>
                <w:szCs w:val="23"/>
                <w:b w:val="1"/>
                <w:bCs w:val="1"/>
                <w:color w:val="00ABE8"/>
                <w:w w:val="99"/>
                <w:vertAlign w:val="superscript"/>
              </w:rPr>
              <w:t>4</w:t>
            </w:r>
          </w:p>
        </w:tc>
        <w:tc>
          <w:tcPr>
            <w:tcW w:w="220" w:type="dxa"/>
            <w:vAlign w:val="bottom"/>
            <w:shd w:val="clear" w:color="auto" w:fill="C8C9CB"/>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380" w:type="dxa"/>
            <w:vAlign w:val="bottom"/>
          </w:tcPr>
          <w:p>
            <w:pPr>
              <w:ind w:left="20"/>
              <w:spacing w:after="0"/>
              <w:rPr>
                <w:sz w:val="20"/>
                <w:szCs w:val="20"/>
                <w:color w:val="auto"/>
              </w:rPr>
            </w:pPr>
            <w:r>
              <w:rPr>
                <w:rFonts w:ascii="Arial" w:cs="Arial" w:eastAsia="Arial" w:hAnsi="Arial"/>
                <w:sz w:val="14"/>
                <w:szCs w:val="14"/>
                <w:color w:val="auto"/>
              </w:rPr>
              <w:t>Ralph Alvarez</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43,373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4"/>
                <w:szCs w:val="14"/>
                <w:color w:val="auto"/>
              </w:rPr>
              <w:t>Katherine Baicker, Ph.D.</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16,872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4"/>
                <w:szCs w:val="14"/>
                <w:color w:val="auto"/>
              </w:rPr>
              <w:t>Carolyn R Bertozzi, Ph.D.</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3,317</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4"/>
                <w:szCs w:val="14"/>
                <w:color w:val="auto"/>
              </w:rPr>
              <w:t>Enrique A. Conterno</w:t>
            </w:r>
          </w:p>
        </w:tc>
        <w:tc>
          <w:tcPr>
            <w:tcW w:w="1640" w:type="dxa"/>
            <w:vAlign w:val="bottom"/>
          </w:tcPr>
          <w:p>
            <w:pPr>
              <w:jc w:val="right"/>
              <w:spacing w:after="0"/>
              <w:rPr>
                <w:sz w:val="20"/>
                <w:szCs w:val="20"/>
                <w:color w:val="auto"/>
              </w:rPr>
            </w:pPr>
            <w:r>
              <w:rPr>
                <w:rFonts w:ascii="Arial" w:cs="Arial" w:eastAsia="Arial" w:hAnsi="Arial"/>
                <w:sz w:val="14"/>
                <w:szCs w:val="14"/>
                <w:color w:val="auto"/>
              </w:rPr>
              <w:t>138,147</w:t>
            </w:r>
          </w:p>
        </w:tc>
        <w:tc>
          <w:tcPr>
            <w:tcW w:w="1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55,012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4"/>
                <w:szCs w:val="14"/>
                <w:color w:val="auto"/>
              </w:rPr>
              <w:t>Michael L. Eskew</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39,420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4"/>
                <w:szCs w:val="14"/>
                <w:color w:val="auto"/>
              </w:rPr>
              <w:t>J. Erik Fyrwald</w:t>
            </w:r>
          </w:p>
        </w:tc>
        <w:tc>
          <w:tcPr>
            <w:tcW w:w="164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61,600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4"/>
                <w:szCs w:val="14"/>
                <w:color w:val="auto"/>
              </w:rPr>
              <w:t>Michael J. Harrington</w:t>
            </w:r>
          </w:p>
        </w:tc>
        <w:tc>
          <w:tcPr>
            <w:tcW w:w="1640" w:type="dxa"/>
            <w:vAlign w:val="bottom"/>
          </w:tcPr>
          <w:p>
            <w:pPr>
              <w:jc w:val="right"/>
              <w:spacing w:after="0"/>
              <w:rPr>
                <w:sz w:val="20"/>
                <w:szCs w:val="20"/>
                <w:color w:val="auto"/>
              </w:rPr>
            </w:pPr>
            <w:r>
              <w:rPr>
                <w:rFonts w:ascii="Arial" w:cs="Arial" w:eastAsia="Arial" w:hAnsi="Arial"/>
                <w:sz w:val="14"/>
                <w:szCs w:val="14"/>
                <w:color w:val="auto"/>
              </w:rPr>
              <w:t>126,745</w:t>
            </w:r>
          </w:p>
        </w:tc>
        <w:tc>
          <w:tcPr>
            <w:tcW w:w="1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18,765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4"/>
                <w:szCs w:val="14"/>
                <w:color w:val="auto"/>
              </w:rPr>
              <w:t>Jamere Jackson</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4,029</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4"/>
                <w:szCs w:val="14"/>
                <w:color w:val="auto"/>
              </w:rPr>
              <w:t>William G. Kaelin, Jr., M.D.</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15,351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4"/>
                <w:szCs w:val="14"/>
                <w:color w:val="auto"/>
              </w:rPr>
              <w:t>Juan R. Luciano</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8,208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4"/>
                <w:szCs w:val="14"/>
                <w:color w:val="auto"/>
              </w:rPr>
              <w:t>Ellen R. Marram</w:t>
            </w:r>
          </w:p>
        </w:tc>
        <w:tc>
          <w:tcPr>
            <w:tcW w:w="1640" w:type="dxa"/>
            <w:vAlign w:val="bottom"/>
          </w:tcPr>
          <w:p>
            <w:pPr>
              <w:jc w:val="right"/>
              <w:spacing w:after="0"/>
              <w:rPr>
                <w:sz w:val="20"/>
                <w:szCs w:val="20"/>
                <w:color w:val="auto"/>
              </w:rPr>
            </w:pPr>
            <w:r>
              <w:rPr>
                <w:rFonts w:ascii="Arial" w:cs="Arial" w:eastAsia="Arial" w:hAnsi="Arial"/>
                <w:sz w:val="14"/>
                <w:szCs w:val="14"/>
                <w:color w:val="auto"/>
              </w:rPr>
              <w:t>1,000</w:t>
            </w:r>
          </w:p>
        </w:tc>
        <w:tc>
          <w:tcPr>
            <w:tcW w:w="1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55,200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4"/>
                <w:szCs w:val="14"/>
                <w:color w:val="auto"/>
              </w:rPr>
              <w:t>David A. Ricks</w:t>
            </w:r>
          </w:p>
        </w:tc>
        <w:tc>
          <w:tcPr>
            <w:tcW w:w="1640" w:type="dxa"/>
            <w:vAlign w:val="bottom"/>
          </w:tcPr>
          <w:p>
            <w:pPr>
              <w:jc w:val="right"/>
              <w:spacing w:after="0"/>
              <w:rPr>
                <w:sz w:val="20"/>
                <w:szCs w:val="20"/>
                <w:color w:val="auto"/>
              </w:rPr>
            </w:pPr>
            <w:r>
              <w:rPr>
                <w:rFonts w:ascii="Arial" w:cs="Arial" w:eastAsia="Arial" w:hAnsi="Arial"/>
                <w:sz w:val="14"/>
                <w:szCs w:val="14"/>
                <w:color w:val="auto"/>
              </w:rPr>
              <w:t>170,367</w:t>
            </w:r>
          </w:p>
        </w:tc>
        <w:tc>
          <w:tcPr>
            <w:tcW w:w="180" w:type="dxa"/>
            <w:vAlign w:val="bottom"/>
          </w:tcPr>
          <w:p>
            <w:pPr>
              <w:jc w:val="right"/>
              <w:ind w:right="24"/>
              <w:spacing w:after="0"/>
              <w:rPr>
                <w:sz w:val="20"/>
                <w:szCs w:val="20"/>
                <w:color w:val="auto"/>
              </w:rPr>
            </w:pPr>
            <w:r>
              <w:rPr>
                <w:rFonts w:ascii="Arial" w:cs="Arial" w:eastAsia="Arial" w:hAnsi="Arial"/>
                <w:sz w:val="11"/>
                <w:szCs w:val="11"/>
                <w:color w:val="auto"/>
              </w:rPr>
              <w:t>5</w:t>
            </w: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69,350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4"/>
                <w:szCs w:val="14"/>
                <w:color w:val="auto"/>
              </w:rPr>
              <w:t>Marschall S. Runge, M.D., Ph.D.</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11,061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4"/>
                <w:szCs w:val="14"/>
                <w:color w:val="auto"/>
              </w:rPr>
              <w:t>Kathi P. Seifert</w:t>
            </w:r>
          </w:p>
        </w:tc>
        <w:tc>
          <w:tcPr>
            <w:tcW w:w="1640" w:type="dxa"/>
            <w:vAlign w:val="bottom"/>
          </w:tcPr>
          <w:p>
            <w:pPr>
              <w:jc w:val="right"/>
              <w:spacing w:after="0"/>
              <w:rPr>
                <w:sz w:val="20"/>
                <w:szCs w:val="20"/>
                <w:color w:val="auto"/>
              </w:rPr>
            </w:pPr>
            <w:r>
              <w:rPr>
                <w:rFonts w:ascii="Arial" w:cs="Arial" w:eastAsia="Arial" w:hAnsi="Arial"/>
                <w:sz w:val="14"/>
                <w:szCs w:val="14"/>
                <w:color w:val="auto"/>
              </w:rPr>
              <w:t>3,533</w:t>
            </w:r>
          </w:p>
        </w:tc>
        <w:tc>
          <w:tcPr>
            <w:tcW w:w="1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68,135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Arial" w:cs="Arial" w:eastAsia="Arial" w:hAnsi="Arial"/>
                <w:sz w:val="14"/>
                <w:szCs w:val="14"/>
                <w:color w:val="auto"/>
              </w:rPr>
              <w:t>Jeffrey N. Simmons</w:t>
            </w:r>
          </w:p>
        </w:tc>
        <w:tc>
          <w:tcPr>
            <w:tcW w:w="1640" w:type="dxa"/>
            <w:vAlign w:val="bottom"/>
          </w:tcPr>
          <w:p>
            <w:pPr>
              <w:jc w:val="right"/>
              <w:spacing w:after="0"/>
              <w:rPr>
                <w:sz w:val="20"/>
                <w:szCs w:val="20"/>
                <w:color w:val="auto"/>
              </w:rPr>
            </w:pPr>
            <w:r>
              <w:rPr>
                <w:rFonts w:ascii="Arial" w:cs="Arial" w:eastAsia="Arial" w:hAnsi="Arial"/>
                <w:sz w:val="14"/>
                <w:szCs w:val="14"/>
                <w:color w:val="auto"/>
              </w:rPr>
              <w:t>179,858</w:t>
            </w:r>
          </w:p>
        </w:tc>
        <w:tc>
          <w:tcPr>
            <w:tcW w:w="180" w:type="dxa"/>
            <w:vAlign w:val="bottom"/>
          </w:tcPr>
          <w:p>
            <w:pPr>
              <w:jc w:val="right"/>
              <w:ind w:right="24"/>
              <w:spacing w:after="0"/>
              <w:rPr>
                <w:sz w:val="20"/>
                <w:szCs w:val="20"/>
                <w:color w:val="auto"/>
              </w:rPr>
            </w:pPr>
            <w:r>
              <w:rPr>
                <w:rFonts w:ascii="Arial" w:cs="Arial" w:eastAsia="Arial" w:hAnsi="Arial"/>
                <w:sz w:val="11"/>
                <w:szCs w:val="11"/>
                <w:color w:val="auto"/>
              </w:rPr>
              <w:t>6</w:t>
            </w: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162,246</w:t>
            </w:r>
          </w:p>
        </w:tc>
        <w:tc>
          <w:tcPr>
            <w:tcW w:w="220" w:type="dxa"/>
            <w:vAlign w:val="bottom"/>
          </w:tcPr>
          <w:p>
            <w:pPr>
              <w:jc w:val="right"/>
              <w:ind w:right="64"/>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4"/>
                <w:szCs w:val="14"/>
                <w:color w:val="auto"/>
              </w:rPr>
              <w:t>Daniel Skovronsky, M.D., Ph.D.</w:t>
            </w:r>
          </w:p>
        </w:tc>
        <w:tc>
          <w:tcPr>
            <w:tcW w:w="1640" w:type="dxa"/>
            <w:vAlign w:val="bottom"/>
          </w:tcPr>
          <w:p>
            <w:pPr>
              <w:jc w:val="right"/>
              <w:spacing w:after="0"/>
              <w:rPr>
                <w:sz w:val="20"/>
                <w:szCs w:val="20"/>
                <w:color w:val="auto"/>
              </w:rPr>
            </w:pPr>
            <w:r>
              <w:rPr>
                <w:rFonts w:ascii="Arial" w:cs="Arial" w:eastAsia="Arial" w:hAnsi="Arial"/>
                <w:sz w:val="14"/>
                <w:szCs w:val="14"/>
                <w:color w:val="auto"/>
              </w:rPr>
              <w:t>70,818</w:t>
            </w:r>
          </w:p>
        </w:tc>
        <w:tc>
          <w:tcPr>
            <w:tcW w:w="1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4"/>
                <w:szCs w:val="14"/>
                <w:color w:val="auto"/>
              </w:rPr>
              <w:t>Joshua L. Smiley</w:t>
            </w:r>
          </w:p>
        </w:tc>
        <w:tc>
          <w:tcPr>
            <w:tcW w:w="1640" w:type="dxa"/>
            <w:vAlign w:val="bottom"/>
          </w:tcPr>
          <w:p>
            <w:pPr>
              <w:jc w:val="right"/>
              <w:spacing w:after="0"/>
              <w:rPr>
                <w:sz w:val="20"/>
                <w:szCs w:val="20"/>
                <w:color w:val="auto"/>
              </w:rPr>
            </w:pPr>
            <w:r>
              <w:rPr>
                <w:rFonts w:ascii="Arial" w:cs="Arial" w:eastAsia="Arial" w:hAnsi="Arial"/>
                <w:sz w:val="14"/>
                <w:szCs w:val="14"/>
                <w:color w:val="auto"/>
              </w:rPr>
              <w:t>31,951</w:t>
            </w:r>
          </w:p>
        </w:tc>
        <w:tc>
          <w:tcPr>
            <w:tcW w:w="1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7,947</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4"/>
                <w:szCs w:val="14"/>
                <w:color w:val="auto"/>
              </w:rPr>
              <w:t>Jackson P. Tai</w:t>
            </w:r>
          </w:p>
        </w:tc>
        <w:tc>
          <w:tcPr>
            <w:tcW w:w="1640" w:type="dxa"/>
            <w:vAlign w:val="bottom"/>
          </w:tcPr>
          <w:p>
            <w:pPr>
              <w:jc w:val="right"/>
              <w:spacing w:after="0"/>
              <w:rPr>
                <w:sz w:val="20"/>
                <w:szCs w:val="20"/>
                <w:color w:val="auto"/>
              </w:rPr>
            </w:pPr>
            <w:r>
              <w:rPr>
                <w:rFonts w:ascii="Arial" w:cs="Arial" w:eastAsia="Arial" w:hAnsi="Arial"/>
                <w:sz w:val="14"/>
                <w:szCs w:val="14"/>
                <w:color w:val="auto"/>
              </w:rPr>
              <w:t>43,709</w:t>
            </w:r>
          </w:p>
        </w:tc>
        <w:tc>
          <w:tcPr>
            <w:tcW w:w="1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10,538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380" w:type="dxa"/>
            <w:vAlign w:val="bottom"/>
          </w:tcPr>
          <w:p>
            <w:pPr>
              <w:ind w:left="20"/>
              <w:spacing w:after="0"/>
              <w:rPr>
                <w:sz w:val="20"/>
                <w:szCs w:val="20"/>
                <w:color w:val="auto"/>
              </w:rPr>
            </w:pPr>
            <w:r>
              <w:rPr>
                <w:rFonts w:ascii="Arial" w:cs="Arial" w:eastAsia="Arial" w:hAnsi="Arial"/>
                <w:sz w:val="14"/>
                <w:szCs w:val="14"/>
                <w:color w:val="auto"/>
              </w:rPr>
              <w:t>Karen Walker</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211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8C9CB"/>
          </w:tcPr>
          <w:p>
            <w:pPr>
              <w:ind w:left="20"/>
              <w:spacing w:after="0"/>
              <w:rPr>
                <w:sz w:val="20"/>
                <w:szCs w:val="20"/>
                <w:color w:val="auto"/>
              </w:rPr>
            </w:pPr>
            <w:r>
              <w:rPr>
                <w:rFonts w:ascii="Arial" w:cs="Arial" w:eastAsia="Arial" w:hAnsi="Arial"/>
                <w:sz w:val="16"/>
                <w:szCs w:val="16"/>
                <w:b w:val="1"/>
                <w:bCs w:val="1"/>
                <w:color w:val="00ABE8"/>
              </w:rPr>
              <w:t>All directors and executive</w:t>
            </w:r>
          </w:p>
        </w:tc>
        <w:tc>
          <w:tcPr>
            <w:tcW w:w="1640" w:type="dxa"/>
            <w:vAlign w:val="bottom"/>
            <w:shd w:val="clear" w:color="auto" w:fill="C8C9CB"/>
          </w:tcPr>
          <w:p>
            <w:pPr>
              <w:spacing w:after="0"/>
              <w:rPr>
                <w:sz w:val="17"/>
                <w:szCs w:val="17"/>
                <w:color w:val="auto"/>
              </w:rPr>
            </w:pPr>
          </w:p>
        </w:tc>
        <w:tc>
          <w:tcPr>
            <w:tcW w:w="180" w:type="dxa"/>
            <w:vAlign w:val="bottom"/>
            <w:shd w:val="clear" w:color="auto" w:fill="C8C9CB"/>
          </w:tcPr>
          <w:p>
            <w:pPr>
              <w:spacing w:after="0"/>
              <w:rPr>
                <w:sz w:val="17"/>
                <w:szCs w:val="17"/>
                <w:color w:val="auto"/>
              </w:rPr>
            </w:pPr>
          </w:p>
        </w:tc>
        <w:tc>
          <w:tcPr>
            <w:tcW w:w="1880" w:type="dxa"/>
            <w:vAlign w:val="bottom"/>
            <w:shd w:val="clear" w:color="auto" w:fill="C8C9CB"/>
          </w:tcPr>
          <w:p>
            <w:pPr>
              <w:spacing w:after="0"/>
              <w:rPr>
                <w:sz w:val="17"/>
                <w:szCs w:val="17"/>
                <w:color w:val="auto"/>
              </w:rPr>
            </w:pPr>
          </w:p>
        </w:tc>
        <w:tc>
          <w:tcPr>
            <w:tcW w:w="1300" w:type="dxa"/>
            <w:vAlign w:val="bottom"/>
            <w:shd w:val="clear" w:color="auto" w:fill="C8C9CB"/>
          </w:tcPr>
          <w:p>
            <w:pPr>
              <w:spacing w:after="0"/>
              <w:rPr>
                <w:sz w:val="17"/>
                <w:szCs w:val="17"/>
                <w:color w:val="auto"/>
              </w:rPr>
            </w:pPr>
          </w:p>
        </w:tc>
        <w:tc>
          <w:tcPr>
            <w:tcW w:w="220" w:type="dxa"/>
            <w:vAlign w:val="bottom"/>
            <w:shd w:val="clear" w:color="auto" w:fill="C8C9C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8C9CB"/>
          </w:tcPr>
          <w:p>
            <w:pPr>
              <w:ind w:left="20"/>
              <w:spacing w:after="0"/>
              <w:rPr>
                <w:sz w:val="20"/>
                <w:szCs w:val="20"/>
                <w:color w:val="auto"/>
              </w:rPr>
            </w:pPr>
            <w:r>
              <w:rPr>
                <w:rFonts w:ascii="Arial" w:cs="Arial" w:eastAsia="Arial" w:hAnsi="Arial"/>
                <w:sz w:val="16"/>
                <w:szCs w:val="16"/>
                <w:b w:val="1"/>
                <w:bCs w:val="1"/>
                <w:color w:val="00ABE8"/>
              </w:rPr>
              <w:t>officers as a group (28</w:t>
            </w:r>
          </w:p>
        </w:tc>
        <w:tc>
          <w:tcPr>
            <w:tcW w:w="1640" w:type="dxa"/>
            <w:vAlign w:val="bottom"/>
            <w:shd w:val="clear" w:color="auto" w:fill="C8C9CB"/>
          </w:tcPr>
          <w:p>
            <w:pPr>
              <w:spacing w:after="0"/>
              <w:rPr>
                <w:sz w:val="16"/>
                <w:szCs w:val="16"/>
                <w:color w:val="auto"/>
              </w:rPr>
            </w:pPr>
          </w:p>
        </w:tc>
        <w:tc>
          <w:tcPr>
            <w:tcW w:w="180" w:type="dxa"/>
            <w:vAlign w:val="bottom"/>
            <w:shd w:val="clear" w:color="auto" w:fill="C8C9CB"/>
          </w:tcPr>
          <w:p>
            <w:pPr>
              <w:spacing w:after="0"/>
              <w:rPr>
                <w:sz w:val="16"/>
                <w:szCs w:val="16"/>
                <w:color w:val="auto"/>
              </w:rPr>
            </w:pPr>
          </w:p>
        </w:tc>
        <w:tc>
          <w:tcPr>
            <w:tcW w:w="1880" w:type="dxa"/>
            <w:vAlign w:val="bottom"/>
            <w:shd w:val="clear" w:color="auto" w:fill="C8C9CB"/>
          </w:tcPr>
          <w:p>
            <w:pPr>
              <w:spacing w:after="0"/>
              <w:rPr>
                <w:sz w:val="16"/>
                <w:szCs w:val="16"/>
                <w:color w:val="auto"/>
              </w:rPr>
            </w:pPr>
          </w:p>
        </w:tc>
        <w:tc>
          <w:tcPr>
            <w:tcW w:w="1300" w:type="dxa"/>
            <w:vAlign w:val="bottom"/>
            <w:shd w:val="clear" w:color="auto" w:fill="C8C9CB"/>
          </w:tcPr>
          <w:p>
            <w:pPr>
              <w:spacing w:after="0"/>
              <w:rPr>
                <w:sz w:val="16"/>
                <w:szCs w:val="16"/>
                <w:color w:val="auto"/>
              </w:rPr>
            </w:pPr>
          </w:p>
        </w:tc>
        <w:tc>
          <w:tcPr>
            <w:tcW w:w="220" w:type="dxa"/>
            <w:vAlign w:val="bottom"/>
            <w:shd w:val="clear" w:color="auto" w:fill="C8C9CB"/>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380" w:type="dxa"/>
            <w:vAlign w:val="bottom"/>
            <w:shd w:val="clear" w:color="auto" w:fill="C8C9CB"/>
          </w:tcPr>
          <w:p>
            <w:pPr>
              <w:ind w:left="20"/>
              <w:spacing w:after="0"/>
              <w:rPr>
                <w:sz w:val="20"/>
                <w:szCs w:val="20"/>
                <w:color w:val="auto"/>
              </w:rPr>
            </w:pPr>
            <w:r>
              <w:rPr>
                <w:rFonts w:ascii="Arial" w:cs="Arial" w:eastAsia="Arial" w:hAnsi="Arial"/>
                <w:sz w:val="16"/>
                <w:szCs w:val="16"/>
                <w:b w:val="1"/>
                <w:bCs w:val="1"/>
                <w:color w:val="00ABE8"/>
              </w:rPr>
              <w:t>people):</w:t>
            </w:r>
          </w:p>
        </w:tc>
        <w:tc>
          <w:tcPr>
            <w:tcW w:w="1640" w:type="dxa"/>
            <w:vAlign w:val="bottom"/>
            <w:shd w:val="clear" w:color="auto" w:fill="C8C9CB"/>
          </w:tcPr>
          <w:p>
            <w:pPr>
              <w:jc w:val="right"/>
              <w:spacing w:after="0"/>
              <w:rPr>
                <w:sz w:val="20"/>
                <w:szCs w:val="20"/>
                <w:color w:val="auto"/>
              </w:rPr>
            </w:pPr>
            <w:r>
              <w:rPr>
                <w:rFonts w:ascii="Arial" w:cs="Arial" w:eastAsia="Arial" w:hAnsi="Arial"/>
                <w:sz w:val="16"/>
                <w:szCs w:val="16"/>
                <w:b w:val="1"/>
                <w:bCs w:val="1"/>
                <w:color w:val="00ABE8"/>
              </w:rPr>
              <w:t>1,159,748</w:t>
            </w:r>
          </w:p>
        </w:tc>
        <w:tc>
          <w:tcPr>
            <w:tcW w:w="180" w:type="dxa"/>
            <w:vAlign w:val="bottom"/>
            <w:shd w:val="clear" w:color="auto" w:fill="C8C9CB"/>
          </w:tcPr>
          <w:p>
            <w:pPr>
              <w:spacing w:after="0"/>
              <w:rPr>
                <w:sz w:val="20"/>
                <w:szCs w:val="20"/>
                <w:color w:val="auto"/>
              </w:rPr>
            </w:pPr>
          </w:p>
        </w:tc>
        <w:tc>
          <w:tcPr>
            <w:tcW w:w="1880" w:type="dxa"/>
            <w:vAlign w:val="bottom"/>
            <w:shd w:val="clear" w:color="auto" w:fill="C8C9CB"/>
          </w:tcPr>
          <w:p>
            <w:pPr>
              <w:jc w:val="right"/>
              <w:ind w:right="31"/>
              <w:spacing w:after="0"/>
              <w:rPr>
                <w:sz w:val="20"/>
                <w:szCs w:val="20"/>
                <w:color w:val="auto"/>
              </w:rPr>
            </w:pPr>
            <w:r>
              <w:rPr>
                <w:rFonts w:ascii="Arial" w:cs="Arial" w:eastAsia="Arial" w:hAnsi="Arial"/>
                <w:sz w:val="16"/>
                <w:szCs w:val="16"/>
                <w:b w:val="1"/>
                <w:bCs w:val="1"/>
                <w:color w:val="00ABE8"/>
              </w:rPr>
              <w:t>—</w:t>
            </w:r>
          </w:p>
        </w:tc>
        <w:tc>
          <w:tcPr>
            <w:tcW w:w="1300" w:type="dxa"/>
            <w:vAlign w:val="bottom"/>
            <w:shd w:val="clear" w:color="auto" w:fill="C8C9CB"/>
          </w:tcPr>
          <w:p>
            <w:pPr>
              <w:jc w:val="right"/>
              <w:spacing w:after="0"/>
              <w:rPr>
                <w:sz w:val="20"/>
                <w:szCs w:val="20"/>
                <w:color w:val="auto"/>
              </w:rPr>
            </w:pPr>
            <w:r>
              <w:rPr>
                <w:rFonts w:ascii="Arial" w:cs="Arial" w:eastAsia="Arial" w:hAnsi="Arial"/>
                <w:sz w:val="16"/>
                <w:szCs w:val="16"/>
                <w:b w:val="1"/>
                <w:bCs w:val="1"/>
                <w:color w:val="00ABE8"/>
              </w:rPr>
              <w:t>703,611</w:t>
            </w:r>
          </w:p>
        </w:tc>
        <w:tc>
          <w:tcPr>
            <w:tcW w:w="220" w:type="dxa"/>
            <w:vAlign w:val="bottom"/>
            <w:shd w:val="clear" w:color="auto" w:fill="C8C9CB"/>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40" w:right="60" w:hanging="134"/>
        <w:spacing w:after="0" w:line="255" w:lineRule="auto"/>
        <w:rPr>
          <w:sz w:val="20"/>
          <w:szCs w:val="20"/>
          <w:color w:val="auto"/>
        </w:rPr>
      </w:pPr>
      <w:r>
        <w:rPr>
          <w:rFonts w:ascii="Arial" w:cs="Arial" w:eastAsia="Arial" w:hAnsi="Arial"/>
          <w:sz w:val="14"/>
          <w:szCs w:val="14"/>
          <w:color w:val="auto"/>
        </w:rPr>
        <w:t xml:space="preserve">1 </w:t>
      </w:r>
      <w:r>
        <w:rPr>
          <w:rFonts w:ascii="Arial" w:cs="Arial" w:eastAsia="Arial" w:hAnsi="Arial"/>
          <w:sz w:val="17"/>
          <w:szCs w:val="17"/>
          <w:color w:val="auto"/>
        </w:rPr>
        <w:t>The sum of the "Shares Owned" and "Stock Units Distributable Within 60 Days" columns represents the shares considered "beneficially owned" for</w:t>
      </w:r>
      <w:r>
        <w:rPr>
          <w:rFonts w:ascii="Arial" w:cs="Arial" w:eastAsia="Arial" w:hAnsi="Arial"/>
          <w:sz w:val="14"/>
          <w:szCs w:val="14"/>
          <w:color w:val="auto"/>
        </w:rPr>
        <w:t xml:space="preserve"> </w:t>
      </w:r>
      <w:r>
        <w:rPr>
          <w:rFonts w:ascii="Arial" w:cs="Arial" w:eastAsia="Arial" w:hAnsi="Arial"/>
          <w:sz w:val="17"/>
          <w:szCs w:val="17"/>
          <w:color w:val="auto"/>
        </w:rPr>
        <w:t>purposes of disclosure in the proxy statement. Unless otherwise indicated in a footnote, each person listed in the table possesses sole voting and sole investment power with respect to their shares. No person listed in the table owns more than 0.02 percent of the outstanding common stock of the company. The directors and executive officers as a group own approximately 0.11 percent of the outstanding common stock of the company.</w:t>
      </w:r>
    </w:p>
    <w:p>
      <w:pPr>
        <w:spacing w:after="0" w:line="2" w:lineRule="exact"/>
        <w:rPr>
          <w:sz w:val="20"/>
          <w:szCs w:val="20"/>
          <w:color w:val="auto"/>
        </w:rPr>
      </w:pPr>
    </w:p>
    <w:p>
      <w:pPr>
        <w:ind w:left="120" w:right="3400" w:hanging="107"/>
        <w:spacing w:after="0" w:line="248" w:lineRule="auto"/>
        <w:rPr>
          <w:sz w:val="20"/>
          <w:szCs w:val="20"/>
          <w:color w:val="auto"/>
        </w:rPr>
      </w:pPr>
      <w:r>
        <w:rPr>
          <w:rFonts w:ascii="Arial" w:cs="Arial" w:eastAsia="Arial" w:hAnsi="Arial"/>
          <w:sz w:val="14"/>
          <w:szCs w:val="14"/>
          <w:color w:val="auto"/>
        </w:rPr>
        <w:t xml:space="preserve">2 </w:t>
      </w:r>
      <w:r>
        <w:rPr>
          <w:rFonts w:ascii="Arial" w:cs="Arial" w:eastAsia="Arial" w:hAnsi="Arial"/>
          <w:sz w:val="17"/>
          <w:szCs w:val="17"/>
          <w:color w:val="auto"/>
        </w:rPr>
        <w:t>This column includes the number of shares of common stock held individually as well as the number of</w:t>
      </w:r>
      <w:r>
        <w:rPr>
          <w:rFonts w:ascii="Arial" w:cs="Arial" w:eastAsia="Arial" w:hAnsi="Arial"/>
          <w:sz w:val="14"/>
          <w:szCs w:val="14"/>
          <w:color w:val="auto"/>
        </w:rPr>
        <w:t xml:space="preserve"> </w:t>
      </w:r>
      <w:r>
        <w:rPr>
          <w:rFonts w:ascii="Arial" w:cs="Arial" w:eastAsia="Arial" w:hAnsi="Arial"/>
          <w:sz w:val="17"/>
          <w:szCs w:val="17"/>
          <w:color w:val="auto"/>
        </w:rPr>
        <w:t>401(k) Plan shares held by the beneficial owners indirectly through the 401(k) Plan.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7"/>
          <w:szCs w:val="17"/>
          <w:color w:val="auto"/>
        </w:rPr>
        <w:t>This column sets forth restricted stock units that vest within 60 days of February 15, 2019.</w:t>
      </w:r>
    </w:p>
    <w:p>
      <w:pPr>
        <w:spacing w:after="0" w:line="7" w:lineRule="exact"/>
        <w:rPr>
          <w:sz w:val="20"/>
          <w:szCs w:val="20"/>
          <w:color w:val="auto"/>
        </w:rPr>
      </w:pPr>
    </w:p>
    <w:p>
      <w:pPr>
        <w:ind w:left="120" w:right="420" w:hanging="107"/>
        <w:spacing w:after="0" w:line="248" w:lineRule="auto"/>
        <w:rPr>
          <w:sz w:val="20"/>
          <w:szCs w:val="20"/>
          <w:color w:val="auto"/>
        </w:rPr>
      </w:pPr>
      <w:r>
        <w:rPr>
          <w:rFonts w:ascii="Arial" w:cs="Arial" w:eastAsia="Arial" w:hAnsi="Arial"/>
          <w:sz w:val="14"/>
          <w:szCs w:val="14"/>
          <w:color w:val="auto"/>
        </w:rPr>
        <w:t xml:space="preserve">4 </w:t>
      </w:r>
      <w:r>
        <w:rPr>
          <w:rFonts w:ascii="Arial" w:cs="Arial" w:eastAsia="Arial" w:hAnsi="Arial"/>
          <w:sz w:val="17"/>
          <w:szCs w:val="17"/>
          <w:color w:val="auto"/>
        </w:rPr>
        <w:t>For the executive officers, this column reflects restricted stock units that will not vest within 60 days of February 15, 2019. For the independent</w:t>
      </w:r>
      <w:r>
        <w:rPr>
          <w:rFonts w:ascii="Arial" w:cs="Arial" w:eastAsia="Arial" w:hAnsi="Arial"/>
          <w:sz w:val="14"/>
          <w:szCs w:val="14"/>
          <w:color w:val="auto"/>
        </w:rPr>
        <w:t xml:space="preserve"> </w:t>
      </w:r>
      <w:r>
        <w:rPr>
          <w:rFonts w:ascii="Arial" w:cs="Arial" w:eastAsia="Arial" w:hAnsi="Arial"/>
          <w:sz w:val="17"/>
          <w:szCs w:val="17"/>
          <w:color w:val="auto"/>
        </w:rPr>
        <w:t>directors, this column includes the number of stock units credited to the directors' accounts in the Lilly Directors' Deferral Plan.</w:t>
      </w:r>
    </w:p>
    <w:p>
      <w:pPr>
        <w:spacing w:after="0" w:line="1" w:lineRule="exact"/>
        <w:rPr>
          <w:sz w:val="20"/>
          <w:szCs w:val="20"/>
          <w:color w:val="auto"/>
        </w:rPr>
      </w:pPr>
    </w:p>
    <w:p>
      <w:pPr>
        <w:ind w:left="120" w:right="80" w:hanging="107"/>
        <w:spacing w:after="0" w:line="248" w:lineRule="auto"/>
        <w:rPr>
          <w:sz w:val="20"/>
          <w:szCs w:val="20"/>
          <w:color w:val="auto"/>
        </w:rPr>
      </w:pPr>
      <w:r>
        <w:rPr>
          <w:rFonts w:ascii="Arial" w:cs="Arial" w:eastAsia="Arial" w:hAnsi="Arial"/>
          <w:sz w:val="14"/>
          <w:szCs w:val="14"/>
          <w:color w:val="auto"/>
        </w:rPr>
        <w:t xml:space="preserve">5 </w:t>
      </w:r>
      <w:r>
        <w:rPr>
          <w:rFonts w:ascii="Arial" w:cs="Arial" w:eastAsia="Arial" w:hAnsi="Arial"/>
          <w:sz w:val="17"/>
          <w:szCs w:val="17"/>
          <w:color w:val="auto"/>
        </w:rPr>
        <w:t>The shares shown for Mr. Ricks include 11,389 shares that are owned by a family foundation for which he is a director. Mr. Ricks has shared voting</w:t>
      </w:r>
      <w:r>
        <w:rPr>
          <w:rFonts w:ascii="Arial" w:cs="Arial" w:eastAsia="Arial" w:hAnsi="Arial"/>
          <w:sz w:val="14"/>
          <w:szCs w:val="14"/>
          <w:color w:val="auto"/>
        </w:rPr>
        <w:t xml:space="preserve"> </w:t>
      </w:r>
      <w:r>
        <w:rPr>
          <w:rFonts w:ascii="Arial" w:cs="Arial" w:eastAsia="Arial" w:hAnsi="Arial"/>
          <w:sz w:val="17"/>
          <w:szCs w:val="17"/>
          <w:color w:val="auto"/>
        </w:rPr>
        <w:t>power and shared investment power with respect to the shares held by the foundation.</w:t>
      </w:r>
    </w:p>
    <w:p>
      <w:pPr>
        <w:ind w:left="100" w:hanging="92"/>
        <w:spacing w:after="0" w:line="199" w:lineRule="auto"/>
        <w:tabs>
          <w:tab w:leader="none" w:pos="100" w:val="left"/>
        </w:tabs>
        <w:numPr>
          <w:ilvl w:val="0"/>
          <w:numId w:val="46"/>
        </w:numPr>
        <w:rPr>
          <w:rFonts w:ascii="Arial" w:cs="Arial" w:eastAsia="Arial" w:hAnsi="Arial"/>
          <w:sz w:val="22"/>
          <w:szCs w:val="22"/>
          <w:color w:val="auto"/>
          <w:vertAlign w:val="superscript"/>
        </w:rPr>
      </w:pPr>
      <w:r>
        <w:rPr>
          <w:rFonts w:ascii="Arial" w:cs="Arial" w:eastAsia="Arial" w:hAnsi="Arial"/>
          <w:sz w:val="17"/>
          <w:szCs w:val="17"/>
          <w:color w:val="auto"/>
        </w:rPr>
        <w:t>The shares shown for Mr. Simmons include 22,000 shares of Elanco common stock and 145,929 Elanco stock units not distributable within 60 days.</w:t>
      </w:r>
    </w:p>
    <w:p>
      <w:pPr>
        <w:spacing w:after="0" w:line="200" w:lineRule="exact"/>
        <w:rPr>
          <w:rFonts w:ascii="Arial" w:cs="Arial" w:eastAsia="Arial" w:hAnsi="Arial"/>
          <w:sz w:val="22"/>
          <w:szCs w:val="22"/>
          <w:color w:val="auto"/>
          <w:vertAlign w:val="superscript"/>
        </w:rPr>
      </w:pPr>
    </w:p>
    <w:p>
      <w:pPr>
        <w:spacing w:after="0" w:line="217" w:lineRule="exact"/>
        <w:rPr>
          <w:rFonts w:ascii="Arial" w:cs="Arial" w:eastAsia="Arial" w:hAnsi="Arial"/>
          <w:sz w:val="22"/>
          <w:szCs w:val="22"/>
          <w:color w:val="auto"/>
          <w:vertAlign w:val="superscript"/>
        </w:rPr>
      </w:pPr>
    </w:p>
    <w:p>
      <w:pPr>
        <w:ind w:left="5560"/>
        <w:spacing w:after="0"/>
        <w:rPr>
          <w:rFonts w:ascii="Arial" w:cs="Arial" w:eastAsia="Arial" w:hAnsi="Arial"/>
          <w:sz w:val="22"/>
          <w:szCs w:val="22"/>
          <w:color w:val="auto"/>
          <w:vertAlign w:val="superscript"/>
        </w:rPr>
      </w:pPr>
      <w:r>
        <w:rPr>
          <w:rFonts w:ascii="Arial" w:cs="Arial" w:eastAsia="Arial" w:hAnsi="Arial"/>
          <w:sz w:val="17"/>
          <w:szCs w:val="17"/>
          <w:color w:val="auto"/>
        </w:rPr>
        <w:t>P31</w:t>
      </w:r>
    </w:p>
    <w:p>
      <w:pPr>
        <w:sectPr>
          <w:pgSz w:w="11900" w:h="16838" w:orient="portrait"/>
          <w:cols w:equalWidth="0" w:num="1">
            <w:col w:w="11280"/>
          </w:cols>
          <w:pgMar w:left="240" w:top="543" w:right="37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Principal Holders of Stock</w:t>
      </w:r>
    </w:p>
    <w:p>
      <w:pPr>
        <w:spacing w:after="0" w:line="25" w:lineRule="exact"/>
        <w:rPr>
          <w:sz w:val="20"/>
          <w:szCs w:val="20"/>
          <w:color w:val="auto"/>
        </w:rPr>
      </w:pPr>
    </w:p>
    <w:p>
      <w:pPr>
        <w:jc w:val="both"/>
        <w:ind w:right="440"/>
        <w:spacing w:after="0" w:line="256" w:lineRule="auto"/>
        <w:rPr>
          <w:sz w:val="20"/>
          <w:szCs w:val="20"/>
          <w:color w:val="auto"/>
        </w:rPr>
      </w:pPr>
      <w:r>
        <w:rPr>
          <w:rFonts w:ascii="Arial" w:cs="Arial" w:eastAsia="Arial" w:hAnsi="Arial"/>
          <w:sz w:val="17"/>
          <w:szCs w:val="17"/>
          <w:color w:val="auto"/>
        </w:rPr>
        <w:t>Based on reports filed with the SEC pursuant to Regulation 13D-G of the Securities Exchange Act of 1934 (the Exchange Act), the only beneficial owners of more than 5 percent of the outstanding shares of the company’s common stock, as of December 31, 2018, are the shareholders listed below:</w:t>
      </w:r>
    </w:p>
    <w:p>
      <w:pPr>
        <w:spacing w:after="0" w:line="123" w:lineRule="exact"/>
        <w:rPr>
          <w:sz w:val="20"/>
          <w:szCs w:val="20"/>
          <w:color w:val="auto"/>
        </w:rPr>
      </w:pPr>
    </w:p>
    <w:tbl>
      <w:tblPr>
        <w:tblLayout w:type="fixed"/>
        <w:tblInd w:w="1340" w:type="dxa"/>
        <w:tblCellMar>
          <w:top w:w="0" w:type="dxa"/>
          <w:left w:w="0" w:type="dxa"/>
          <w:bottom w:w="0" w:type="dxa"/>
          <w:right w:w="0" w:type="dxa"/>
        </w:tblCellMar>
      </w:tblPr>
      <w:tr>
        <w:trPr>
          <w:trHeight w:val="196"/>
        </w:trPr>
        <w:tc>
          <w:tcPr>
            <w:tcW w:w="3080" w:type="dxa"/>
            <w:vAlign w:val="bottom"/>
            <w:shd w:val="clear" w:color="auto" w:fill="C8C9CB"/>
          </w:tcPr>
          <w:p>
            <w:pPr>
              <w:spacing w:after="0"/>
              <w:rPr>
                <w:sz w:val="17"/>
                <w:szCs w:val="17"/>
                <w:color w:val="auto"/>
              </w:rPr>
            </w:pPr>
          </w:p>
        </w:tc>
        <w:tc>
          <w:tcPr>
            <w:tcW w:w="2640" w:type="dxa"/>
            <w:vAlign w:val="bottom"/>
            <w:shd w:val="clear" w:color="auto" w:fill="C8C9CB"/>
          </w:tcPr>
          <w:p>
            <w:pPr>
              <w:ind w:left="580"/>
              <w:spacing w:after="0"/>
              <w:rPr>
                <w:sz w:val="20"/>
                <w:szCs w:val="20"/>
                <w:color w:val="auto"/>
              </w:rPr>
            </w:pPr>
            <w:r>
              <w:rPr>
                <w:rFonts w:ascii="Arial" w:cs="Arial" w:eastAsia="Arial" w:hAnsi="Arial"/>
                <w:sz w:val="16"/>
                <w:szCs w:val="16"/>
                <w:b w:val="1"/>
                <w:bCs w:val="1"/>
                <w:color w:val="00ABE8"/>
              </w:rPr>
              <w:t>Number of Shares</w:t>
            </w:r>
          </w:p>
        </w:tc>
        <w:tc>
          <w:tcPr>
            <w:tcW w:w="3040" w:type="dxa"/>
            <w:vAlign w:val="bottom"/>
            <w:shd w:val="clear" w:color="auto" w:fill="C8C9CB"/>
          </w:tcPr>
          <w:p>
            <w:pPr>
              <w:spacing w:after="0"/>
              <w:rPr>
                <w:sz w:val="17"/>
                <w:szCs w:val="17"/>
                <w:color w:val="auto"/>
              </w:rPr>
            </w:pPr>
          </w:p>
        </w:tc>
      </w:tr>
      <w:tr>
        <w:trPr>
          <w:trHeight w:val="236"/>
        </w:trPr>
        <w:tc>
          <w:tcPr>
            <w:tcW w:w="3080" w:type="dxa"/>
            <w:vAlign w:val="bottom"/>
            <w:shd w:val="clear" w:color="auto" w:fill="C8C9CB"/>
          </w:tcPr>
          <w:p>
            <w:pPr>
              <w:ind w:left="1060"/>
              <w:spacing w:after="0"/>
              <w:rPr>
                <w:sz w:val="20"/>
                <w:szCs w:val="20"/>
                <w:color w:val="auto"/>
              </w:rPr>
            </w:pPr>
            <w:r>
              <w:rPr>
                <w:rFonts w:ascii="Arial" w:cs="Arial" w:eastAsia="Arial" w:hAnsi="Arial"/>
                <w:sz w:val="16"/>
                <w:szCs w:val="16"/>
                <w:b w:val="1"/>
                <w:bCs w:val="1"/>
                <w:color w:val="00ABE8"/>
              </w:rPr>
              <w:t>Name and Address</w:t>
            </w:r>
          </w:p>
        </w:tc>
        <w:tc>
          <w:tcPr>
            <w:tcW w:w="2640" w:type="dxa"/>
            <w:vAlign w:val="bottom"/>
            <w:shd w:val="clear" w:color="auto" w:fill="C8C9CB"/>
          </w:tcPr>
          <w:p>
            <w:pPr>
              <w:ind w:left="560"/>
              <w:spacing w:after="0"/>
              <w:rPr>
                <w:sz w:val="20"/>
                <w:szCs w:val="20"/>
                <w:color w:val="auto"/>
              </w:rPr>
            </w:pPr>
            <w:r>
              <w:rPr>
                <w:rFonts w:ascii="Arial" w:cs="Arial" w:eastAsia="Arial" w:hAnsi="Arial"/>
                <w:sz w:val="16"/>
                <w:szCs w:val="16"/>
                <w:b w:val="1"/>
                <w:bCs w:val="1"/>
                <w:color w:val="00ABE8"/>
              </w:rPr>
              <w:t>Beneficially Owned</w:t>
            </w:r>
          </w:p>
        </w:tc>
        <w:tc>
          <w:tcPr>
            <w:tcW w:w="3040" w:type="dxa"/>
            <w:vAlign w:val="bottom"/>
            <w:shd w:val="clear" w:color="auto" w:fill="C8C9CB"/>
          </w:tcPr>
          <w:p>
            <w:pPr>
              <w:ind w:left="600"/>
              <w:spacing w:after="0"/>
              <w:rPr>
                <w:sz w:val="20"/>
                <w:szCs w:val="20"/>
                <w:color w:val="auto"/>
              </w:rPr>
            </w:pPr>
            <w:r>
              <w:rPr>
                <w:rFonts w:ascii="Arial" w:cs="Arial" w:eastAsia="Arial" w:hAnsi="Arial"/>
                <w:sz w:val="16"/>
                <w:szCs w:val="16"/>
                <w:b w:val="1"/>
                <w:bCs w:val="1"/>
                <w:color w:val="00ABE8"/>
              </w:rPr>
              <w:t>Percent of Class</w:t>
            </w:r>
          </w:p>
        </w:tc>
      </w:tr>
      <w:tr>
        <w:trPr>
          <w:trHeight w:val="176"/>
        </w:trPr>
        <w:tc>
          <w:tcPr>
            <w:tcW w:w="3080" w:type="dxa"/>
            <w:vAlign w:val="bottom"/>
          </w:tcPr>
          <w:p>
            <w:pPr>
              <w:ind w:left="20"/>
              <w:spacing w:after="0"/>
              <w:rPr>
                <w:sz w:val="20"/>
                <w:szCs w:val="20"/>
                <w:color w:val="auto"/>
              </w:rPr>
            </w:pPr>
            <w:r>
              <w:rPr>
                <w:rFonts w:ascii="Arial" w:cs="Arial" w:eastAsia="Arial" w:hAnsi="Arial"/>
                <w:sz w:val="14"/>
                <w:szCs w:val="14"/>
                <w:color w:val="auto"/>
              </w:rPr>
              <w:t>Lilly Endowment Inc. (the Endowment)</w:t>
            </w:r>
          </w:p>
        </w:tc>
        <w:tc>
          <w:tcPr>
            <w:tcW w:w="2640" w:type="dxa"/>
            <w:vAlign w:val="bottom"/>
          </w:tcPr>
          <w:p>
            <w:pPr>
              <w:jc w:val="center"/>
              <w:spacing w:after="0"/>
              <w:rPr>
                <w:sz w:val="20"/>
                <w:szCs w:val="20"/>
                <w:color w:val="auto"/>
              </w:rPr>
            </w:pPr>
            <w:r>
              <w:rPr>
                <w:rFonts w:ascii="Arial" w:cs="Arial" w:eastAsia="Arial" w:hAnsi="Arial"/>
                <w:sz w:val="14"/>
                <w:szCs w:val="14"/>
                <w:color w:val="auto"/>
                <w:w w:val="95"/>
              </w:rPr>
              <w:t>118,015,304</w:t>
            </w:r>
          </w:p>
        </w:tc>
        <w:tc>
          <w:tcPr>
            <w:tcW w:w="3040" w:type="dxa"/>
            <w:vAlign w:val="bottom"/>
          </w:tcPr>
          <w:p>
            <w:pPr>
              <w:jc w:val="center"/>
              <w:ind w:right="489"/>
              <w:spacing w:after="0"/>
              <w:rPr>
                <w:sz w:val="20"/>
                <w:szCs w:val="20"/>
                <w:color w:val="auto"/>
              </w:rPr>
            </w:pPr>
            <w:r>
              <w:rPr>
                <w:rFonts w:ascii="Arial" w:cs="Arial" w:eastAsia="Arial" w:hAnsi="Arial"/>
                <w:sz w:val="14"/>
                <w:szCs w:val="14"/>
                <w:color w:val="auto"/>
                <w:w w:val="90"/>
              </w:rPr>
              <w:t>11.1%</w:t>
            </w:r>
          </w:p>
        </w:tc>
      </w:tr>
      <w:tr>
        <w:trPr>
          <w:trHeight w:val="162"/>
        </w:trPr>
        <w:tc>
          <w:tcPr>
            <w:tcW w:w="3080" w:type="dxa"/>
            <w:vAlign w:val="bottom"/>
          </w:tcPr>
          <w:p>
            <w:pPr>
              <w:ind w:left="20"/>
              <w:spacing w:after="0"/>
              <w:rPr>
                <w:sz w:val="20"/>
                <w:szCs w:val="20"/>
                <w:color w:val="auto"/>
              </w:rPr>
            </w:pPr>
            <w:r>
              <w:rPr>
                <w:rFonts w:ascii="Arial" w:cs="Arial" w:eastAsia="Arial" w:hAnsi="Arial"/>
                <w:sz w:val="14"/>
                <w:szCs w:val="14"/>
                <w:color w:val="auto"/>
              </w:rPr>
              <w:t>2801 North Meridian Street</w:t>
            </w:r>
          </w:p>
        </w:tc>
        <w:tc>
          <w:tcPr>
            <w:tcW w:w="26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94"/>
        </w:trPr>
        <w:tc>
          <w:tcPr>
            <w:tcW w:w="3080" w:type="dxa"/>
            <w:vAlign w:val="bottom"/>
          </w:tcPr>
          <w:p>
            <w:pPr>
              <w:ind w:left="20"/>
              <w:spacing w:after="0"/>
              <w:rPr>
                <w:sz w:val="20"/>
                <w:szCs w:val="20"/>
                <w:color w:val="auto"/>
              </w:rPr>
            </w:pPr>
            <w:r>
              <w:rPr>
                <w:rFonts w:ascii="Arial" w:cs="Arial" w:eastAsia="Arial" w:hAnsi="Arial"/>
                <w:sz w:val="14"/>
                <w:szCs w:val="14"/>
                <w:color w:val="auto"/>
              </w:rPr>
              <w:t>Indianapolis, IN 46208</w:t>
            </w:r>
          </w:p>
        </w:tc>
        <w:tc>
          <w:tcPr>
            <w:tcW w:w="264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184"/>
        </w:trPr>
        <w:tc>
          <w:tcPr>
            <w:tcW w:w="3080" w:type="dxa"/>
            <w:vAlign w:val="bottom"/>
          </w:tcPr>
          <w:p>
            <w:pPr>
              <w:ind w:left="20"/>
              <w:spacing w:after="0"/>
              <w:rPr>
                <w:sz w:val="20"/>
                <w:szCs w:val="20"/>
                <w:color w:val="auto"/>
              </w:rPr>
            </w:pPr>
            <w:r>
              <w:rPr>
                <w:rFonts w:ascii="Arial" w:cs="Arial" w:eastAsia="Arial" w:hAnsi="Arial"/>
                <w:sz w:val="14"/>
                <w:szCs w:val="14"/>
                <w:color w:val="auto"/>
              </w:rPr>
              <w:t>The Vanguard Group</w:t>
            </w:r>
          </w:p>
        </w:tc>
        <w:tc>
          <w:tcPr>
            <w:tcW w:w="2640" w:type="dxa"/>
            <w:vAlign w:val="bottom"/>
          </w:tcPr>
          <w:p>
            <w:pPr>
              <w:jc w:val="center"/>
              <w:spacing w:after="0"/>
              <w:rPr>
                <w:sz w:val="20"/>
                <w:szCs w:val="20"/>
                <w:color w:val="auto"/>
              </w:rPr>
            </w:pPr>
            <w:r>
              <w:rPr>
                <w:rFonts w:ascii="Arial" w:cs="Arial" w:eastAsia="Arial" w:hAnsi="Arial"/>
                <w:sz w:val="14"/>
                <w:szCs w:val="14"/>
                <w:color w:val="auto"/>
                <w:w w:val="96"/>
              </w:rPr>
              <w:t>75,658,219</w:t>
            </w:r>
          </w:p>
        </w:tc>
        <w:tc>
          <w:tcPr>
            <w:tcW w:w="3040" w:type="dxa"/>
            <w:vAlign w:val="bottom"/>
          </w:tcPr>
          <w:p>
            <w:pPr>
              <w:jc w:val="center"/>
              <w:ind w:right="489"/>
              <w:spacing w:after="0"/>
              <w:rPr>
                <w:sz w:val="20"/>
                <w:szCs w:val="20"/>
                <w:color w:val="auto"/>
              </w:rPr>
            </w:pPr>
            <w:r>
              <w:rPr>
                <w:rFonts w:ascii="Arial" w:cs="Arial" w:eastAsia="Arial" w:hAnsi="Arial"/>
                <w:sz w:val="14"/>
                <w:szCs w:val="14"/>
                <w:color w:val="auto"/>
              </w:rPr>
              <w:t>7.1%</w:t>
            </w:r>
          </w:p>
        </w:tc>
      </w:tr>
      <w:tr>
        <w:trPr>
          <w:trHeight w:val="162"/>
        </w:trPr>
        <w:tc>
          <w:tcPr>
            <w:tcW w:w="3080" w:type="dxa"/>
            <w:vAlign w:val="bottom"/>
          </w:tcPr>
          <w:p>
            <w:pPr>
              <w:ind w:left="20"/>
              <w:spacing w:after="0"/>
              <w:rPr>
                <w:sz w:val="20"/>
                <w:szCs w:val="20"/>
                <w:color w:val="auto"/>
              </w:rPr>
            </w:pPr>
            <w:r>
              <w:rPr>
                <w:rFonts w:ascii="Arial" w:cs="Arial" w:eastAsia="Arial" w:hAnsi="Arial"/>
                <w:sz w:val="14"/>
                <w:szCs w:val="14"/>
                <w:color w:val="auto"/>
              </w:rPr>
              <w:t>100 Vanguard Blvd.</w:t>
            </w:r>
          </w:p>
        </w:tc>
        <w:tc>
          <w:tcPr>
            <w:tcW w:w="26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94"/>
        </w:trPr>
        <w:tc>
          <w:tcPr>
            <w:tcW w:w="3080" w:type="dxa"/>
            <w:vAlign w:val="bottom"/>
          </w:tcPr>
          <w:p>
            <w:pPr>
              <w:ind w:left="20"/>
              <w:spacing w:after="0"/>
              <w:rPr>
                <w:sz w:val="20"/>
                <w:szCs w:val="20"/>
                <w:color w:val="auto"/>
              </w:rPr>
            </w:pPr>
            <w:r>
              <w:rPr>
                <w:rFonts w:ascii="Arial" w:cs="Arial" w:eastAsia="Arial" w:hAnsi="Arial"/>
                <w:sz w:val="14"/>
                <w:szCs w:val="14"/>
                <w:color w:val="auto"/>
              </w:rPr>
              <w:t>Malvern, PA 19355</w:t>
            </w:r>
          </w:p>
        </w:tc>
        <w:tc>
          <w:tcPr>
            <w:tcW w:w="264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184"/>
        </w:trPr>
        <w:tc>
          <w:tcPr>
            <w:tcW w:w="3080" w:type="dxa"/>
            <w:vAlign w:val="bottom"/>
          </w:tcPr>
          <w:p>
            <w:pPr>
              <w:ind w:left="20"/>
              <w:spacing w:after="0"/>
              <w:rPr>
                <w:sz w:val="20"/>
                <w:szCs w:val="20"/>
                <w:color w:val="auto"/>
              </w:rPr>
            </w:pPr>
            <w:r>
              <w:rPr>
                <w:rFonts w:ascii="Arial" w:cs="Arial" w:eastAsia="Arial" w:hAnsi="Arial"/>
                <w:sz w:val="14"/>
                <w:szCs w:val="14"/>
                <w:color w:val="auto"/>
              </w:rPr>
              <w:t>BlackRock, Inc.</w:t>
            </w:r>
          </w:p>
        </w:tc>
        <w:tc>
          <w:tcPr>
            <w:tcW w:w="2640" w:type="dxa"/>
            <w:vAlign w:val="bottom"/>
          </w:tcPr>
          <w:p>
            <w:pPr>
              <w:jc w:val="center"/>
              <w:spacing w:after="0"/>
              <w:rPr>
                <w:sz w:val="20"/>
                <w:szCs w:val="20"/>
                <w:color w:val="auto"/>
              </w:rPr>
            </w:pPr>
            <w:r>
              <w:rPr>
                <w:rFonts w:ascii="Arial" w:cs="Arial" w:eastAsia="Arial" w:hAnsi="Arial"/>
                <w:sz w:val="14"/>
                <w:szCs w:val="14"/>
                <w:color w:val="auto"/>
                <w:w w:val="96"/>
              </w:rPr>
              <w:t>68,956,519</w:t>
            </w:r>
          </w:p>
        </w:tc>
        <w:tc>
          <w:tcPr>
            <w:tcW w:w="3040" w:type="dxa"/>
            <w:vAlign w:val="bottom"/>
          </w:tcPr>
          <w:p>
            <w:pPr>
              <w:jc w:val="center"/>
              <w:ind w:right="489"/>
              <w:spacing w:after="0"/>
              <w:rPr>
                <w:sz w:val="20"/>
                <w:szCs w:val="20"/>
                <w:color w:val="auto"/>
              </w:rPr>
            </w:pPr>
            <w:r>
              <w:rPr>
                <w:rFonts w:ascii="Arial" w:cs="Arial" w:eastAsia="Arial" w:hAnsi="Arial"/>
                <w:sz w:val="14"/>
                <w:szCs w:val="14"/>
                <w:color w:val="auto"/>
              </w:rPr>
              <w:t>6.5%</w:t>
            </w:r>
          </w:p>
        </w:tc>
      </w:tr>
      <w:tr>
        <w:trPr>
          <w:trHeight w:val="162"/>
        </w:trPr>
        <w:tc>
          <w:tcPr>
            <w:tcW w:w="3080" w:type="dxa"/>
            <w:vAlign w:val="bottom"/>
          </w:tcPr>
          <w:p>
            <w:pPr>
              <w:ind w:left="20"/>
              <w:spacing w:after="0"/>
              <w:rPr>
                <w:sz w:val="20"/>
                <w:szCs w:val="20"/>
                <w:color w:val="auto"/>
              </w:rPr>
            </w:pPr>
            <w:r>
              <w:rPr>
                <w:rFonts w:ascii="Arial" w:cs="Arial" w:eastAsia="Arial" w:hAnsi="Arial"/>
                <w:sz w:val="14"/>
                <w:szCs w:val="14"/>
                <w:color w:val="auto"/>
              </w:rPr>
              <w:t>55 East 52nd Street</w:t>
            </w:r>
          </w:p>
        </w:tc>
        <w:tc>
          <w:tcPr>
            <w:tcW w:w="26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94"/>
        </w:trPr>
        <w:tc>
          <w:tcPr>
            <w:tcW w:w="3080" w:type="dxa"/>
            <w:vAlign w:val="bottom"/>
          </w:tcPr>
          <w:p>
            <w:pPr>
              <w:ind w:left="20"/>
              <w:spacing w:after="0"/>
              <w:rPr>
                <w:sz w:val="20"/>
                <w:szCs w:val="20"/>
                <w:color w:val="auto"/>
              </w:rPr>
            </w:pPr>
            <w:r>
              <w:rPr>
                <w:rFonts w:ascii="Arial" w:cs="Arial" w:eastAsia="Arial" w:hAnsi="Arial"/>
                <w:sz w:val="14"/>
                <w:szCs w:val="14"/>
                <w:color w:val="auto"/>
              </w:rPr>
              <w:t>New York, NY 10055</w:t>
            </w:r>
          </w:p>
        </w:tc>
        <w:tc>
          <w:tcPr>
            <w:tcW w:w="2640" w:type="dxa"/>
            <w:vAlign w:val="bottom"/>
          </w:tcPr>
          <w:p>
            <w:pPr>
              <w:spacing w:after="0"/>
              <w:rPr>
                <w:sz w:val="16"/>
                <w:szCs w:val="16"/>
                <w:color w:val="auto"/>
              </w:rPr>
            </w:pPr>
          </w:p>
        </w:tc>
        <w:tc>
          <w:tcPr>
            <w:tcW w:w="3040" w:type="dxa"/>
            <w:vAlign w:val="bottom"/>
          </w:tcPr>
          <w:p>
            <w:pPr>
              <w:spacing w:after="0"/>
              <w:rPr>
                <w:sz w:val="16"/>
                <w:szCs w:val="16"/>
                <w:color w:val="auto"/>
              </w:rPr>
            </w:pPr>
          </w:p>
        </w:tc>
      </w:tr>
    </w:tbl>
    <w:p>
      <w:pPr>
        <w:spacing w:after="0" w:line="142"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The Endowment has sole voting and sole dispositive power with respect to all of its shares. The Board of Directors of the Endowment is composed of N. Clay Robbins, chairman, president &amp; CEO; Mary K. Lisher; William G. Enright; Daniel P. Carmichael; Charles E. Golden; Eli Lilly II; David N. Shane; Craig Dykstra; Jennett M. Hill; and John C. Lechleiter.</w:t>
      </w:r>
    </w:p>
    <w:p>
      <w:pPr>
        <w:spacing w:after="0" w:line="151"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The Vanguard Group provides investment management services for various clients. It has sole voting power with respect to 1,145,235 of its shares and sole dispositive power with respect to 74,302,105 of its shares.</w:t>
      </w:r>
    </w:p>
    <w:p>
      <w:pPr>
        <w:spacing w:after="0" w:line="132" w:lineRule="exact"/>
        <w:rPr>
          <w:sz w:val="20"/>
          <w:szCs w:val="20"/>
          <w:color w:val="auto"/>
        </w:rPr>
      </w:pPr>
    </w:p>
    <w:p>
      <w:pPr>
        <w:ind w:right="320"/>
        <w:spacing w:after="0" w:line="292" w:lineRule="auto"/>
        <w:rPr>
          <w:sz w:val="20"/>
          <w:szCs w:val="20"/>
          <w:color w:val="auto"/>
        </w:rPr>
      </w:pPr>
      <w:r>
        <w:rPr>
          <w:rFonts w:ascii="Arial" w:cs="Arial" w:eastAsia="Arial" w:hAnsi="Arial"/>
          <w:sz w:val="17"/>
          <w:szCs w:val="17"/>
          <w:color w:val="auto"/>
        </w:rPr>
        <w:t>BlackRock, Inc. provides investment management services for various clients. It has sole voting power with respect to 60,041,509 of its shares and sole dispositive power with respect to all of its shares.</w:t>
      </w:r>
    </w:p>
    <w:p>
      <w:pPr>
        <w:spacing w:after="0" w:line="321"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1A3A6C"/>
        </w:rPr>
        <w:t>Item 2. Advisory Vote on Compensation Paid to Named Executive Officers</w:t>
      </w:r>
    </w:p>
    <w:p>
      <w:pPr>
        <w:spacing w:after="0" w:line="219" w:lineRule="exact"/>
        <w:rPr>
          <w:sz w:val="20"/>
          <w:szCs w:val="20"/>
          <w:color w:val="auto"/>
        </w:rPr>
      </w:pPr>
    </w:p>
    <w:p>
      <w:pPr>
        <w:jc w:val="both"/>
        <w:ind w:right="260"/>
        <w:spacing w:after="0" w:line="263" w:lineRule="auto"/>
        <w:rPr>
          <w:sz w:val="20"/>
          <w:szCs w:val="20"/>
          <w:color w:val="auto"/>
        </w:rPr>
      </w:pPr>
      <w:r>
        <w:rPr>
          <w:rFonts w:ascii="Arial" w:cs="Arial" w:eastAsia="Arial" w:hAnsi="Arial"/>
          <w:sz w:val="17"/>
          <w:szCs w:val="17"/>
          <w:color w:val="auto"/>
        </w:rPr>
        <w:t>Section 14A of the Securities Exchange Act of 1934 provides the company's shareholders with the opportunity to approve, on an advisory basis, the compensation of the company's named executive officers as disclosed in the proxy statement. Our compensation philosophy is designed to attract, engage, and retain highly talented individuals and motivate them to create long-term shareholder value by achieving top-tier corporate performance while embracing the company’s values of integrity, excellence, and respect for people.</w:t>
      </w:r>
    </w:p>
    <w:p>
      <w:pPr>
        <w:spacing w:after="0" w:line="15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Compensation Committee and the Board of Directors believe that our executive compensation aligns well with our philosophy and with corporate performance. Executive compensation is an important matter for our shareholders. We routinely review our compensation practices and engage in ongoing dialogue with our shareholders to ensure our practices are aligned with stakeholder interests and reflect best practices.</w:t>
      </w:r>
    </w:p>
    <w:p>
      <w:pPr>
        <w:spacing w:after="0" w:line="151"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We request shareholder approval, on an advisory basis, of the compensation of the company’s named executive officers as disclosed in this proxy statement. As an advisory vote, this proposal is not binding on the company. However, the Compensation Committee values input from shareholders and will consider the outcome of the vote when making future executive compensation decisions.</w:t>
      </w:r>
    </w:p>
    <w:p>
      <w:pPr>
        <w:spacing w:after="0" w:line="153"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2</w:t>
      </w:r>
    </w:p>
    <w:p>
      <w:pPr>
        <w:spacing w:after="0" w:line="21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The board recommends that you vote FOR the approval, on an advisory basis, of the compensation paid to the named executive officers, as disclosed pursuant to Item 402 of Regulation S-K, including the Compensation Discussion and Analysis (CD&amp;A), the compensation tables, and related narratives provided below in this proxy statement.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P32</w:t>
      </w:r>
    </w:p>
    <w:p>
      <w:pPr>
        <w:sectPr>
          <w:pgSz w:w="11900" w:h="16838" w:orient="portrait"/>
          <w:cols w:equalWidth="0" w:num="1">
            <w:col w:w="11420"/>
          </w:cols>
          <w:pgMar w:left="240" w:top="554" w:right="239" w:bottom="1440" w:gutter="0" w:footer="0" w:header="0"/>
        </w:sectPr>
      </w:pPr>
    </w:p>
    <w:bookmarkStart w:id="36" w:name="page37"/>
    <w:bookmarkEnd w:id="36"/>
    <w:p>
      <w:pPr>
        <w:spacing w:after="0"/>
        <w:rPr>
          <w:sz w:val="20"/>
          <w:szCs w:val="20"/>
          <w:color w:val="auto"/>
        </w:rPr>
      </w:pPr>
      <w:r>
        <w:rPr>
          <w:rFonts w:ascii="Arial" w:cs="Arial" w:eastAsia="Arial" w:hAnsi="Arial"/>
          <w:sz w:val="27"/>
          <w:szCs w:val="27"/>
          <w:b w:val="1"/>
          <w:bCs w:val="1"/>
          <w:color w:val="EF3729"/>
        </w:rPr>
        <w:t>Compensation Discussion and Analysis</w:t>
      </w: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This CD&amp;A describes our executive compensation philosophy, the Compensation Committee’s process for setting executive compensation, the elements of our compensation program, the factors the Compensation Committee considered when setting executive compensation for 2018, and how the company’s results affected incentive payouts for 2018 performance. This CD&amp;A provides compensation information for the CEO, chief financial officer, and the three other most highly compensated executive officers who were serving as executive officers on December 31, 2018. It also provides compensation information for one former executive officer, Jeffrey Simmons. On September 20, 2018, Lilly launched an initial public offering of Elanco Animal Health, Inc. (“Elanco”). At that time, Mr. Simmons ceased being an executive officer of Lilly and became the CEO of Elanco.</w:t>
      </w:r>
    </w:p>
    <w:p>
      <w:pPr>
        <w:spacing w:after="0" w:line="163"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Our Philosophy on Compensation</w:t>
      </w:r>
    </w:p>
    <w:p>
      <w:pPr>
        <w:spacing w:after="0" w:line="27"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At Lilly, our purpose is to unite caring with discovery to create medicines that make life better for people around the world. In order to do this, we must attract, engage, and retain highly talented individuals who are committed to our core values of integrity, excellence, and respect for people. Our compensation programs are designed to help us achieve these goals while balancing the long-term interests of our shareholders and customers.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Objectives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Our compensation and benefits programs are based on the following objectives:</w:t>
      </w:r>
    </w:p>
    <w:p>
      <w:pPr>
        <w:spacing w:after="0" w:line="186" w:lineRule="exact"/>
        <w:rPr>
          <w:sz w:val="20"/>
          <w:szCs w:val="20"/>
          <w:color w:val="auto"/>
        </w:rPr>
      </w:pPr>
    </w:p>
    <w:p>
      <w:pPr>
        <w:ind w:left="660" w:right="460" w:hanging="328"/>
        <w:spacing w:after="0" w:line="263"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00ABE8"/>
        </w:rPr>
        <w:t xml:space="preserve">Reflect individual and company performance: </w:t>
      </w:r>
      <w:r>
        <w:rPr>
          <w:rFonts w:ascii="Arial" w:cs="Arial" w:eastAsia="Arial" w:hAnsi="Arial"/>
          <w:sz w:val="17"/>
          <w:szCs w:val="17"/>
          <w:color w:val="000000"/>
        </w:rPr>
        <w:t>We reinforce a high-performance culture by linking pay with individual and company</w:t>
      </w:r>
      <w:r>
        <w:rPr>
          <w:rFonts w:ascii="Arial" w:cs="Arial" w:eastAsia="Arial" w:hAnsi="Arial"/>
          <w:sz w:val="17"/>
          <w:szCs w:val="17"/>
          <w:b w:val="1"/>
          <w:bCs w:val="1"/>
          <w:color w:val="00ABE8"/>
        </w:rPr>
        <w:t xml:space="preserve"> </w:t>
      </w:r>
      <w:r>
        <w:rPr>
          <w:rFonts w:ascii="Arial" w:cs="Arial" w:eastAsia="Arial" w:hAnsi="Arial"/>
          <w:sz w:val="17"/>
          <w:szCs w:val="17"/>
          <w:color w:val="000000"/>
        </w:rPr>
        <w:t>performance. As employees assume greater responsibilities, the proportion of total compensation based on company performance and shareholder returns increases. We perform annual reviews to ensure our programs provide an incentive to deliver long-term, sustainable business results while discouraging excessive risk-taking or other adverse behaviors.</w:t>
      </w:r>
    </w:p>
    <w:p>
      <w:pPr>
        <w:spacing w:after="0" w:line="156" w:lineRule="exact"/>
        <w:rPr>
          <w:rFonts w:ascii="Arial" w:cs="Arial" w:eastAsia="Arial" w:hAnsi="Arial"/>
          <w:sz w:val="17"/>
          <w:szCs w:val="17"/>
          <w:color w:val="auto"/>
        </w:rPr>
      </w:pPr>
    </w:p>
    <w:p>
      <w:pPr>
        <w:ind w:left="660" w:right="460" w:hanging="328"/>
        <w:spacing w:after="0" w:line="294" w:lineRule="auto"/>
        <w:tabs>
          <w:tab w:leader="none" w:pos="660" w:val="left"/>
        </w:tabs>
        <w:numPr>
          <w:ilvl w:val="0"/>
          <w:numId w:val="47"/>
        </w:numPr>
        <w:rPr>
          <w:rFonts w:ascii="Arial" w:cs="Arial" w:eastAsia="Arial" w:hAnsi="Arial"/>
          <w:sz w:val="17"/>
          <w:szCs w:val="17"/>
          <w:i w:val="1"/>
          <w:iCs w:val="1"/>
          <w:color w:val="auto"/>
        </w:rPr>
      </w:pPr>
      <w:r>
        <w:rPr>
          <w:rFonts w:ascii="Arial" w:cs="Arial" w:eastAsia="Arial" w:hAnsi="Arial"/>
          <w:sz w:val="17"/>
          <w:szCs w:val="17"/>
          <w:b w:val="1"/>
          <w:bCs w:val="1"/>
          <w:color w:val="00ABE8"/>
        </w:rPr>
        <w:t xml:space="preserve">Attract and retain talented employees: </w:t>
      </w:r>
      <w:r>
        <w:rPr>
          <w:rFonts w:ascii="Arial" w:cs="Arial" w:eastAsia="Arial" w:hAnsi="Arial"/>
          <w:sz w:val="17"/>
          <w:szCs w:val="17"/>
          <w:color w:val="000000"/>
        </w:rPr>
        <w:t>Compensation opportunity should be market competitive and reflect the level of job impact and</w:t>
      </w:r>
      <w:r>
        <w:rPr>
          <w:rFonts w:ascii="Arial" w:cs="Arial" w:eastAsia="Arial" w:hAnsi="Arial"/>
          <w:sz w:val="17"/>
          <w:szCs w:val="17"/>
          <w:b w:val="1"/>
          <w:bCs w:val="1"/>
          <w:color w:val="00ABE8"/>
        </w:rPr>
        <w:t xml:space="preserve"> </w:t>
      </w:r>
      <w:r>
        <w:rPr>
          <w:rFonts w:ascii="Arial" w:cs="Arial" w:eastAsia="Arial" w:hAnsi="Arial"/>
          <w:sz w:val="17"/>
          <w:szCs w:val="17"/>
          <w:color w:val="000000"/>
        </w:rPr>
        <w:t>responsibilities. Retention of talent is an important factor in the design of our compensation and benefit programs.</w:t>
      </w:r>
    </w:p>
    <w:p>
      <w:pPr>
        <w:spacing w:after="0" w:line="128" w:lineRule="exact"/>
        <w:rPr>
          <w:rFonts w:ascii="Arial" w:cs="Arial" w:eastAsia="Arial" w:hAnsi="Arial"/>
          <w:sz w:val="17"/>
          <w:szCs w:val="17"/>
          <w:i w:val="1"/>
          <w:iCs w:val="1"/>
          <w:color w:val="auto"/>
        </w:rPr>
      </w:pPr>
    </w:p>
    <w:p>
      <w:pPr>
        <w:ind w:left="660" w:right="140" w:hanging="328"/>
        <w:spacing w:after="0" w:line="294"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00ABE8"/>
        </w:rPr>
        <w:t xml:space="preserve">Implement broad-based programs: </w:t>
      </w:r>
      <w:r>
        <w:rPr>
          <w:rFonts w:ascii="Arial" w:cs="Arial" w:eastAsia="Arial" w:hAnsi="Arial"/>
          <w:sz w:val="17"/>
          <w:szCs w:val="17"/>
          <w:color w:val="000000"/>
        </w:rPr>
        <w:t>While the amount of compensation paid to employees varies, the overall structure of our compensation</w:t>
      </w:r>
      <w:r>
        <w:rPr>
          <w:rFonts w:ascii="Arial" w:cs="Arial" w:eastAsia="Arial" w:hAnsi="Arial"/>
          <w:sz w:val="17"/>
          <w:szCs w:val="17"/>
          <w:b w:val="1"/>
          <w:bCs w:val="1"/>
          <w:color w:val="00ABE8"/>
        </w:rPr>
        <w:t xml:space="preserve"> </w:t>
      </w:r>
      <w:r>
        <w:rPr>
          <w:rFonts w:ascii="Arial" w:cs="Arial" w:eastAsia="Arial" w:hAnsi="Arial"/>
          <w:sz w:val="17"/>
          <w:szCs w:val="17"/>
          <w:color w:val="000000"/>
        </w:rPr>
        <w:t>and benefit programs is broadly similar across the organization to encourage and reward all employees who contribute to our success.</w:t>
      </w:r>
    </w:p>
    <w:p>
      <w:pPr>
        <w:spacing w:after="0" w:line="128" w:lineRule="exact"/>
        <w:rPr>
          <w:rFonts w:ascii="Arial" w:cs="Arial" w:eastAsia="Arial" w:hAnsi="Arial"/>
          <w:sz w:val="17"/>
          <w:szCs w:val="17"/>
          <w:color w:val="auto"/>
        </w:rPr>
      </w:pPr>
    </w:p>
    <w:p>
      <w:pPr>
        <w:ind w:left="660" w:right="140" w:hanging="328"/>
        <w:spacing w:after="0" w:line="294"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00ABE8"/>
        </w:rPr>
        <w:t xml:space="preserve">Consider shareholder input: </w:t>
      </w:r>
      <w:r>
        <w:rPr>
          <w:rFonts w:ascii="Arial" w:cs="Arial" w:eastAsia="Arial" w:hAnsi="Arial"/>
          <w:sz w:val="17"/>
          <w:szCs w:val="17"/>
          <w:color w:val="000000"/>
        </w:rPr>
        <w:t>Management and the Compensation Committee consider the results of our annual Say-on-Pay vote and other</w:t>
      </w:r>
      <w:r>
        <w:rPr>
          <w:rFonts w:ascii="Arial" w:cs="Arial" w:eastAsia="Arial" w:hAnsi="Arial"/>
          <w:sz w:val="17"/>
          <w:szCs w:val="17"/>
          <w:b w:val="1"/>
          <w:bCs w:val="1"/>
          <w:color w:val="00ABE8"/>
        </w:rPr>
        <w:t xml:space="preserve"> </w:t>
      </w:r>
      <w:r>
        <w:rPr>
          <w:rFonts w:ascii="Arial" w:cs="Arial" w:eastAsia="Arial" w:hAnsi="Arial"/>
          <w:sz w:val="17"/>
          <w:szCs w:val="17"/>
          <w:color w:val="000000"/>
        </w:rPr>
        <w:t>sources of shareholder feedback when designing executive compensation and benefit programs.</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Say-on-Pay Results for 2018</w:t>
      </w:r>
    </w:p>
    <w:p>
      <w:pPr>
        <w:spacing w:after="0" w:line="27" w:lineRule="exact"/>
        <w:rPr>
          <w:sz w:val="20"/>
          <w:szCs w:val="20"/>
          <w:color w:val="auto"/>
        </w:rPr>
      </w:pPr>
    </w:p>
    <w:p>
      <w:pPr>
        <w:ind w:right="500"/>
        <w:spacing w:after="0" w:line="256" w:lineRule="auto"/>
        <w:rPr>
          <w:sz w:val="20"/>
          <w:szCs w:val="20"/>
          <w:color w:val="auto"/>
        </w:rPr>
      </w:pPr>
      <w:r>
        <w:rPr>
          <w:rFonts w:ascii="Arial" w:cs="Arial" w:eastAsia="Arial" w:hAnsi="Arial"/>
          <w:sz w:val="17"/>
          <w:szCs w:val="17"/>
          <w:color w:val="auto"/>
        </w:rPr>
        <w:t>At last year's annual meeting, more than 97 percent of the shares cast voted in favor of the company's say-on-pay proposal on executive compensation. Management and the Compensation Committee view this vote as supportive of the company's overall approach toward executive compensation.</w:t>
      </w:r>
    </w:p>
    <w:p>
      <w:pPr>
        <w:spacing w:after="0" w:line="285"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Compensation Committee's Processes and Analyses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Setting Compensation</w:t>
      </w:r>
    </w:p>
    <w:p>
      <w:pPr>
        <w:spacing w:after="0" w:line="265" w:lineRule="auto"/>
        <w:rPr>
          <w:sz w:val="20"/>
          <w:szCs w:val="20"/>
          <w:color w:val="auto"/>
        </w:rPr>
      </w:pPr>
      <w:r>
        <w:rPr>
          <w:rFonts w:ascii="Arial" w:cs="Arial" w:eastAsia="Arial" w:hAnsi="Arial"/>
          <w:sz w:val="17"/>
          <w:szCs w:val="17"/>
          <w:color w:val="auto"/>
        </w:rPr>
        <w:t>The Compensation Committee considers individual performance assessments, compensation recommendations from the CEO, company performance, peer group data, input from its compensation consultant, and its own judgment when determining compensation for its executive officers.</w:t>
      </w:r>
    </w:p>
    <w:p>
      <w:pPr>
        <w:spacing w:after="0" w:line="152" w:lineRule="exact"/>
        <w:rPr>
          <w:sz w:val="20"/>
          <w:szCs w:val="20"/>
          <w:color w:val="auto"/>
        </w:rPr>
      </w:pPr>
    </w:p>
    <w:p>
      <w:pPr>
        <w:ind w:left="660" w:right="80" w:hanging="328"/>
        <w:spacing w:after="0" w:line="263"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00ABE8"/>
        </w:rPr>
        <w:t xml:space="preserve">Individual performance: </w:t>
      </w:r>
      <w:r>
        <w:rPr>
          <w:rFonts w:ascii="Arial" w:cs="Arial" w:eastAsia="Arial" w:hAnsi="Arial"/>
          <w:sz w:val="17"/>
          <w:szCs w:val="17"/>
          <w:color w:val="000000"/>
        </w:rPr>
        <w:t>Generally, the independent directors, under the direction of the lead independent director, meet with the CEO at the</w:t>
      </w:r>
      <w:r>
        <w:rPr>
          <w:rFonts w:ascii="Arial" w:cs="Arial" w:eastAsia="Arial" w:hAnsi="Arial"/>
          <w:sz w:val="17"/>
          <w:szCs w:val="17"/>
          <w:b w:val="1"/>
          <w:bCs w:val="1"/>
          <w:color w:val="00ABE8"/>
        </w:rPr>
        <w:t xml:space="preserve"> </w:t>
      </w:r>
      <w:r>
        <w:rPr>
          <w:rFonts w:ascii="Arial" w:cs="Arial" w:eastAsia="Arial" w:hAnsi="Arial"/>
          <w:sz w:val="17"/>
          <w:szCs w:val="17"/>
          <w:color w:val="000000"/>
        </w:rPr>
        <w:t>beginning of each year to agree upon the CEO's performance objectives. At the end of the year, the independent directors meet to assess the CEO's achievement of those objectives along with other factors, ethics, and integrity. This evaluation is used in setting the CEO's compensation for the next year.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P33</w:t>
      </w:r>
    </w:p>
    <w:p>
      <w:pPr>
        <w:sectPr>
          <w:pgSz w:w="11900" w:h="16838" w:orient="portrait"/>
          <w:cols w:equalWidth="0" w:num="1">
            <w:col w:w="11420"/>
          </w:cols>
          <w:pgMar w:left="240" w:top="559" w:right="239" w:bottom="1440" w:gutter="0" w:footer="0" w:header="0"/>
        </w:sectPr>
      </w:pPr>
    </w:p>
    <w:bookmarkStart w:id="37" w:name="page38"/>
    <w:bookmarkEnd w:id="37"/>
    <w:p>
      <w:pPr>
        <w:ind w:left="660" w:right="60"/>
        <w:spacing w:after="0" w:line="257" w:lineRule="auto"/>
        <w:rPr>
          <w:sz w:val="20"/>
          <w:szCs w:val="20"/>
          <w:color w:val="auto"/>
        </w:rPr>
      </w:pPr>
      <w:r>
        <w:rPr>
          <w:rFonts w:ascii="Arial" w:cs="Arial" w:eastAsia="Arial" w:hAnsi="Arial"/>
          <w:sz w:val="17"/>
          <w:szCs w:val="17"/>
          <w:color w:val="auto"/>
        </w:rPr>
        <w:t>The Compensation Committee receives individual performance assessments and compensation recommendations from the CEO for each of the remaining executive officers. Each executive officer’s performance assessment is based on the achievement of objectives established between the executive officer and the CEO at the start of the year, as well as other factors, including the demonstration of Lilly values and leadership behaviors. The Compensation Committee considers these inputs, its knowledge of and interactions with each executive officer and its judgement to develop a final individual performance assessment. For new executive officers, compensation is set by the Compensation Committee at the time of promotion or offer.</w:t>
      </w:r>
    </w:p>
    <w:p>
      <w:pPr>
        <w:spacing w:after="0" w:line="160"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00ABE8"/>
        </w:rPr>
        <w:t xml:space="preserve">Company performance: </w:t>
      </w:r>
      <w:r>
        <w:rPr>
          <w:rFonts w:ascii="Arial" w:cs="Arial" w:eastAsia="Arial" w:hAnsi="Arial"/>
          <w:sz w:val="17"/>
          <w:szCs w:val="17"/>
          <w:color w:val="000000"/>
        </w:rPr>
        <w:t>Lilly performance and, with respect to Mr. Simmons, Elanco performance is considered in two ways:</w:t>
      </w:r>
    </w:p>
    <w:p>
      <w:pPr>
        <w:spacing w:after="0" w:line="63" w:lineRule="exact"/>
        <w:rPr>
          <w:rFonts w:ascii="Arial" w:cs="Arial" w:eastAsia="Arial" w:hAnsi="Arial"/>
          <w:sz w:val="17"/>
          <w:szCs w:val="17"/>
          <w:color w:val="auto"/>
        </w:rPr>
      </w:pPr>
    </w:p>
    <w:p>
      <w:pPr>
        <w:ind w:left="980" w:right="180" w:hanging="324"/>
        <w:spacing w:after="0" w:line="281" w:lineRule="auto"/>
        <w:tabs>
          <w:tab w:leader="none" w:pos="9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Overall performance for the prior year based on a variety of metrics, which is a factor in establishing target compensation for the coming year.</w:t>
      </w:r>
    </w:p>
    <w:p>
      <w:pPr>
        <w:spacing w:after="0" w:line="1" w:lineRule="exact"/>
        <w:rPr>
          <w:rFonts w:ascii="Arial" w:cs="Arial" w:eastAsia="Arial" w:hAnsi="Arial"/>
          <w:sz w:val="17"/>
          <w:szCs w:val="17"/>
          <w:color w:val="auto"/>
        </w:rPr>
      </w:pPr>
    </w:p>
    <w:p>
      <w:pPr>
        <w:ind w:left="980" w:right="540" w:hanging="324"/>
        <w:spacing w:after="0" w:line="292" w:lineRule="auto"/>
        <w:tabs>
          <w:tab w:leader="none" w:pos="9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Specific performance goals are established at the beginning of each performance year to determine payouts under cash and equity incentive programs.</w:t>
      </w:r>
    </w:p>
    <w:p>
      <w:pPr>
        <w:spacing w:after="0" w:line="130" w:lineRule="exact"/>
        <w:rPr>
          <w:rFonts w:ascii="Arial" w:cs="Arial" w:eastAsia="Arial" w:hAnsi="Arial"/>
          <w:sz w:val="17"/>
          <w:szCs w:val="17"/>
          <w:color w:val="auto"/>
        </w:rPr>
      </w:pPr>
    </w:p>
    <w:p>
      <w:pPr>
        <w:ind w:left="660" w:right="120" w:hanging="328"/>
        <w:spacing w:after="0" w:line="271"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00ABE8"/>
        </w:rPr>
        <w:t xml:space="preserve">Peer group analysis: </w:t>
      </w:r>
      <w:r>
        <w:rPr>
          <w:rFonts w:ascii="Arial" w:cs="Arial" w:eastAsia="Arial" w:hAnsi="Arial"/>
          <w:sz w:val="17"/>
          <w:szCs w:val="17"/>
          <w:color w:val="000000"/>
        </w:rPr>
        <w:t>The Compensation Committee uses data from the peer group described below as a market check for compensation</w:t>
      </w:r>
      <w:r>
        <w:rPr>
          <w:rFonts w:ascii="Arial" w:cs="Arial" w:eastAsia="Arial" w:hAnsi="Arial"/>
          <w:sz w:val="17"/>
          <w:szCs w:val="17"/>
          <w:b w:val="1"/>
          <w:bCs w:val="1"/>
          <w:color w:val="00ABE8"/>
        </w:rPr>
        <w:t xml:space="preserve"> </w:t>
      </w:r>
      <w:r>
        <w:rPr>
          <w:rFonts w:ascii="Arial" w:cs="Arial" w:eastAsia="Arial" w:hAnsi="Arial"/>
          <w:sz w:val="17"/>
          <w:szCs w:val="17"/>
          <w:color w:val="000000"/>
        </w:rPr>
        <w:t>decisions, but does not use this data as the sole basis for its compensation targets and does not target a specific position within that range of market data.</w:t>
      </w:r>
    </w:p>
    <w:p>
      <w:pPr>
        <w:spacing w:after="0" w:line="148" w:lineRule="exact"/>
        <w:rPr>
          <w:rFonts w:ascii="Arial" w:cs="Arial" w:eastAsia="Arial" w:hAnsi="Arial"/>
          <w:sz w:val="17"/>
          <w:szCs w:val="17"/>
          <w:color w:val="auto"/>
        </w:rPr>
      </w:pPr>
    </w:p>
    <w:p>
      <w:pPr>
        <w:ind w:left="660" w:right="20" w:hanging="328"/>
        <w:spacing w:after="0" w:line="294"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00ABE8"/>
        </w:rPr>
        <w:t xml:space="preserve">Input from an independent compensation consultant concerning executive pay: </w:t>
      </w:r>
      <w:r>
        <w:rPr>
          <w:rFonts w:ascii="Arial" w:cs="Arial" w:eastAsia="Arial" w:hAnsi="Arial"/>
          <w:sz w:val="17"/>
          <w:szCs w:val="17"/>
          <w:color w:val="000000"/>
        </w:rPr>
        <w:t>Lilly’s Compensation Committee considers the advice of</w:t>
      </w:r>
      <w:r>
        <w:rPr>
          <w:rFonts w:ascii="Arial" w:cs="Arial" w:eastAsia="Arial" w:hAnsi="Arial"/>
          <w:sz w:val="17"/>
          <w:szCs w:val="17"/>
          <w:b w:val="1"/>
          <w:bCs w:val="1"/>
          <w:color w:val="00ABE8"/>
        </w:rPr>
        <w:t xml:space="preserve"> </w:t>
      </w:r>
      <w:r>
        <w:rPr>
          <w:rFonts w:ascii="Arial" w:cs="Arial" w:eastAsia="Arial" w:hAnsi="Arial"/>
          <w:sz w:val="17"/>
          <w:szCs w:val="17"/>
          <w:color w:val="000000"/>
        </w:rPr>
        <w:t>its independent compensation consultant, Frederic W. Cook &amp; Co., Inc., when setting executive officer compensation.</w:t>
      </w:r>
    </w:p>
    <w:p>
      <w:pPr>
        <w:spacing w:after="0" w:line="128" w:lineRule="exact"/>
        <w:rPr>
          <w:rFonts w:ascii="Arial" w:cs="Arial" w:eastAsia="Arial" w:hAnsi="Arial"/>
          <w:sz w:val="17"/>
          <w:szCs w:val="17"/>
          <w:color w:val="auto"/>
        </w:rPr>
      </w:pPr>
    </w:p>
    <w:p>
      <w:pPr>
        <w:ind w:left="660" w:right="80" w:hanging="328"/>
        <w:spacing w:after="0" w:line="260"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00ABE8"/>
        </w:rPr>
        <w:t xml:space="preserve">Elanco Animal Health: </w:t>
      </w:r>
      <w:r>
        <w:rPr>
          <w:rFonts w:ascii="Arial" w:cs="Arial" w:eastAsia="Arial" w:hAnsi="Arial"/>
          <w:sz w:val="17"/>
          <w:szCs w:val="17"/>
          <w:color w:val="000000"/>
        </w:rPr>
        <w:t>Prior to the Elanco initial public offering, the Compensation Committee reviewed and approved how the already</w:t>
      </w:r>
      <w:r>
        <w:rPr>
          <w:rFonts w:ascii="Arial" w:cs="Arial" w:eastAsia="Arial" w:hAnsi="Arial"/>
          <w:sz w:val="17"/>
          <w:szCs w:val="17"/>
          <w:b w:val="1"/>
          <w:bCs w:val="1"/>
          <w:color w:val="00ABE8"/>
        </w:rPr>
        <w:t xml:space="preserve"> </w:t>
      </w:r>
      <w:r>
        <w:rPr>
          <w:rFonts w:ascii="Arial" w:cs="Arial" w:eastAsia="Arial" w:hAnsi="Arial"/>
          <w:sz w:val="17"/>
          <w:szCs w:val="17"/>
          <w:color w:val="000000"/>
        </w:rPr>
        <w:t>granted bonus and equity elements of Mr. Simmons’ Lilly compensation would transition to Elanco. Lilly management, working with an independent consultant, proposed an Elanco compensation structure for Mr. Simmons’ to the Elanco board of directors, including base salary, target bonus, target equity compensation, and a one-time founders award comprised of stock options and RSUs. The Elanco board of directors reviewed and approved the recommended compensation.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Competitive Pay Assessment</w:t>
      </w:r>
    </w:p>
    <w:p>
      <w:pPr>
        <w:spacing w:after="0" w:line="25"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Lilly’s peer group is comprised of companies that directly compete with Lilly, use a similar business model, and employ people with the unique skills required to operate an established biopharmaceutical company. Lilly’s Compensation Committee selects a peer group whose median market cap and revenue are broadly similar to Lilly. The Compensation Committee reviews the peer group at least every three years. Lilly’s Compensation Committee established the following peer group in June 2015 for purposes of assessing competitive pay:</w:t>
      </w:r>
    </w:p>
    <w:p>
      <w:pPr>
        <w:spacing w:after="0" w:line="340"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2300" w:type="dxa"/>
            <w:vAlign w:val="bottom"/>
          </w:tcPr>
          <w:p>
            <w:pPr>
              <w:spacing w:after="0"/>
              <w:rPr>
                <w:sz w:val="20"/>
                <w:szCs w:val="20"/>
                <w:color w:val="auto"/>
              </w:rPr>
            </w:pPr>
            <w:r>
              <w:rPr>
                <w:rFonts w:ascii="Arial" w:cs="Arial" w:eastAsia="Arial" w:hAnsi="Arial"/>
                <w:sz w:val="14"/>
                <w:szCs w:val="14"/>
                <w:color w:val="auto"/>
              </w:rPr>
              <w:t>Abbvie</w:t>
            </w:r>
          </w:p>
        </w:tc>
        <w:tc>
          <w:tcPr>
            <w:tcW w:w="3280" w:type="dxa"/>
            <w:vAlign w:val="bottom"/>
          </w:tcPr>
          <w:p>
            <w:pPr>
              <w:ind w:left="980"/>
              <w:spacing w:after="0"/>
              <w:rPr>
                <w:sz w:val="20"/>
                <w:szCs w:val="20"/>
                <w:color w:val="auto"/>
              </w:rPr>
            </w:pPr>
            <w:r>
              <w:rPr>
                <w:rFonts w:ascii="Arial" w:cs="Arial" w:eastAsia="Arial" w:hAnsi="Arial"/>
                <w:sz w:val="14"/>
                <w:szCs w:val="14"/>
                <w:color w:val="auto"/>
              </w:rPr>
              <w:t>Celgene</w:t>
            </w:r>
          </w:p>
        </w:tc>
        <w:tc>
          <w:tcPr>
            <w:tcW w:w="1980" w:type="dxa"/>
            <w:vAlign w:val="bottom"/>
          </w:tcPr>
          <w:p>
            <w:pPr>
              <w:ind w:left="1060"/>
              <w:spacing w:after="0"/>
              <w:rPr>
                <w:sz w:val="20"/>
                <w:szCs w:val="20"/>
                <w:color w:val="auto"/>
              </w:rPr>
            </w:pPr>
            <w:r>
              <w:rPr>
                <w:rFonts w:ascii="Arial" w:cs="Arial" w:eastAsia="Arial" w:hAnsi="Arial"/>
                <w:sz w:val="14"/>
                <w:szCs w:val="14"/>
                <w:color w:val="auto"/>
              </w:rPr>
              <w:t>Merck</w:t>
            </w:r>
          </w:p>
        </w:tc>
      </w:tr>
      <w:tr>
        <w:trPr>
          <w:trHeight w:val="216"/>
        </w:trPr>
        <w:tc>
          <w:tcPr>
            <w:tcW w:w="2300" w:type="dxa"/>
            <w:vAlign w:val="bottom"/>
          </w:tcPr>
          <w:p>
            <w:pPr>
              <w:spacing w:after="0"/>
              <w:rPr>
                <w:sz w:val="20"/>
                <w:szCs w:val="20"/>
                <w:color w:val="auto"/>
              </w:rPr>
            </w:pPr>
            <w:r>
              <w:rPr>
                <w:rFonts w:ascii="Arial" w:cs="Arial" w:eastAsia="Arial" w:hAnsi="Arial"/>
                <w:sz w:val="14"/>
                <w:szCs w:val="14"/>
                <w:color w:val="auto"/>
              </w:rPr>
              <w:t>Amgen</w:t>
            </w:r>
          </w:p>
        </w:tc>
        <w:tc>
          <w:tcPr>
            <w:tcW w:w="3280" w:type="dxa"/>
            <w:vAlign w:val="bottom"/>
          </w:tcPr>
          <w:p>
            <w:pPr>
              <w:ind w:left="980"/>
              <w:spacing w:after="0"/>
              <w:rPr>
                <w:sz w:val="20"/>
                <w:szCs w:val="20"/>
                <w:color w:val="auto"/>
              </w:rPr>
            </w:pPr>
            <w:r>
              <w:rPr>
                <w:rFonts w:ascii="Arial" w:cs="Arial" w:eastAsia="Arial" w:hAnsi="Arial"/>
                <w:sz w:val="14"/>
                <w:szCs w:val="14"/>
                <w:color w:val="auto"/>
              </w:rPr>
              <w:t>Gilead</w:t>
            </w:r>
          </w:p>
        </w:tc>
        <w:tc>
          <w:tcPr>
            <w:tcW w:w="1980" w:type="dxa"/>
            <w:vAlign w:val="bottom"/>
          </w:tcPr>
          <w:p>
            <w:pPr>
              <w:ind w:left="1060"/>
              <w:spacing w:after="0"/>
              <w:rPr>
                <w:sz w:val="20"/>
                <w:szCs w:val="20"/>
                <w:color w:val="auto"/>
              </w:rPr>
            </w:pPr>
            <w:r>
              <w:rPr>
                <w:rFonts w:ascii="Arial" w:cs="Arial" w:eastAsia="Arial" w:hAnsi="Arial"/>
                <w:sz w:val="14"/>
                <w:szCs w:val="14"/>
                <w:color w:val="auto"/>
              </w:rPr>
              <w:t>Novartis</w:t>
            </w:r>
          </w:p>
        </w:tc>
      </w:tr>
      <w:tr>
        <w:trPr>
          <w:trHeight w:val="216"/>
        </w:trPr>
        <w:tc>
          <w:tcPr>
            <w:tcW w:w="2300" w:type="dxa"/>
            <w:vAlign w:val="bottom"/>
          </w:tcPr>
          <w:p>
            <w:pPr>
              <w:spacing w:after="0"/>
              <w:rPr>
                <w:sz w:val="20"/>
                <w:szCs w:val="20"/>
                <w:color w:val="auto"/>
              </w:rPr>
            </w:pPr>
            <w:r>
              <w:rPr>
                <w:rFonts w:ascii="Arial" w:cs="Arial" w:eastAsia="Arial" w:hAnsi="Arial"/>
                <w:sz w:val="14"/>
                <w:szCs w:val="14"/>
                <w:color w:val="auto"/>
              </w:rPr>
              <w:t>AstraZeneca</w:t>
            </w:r>
          </w:p>
        </w:tc>
        <w:tc>
          <w:tcPr>
            <w:tcW w:w="3280" w:type="dxa"/>
            <w:vAlign w:val="bottom"/>
          </w:tcPr>
          <w:p>
            <w:pPr>
              <w:ind w:left="980"/>
              <w:spacing w:after="0"/>
              <w:rPr>
                <w:sz w:val="20"/>
                <w:szCs w:val="20"/>
                <w:color w:val="auto"/>
              </w:rPr>
            </w:pPr>
            <w:r>
              <w:rPr>
                <w:rFonts w:ascii="Arial" w:cs="Arial" w:eastAsia="Arial" w:hAnsi="Arial"/>
                <w:sz w:val="14"/>
                <w:szCs w:val="14"/>
                <w:color w:val="auto"/>
              </w:rPr>
              <w:t>GlaxoSmithKline</w:t>
            </w:r>
          </w:p>
        </w:tc>
        <w:tc>
          <w:tcPr>
            <w:tcW w:w="1980" w:type="dxa"/>
            <w:vAlign w:val="bottom"/>
          </w:tcPr>
          <w:p>
            <w:pPr>
              <w:ind w:left="1060"/>
              <w:spacing w:after="0"/>
              <w:rPr>
                <w:sz w:val="20"/>
                <w:szCs w:val="20"/>
                <w:color w:val="auto"/>
              </w:rPr>
            </w:pPr>
            <w:r>
              <w:rPr>
                <w:rFonts w:ascii="Arial" w:cs="Arial" w:eastAsia="Arial" w:hAnsi="Arial"/>
                <w:sz w:val="14"/>
                <w:szCs w:val="14"/>
                <w:color w:val="auto"/>
              </w:rPr>
              <w:t>Pfizer</w:t>
            </w:r>
          </w:p>
        </w:tc>
      </w:tr>
      <w:tr>
        <w:trPr>
          <w:trHeight w:val="216"/>
        </w:trPr>
        <w:tc>
          <w:tcPr>
            <w:tcW w:w="2300" w:type="dxa"/>
            <w:vAlign w:val="bottom"/>
          </w:tcPr>
          <w:p>
            <w:pPr>
              <w:spacing w:after="0"/>
              <w:rPr>
                <w:sz w:val="20"/>
                <w:szCs w:val="20"/>
                <w:color w:val="auto"/>
              </w:rPr>
            </w:pPr>
            <w:r>
              <w:rPr>
                <w:rFonts w:ascii="Arial" w:cs="Arial" w:eastAsia="Arial" w:hAnsi="Arial"/>
                <w:sz w:val="14"/>
                <w:szCs w:val="14"/>
                <w:color w:val="auto"/>
              </w:rPr>
              <w:t>Baxter</w:t>
            </w:r>
          </w:p>
        </w:tc>
        <w:tc>
          <w:tcPr>
            <w:tcW w:w="3280" w:type="dxa"/>
            <w:vAlign w:val="bottom"/>
          </w:tcPr>
          <w:p>
            <w:pPr>
              <w:ind w:left="980"/>
              <w:spacing w:after="0"/>
              <w:rPr>
                <w:sz w:val="20"/>
                <w:szCs w:val="20"/>
                <w:color w:val="auto"/>
              </w:rPr>
            </w:pPr>
            <w:r>
              <w:rPr>
                <w:rFonts w:ascii="Arial" w:cs="Arial" w:eastAsia="Arial" w:hAnsi="Arial"/>
                <w:sz w:val="14"/>
                <w:szCs w:val="14"/>
                <w:color w:val="auto"/>
              </w:rPr>
              <w:t>Hoffman-LaRoche</w:t>
            </w:r>
          </w:p>
        </w:tc>
        <w:tc>
          <w:tcPr>
            <w:tcW w:w="1980" w:type="dxa"/>
            <w:vAlign w:val="bottom"/>
          </w:tcPr>
          <w:p>
            <w:pPr>
              <w:ind w:left="1060"/>
              <w:spacing w:after="0"/>
              <w:rPr>
                <w:sz w:val="20"/>
                <w:szCs w:val="20"/>
                <w:color w:val="auto"/>
              </w:rPr>
            </w:pPr>
            <w:r>
              <w:rPr>
                <w:rFonts w:ascii="Arial" w:cs="Arial" w:eastAsia="Arial" w:hAnsi="Arial"/>
                <w:sz w:val="14"/>
                <w:szCs w:val="14"/>
                <w:color w:val="auto"/>
                <w:w w:val="99"/>
              </w:rPr>
              <w:t>Sanofi-Aventis</w:t>
            </w:r>
          </w:p>
        </w:tc>
      </w:tr>
      <w:tr>
        <w:trPr>
          <w:trHeight w:val="216"/>
        </w:trPr>
        <w:tc>
          <w:tcPr>
            <w:tcW w:w="2300" w:type="dxa"/>
            <w:vAlign w:val="bottom"/>
          </w:tcPr>
          <w:p>
            <w:pPr>
              <w:spacing w:after="0"/>
              <w:rPr>
                <w:sz w:val="20"/>
                <w:szCs w:val="20"/>
                <w:color w:val="auto"/>
              </w:rPr>
            </w:pPr>
            <w:r>
              <w:rPr>
                <w:rFonts w:ascii="Arial" w:cs="Arial" w:eastAsia="Arial" w:hAnsi="Arial"/>
                <w:sz w:val="14"/>
                <w:szCs w:val="14"/>
                <w:color w:val="auto"/>
              </w:rPr>
              <w:t>Biogen</w:t>
            </w:r>
          </w:p>
        </w:tc>
        <w:tc>
          <w:tcPr>
            <w:tcW w:w="3280" w:type="dxa"/>
            <w:vAlign w:val="bottom"/>
          </w:tcPr>
          <w:p>
            <w:pPr>
              <w:ind w:left="980"/>
              <w:spacing w:after="0"/>
              <w:rPr>
                <w:sz w:val="20"/>
                <w:szCs w:val="20"/>
                <w:color w:val="auto"/>
              </w:rPr>
            </w:pPr>
            <w:r>
              <w:rPr>
                <w:rFonts w:ascii="Arial" w:cs="Arial" w:eastAsia="Arial" w:hAnsi="Arial"/>
                <w:sz w:val="14"/>
                <w:szCs w:val="14"/>
                <w:color w:val="auto"/>
              </w:rPr>
              <w:t>Johnson &amp; Johnson</w:t>
            </w:r>
          </w:p>
        </w:tc>
        <w:tc>
          <w:tcPr>
            <w:tcW w:w="1980" w:type="dxa"/>
            <w:vAlign w:val="bottom"/>
          </w:tcPr>
          <w:p>
            <w:pPr>
              <w:ind w:left="1060"/>
              <w:spacing w:after="0"/>
              <w:rPr>
                <w:sz w:val="20"/>
                <w:szCs w:val="20"/>
                <w:color w:val="auto"/>
              </w:rPr>
            </w:pPr>
            <w:r>
              <w:rPr>
                <w:rFonts w:ascii="Arial" w:cs="Arial" w:eastAsia="Arial" w:hAnsi="Arial"/>
                <w:sz w:val="14"/>
                <w:szCs w:val="14"/>
                <w:color w:val="auto"/>
              </w:rPr>
              <w:t>Shire</w:t>
            </w:r>
          </w:p>
        </w:tc>
      </w:tr>
      <w:tr>
        <w:trPr>
          <w:trHeight w:val="270"/>
        </w:trPr>
        <w:tc>
          <w:tcPr>
            <w:tcW w:w="2300" w:type="dxa"/>
            <w:vAlign w:val="bottom"/>
          </w:tcPr>
          <w:p>
            <w:pPr>
              <w:spacing w:after="0"/>
              <w:rPr>
                <w:sz w:val="20"/>
                <w:szCs w:val="20"/>
                <w:color w:val="auto"/>
              </w:rPr>
            </w:pPr>
            <w:r>
              <w:rPr>
                <w:rFonts w:ascii="Arial" w:cs="Arial" w:eastAsia="Arial" w:hAnsi="Arial"/>
                <w:sz w:val="14"/>
                <w:szCs w:val="14"/>
                <w:color w:val="auto"/>
              </w:rPr>
              <w:t>Bristol-Myers Squibb</w:t>
            </w:r>
          </w:p>
        </w:tc>
        <w:tc>
          <w:tcPr>
            <w:tcW w:w="3280" w:type="dxa"/>
            <w:vAlign w:val="bottom"/>
          </w:tcPr>
          <w:p>
            <w:pPr>
              <w:ind w:left="980"/>
              <w:spacing w:after="0"/>
              <w:rPr>
                <w:sz w:val="20"/>
                <w:szCs w:val="20"/>
                <w:color w:val="auto"/>
              </w:rPr>
            </w:pPr>
            <w:r>
              <w:rPr>
                <w:rFonts w:ascii="Arial" w:cs="Arial" w:eastAsia="Arial" w:hAnsi="Arial"/>
                <w:sz w:val="14"/>
                <w:szCs w:val="14"/>
                <w:color w:val="auto"/>
              </w:rPr>
              <w:t>Medtronic</w:t>
            </w:r>
          </w:p>
        </w:tc>
        <w:tc>
          <w:tcPr>
            <w:tcW w:w="1980" w:type="dxa"/>
            <w:vAlign w:val="bottom"/>
          </w:tcPr>
          <w:p>
            <w:pPr>
              <w:spacing w:after="0"/>
              <w:rPr>
                <w:sz w:val="23"/>
                <w:szCs w:val="23"/>
                <w:color w:val="auto"/>
              </w:rPr>
            </w:pPr>
          </w:p>
        </w:tc>
      </w:tr>
    </w:tbl>
    <w:p>
      <w:pPr>
        <w:spacing w:after="0" w:line="277" w:lineRule="exact"/>
        <w:rPr>
          <w:sz w:val="20"/>
          <w:szCs w:val="20"/>
          <w:color w:val="auto"/>
        </w:rPr>
      </w:pPr>
    </w:p>
    <w:p>
      <w:pPr>
        <w:jc w:val="both"/>
        <w:ind w:right="220"/>
        <w:spacing w:after="0" w:line="270" w:lineRule="auto"/>
        <w:rPr>
          <w:sz w:val="20"/>
          <w:szCs w:val="20"/>
          <w:color w:val="auto"/>
        </w:rPr>
      </w:pPr>
      <w:r>
        <w:rPr>
          <w:rFonts w:ascii="Arial" w:cs="Arial" w:eastAsia="Arial" w:hAnsi="Arial"/>
          <w:sz w:val="17"/>
          <w:szCs w:val="17"/>
          <w:color w:val="auto"/>
        </w:rPr>
        <w:t>At the time of the review in June 2015, all peer companies were no greater than three times our revenue or market cap except Johnson &amp; Johnson, Novartis, and Pfizer. The Compensation Committee included these three companies despite their size because they compete directly with Lilly, have similar business models, and seek to hire from the same pool of management and scientific talent.</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When determining pay levels for target compensation, the Compensation Committee considers an analysis of peer group pay for each executive officer position (except CEO) along with internal factors such as the performance and experience of each executive officer. The independent compensation consultant for the Compensation Committee provides a similar analysis when recommending pay levels for the CEO. The CEO analysis includes a comparison of our CEO actual total direct compensation in the prior year to company performance on an absolute basis and on a relative basis to the peer group. The analysis also includes a comparison of current target total direct compensation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P34</w:t>
      </w:r>
    </w:p>
    <w:p>
      <w:pPr>
        <w:sectPr>
          <w:pgSz w:w="11900" w:h="16838" w:orient="portrait"/>
          <w:cols w:equalWidth="0" w:num="1">
            <w:col w:w="11420"/>
          </w:cols>
          <w:pgMar w:left="240" w:top="557" w:right="239" w:bottom="1440" w:gutter="0" w:footer="0" w:header="0"/>
        </w:sectPr>
      </w:pPr>
    </w:p>
    <w:bookmarkStart w:id="38" w:name="page39"/>
    <w:bookmarkEnd w:id="38"/>
    <w:p>
      <w:pPr>
        <w:ind w:right="700"/>
        <w:spacing w:after="0" w:line="292" w:lineRule="auto"/>
        <w:rPr>
          <w:sz w:val="20"/>
          <w:szCs w:val="20"/>
          <w:color w:val="auto"/>
        </w:rPr>
      </w:pPr>
      <w:r>
        <w:rPr>
          <w:rFonts w:ascii="Arial" w:cs="Arial" w:eastAsia="Arial" w:hAnsi="Arial"/>
          <w:sz w:val="17"/>
          <w:szCs w:val="17"/>
          <w:color w:val="auto"/>
        </w:rPr>
        <w:t>for our CEO to the most recently available market data on CEO target total direct compensation for our peer companies. In the aggregate, the company’s target total compensation to named executive officers was in the middle range of the peer group at the end of 2018.</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Components of Our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Our executive compensation is primarily composed of three components:</w:t>
      </w:r>
    </w:p>
    <w:p>
      <w:pPr>
        <w:spacing w:after="0" w:line="7"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 salary</w:t>
      </w:r>
    </w:p>
    <w:p>
      <w:pPr>
        <w:spacing w:after="0" w:line="7" w:lineRule="exact"/>
        <w:rPr>
          <w:rFonts w:ascii="Arial" w:cs="Arial" w:eastAsia="Arial" w:hAnsi="Arial"/>
          <w:sz w:val="17"/>
          <w:szCs w:val="17"/>
          <w:color w:val="auto"/>
        </w:rPr>
      </w:pPr>
    </w:p>
    <w:p>
      <w:pPr>
        <w:ind w:left="660" w:right="140" w:hanging="328"/>
        <w:spacing w:after="0" w:line="24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annual cash bonus, which is generally calculated based on company performance relative to internal targets for revenue, earnings per share (EPS), and the progress of our pipeline</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two different forms of equity incentives:</w:t>
      </w:r>
    </w:p>
    <w:p>
      <w:pPr>
        <w:spacing w:after="0" w:line="7" w:lineRule="exact"/>
        <w:rPr>
          <w:rFonts w:ascii="Arial" w:cs="Arial" w:eastAsia="Arial" w:hAnsi="Arial"/>
          <w:sz w:val="17"/>
          <w:szCs w:val="17"/>
          <w:color w:val="auto"/>
        </w:rPr>
      </w:pPr>
    </w:p>
    <w:p>
      <w:pPr>
        <w:ind w:left="980" w:right="400" w:hanging="324"/>
        <w:spacing w:after="0" w:line="248" w:lineRule="auto"/>
        <w:tabs>
          <w:tab w:leader="none" w:pos="9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performance awards, which are performance-based equity awards that vest over three years and have a performance component measuring the company's two-year growth in EPS relative to the expected peer group growth followed by a 13-month service-vesting period</w:t>
      </w:r>
    </w:p>
    <w:p>
      <w:pPr>
        <w:spacing w:after="0" w:line="1" w:lineRule="exact"/>
        <w:rPr>
          <w:rFonts w:ascii="Arial" w:cs="Arial" w:eastAsia="Arial" w:hAnsi="Arial"/>
          <w:sz w:val="17"/>
          <w:szCs w:val="17"/>
          <w:color w:val="auto"/>
        </w:rPr>
      </w:pPr>
    </w:p>
    <w:p>
      <w:pPr>
        <w:ind w:left="980" w:right="120" w:hanging="324"/>
        <w:spacing w:after="0" w:line="265" w:lineRule="auto"/>
        <w:tabs>
          <w:tab w:leader="none" w:pos="9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shareholder value awards, which are performance-based equity awards that pay out based on absolute company stock price growth and total shareholder return (TSR) relative to peers, both measured over a three-year period, followed by a one-year holding period.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Executives also receive a company benefits package, described below under "Other Compensation Practices and Information - Employee Benefits."</w:t>
      </w:r>
    </w:p>
    <w:p>
      <w:pPr>
        <w:spacing w:after="0" w:line="21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When Lilly divests its remaining interest in Elanco, Mr. Simmons’ unvested Lilly equity awards will terminate in accordance with their terms for no consideration. Prior to the Elanco initial public offering, the Compensation Committee reviewed and approved how the bonus and equity elements of Mr. Simmons’ 2018 Lilly compensation would transition to Elanco. Lilly management, working with an independent consultant, proposed a compensation structure for 2018 for Mr. Simmons’ to the Elanco board of directors, including base salary, target bonus, target equity compensation, and a one-time founders’ award comprised of stock options and RSUs. The Elanco board of directors reviewed and approved the recommended compensation, as described in more detail below. It is anticipated that the Elanco compensation committee will authorize the issuance of Elanco equity awards of a value and duration similar to Mr. Simmons’ unvested Lilly equity awards, subject to the requirements of applicable law and terms of applicable equity incentive plans and award agreements.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 to Reported Financial Results</w:t>
      </w:r>
    </w:p>
    <w:p>
      <w:pPr>
        <w:spacing w:after="0" w:line="2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Compensation Committee has authority to adjust the company's reported revenue and EPS upon which incentive compensation payouts are determined to eliminate the distorting effect of unusual income or expense items. These items may affect year-over-year growth percentages or comparability with peer companies. The Compensation Committee considers the adjustments approved by the Audit Committee for reporting non-GAAP EPS and other adjustments, based on guidelines approved by the Compensation Committee prior to the performance period. The Compensation Committee considers adjustments on a quarterly basis and may adjust payouts to eliminate the benefit of share repurchases, large swings in foreign exchange rates, or the impact of price adjustments significantly above the business plan. For 2018 compensation, the Compensation Committee eliminated the benefit of share repurchases in excess of a pre-established collar from the bonus payout. The Compensation Committee has also removed the positive impact of tax reform from our 2017-2018 performance award results to avoid artificial uplift that was not considered at the time goals were established. Further details on the adjustments for 2018 and the rationale for making these adjustments are set forth in Appendix A, "Summary of Adjustments Related to the Annual Cash Bonus and Performance Award." For ease of reference, throughout the CD&amp;A and the other compensation disclosures, we refer simply to "revenue" and "EPS" but we encourage you to review the information in Appendix A to understand the adjustments from reported revenue and EPS that were approved.</w:t>
      </w:r>
    </w:p>
    <w:p>
      <w:pPr>
        <w:spacing w:after="0" w:line="168" w:lineRule="exact"/>
        <w:rPr>
          <w:sz w:val="20"/>
          <w:szCs w:val="20"/>
          <w:color w:val="auto"/>
        </w:rPr>
      </w:pPr>
    </w:p>
    <w:p>
      <w:pPr>
        <w:ind w:right="880"/>
        <w:spacing w:after="0" w:line="292" w:lineRule="auto"/>
        <w:rPr>
          <w:sz w:val="20"/>
          <w:szCs w:val="20"/>
          <w:color w:val="auto"/>
        </w:rPr>
      </w:pPr>
      <w:r>
        <w:rPr>
          <w:rFonts w:ascii="Arial" w:cs="Arial" w:eastAsia="Arial" w:hAnsi="Arial"/>
          <w:sz w:val="17"/>
          <w:szCs w:val="17"/>
          <w:color w:val="auto"/>
        </w:rPr>
        <w:t>The Compensation Committee also has general authority to apply downward (but not upward) discretion to bonus, performance award, and shareholder value award payouts for individual executive officers.</w:t>
      </w:r>
    </w:p>
    <w:p>
      <w:pPr>
        <w:spacing w:after="0" w:line="13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9"/>
          <w:szCs w:val="19"/>
          <w:b w:val="1"/>
          <w:bCs w:val="1"/>
          <w:color w:val="00ABE8"/>
        </w:rPr>
        <w:t>1.</w:t>
      </w:r>
      <w:r>
        <w:rPr>
          <w:sz w:val="20"/>
          <w:szCs w:val="20"/>
          <w:color w:val="auto"/>
        </w:rPr>
        <w:tab/>
      </w:r>
      <w:r>
        <w:rPr>
          <w:rFonts w:ascii="Arial" w:cs="Arial" w:eastAsia="Arial" w:hAnsi="Arial"/>
          <w:sz w:val="18"/>
          <w:szCs w:val="18"/>
          <w:b w:val="1"/>
          <w:bCs w:val="1"/>
          <w:color w:val="00ABE8"/>
        </w:rPr>
        <w:t>Base Salary</w:t>
      </w:r>
    </w:p>
    <w:p>
      <w:pPr>
        <w:spacing w:after="0" w:line="20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setting salaries, Lilly seeks to retain, motivate, and reward successful performers while maintaining affordability within the company's business plan. Base salaries are reviewed and established annually and may be adjusted upon promotion, following a change in job responsibilities, or to maintain market competitiveness. Salaries are based 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P35</w:t>
      </w:r>
    </w:p>
    <w:p>
      <w:pPr>
        <w:sectPr>
          <w:pgSz w:w="11900" w:h="16838" w:orient="portrait"/>
          <w:cols w:equalWidth="0" w:num="1">
            <w:col w:w="11400"/>
          </w:cols>
          <w:pgMar w:left="240" w:top="557" w:right="25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each person's level of contribution, responsibility, expertise, and competitiveness and are compared annually with peer group data.</w:t>
      </w:r>
    </w:p>
    <w:p>
      <w:pPr>
        <w:spacing w:after="0" w:line="210" w:lineRule="exact"/>
        <w:rPr>
          <w:sz w:val="20"/>
          <w:szCs w:val="20"/>
          <w:color w:val="auto"/>
        </w:rPr>
      </w:pPr>
    </w:p>
    <w:p>
      <w:pPr>
        <w:ind w:right="600"/>
        <w:spacing w:after="0" w:line="292" w:lineRule="auto"/>
        <w:rPr>
          <w:sz w:val="20"/>
          <w:szCs w:val="20"/>
          <w:color w:val="auto"/>
        </w:rPr>
      </w:pPr>
      <w:r>
        <w:rPr>
          <w:rFonts w:ascii="Arial" w:cs="Arial" w:eastAsia="Arial" w:hAnsi="Arial"/>
          <w:sz w:val="17"/>
          <w:szCs w:val="17"/>
          <w:color w:val="auto"/>
        </w:rPr>
        <w:t>Base salary increases for 2018, if any, were established based upon a corporate budget for salary increases, which is set considering company performance over the prior year, expected company performance for the following year, and general external trends.</w:t>
      </w:r>
    </w:p>
    <w:p>
      <w:pPr>
        <w:spacing w:after="0" w:line="13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9"/>
          <w:szCs w:val="19"/>
          <w:b w:val="1"/>
          <w:bCs w:val="1"/>
          <w:color w:val="00ABE8"/>
        </w:rPr>
        <w:t>2.</w:t>
      </w:r>
      <w:r>
        <w:rPr>
          <w:sz w:val="20"/>
          <w:szCs w:val="20"/>
          <w:color w:val="auto"/>
        </w:rPr>
        <w:tab/>
      </w:r>
      <w:r>
        <w:rPr>
          <w:rFonts w:ascii="Arial" w:cs="Arial" w:eastAsia="Arial" w:hAnsi="Arial"/>
          <w:sz w:val="18"/>
          <w:szCs w:val="18"/>
          <w:b w:val="1"/>
          <w:bCs w:val="1"/>
          <w:color w:val="00ABE8"/>
        </w:rPr>
        <w:t>Annual Cash Bonus</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Eli Lilly and Company Bonus Plan (Lilly bonus plan) is designed to reward the achievement of the company’s annual financial plans and innovation objectives. The named executive officers, except Mr. Simmons, participated in the Lilly bonus plan during 2018. Mr. Simmons participated in the Elanco Corporate Bonus Plan (Elanco bonus plan).</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Lilly Bonus Plan</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Compensation Committee sets performance goals and individual bonus targets for the Lilly bonus plan at the beginning of each year. The bonus is based on three areas of company performance measured relative to internal targets: revenue, EPS, and innovation progress. The annual cash bonus payout is calculated as follows: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(bonus plan multiple) x (individual bonus target) x (base salary earnings) = payout</w:t>
      </w:r>
    </w:p>
    <w:p>
      <w:pPr>
        <w:spacing w:after="0" w:line="212" w:lineRule="exact"/>
        <w:rPr>
          <w:sz w:val="20"/>
          <w:szCs w:val="20"/>
          <w:color w:val="auto"/>
        </w:rPr>
      </w:pPr>
    </w:p>
    <w:p>
      <w:pPr>
        <w:ind w:right="80"/>
        <w:spacing w:after="0" w:line="292" w:lineRule="auto"/>
        <w:rPr>
          <w:sz w:val="20"/>
          <w:szCs w:val="20"/>
          <w:color w:val="auto"/>
        </w:rPr>
      </w:pPr>
      <w:r>
        <w:rPr>
          <w:rFonts w:ascii="Arial" w:cs="Arial" w:eastAsia="Arial" w:hAnsi="Arial"/>
          <w:sz w:val="17"/>
          <w:szCs w:val="17"/>
          <w:color w:val="auto"/>
        </w:rPr>
        <w:t>Actual payouts can range from 0 to 200 percent of an individual's bonus target. The Compensation Committee references the annual operating plan to establish performance targets and to assess the relative weighting for each objective. The 2018 weightings remain unchanged from the prior year:</w:t>
      </w:r>
    </w:p>
    <w:p>
      <w:pPr>
        <w:spacing w:after="0" w:line="295" w:lineRule="exact"/>
        <w:rPr>
          <w:sz w:val="20"/>
          <w:szCs w:val="20"/>
          <w:color w:val="auto"/>
        </w:rPr>
      </w:pPr>
    </w:p>
    <w:tbl>
      <w:tblPr>
        <w:tblLayout w:type="fixed"/>
        <w:tblInd w:w="3580" w:type="dxa"/>
        <w:tblCellMar>
          <w:top w:w="0" w:type="dxa"/>
          <w:left w:w="0" w:type="dxa"/>
          <w:bottom w:w="0" w:type="dxa"/>
          <w:right w:w="0" w:type="dxa"/>
        </w:tblCellMar>
      </w:tblPr>
      <w:tr>
        <w:trPr>
          <w:trHeight w:val="216"/>
        </w:trPr>
        <w:tc>
          <w:tcPr>
            <w:tcW w:w="2160" w:type="dxa"/>
            <w:vAlign w:val="bottom"/>
            <w:shd w:val="clear" w:color="auto" w:fill="C8C9CB"/>
          </w:tcPr>
          <w:p>
            <w:pPr>
              <w:ind w:left="740"/>
              <w:spacing w:after="0"/>
              <w:rPr>
                <w:sz w:val="20"/>
                <w:szCs w:val="20"/>
                <w:color w:val="auto"/>
              </w:rPr>
            </w:pPr>
            <w:r>
              <w:rPr>
                <w:rFonts w:ascii="Arial" w:cs="Arial" w:eastAsia="Arial" w:hAnsi="Arial"/>
                <w:sz w:val="14"/>
                <w:szCs w:val="14"/>
                <w:b w:val="1"/>
                <w:bCs w:val="1"/>
                <w:color w:val="00ABE8"/>
              </w:rPr>
              <w:t>Lilly Goals</w:t>
            </w:r>
          </w:p>
        </w:tc>
        <w:tc>
          <w:tcPr>
            <w:tcW w:w="212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Weighting</w:t>
            </w:r>
          </w:p>
        </w:tc>
      </w:tr>
      <w:tr>
        <w:trPr>
          <w:trHeight w:val="191"/>
        </w:trPr>
        <w:tc>
          <w:tcPr>
            <w:tcW w:w="2160" w:type="dxa"/>
            <w:vAlign w:val="bottom"/>
          </w:tcPr>
          <w:p>
            <w:pPr>
              <w:ind w:left="20"/>
              <w:spacing w:after="0"/>
              <w:rPr>
                <w:sz w:val="20"/>
                <w:szCs w:val="20"/>
                <w:color w:val="auto"/>
              </w:rPr>
            </w:pPr>
            <w:r>
              <w:rPr>
                <w:rFonts w:ascii="Arial" w:cs="Arial" w:eastAsia="Arial" w:hAnsi="Arial"/>
                <w:sz w:val="14"/>
                <w:szCs w:val="14"/>
                <w:color w:val="auto"/>
              </w:rPr>
              <w:t>Revenue performance</w:t>
            </w:r>
          </w:p>
        </w:tc>
        <w:tc>
          <w:tcPr>
            <w:tcW w:w="2120" w:type="dxa"/>
            <w:vAlign w:val="bottom"/>
          </w:tcPr>
          <w:p>
            <w:pPr>
              <w:jc w:val="center"/>
              <w:spacing w:after="0"/>
              <w:rPr>
                <w:sz w:val="20"/>
                <w:szCs w:val="20"/>
                <w:color w:val="auto"/>
              </w:rPr>
            </w:pPr>
            <w:r>
              <w:rPr>
                <w:rFonts w:ascii="Arial" w:cs="Arial" w:eastAsia="Arial" w:hAnsi="Arial"/>
                <w:sz w:val="14"/>
                <w:szCs w:val="14"/>
                <w:color w:val="auto"/>
                <w:w w:val="92"/>
              </w:rPr>
              <w:t>25%</w:t>
            </w:r>
          </w:p>
        </w:tc>
      </w:tr>
      <w:tr>
        <w:trPr>
          <w:trHeight w:val="203"/>
        </w:trPr>
        <w:tc>
          <w:tcPr>
            <w:tcW w:w="2160" w:type="dxa"/>
            <w:vAlign w:val="bottom"/>
          </w:tcPr>
          <w:p>
            <w:pPr>
              <w:ind w:left="20"/>
              <w:spacing w:after="0"/>
              <w:rPr>
                <w:sz w:val="20"/>
                <w:szCs w:val="20"/>
                <w:color w:val="auto"/>
              </w:rPr>
            </w:pPr>
            <w:r>
              <w:rPr>
                <w:rFonts w:ascii="Arial" w:cs="Arial" w:eastAsia="Arial" w:hAnsi="Arial"/>
                <w:sz w:val="14"/>
                <w:szCs w:val="14"/>
                <w:color w:val="auto"/>
              </w:rPr>
              <w:t>EPS performance</w:t>
            </w:r>
          </w:p>
        </w:tc>
        <w:tc>
          <w:tcPr>
            <w:tcW w:w="2120" w:type="dxa"/>
            <w:vAlign w:val="bottom"/>
          </w:tcPr>
          <w:p>
            <w:pPr>
              <w:jc w:val="center"/>
              <w:spacing w:after="0"/>
              <w:rPr>
                <w:sz w:val="20"/>
                <w:szCs w:val="20"/>
                <w:color w:val="auto"/>
              </w:rPr>
            </w:pPr>
            <w:r>
              <w:rPr>
                <w:rFonts w:ascii="Arial" w:cs="Arial" w:eastAsia="Arial" w:hAnsi="Arial"/>
                <w:sz w:val="14"/>
                <w:szCs w:val="14"/>
                <w:color w:val="auto"/>
                <w:w w:val="92"/>
              </w:rPr>
              <w:t>50%</w:t>
            </w:r>
          </w:p>
        </w:tc>
      </w:tr>
      <w:tr>
        <w:trPr>
          <w:trHeight w:val="203"/>
        </w:trPr>
        <w:tc>
          <w:tcPr>
            <w:tcW w:w="2160" w:type="dxa"/>
            <w:vAlign w:val="bottom"/>
          </w:tcPr>
          <w:p>
            <w:pPr>
              <w:ind w:left="20"/>
              <w:spacing w:after="0"/>
              <w:rPr>
                <w:sz w:val="20"/>
                <w:szCs w:val="20"/>
                <w:color w:val="auto"/>
              </w:rPr>
            </w:pPr>
            <w:r>
              <w:rPr>
                <w:rFonts w:ascii="Arial" w:cs="Arial" w:eastAsia="Arial" w:hAnsi="Arial"/>
                <w:sz w:val="14"/>
                <w:szCs w:val="14"/>
                <w:color w:val="auto"/>
              </w:rPr>
              <w:t>Pipeline progress</w:t>
            </w:r>
          </w:p>
        </w:tc>
        <w:tc>
          <w:tcPr>
            <w:tcW w:w="2120" w:type="dxa"/>
            <w:vAlign w:val="bottom"/>
          </w:tcPr>
          <w:p>
            <w:pPr>
              <w:jc w:val="center"/>
              <w:spacing w:after="0"/>
              <w:rPr>
                <w:sz w:val="20"/>
                <w:szCs w:val="20"/>
                <w:color w:val="auto"/>
              </w:rPr>
            </w:pPr>
            <w:r>
              <w:rPr>
                <w:rFonts w:ascii="Arial" w:cs="Arial" w:eastAsia="Arial" w:hAnsi="Arial"/>
                <w:sz w:val="14"/>
                <w:szCs w:val="14"/>
                <w:color w:val="auto"/>
                <w:w w:val="92"/>
              </w:rPr>
              <w:t>25%</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Based on this weighting, the company bonus multiple is calculated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Bonus Plan Multiple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(0.25 x revenue multiple) + (0.50 x EPS multiple) + (0.25 x pipeline multiple)</w:t>
      </w:r>
    </w:p>
    <w:p>
      <w:pPr>
        <w:spacing w:after="0" w:line="21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Executive officer bonuses are also subject to the terms of the Executive Officer Incentive Plan (EOIP). Under the EOIP, the maximum annual cash bonus allowable is calculated based on non-GAAP net income (generally described in "Adjustments to Reported Results" in Appendix A) for the year. For Mr. Ricks, the maximum amount for 2018 is 0.3 percent of non-GAAP net income. For other executive officers except Dr. Skovronsky, the maximum amount is 0.15 percent of non-GAAP net income. Dr. Skovronsky’s maximum amount is 0.15 percent of non-GAAP net income prorated for the time served as a Lilly executive officer. In addition, none of the executive officers receives an annual cash bonus payment unless the company has positive non-GAAP net income for the year.</w:t>
      </w:r>
    </w:p>
    <w:p>
      <w:pPr>
        <w:spacing w:after="0" w:line="162" w:lineRule="exact"/>
        <w:rPr>
          <w:sz w:val="20"/>
          <w:szCs w:val="20"/>
          <w:color w:val="auto"/>
        </w:rPr>
      </w:pPr>
    </w:p>
    <w:p>
      <w:pPr>
        <w:jc w:val="both"/>
        <w:ind w:right="220"/>
        <w:spacing w:after="0" w:line="270" w:lineRule="auto"/>
        <w:rPr>
          <w:sz w:val="20"/>
          <w:szCs w:val="20"/>
          <w:color w:val="auto"/>
        </w:rPr>
      </w:pPr>
      <w:r>
        <w:rPr>
          <w:rFonts w:ascii="Arial" w:cs="Arial" w:eastAsia="Arial" w:hAnsi="Arial"/>
          <w:sz w:val="17"/>
          <w:szCs w:val="17"/>
          <w:color w:val="auto"/>
        </w:rPr>
        <w:t>Under the EOIP, the Compensation Committee has the discretion to reduce (but not to increase) the amount to be paid. In exercising this discretion, the Compensation Committee intends to award the lesser of (i) the bonus the executive officer would have received under the Lilly bonus plan, or (ii) the EOIP maximum payout.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Elanco Corporate Bonus Plan</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Mr. Simmons’ bonus was aligned with the Elanco bonus plan for all of 2018, which is designed to reward the achievement of Elanco’s financial goals, innovation objectives, and contributions to Lilly’s overall financial success for the year. Prior to the Elanco initial public offering, the Elanco bonus plan was approved by Lilly management and Mr. Simmons’ EOIP participation and payout alignment with the Elanco bonus plan was approved by the Compensation Committee. The compensation committee of Elanco’s board of directors approved the 2018 Elanco bonus plan of which Mr. Simmons is a participant.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P36</w:t>
      </w:r>
    </w:p>
    <w:p>
      <w:pPr>
        <w:sectPr>
          <w:pgSz w:w="11900" w:h="16838" w:orient="portrait"/>
          <w:cols w:equalWidth="0" w:num="1">
            <w:col w:w="11420"/>
          </w:cols>
          <w:pgMar w:left="240" w:top="557"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The annual Elanco bonus plan payout is calculated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(Elanco bonus plan multiple) x (individual bonus target) x (base salary earnings) = payout</w:t>
      </w:r>
    </w:p>
    <w:p>
      <w:pPr>
        <w:spacing w:after="0" w:line="21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bonus is based on four areas of Elanco and Lilly performance measured relative to internal targets: Elanco revenue, Elanco operating margin, Elanco innovation progress, and Lilly corporate objectives as measured under the Lilly bonus plan. The weighting for the Elanco bonus plan objectives for 2018 were:</w:t>
      </w:r>
    </w:p>
    <w:p>
      <w:pPr>
        <w:spacing w:after="0" w:line="314"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740" w:type="dxa"/>
            <w:vAlign w:val="bottom"/>
            <w:shd w:val="clear" w:color="auto" w:fill="C8C9CB"/>
          </w:tcPr>
          <w:p>
            <w:pPr>
              <w:ind w:left="780"/>
              <w:spacing w:after="0"/>
              <w:rPr>
                <w:sz w:val="20"/>
                <w:szCs w:val="20"/>
                <w:color w:val="auto"/>
              </w:rPr>
            </w:pPr>
            <w:r>
              <w:rPr>
                <w:rFonts w:ascii="Arial" w:cs="Arial" w:eastAsia="Arial" w:hAnsi="Arial"/>
                <w:sz w:val="14"/>
                <w:szCs w:val="14"/>
                <w:b w:val="1"/>
                <w:bCs w:val="1"/>
                <w:color w:val="00ABE8"/>
              </w:rPr>
              <w:t>Elanco Goals</w:t>
            </w:r>
          </w:p>
        </w:tc>
        <w:tc>
          <w:tcPr>
            <w:tcW w:w="1800" w:type="dxa"/>
            <w:vAlign w:val="bottom"/>
            <w:shd w:val="clear" w:color="auto" w:fill="C8C9CB"/>
          </w:tcPr>
          <w:p>
            <w:pPr>
              <w:jc w:val="center"/>
              <w:ind w:right="172"/>
              <w:spacing w:after="0"/>
              <w:rPr>
                <w:sz w:val="20"/>
                <w:szCs w:val="20"/>
                <w:color w:val="auto"/>
              </w:rPr>
            </w:pPr>
            <w:r>
              <w:rPr>
                <w:rFonts w:ascii="Arial" w:cs="Arial" w:eastAsia="Arial" w:hAnsi="Arial"/>
                <w:sz w:val="14"/>
                <w:szCs w:val="14"/>
                <w:b w:val="1"/>
                <w:bCs w:val="1"/>
                <w:color w:val="00ABE8"/>
              </w:rPr>
              <w:t>Weighting</w:t>
            </w:r>
          </w:p>
        </w:tc>
      </w:tr>
      <w:tr>
        <w:trPr>
          <w:trHeight w:val="191"/>
        </w:trPr>
        <w:tc>
          <w:tcPr>
            <w:tcW w:w="2740" w:type="dxa"/>
            <w:vAlign w:val="bottom"/>
          </w:tcPr>
          <w:p>
            <w:pPr>
              <w:ind w:left="20"/>
              <w:spacing w:after="0"/>
              <w:rPr>
                <w:sz w:val="20"/>
                <w:szCs w:val="20"/>
                <w:color w:val="auto"/>
              </w:rPr>
            </w:pPr>
            <w:r>
              <w:rPr>
                <w:rFonts w:ascii="Arial" w:cs="Arial" w:eastAsia="Arial" w:hAnsi="Arial"/>
                <w:sz w:val="14"/>
                <w:szCs w:val="14"/>
                <w:color w:val="auto"/>
              </w:rPr>
              <w:t>Elanco Revenue performance</w:t>
            </w:r>
          </w:p>
        </w:tc>
        <w:tc>
          <w:tcPr>
            <w:tcW w:w="1800" w:type="dxa"/>
            <w:vAlign w:val="bottom"/>
          </w:tcPr>
          <w:p>
            <w:pPr>
              <w:jc w:val="center"/>
              <w:ind w:right="172"/>
              <w:spacing w:after="0"/>
              <w:rPr>
                <w:sz w:val="20"/>
                <w:szCs w:val="20"/>
                <w:color w:val="auto"/>
              </w:rPr>
            </w:pPr>
            <w:r>
              <w:rPr>
                <w:rFonts w:ascii="Arial" w:cs="Arial" w:eastAsia="Arial" w:hAnsi="Arial"/>
                <w:sz w:val="14"/>
                <w:szCs w:val="14"/>
                <w:color w:val="auto"/>
                <w:w w:val="99"/>
              </w:rPr>
              <w:t>25%</w:t>
            </w:r>
          </w:p>
        </w:tc>
      </w:tr>
      <w:tr>
        <w:trPr>
          <w:trHeight w:val="203"/>
        </w:trPr>
        <w:tc>
          <w:tcPr>
            <w:tcW w:w="2740" w:type="dxa"/>
            <w:vAlign w:val="bottom"/>
          </w:tcPr>
          <w:p>
            <w:pPr>
              <w:ind w:left="20"/>
              <w:spacing w:after="0"/>
              <w:rPr>
                <w:sz w:val="20"/>
                <w:szCs w:val="20"/>
                <w:color w:val="auto"/>
              </w:rPr>
            </w:pPr>
            <w:r>
              <w:rPr>
                <w:rFonts w:ascii="Arial" w:cs="Arial" w:eastAsia="Arial" w:hAnsi="Arial"/>
                <w:sz w:val="14"/>
                <w:szCs w:val="14"/>
                <w:color w:val="auto"/>
              </w:rPr>
              <w:t>Elanco Operating Margin performance</w:t>
            </w:r>
          </w:p>
        </w:tc>
        <w:tc>
          <w:tcPr>
            <w:tcW w:w="1800" w:type="dxa"/>
            <w:vAlign w:val="bottom"/>
          </w:tcPr>
          <w:p>
            <w:pPr>
              <w:jc w:val="center"/>
              <w:ind w:right="172"/>
              <w:spacing w:after="0"/>
              <w:rPr>
                <w:sz w:val="20"/>
                <w:szCs w:val="20"/>
                <w:color w:val="auto"/>
              </w:rPr>
            </w:pPr>
            <w:r>
              <w:rPr>
                <w:rFonts w:ascii="Arial" w:cs="Arial" w:eastAsia="Arial" w:hAnsi="Arial"/>
                <w:sz w:val="14"/>
                <w:szCs w:val="14"/>
                <w:color w:val="auto"/>
                <w:w w:val="99"/>
              </w:rPr>
              <w:t>25%</w:t>
            </w:r>
          </w:p>
        </w:tc>
      </w:tr>
      <w:tr>
        <w:trPr>
          <w:trHeight w:val="203"/>
        </w:trPr>
        <w:tc>
          <w:tcPr>
            <w:tcW w:w="2740" w:type="dxa"/>
            <w:vAlign w:val="bottom"/>
          </w:tcPr>
          <w:p>
            <w:pPr>
              <w:ind w:left="20"/>
              <w:spacing w:after="0"/>
              <w:rPr>
                <w:sz w:val="20"/>
                <w:szCs w:val="20"/>
                <w:color w:val="auto"/>
              </w:rPr>
            </w:pPr>
            <w:r>
              <w:rPr>
                <w:rFonts w:ascii="Arial" w:cs="Arial" w:eastAsia="Arial" w:hAnsi="Arial"/>
                <w:sz w:val="14"/>
                <w:szCs w:val="14"/>
                <w:color w:val="auto"/>
              </w:rPr>
              <w:t>Elanco Innovation progress</w:t>
            </w:r>
          </w:p>
        </w:tc>
        <w:tc>
          <w:tcPr>
            <w:tcW w:w="1800" w:type="dxa"/>
            <w:vAlign w:val="bottom"/>
          </w:tcPr>
          <w:p>
            <w:pPr>
              <w:jc w:val="center"/>
              <w:ind w:right="172"/>
              <w:spacing w:after="0"/>
              <w:rPr>
                <w:sz w:val="20"/>
                <w:szCs w:val="20"/>
                <w:color w:val="auto"/>
              </w:rPr>
            </w:pPr>
            <w:r>
              <w:rPr>
                <w:rFonts w:ascii="Arial" w:cs="Arial" w:eastAsia="Arial" w:hAnsi="Arial"/>
                <w:sz w:val="14"/>
                <w:szCs w:val="14"/>
                <w:color w:val="auto"/>
                <w:w w:val="99"/>
              </w:rPr>
              <w:t>25%</w:t>
            </w:r>
          </w:p>
        </w:tc>
      </w:tr>
      <w:tr>
        <w:trPr>
          <w:trHeight w:val="203"/>
        </w:trPr>
        <w:tc>
          <w:tcPr>
            <w:tcW w:w="2740" w:type="dxa"/>
            <w:vAlign w:val="bottom"/>
          </w:tcPr>
          <w:p>
            <w:pPr>
              <w:ind w:left="20"/>
              <w:spacing w:after="0"/>
              <w:rPr>
                <w:sz w:val="20"/>
                <w:szCs w:val="20"/>
                <w:color w:val="auto"/>
              </w:rPr>
            </w:pPr>
            <w:r>
              <w:rPr>
                <w:rFonts w:ascii="Arial" w:cs="Arial" w:eastAsia="Arial" w:hAnsi="Arial"/>
                <w:sz w:val="14"/>
                <w:szCs w:val="14"/>
                <w:color w:val="auto"/>
              </w:rPr>
              <w:t>Lilly Bonus Plan Multiple</w:t>
            </w:r>
          </w:p>
        </w:tc>
        <w:tc>
          <w:tcPr>
            <w:tcW w:w="1800" w:type="dxa"/>
            <w:vAlign w:val="bottom"/>
          </w:tcPr>
          <w:p>
            <w:pPr>
              <w:jc w:val="center"/>
              <w:ind w:right="172"/>
              <w:spacing w:after="0"/>
              <w:rPr>
                <w:sz w:val="20"/>
                <w:szCs w:val="20"/>
                <w:color w:val="auto"/>
              </w:rPr>
            </w:pPr>
            <w:r>
              <w:rPr>
                <w:rFonts w:ascii="Arial" w:cs="Arial" w:eastAsia="Arial" w:hAnsi="Arial"/>
                <w:sz w:val="14"/>
                <w:szCs w:val="14"/>
                <w:color w:val="auto"/>
                <w:w w:val="99"/>
              </w:rPr>
              <w:t>25%</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Based on this weighting, the Elanco bonus multiple is calculated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Elanco Bonus Plan Multiple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(0.25 x revenue multiple) + (0.25 x operating margin multiple) + (0.25 x innovation multiple) + (0.25 x Lilly bonus plan multiple)</w:t>
      </w:r>
    </w:p>
    <w:p>
      <w:pPr>
        <w:spacing w:after="0" w:line="21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For the time period from January 1 through September 20, 2018, Mr. Simmons will receive the lesser of (i) the bonus he would have received under the Elanco bonus plan or (ii) an EOIP maximum payout prorated for service through September 20, 2018. For the period from September 20 through December 31, 2018, Mr. Simmons will receive a prorated bonus under the Elanco bonus plan as approved by the compensation committee of Elanco's board of directors.</w:t>
      </w:r>
    </w:p>
    <w:p>
      <w:pPr>
        <w:spacing w:after="0" w:line="16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9"/>
          <w:szCs w:val="19"/>
          <w:b w:val="1"/>
          <w:bCs w:val="1"/>
          <w:color w:val="00ABE8"/>
        </w:rPr>
        <w:t>3.</w:t>
      </w:r>
      <w:r>
        <w:rPr>
          <w:sz w:val="20"/>
          <w:szCs w:val="20"/>
          <w:color w:val="auto"/>
        </w:rPr>
        <w:tab/>
      </w:r>
      <w:r>
        <w:rPr>
          <w:rFonts w:ascii="Arial" w:cs="Arial" w:eastAsia="Arial" w:hAnsi="Arial"/>
          <w:sz w:val="18"/>
          <w:szCs w:val="18"/>
          <w:b w:val="1"/>
          <w:bCs w:val="1"/>
          <w:color w:val="00ABE8"/>
        </w:rPr>
        <w:t>Equity Incentives</w:t>
      </w:r>
    </w:p>
    <w:p>
      <w:pPr>
        <w:spacing w:after="0" w:line="194" w:lineRule="exact"/>
        <w:rPr>
          <w:sz w:val="20"/>
          <w:szCs w:val="20"/>
          <w:color w:val="auto"/>
        </w:rPr>
      </w:pPr>
    </w:p>
    <w:p>
      <w:pPr>
        <w:ind w:right="20"/>
        <w:spacing w:after="0" w:line="208" w:lineRule="exact"/>
        <w:rPr>
          <w:sz w:val="20"/>
          <w:szCs w:val="20"/>
          <w:color w:val="auto"/>
        </w:rPr>
      </w:pPr>
      <w:r>
        <w:rPr>
          <w:rFonts w:ascii="Arial" w:cs="Arial" w:eastAsia="Arial" w:hAnsi="Arial"/>
          <w:sz w:val="17"/>
          <w:szCs w:val="17"/>
          <w:color w:val="auto"/>
        </w:rPr>
        <w:t>The company grants two types of equity incentives to executives and certain other employees: performance awards and shareholder value awards are designed to focus its leaders on multi</w:t>
      </w:r>
      <w:r>
        <w:rPr>
          <w:rFonts w:ascii="MS PGothic" w:cs="MS PGothic" w:eastAsia="MS PGothic" w:hAnsi="MS PGothic"/>
          <w:sz w:val="17"/>
          <w:szCs w:val="17"/>
          <w:color w:val="auto"/>
        </w:rPr>
        <w:t>‑</w:t>
      </w:r>
      <w:r>
        <w:rPr>
          <w:rFonts w:ascii="Arial" w:cs="Arial" w:eastAsia="Arial" w:hAnsi="Arial"/>
          <w:sz w:val="17"/>
          <w:szCs w:val="17"/>
          <w:color w:val="auto"/>
        </w:rPr>
        <w:t>year operational performance relative to peer companies. Shareholder value awards are intended to align earned compensation with long</w:t>
      </w:r>
      <w:r>
        <w:rPr>
          <w:rFonts w:ascii="MS PGothic" w:cs="MS PGothic" w:eastAsia="MS PGothic" w:hAnsi="MS PGothic"/>
          <w:sz w:val="17"/>
          <w:szCs w:val="17"/>
          <w:color w:val="auto"/>
        </w:rPr>
        <w:t>‑</w:t>
      </w:r>
      <w:r>
        <w:rPr>
          <w:rFonts w:ascii="Arial" w:cs="Arial" w:eastAsia="Arial" w:hAnsi="Arial"/>
          <w:sz w:val="17"/>
          <w:szCs w:val="17"/>
          <w:color w:val="auto"/>
        </w:rPr>
        <w:t>term growth in shareholder value and relative TSR performance within our industry. The Compensation Committee has the discretion to adjust any payout from an equity award granted to an executive officer downward (but not upward) from the amount yielded by the applicable formula.</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Awards</w:t>
      </w:r>
    </w:p>
    <w:p>
      <w:pPr>
        <w:spacing w:after="0" w:line="25" w:lineRule="exact"/>
        <w:rPr>
          <w:sz w:val="20"/>
          <w:szCs w:val="20"/>
          <w:color w:val="auto"/>
        </w:rPr>
      </w:pPr>
    </w:p>
    <w:p>
      <w:pPr>
        <w:jc w:val="both"/>
        <w:ind w:right="200"/>
        <w:spacing w:after="0" w:line="254" w:lineRule="auto"/>
        <w:rPr>
          <w:sz w:val="20"/>
          <w:szCs w:val="20"/>
          <w:color w:val="auto"/>
        </w:rPr>
      </w:pPr>
      <w:r>
        <w:rPr>
          <w:rFonts w:ascii="Arial" w:cs="Arial" w:eastAsia="Arial" w:hAnsi="Arial"/>
          <w:sz w:val="17"/>
          <w:szCs w:val="17"/>
          <w:color w:val="auto"/>
        </w:rPr>
        <w:t>Performance awards vest over three years. Payouts are based on achieving EPS growth targets over a two-year performance period, followed by an additional 13-month service-vesting period for executive officers, during which the award is held in the form of restricted stock units. The growth-rate targets are set relative to the median expected EPS growth for our peer group over the same performance period. These awards do not accumulate dividends during the two-year performance period, but they do accumulate dividend equivalent units during the service-vesting period.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believes EPS growth is an effective measure of operational performance because it is closely linked to shareholder</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value, is broadly communicated to the public, is easily understood by Lilly employees, and allows for objective comparisons to performance of Lilly's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peer group. Consistent with its compensation objectives, Lilly company performance exceeding the expected peer group median results in</w:t>
      </w:r>
    </w:p>
    <w:p>
      <w:pPr>
        <w:spacing w:after="0" w:line="7"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above</w:t>
      </w:r>
      <w:r>
        <w:rPr>
          <w:rFonts w:ascii="MS PGothic" w:cs="MS PGothic" w:eastAsia="MS PGothic" w:hAnsi="MS PGothic"/>
          <w:sz w:val="17"/>
          <w:szCs w:val="17"/>
          <w:color w:val="auto"/>
        </w:rPr>
        <w:t>‑</w:t>
      </w:r>
      <w:r>
        <w:rPr>
          <w:rFonts w:ascii="Arial" w:cs="Arial" w:eastAsia="Arial" w:hAnsi="Arial"/>
          <w:sz w:val="17"/>
          <w:szCs w:val="17"/>
          <w:color w:val="auto"/>
        </w:rPr>
        <w:t>target payouts, while Lilly company performance lagging the expected peer group median results in below</w:t>
      </w:r>
      <w:r>
        <w:rPr>
          <w:rFonts w:ascii="MS PGothic" w:cs="MS PGothic" w:eastAsia="MS PGothic" w:hAnsi="MS PGothic"/>
          <w:sz w:val="17"/>
          <w:szCs w:val="17"/>
          <w:color w:val="auto"/>
        </w:rPr>
        <w:t>‑</w:t>
      </w:r>
      <w:r>
        <w:rPr>
          <w:rFonts w:ascii="Arial" w:cs="Arial" w:eastAsia="Arial" w:hAnsi="Arial"/>
          <w:sz w:val="17"/>
          <w:szCs w:val="17"/>
          <w:color w:val="auto"/>
        </w:rPr>
        <w:t>target payouts. Possible payouts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range from 0 percent to 150 percent of the target, depending on Lilly EPS growth over the performance period.</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measure of EPS used in the performance award program differs from the measure used in the Lilly bonus plan in two ways. First, the EPS goal in the Lilly bonus plan is set with reference to internal goals that align to our annual operating plan for the year, while the EPS goal in the performance award program is set based on the expected growth rates of our peer group. Second, the Lilly bonus plan measures EPS over a one-year period, while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P37</w:t>
      </w:r>
    </w:p>
    <w:p>
      <w:pPr>
        <w:sectPr>
          <w:pgSz w:w="11900" w:h="16838" w:orient="portrait"/>
          <w:cols w:equalWidth="0" w:num="1">
            <w:col w:w="11420"/>
          </w:cols>
          <w:pgMar w:left="240" w:top="760" w:right="239" w:bottom="1440" w:gutter="0" w:footer="0" w:header="0"/>
        </w:sectPr>
      </w:pPr>
    </w:p>
    <w:bookmarkStart w:id="41" w:name="page42"/>
    <w:bookmarkEnd w:id="41"/>
    <w:p>
      <w:pPr>
        <w:ind w:right="140"/>
        <w:spacing w:after="0" w:line="292" w:lineRule="auto"/>
        <w:rPr>
          <w:sz w:val="20"/>
          <w:szCs w:val="20"/>
          <w:color w:val="auto"/>
        </w:rPr>
      </w:pPr>
      <w:r>
        <w:rPr>
          <w:rFonts w:ascii="Arial" w:cs="Arial" w:eastAsia="Arial" w:hAnsi="Arial"/>
          <w:sz w:val="17"/>
          <w:szCs w:val="17"/>
          <w:color w:val="auto"/>
        </w:rPr>
        <w:t>performance award program measures EPS over a two-year period. In a given year, the Lilly bonus plan may pay above target while the performance award pays below target (or vice versa).</w:t>
      </w:r>
    </w:p>
    <w:p>
      <w:pPr>
        <w:spacing w:after="0" w:line="14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Because Mr. Smiley and Dr. Skovronsky were not executive officers when their 2017-2018 performance awards were granted, those awards were not subject to the additional 13-month service-vesting period and vested in full as of December 31, 2018.</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Value Awards</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Shareholder value awards are earned based on Lilly's share price and relative TSR performance. Shareholder value awards pay above target if Lilly's stock outperforms an expected rate of return and below target if Lilly's stock underperforms that expected rate of return. The expected rate of return is based on the three-year TSR that a reasonable investor would consider appropriate when investing in a basket of large-cap U.S. companies, as determined by the Compensation Committee. The minimum target price to achieve is calculated by multiplying the starting share price of Lilly's stock by the three-year compounded expected rate of return less Lilly's dividend yield. Shareholder value awards have a three-year performance period, and any shares paid are subject to a one-year holding requirement. No dividends are accrued during the performance period. Executive officers receive no payout if Lilly's TSR for the three-year period is zero or negative. Possible payouts are based on share price growth and range from 0 to 150 percent of the target.</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 modifier based on Lilly's three-year cumulative TSR relative to our peer companies' median TSR performance is applied to executive officer payouts. The committee added the relative TSR modifier to the shareholder value award program to align executive officers' rewards with shareholder experience while also encouraging strong performance within the industry. If Lilly's TSR is above the median of our peers, the payout is increased by 1 percent for every percentage point that Lilly's TSR exceeds the median (up to a maximum of 20 percent). Likewise, if Lilly's TSR is below the median, the payout will be reduced by up to a maximum of 20 percent.</w:t>
      </w:r>
    </w:p>
    <w:p>
      <w:pPr>
        <w:spacing w:after="0" w:line="161"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Because Dr. Skovronsky was not an executive officer at the time of the grant, his 2016-2018 shareholder value award is not subject to the relative TSR modifier.</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Equity Awards</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In addition to his performance award and shareholder value award grants in 2018, Mr. Simmons received a founders’ award shortly after Elanco’s initial public offering </w:t>
      </w:r>
      <w:r>
        <w:rPr>
          <w:rFonts w:ascii="Arial" w:cs="Arial" w:eastAsia="Arial" w:hAnsi="Arial"/>
          <w:sz w:val="16"/>
          <w:szCs w:val="16"/>
          <w:color w:val="auto"/>
        </w:rPr>
        <w:t>which was approved by the compensation committee of the Elanco board of directors.</w:t>
      </w:r>
      <w:r>
        <w:rPr>
          <w:rFonts w:ascii="Arial" w:cs="Arial" w:eastAsia="Arial" w:hAnsi="Arial"/>
          <w:sz w:val="17"/>
          <w:szCs w:val="17"/>
          <w:color w:val="auto"/>
        </w:rPr>
        <w:t xml:space="preserve"> This award is comprised of 50 percent Elanco stock options and 50 percent Elanco time-based restricted stock units, and is intended to tie a significant portion of Mr. Simmons' compensation to Elanco’s performance and the interests of Elanco shareholders. The Elanco stock options will vest over three years, at which point Mr. Simmons will have seven additional years to exercise. The Elanco restricted stock units will vest over three years.</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Pay for Performance</w:t>
      </w:r>
    </w:p>
    <w:p>
      <w:pPr>
        <w:spacing w:after="0" w:line="27"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The mix of compensation for our named executive officers reflects Lilly’s desire to link executive compensation with company performance. As reflected in the charts below, a substantial portion of the target pay for executive officers is performance-based. The annual cash bonus and equity payouts are contingent upon company performance, with the bonus factoring in performance over a one-year period, and equity compensation factoring in performance over two- and three- year periods (as described above). The charts below depict the annualized mix of target compensation for Lilly’s CEO and the average for the other named executive officers, excluding Mr. Simmons.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P38</w:t>
      </w:r>
    </w:p>
    <w:p>
      <w:pPr>
        <w:sectPr>
          <w:pgSz w:w="11900" w:h="16838" w:orient="portrait"/>
          <w:cols w:equalWidth="0" w:num="1">
            <w:col w:w="11420"/>
          </w:cols>
          <w:pgMar w:left="240" w:top="557" w:right="2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5505450" cy="2752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0545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68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The pay mix for the other named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executive officers would have been 22% base salary, 20% bonus, and 58% equity with Mr. Simmons’ annualized base pay, blended bonus, and annual</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equity award. The mix does not include his one-time founders’ award.</w:t>
      </w:r>
    </w:p>
    <w:p>
      <w:pPr>
        <w:spacing w:after="0" w:line="364"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2018 Target Total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Review Process</w:t>
      </w:r>
    </w:p>
    <w:p>
      <w:pPr>
        <w:ind w:right="80"/>
        <w:spacing w:after="0" w:line="252" w:lineRule="auto"/>
        <w:rPr>
          <w:sz w:val="20"/>
          <w:szCs w:val="20"/>
          <w:color w:val="auto"/>
        </w:rPr>
      </w:pPr>
      <w:r>
        <w:rPr>
          <w:rFonts w:ascii="Arial" w:cs="Arial" w:eastAsia="Arial" w:hAnsi="Arial"/>
          <w:sz w:val="17"/>
          <w:szCs w:val="17"/>
          <w:color w:val="auto"/>
        </w:rPr>
        <w:t>In setting target compensation for the named executive officers in 2018, the Compensation Committee considered individual contributions, Lilly and Elanco (as appropriate) performance during 2017, internal pay equity, peer group data, and input from the CEO to establish executive officer compensation for 2018. Dr. Skovronsky’s pay was adjusted on June 1, 2018, when he became senior vice president and chief scientific officer. Mr. Simmons' pay was adjusted during the annual review based on 2017 performance and further adjusted by the Elanco board of directors when he was appointed as the president, CEO, and director of Elanco Animal Health, Inc.</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2017 Individual Named Executive Officer Performance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Compensation Committee's review of individual named executive officer performances is provided below:</w:t>
      </w:r>
    </w:p>
    <w:p>
      <w:pPr>
        <w:spacing w:after="0" w:line="296"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i w:val="1"/>
          <w:iCs w:val="1"/>
          <w:color w:val="auto"/>
        </w:rPr>
        <w:t>David Ricks, Chairman, President and Chief Executive Officer</w:t>
      </w:r>
      <w:r>
        <w:rPr>
          <w:rFonts w:ascii="Arial" w:cs="Arial" w:eastAsia="Arial" w:hAnsi="Arial"/>
          <w:sz w:val="17"/>
          <w:szCs w:val="17"/>
          <w:color w:val="auto"/>
        </w:rPr>
        <w:t>: In accordance with the company’s Corporate Governance Guidelines, the lead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director conducted an assessment of Mr. Ricks’ performance during his first year as CEO, which was discussed by the independent directors during an executive session of the board. The independent directors believe the company largely met or exceeded its combined financial and strategic goals for 2017 under Mr. Ricks’ leadership. Mr. Ricks and his team:</w:t>
      </w:r>
    </w:p>
    <w:p>
      <w:pPr>
        <w:spacing w:after="0" w:line="156"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delivered on the company's financial commitments</w:t>
      </w:r>
    </w:p>
    <w:p>
      <w:pPr>
        <w:spacing w:after="0" w:line="29" w:lineRule="exact"/>
        <w:rPr>
          <w:rFonts w:ascii="Arial" w:cs="Arial" w:eastAsia="Arial" w:hAnsi="Arial"/>
          <w:sz w:val="17"/>
          <w:szCs w:val="17"/>
          <w:color w:val="auto"/>
        </w:rPr>
      </w:pPr>
    </w:p>
    <w:p>
      <w:pPr>
        <w:ind w:left="660" w:right="260" w:hanging="328"/>
        <w:spacing w:after="0" w:line="24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continued implementation of next generation research and development leading to the launch of Verzenio in the United States, Olumiant in Europe and nine other product approvals around the world which deliver value to patients and provide continued future growth for the company. Numerous potential medicines entered phase one and two clinical development from both internal research efforts and external sources</w:t>
      </w:r>
    </w:p>
    <w:p>
      <w:pPr>
        <w:spacing w:after="0" w:line="2" w:lineRule="exact"/>
        <w:rPr>
          <w:rFonts w:ascii="Arial" w:cs="Arial" w:eastAsia="Arial" w:hAnsi="Arial"/>
          <w:sz w:val="17"/>
          <w:szCs w:val="17"/>
          <w:color w:val="auto"/>
        </w:rPr>
      </w:pPr>
    </w:p>
    <w:p>
      <w:pPr>
        <w:ind w:left="660" w:right="140" w:hanging="328"/>
        <w:spacing w:after="0" w:line="24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drove a cross-company productivity agenda resulting in savings that funded increased investment in research and development and allowed above-plan capital return to shareholders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announced the strategic review of the Elanco animal health business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appointed several new members to the leadership team while improving the team’s diversity profile</w:t>
      </w:r>
    </w:p>
    <w:p>
      <w:pPr>
        <w:spacing w:after="0" w:line="7" w:lineRule="exact"/>
        <w:rPr>
          <w:rFonts w:ascii="Arial" w:cs="Arial" w:eastAsia="Arial" w:hAnsi="Arial"/>
          <w:sz w:val="17"/>
          <w:szCs w:val="17"/>
          <w:color w:val="auto"/>
        </w:rPr>
      </w:pPr>
    </w:p>
    <w:p>
      <w:pPr>
        <w:ind w:left="660" w:right="240" w:hanging="328"/>
        <w:spacing w:after="0" w:line="265"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implemented a strategy that improved diversity and inclusion across the company, increased the representation of women and minorities in management, and demonstrated the company’s commitment to pay equity</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P39</w:t>
      </w:r>
    </w:p>
    <w:p>
      <w:pPr>
        <w:sectPr>
          <w:pgSz w:w="11900" w:h="16838" w:orient="portrait"/>
          <w:cols w:equalWidth="0" w:num="1">
            <w:col w:w="11380"/>
          </w:cols>
          <w:pgMar w:left="240" w:top="1440" w:right="279" w:bottom="1440" w:gutter="0" w:footer="0" w:header="0"/>
        </w:sectPr>
      </w:pPr>
    </w:p>
    <w:bookmarkStart w:id="43" w:name="page44"/>
    <w:bookmarkEnd w:id="43"/>
    <w:p>
      <w:pPr>
        <w:ind w:left="660" w:right="440" w:hanging="328"/>
        <w:spacing w:after="0" w:line="262"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progressed Lilly 30x30, a program to improve access to quality health care in resource-limited settings for 30 million people on an annual basis by 2030</w:t>
      </w:r>
    </w:p>
    <w:p>
      <w:pPr>
        <w:ind w:right="160" w:firstLine="332"/>
        <w:spacing w:after="0" w:line="265" w:lineRule="auto"/>
        <w:tabs>
          <w:tab w:leader="none" w:pos="648" w:val="left"/>
        </w:tabs>
        <w:numPr>
          <w:ilvl w:val="0"/>
          <w:numId w:val="52"/>
        </w:numPr>
        <w:rPr>
          <w:rFonts w:ascii="Arial" w:cs="Arial" w:eastAsia="Arial" w:hAnsi="Arial"/>
          <w:sz w:val="17"/>
          <w:szCs w:val="17"/>
          <w:color w:val="auto"/>
        </w:rPr>
      </w:pPr>
      <w:r>
        <w:rPr>
          <w:rFonts w:ascii="Arial" w:cs="Arial" w:eastAsia="Arial" w:hAnsi="Arial"/>
          <w:sz w:val="17"/>
          <w:szCs w:val="17"/>
          <w:color w:val="auto"/>
        </w:rPr>
        <w:t>improved certain environmental performance areas, such as greenhouse gas emissions, energy efficiency, waste efficiency, and wastewater. In addition, the company was named one of the world’s most ethical companies by Ethisphere Institute.</w:t>
      </w:r>
    </w:p>
    <w:p>
      <w:pPr>
        <w:spacing w:after="0" w:line="154"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b w:val="1"/>
          <w:bCs w:val="1"/>
          <w:i w:val="1"/>
          <w:iCs w:val="1"/>
          <w:color w:val="auto"/>
        </w:rPr>
        <w:t>Joshua Smiley, Senior Vice President and Chief Financial Officer</w:t>
      </w:r>
      <w:r>
        <w:rPr>
          <w:rFonts w:ascii="Arial" w:cs="Arial" w:eastAsia="Arial" w:hAnsi="Arial"/>
          <w:sz w:val="17"/>
          <w:szCs w:val="17"/>
          <w:color w:val="auto"/>
        </w:rPr>
        <w:t>: Mr. Smiley became senior vice president and CFO on January 1, 2018.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becoming CFO, Mr. Smiley led the company’s treasury function throughout 2017, where he played a critical role in:</w:t>
      </w:r>
    </w:p>
    <w:p>
      <w:pPr>
        <w:spacing w:after="0" w:line="13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development and implementation of the company’s productivity agenda during the 2017 strategic plan and 2018 operating plan process</w:t>
      </w:r>
    </w:p>
    <w:p>
      <w:pPr>
        <w:spacing w:after="0" w:line="29" w:lineRule="exact"/>
        <w:rPr>
          <w:rFonts w:ascii="Arial" w:cs="Arial" w:eastAsia="Arial" w:hAnsi="Arial"/>
          <w:sz w:val="17"/>
          <w:szCs w:val="17"/>
          <w:color w:val="auto"/>
        </w:rPr>
      </w:pPr>
    </w:p>
    <w:p>
      <w:pPr>
        <w:ind w:left="660" w:right="1080" w:hanging="328"/>
        <w:spacing w:after="0" w:line="24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leadership of the capital allocation process allowing for the investment in several in-licensing deals and increased funding for the advancement of new medicines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co-leadership of the Elanco strategic review ultimately leading to the Elanco initial public offering in 2018</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engagement with legislation leading to U.S. tax reform</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establishment of an excellent rapport with the investment community</w:t>
      </w:r>
    </w:p>
    <w:p>
      <w:pPr>
        <w:spacing w:after="0" w:line="7" w:lineRule="exact"/>
        <w:rPr>
          <w:rFonts w:ascii="Arial" w:cs="Arial" w:eastAsia="Arial" w:hAnsi="Arial"/>
          <w:sz w:val="17"/>
          <w:szCs w:val="17"/>
          <w:color w:val="auto"/>
        </w:rPr>
      </w:pPr>
    </w:p>
    <w:p>
      <w:pPr>
        <w:ind w:left="660" w:right="160" w:hanging="328"/>
        <w:spacing w:after="0" w:line="265"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leadership and executive sponsorship of Lilly’s Indian Network, an employee resource group focused on supporting and advancing people of Indian heritage in the company.</w:t>
      </w:r>
    </w:p>
    <w:p>
      <w:pPr>
        <w:spacing w:after="0" w:line="154" w:lineRule="exact"/>
        <w:rPr>
          <w:sz w:val="20"/>
          <w:szCs w:val="20"/>
          <w:color w:val="auto"/>
        </w:rPr>
      </w:pPr>
    </w:p>
    <w:p>
      <w:pPr>
        <w:ind w:right="440"/>
        <w:spacing w:after="0" w:line="292" w:lineRule="auto"/>
        <w:rPr>
          <w:sz w:val="20"/>
          <w:szCs w:val="20"/>
          <w:color w:val="auto"/>
        </w:rPr>
      </w:pPr>
      <w:r>
        <w:rPr>
          <w:rFonts w:ascii="Arial" w:cs="Arial" w:eastAsia="Arial" w:hAnsi="Arial"/>
          <w:sz w:val="17"/>
          <w:szCs w:val="17"/>
          <w:b w:val="1"/>
          <w:bCs w:val="1"/>
          <w:i w:val="1"/>
          <w:iCs w:val="1"/>
          <w:color w:val="auto"/>
        </w:rPr>
        <w:t>Michael Harrington, Senior Vice President and General Counsel</w:t>
      </w:r>
      <w:r>
        <w:rPr>
          <w:rFonts w:ascii="Arial" w:cs="Arial" w:eastAsia="Arial" w:hAnsi="Arial"/>
          <w:sz w:val="17"/>
          <w:szCs w:val="17"/>
          <w:color w:val="auto"/>
        </w:rPr>
        <w:t>: Mr. Harrington was effective and influential in his role as General Counsel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and he was a productive partner with the executive team. Key performance contributions by Mr. Harrington included:</w:t>
      </w:r>
    </w:p>
    <w:p>
      <w:pPr>
        <w:spacing w:after="0" w:line="132"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defending several key patents, including patents for Alimta in the United States, Europe, and Japan</w:t>
      </w:r>
    </w:p>
    <w:p>
      <w:pPr>
        <w:spacing w:after="0" w:line="29" w:lineRule="exact"/>
        <w:rPr>
          <w:rFonts w:ascii="Arial" w:cs="Arial" w:eastAsia="Arial" w:hAnsi="Arial"/>
          <w:sz w:val="17"/>
          <w:szCs w:val="17"/>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developing and implementing legal strategies across the company</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working to ensure the company has robust compliance around the world</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leading a company initiative to increase protection of Lilly's intellectual property assets and improve cyber security</w:t>
      </w:r>
    </w:p>
    <w:p>
      <w:pPr>
        <w:spacing w:after="0" w:line="7" w:lineRule="exact"/>
        <w:rPr>
          <w:rFonts w:ascii="Arial" w:cs="Arial" w:eastAsia="Arial" w:hAnsi="Arial"/>
          <w:sz w:val="17"/>
          <w:szCs w:val="17"/>
          <w:color w:val="auto"/>
        </w:rPr>
      </w:pPr>
    </w:p>
    <w:p>
      <w:pPr>
        <w:ind w:left="660" w:right="280" w:hanging="328"/>
        <w:spacing w:after="0" w:line="265"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leading and serving as an executive sponsor of the company’s PRIDE organization (Lilly’s employee resource group focused on supporting and advancing lesbian, gay, bisexual, and transgender employees).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Enrique Conterno, Senior Vice President and President, Lilly Diabetes and President, Lilly USA</w:t>
      </w:r>
      <w:r>
        <w:rPr>
          <w:rFonts w:ascii="Arial" w:cs="Arial" w:eastAsia="Arial" w:hAnsi="Arial"/>
          <w:sz w:val="17"/>
          <w:szCs w:val="17"/>
          <w:color w:val="auto"/>
        </w:rPr>
        <w:t>: Mr. Conterno demonstrated strong leadership of</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Lilly Diabetes and across the company. In 2017, he:</w:t>
      </w:r>
    </w:p>
    <w:p>
      <w:pPr>
        <w:spacing w:after="0" w:line="188"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drove volume growth within the diabetes business unit, primarily from newer products</w:t>
      </w:r>
    </w:p>
    <w:p>
      <w:pPr>
        <w:spacing w:after="0" w:line="29" w:lineRule="exact"/>
        <w:rPr>
          <w:rFonts w:ascii="Arial" w:cs="Arial" w:eastAsia="Arial" w:hAnsi="Arial"/>
          <w:sz w:val="17"/>
          <w:szCs w:val="17"/>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championed the development of new insulin delivery devices incorporating digital technology to provide patients with better diabetes control</w:t>
      </w:r>
    </w:p>
    <w:p>
      <w:pPr>
        <w:spacing w:after="0" w:line="7" w:lineRule="exact"/>
        <w:rPr>
          <w:rFonts w:ascii="Arial" w:cs="Arial" w:eastAsia="Arial" w:hAnsi="Arial"/>
          <w:sz w:val="17"/>
          <w:szCs w:val="17"/>
          <w:color w:val="auto"/>
        </w:rPr>
      </w:pPr>
    </w:p>
    <w:p>
      <w:pPr>
        <w:ind w:left="660" w:right="620" w:hanging="328"/>
        <w:spacing w:after="0" w:line="24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led the company’s U.S. commercial business, which is the company's largest market, as well as the company's human pharmaceutical commercial operations in China, Japan, and Canada</w:t>
      </w:r>
    </w:p>
    <w:p>
      <w:pPr>
        <w:spacing w:after="0" w:line="1" w:lineRule="exact"/>
        <w:rPr>
          <w:rFonts w:ascii="Arial" w:cs="Arial" w:eastAsia="Arial" w:hAnsi="Arial"/>
          <w:sz w:val="17"/>
          <w:szCs w:val="17"/>
          <w:color w:val="auto"/>
        </w:rPr>
      </w:pPr>
    </w:p>
    <w:p>
      <w:pPr>
        <w:ind w:left="660" w:right="80" w:hanging="328"/>
        <w:spacing w:after="0" w:line="265"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served as executive sponsor of WILL (Women’s Initiative for Leading at Lilly), the company’s employee resource group focused on supporting and advancing the development of women across the company.</w:t>
      </w:r>
    </w:p>
    <w:p>
      <w:pPr>
        <w:spacing w:after="0" w:line="154"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b w:val="1"/>
          <w:bCs w:val="1"/>
          <w:i w:val="1"/>
          <w:iCs w:val="1"/>
          <w:color w:val="auto"/>
        </w:rPr>
        <w:t>Daniel Skovronsky, M.D., Ph.D., Senior Vice President and Chief Scientific Officer</w:t>
      </w:r>
      <w:r>
        <w:rPr>
          <w:rFonts w:ascii="Arial" w:cs="Arial" w:eastAsia="Arial" w:hAnsi="Arial"/>
          <w:sz w:val="17"/>
          <w:szCs w:val="17"/>
          <w:color w:val="auto"/>
        </w:rPr>
        <w:t>: Dr. Skovronsky became senior vice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scientific officer on June 1, 2018. Prior to this promotion, Dr. Skovronsky was senior vice president for product development. In 2017, Dr. Skovronsky led efforts including:</w:t>
      </w:r>
    </w:p>
    <w:p>
      <w:pPr>
        <w:spacing w:after="0" w:line="151" w:lineRule="exact"/>
        <w:rPr>
          <w:sz w:val="20"/>
          <w:szCs w:val="20"/>
          <w:color w:val="auto"/>
        </w:rPr>
      </w:pPr>
    </w:p>
    <w:p>
      <w:pPr>
        <w:ind w:left="660" w:right="460" w:hanging="328"/>
        <w:spacing w:after="0" w:line="262"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transformation of the company’s drug research and drug development function by creating program teams that act as small biotech companies, modifying traditional governance structures to enable agile decision making, and creating boards that oversee each program</w:t>
      </w: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efforts that significantly reduced the time drug candidates spend in development, leading to earlier product launch</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sponsorship of an increase in Lilly’s external research efforts, including expansion of key research hubs in Boston and San Francisco</w:t>
      </w:r>
    </w:p>
    <w:p>
      <w:pPr>
        <w:spacing w:after="0" w:line="7" w:lineRule="exact"/>
        <w:rPr>
          <w:rFonts w:ascii="Arial" w:cs="Arial" w:eastAsia="Arial" w:hAnsi="Arial"/>
          <w:sz w:val="17"/>
          <w:szCs w:val="17"/>
          <w:color w:val="auto"/>
        </w:rPr>
      </w:pPr>
    </w:p>
    <w:p>
      <w:pPr>
        <w:ind w:left="660" w:right="100" w:hanging="328"/>
        <w:spacing w:after="0" w:line="265"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leadership and executive sponsorship of Lilly’s Japanese Network, an employee resource group focused on support and advancing people of Japanese heritage in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P40</w:t>
      </w:r>
    </w:p>
    <w:p>
      <w:pPr>
        <w:sectPr>
          <w:pgSz w:w="11900" w:h="16838" w:orient="portrait"/>
          <w:cols w:equalWidth="0" w:num="1">
            <w:col w:w="11420"/>
          </w:cols>
          <w:pgMar w:left="240" w:top="557" w:right="239" w:bottom="1440" w:gutter="0" w:footer="0" w:header="0"/>
        </w:sectPr>
      </w:pPr>
    </w:p>
    <w:bookmarkStart w:id="44" w:name="page45"/>
    <w:bookmarkEnd w:id="44"/>
    <w:p>
      <w:pPr>
        <w:jc w:val="both"/>
        <w:ind w:right="200"/>
        <w:spacing w:after="0" w:line="263" w:lineRule="auto"/>
        <w:rPr>
          <w:sz w:val="20"/>
          <w:szCs w:val="20"/>
          <w:color w:val="auto"/>
        </w:rPr>
      </w:pPr>
      <w:r>
        <w:rPr>
          <w:rFonts w:ascii="Arial" w:cs="Arial" w:eastAsia="Arial" w:hAnsi="Arial"/>
          <w:sz w:val="17"/>
          <w:szCs w:val="17"/>
          <w:b w:val="1"/>
          <w:bCs w:val="1"/>
          <w:i w:val="1"/>
          <w:iCs w:val="1"/>
          <w:color w:val="auto"/>
        </w:rPr>
        <w:t>Jeffrey Simmons, President, Chief Executive Officer and Director Elanco Animal Health, Inc.</w:t>
      </w:r>
      <w:r>
        <w:rPr>
          <w:rFonts w:ascii="Arial" w:cs="Arial" w:eastAsia="Arial" w:hAnsi="Arial"/>
          <w:sz w:val="17"/>
          <w:szCs w:val="17"/>
          <w:color w:val="auto"/>
        </w:rPr>
        <w:t>: Mr. Simmons became the President and CEO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Elanco in September 2018, after leading Lilly’s animal health business since 2008. During his tenure Elanco grew from a small business to one with more than $3 billion in annual revenue. This growth came from innovative new products providing strong organic growth and successfully integrating numerous acquired businesses, the largest being Novartis’s animal health business. Mr. Simmons' key accomplishments in 2017 included:</w:t>
      </w:r>
    </w:p>
    <w:p>
      <w:pPr>
        <w:spacing w:after="0" w:line="156" w:lineRule="exact"/>
        <w:rPr>
          <w:sz w:val="20"/>
          <w:szCs w:val="20"/>
          <w:color w:val="auto"/>
        </w:rPr>
      </w:pPr>
    </w:p>
    <w:p>
      <w:pPr>
        <w:ind w:left="660" w:right="640" w:hanging="328"/>
        <w:spacing w:after="0" w:line="262"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completion of several business development transactions, including the integration of Boehringer Ingelheim’s Vetmedica business into Elanco’s business operations</w:t>
      </w: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implementation of a broad productivity agenda that increased margins and operating income</w:t>
      </w:r>
    </w:p>
    <w:p>
      <w:pPr>
        <w:spacing w:after="0" w:line="7" w:lineRule="exact"/>
        <w:rPr>
          <w:rFonts w:ascii="Arial" w:cs="Arial" w:eastAsia="Arial" w:hAnsi="Arial"/>
          <w:sz w:val="17"/>
          <w:szCs w:val="17"/>
          <w:color w:val="auto"/>
        </w:rPr>
      </w:pPr>
    </w:p>
    <w:p>
      <w:pPr>
        <w:ind w:left="660" w:right="220" w:hanging="328"/>
        <w:spacing w:after="0" w:line="24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co-leadership of the Elanco strategic review, ultimately leading to the Elanco initial public offering in 2018, while ensuring strong operational performance of the business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launch of new products for food animals and companion animals that are expected to drive future growth</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improvements in operational performance across the Elanco business, including improving ethics and compliance processes.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Target Compensation</w:t>
      </w:r>
    </w:p>
    <w:p>
      <w:pPr>
        <w:spacing w:after="0" w:line="25" w:lineRule="exact"/>
        <w:rPr>
          <w:sz w:val="20"/>
          <w:szCs w:val="20"/>
          <w:color w:val="auto"/>
        </w:rPr>
      </w:pPr>
    </w:p>
    <w:p>
      <w:pPr>
        <w:ind w:right="620"/>
        <w:spacing w:after="0" w:line="265" w:lineRule="auto"/>
        <w:rPr>
          <w:sz w:val="20"/>
          <w:szCs w:val="20"/>
          <w:color w:val="auto"/>
        </w:rPr>
      </w:pPr>
      <w:r>
        <w:rPr>
          <w:rFonts w:ascii="Arial" w:cs="Arial" w:eastAsia="Arial" w:hAnsi="Arial"/>
          <w:sz w:val="17"/>
          <w:szCs w:val="17"/>
          <w:color w:val="auto"/>
        </w:rPr>
        <w:t>The information below reflects total compensation at target for named executive officers for 2018. The actual compensation received in 2018 is summarized below in "2018 Compensation Results."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Rationale for Changes to Named Executive Officer Target Compensation</w:t>
      </w:r>
    </w:p>
    <w:p>
      <w:pPr>
        <w:spacing w:after="0" w:line="25" w:lineRule="exact"/>
        <w:rPr>
          <w:sz w:val="20"/>
          <w:szCs w:val="20"/>
          <w:color w:val="auto"/>
        </w:rPr>
      </w:pPr>
    </w:p>
    <w:p>
      <w:pPr>
        <w:jc w:val="both"/>
        <w:ind w:right="580"/>
        <w:spacing w:after="0" w:line="256" w:lineRule="auto"/>
        <w:rPr>
          <w:sz w:val="20"/>
          <w:szCs w:val="20"/>
          <w:color w:val="auto"/>
        </w:rPr>
      </w:pPr>
      <w:r>
        <w:rPr>
          <w:rFonts w:ascii="Arial" w:cs="Arial" w:eastAsia="Arial" w:hAnsi="Arial"/>
          <w:sz w:val="17"/>
          <w:szCs w:val="17"/>
          <w:color w:val="auto"/>
        </w:rPr>
        <w:t>The Compensation Committee established 2018 target total compensation opportunities for each named executive officer based on the named executive officer's 2017 performance, internal relativity, and peer group data. For Mr. Smiley and Dr. Skovronsky, the Compensation Committee established initial pay based on market data and internal relativity.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Base Salary</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following table shows the approved annualized salary effective at the beginning of March for each named executive officer, except for Mr. Smiley, Dr. Skovronsky, and Mr. Simmons. Mr. Smiley’s salary is reflected as of January 1, 2018, when he became senior vice president and chief financial officer. Dr. Skovronsky’s salary is reflected as of June 1, 2018, when he became senior vice president and chief scientific officer. Mr. Simmons’ annual base salary was $688,118 from January 1, 2018 through September 19, 2018. When Mr. Simmons assumed his new responsibilities as the president, CEO and director of Elanco on September 20, 2018, his annual base salary was adjusted to $1,000,000 by the Elanco board of directors. Mr. Conterno’s base salary increase reflects his additional responsibility as head of Lilly USA and the importance of his leadership of the diabetes business unit and across the company. Each named executive officer's actual base salary earned during 2018 is reflected in the Summary Compensation Table in the "Executive Compensation" section of this proxy.</w:t>
      </w:r>
    </w:p>
    <w:p>
      <w:pPr>
        <w:spacing w:after="0" w:line="329"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132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Name</w:t>
            </w:r>
          </w:p>
        </w:tc>
        <w:tc>
          <w:tcPr>
            <w:tcW w:w="2360" w:type="dxa"/>
            <w:vAlign w:val="bottom"/>
            <w:shd w:val="clear" w:color="auto" w:fill="C8C9CB"/>
          </w:tcPr>
          <w:p>
            <w:pPr>
              <w:ind w:left="320"/>
              <w:spacing w:after="0"/>
              <w:rPr>
                <w:sz w:val="20"/>
                <w:szCs w:val="20"/>
                <w:color w:val="auto"/>
              </w:rPr>
            </w:pPr>
            <w:r>
              <w:rPr>
                <w:rFonts w:ascii="Arial" w:cs="Arial" w:eastAsia="Arial" w:hAnsi="Arial"/>
                <w:sz w:val="14"/>
                <w:szCs w:val="14"/>
                <w:b w:val="1"/>
                <w:bCs w:val="1"/>
                <w:color w:val="00ABE8"/>
              </w:rPr>
              <w:t>2017 Annual Base Salary</w:t>
            </w:r>
          </w:p>
        </w:tc>
        <w:tc>
          <w:tcPr>
            <w:tcW w:w="2380" w:type="dxa"/>
            <w:vAlign w:val="bottom"/>
            <w:shd w:val="clear" w:color="auto" w:fill="C8C9CB"/>
          </w:tcPr>
          <w:p>
            <w:pPr>
              <w:ind w:left="340"/>
              <w:spacing w:after="0"/>
              <w:rPr>
                <w:sz w:val="20"/>
                <w:szCs w:val="20"/>
                <w:color w:val="auto"/>
              </w:rPr>
            </w:pPr>
            <w:r>
              <w:rPr>
                <w:rFonts w:ascii="Arial" w:cs="Arial" w:eastAsia="Arial" w:hAnsi="Arial"/>
                <w:sz w:val="14"/>
                <w:szCs w:val="14"/>
                <w:b w:val="1"/>
                <w:bCs w:val="1"/>
                <w:color w:val="00ABE8"/>
              </w:rPr>
              <w:t>2018 Annual Base Salary</w:t>
            </w:r>
          </w:p>
        </w:tc>
        <w:tc>
          <w:tcPr>
            <w:tcW w:w="3460" w:type="dxa"/>
            <w:vAlign w:val="bottom"/>
            <w:shd w:val="clear" w:color="auto" w:fill="C8C9CB"/>
          </w:tcPr>
          <w:p>
            <w:pPr>
              <w:ind w:left="340"/>
              <w:spacing w:after="0"/>
              <w:rPr>
                <w:sz w:val="20"/>
                <w:szCs w:val="20"/>
                <w:color w:val="auto"/>
              </w:rPr>
            </w:pPr>
            <w:r>
              <w:rPr>
                <w:rFonts w:ascii="Arial" w:cs="Arial" w:eastAsia="Arial" w:hAnsi="Arial"/>
                <w:sz w:val="14"/>
                <w:szCs w:val="14"/>
                <w:b w:val="1"/>
                <w:bCs w:val="1"/>
                <w:color w:val="00ABE8"/>
              </w:rPr>
              <w:t>Increase (effective March 1, 2018)</w:t>
            </w:r>
          </w:p>
        </w:tc>
      </w:tr>
      <w:tr>
        <w:trPr>
          <w:trHeight w:val="208"/>
        </w:trPr>
        <w:tc>
          <w:tcPr>
            <w:tcW w:w="1320" w:type="dxa"/>
            <w:vAlign w:val="bottom"/>
          </w:tcPr>
          <w:p>
            <w:pPr>
              <w:ind w:left="20"/>
              <w:spacing w:after="0"/>
              <w:rPr>
                <w:sz w:val="20"/>
                <w:szCs w:val="20"/>
                <w:color w:val="auto"/>
              </w:rPr>
            </w:pPr>
            <w:r>
              <w:rPr>
                <w:rFonts w:ascii="Arial" w:cs="Arial" w:eastAsia="Arial" w:hAnsi="Arial"/>
                <w:sz w:val="14"/>
                <w:szCs w:val="14"/>
                <w:color w:val="auto"/>
              </w:rPr>
              <w:t>Mr. Ricks</w:t>
            </w:r>
          </w:p>
        </w:tc>
        <w:tc>
          <w:tcPr>
            <w:tcW w:w="2360" w:type="dxa"/>
            <w:vAlign w:val="bottom"/>
          </w:tcPr>
          <w:p>
            <w:pPr>
              <w:jc w:val="center"/>
              <w:ind w:left="531"/>
              <w:spacing w:after="0"/>
              <w:rPr>
                <w:sz w:val="20"/>
                <w:szCs w:val="20"/>
                <w:color w:val="auto"/>
              </w:rPr>
            </w:pPr>
            <w:r>
              <w:rPr>
                <w:rFonts w:ascii="Arial" w:cs="Arial" w:eastAsia="Arial" w:hAnsi="Arial"/>
                <w:sz w:val="14"/>
                <w:szCs w:val="14"/>
                <w:color w:val="auto"/>
                <w:w w:val="96"/>
              </w:rPr>
              <w:t>1,400,000</w:t>
            </w:r>
          </w:p>
        </w:tc>
        <w:tc>
          <w:tcPr>
            <w:tcW w:w="2380" w:type="dxa"/>
            <w:vAlign w:val="bottom"/>
          </w:tcPr>
          <w:p>
            <w:pPr>
              <w:jc w:val="center"/>
              <w:ind w:left="552"/>
              <w:spacing w:after="0"/>
              <w:rPr>
                <w:sz w:val="20"/>
                <w:szCs w:val="20"/>
                <w:color w:val="auto"/>
              </w:rPr>
            </w:pPr>
            <w:r>
              <w:rPr>
                <w:rFonts w:ascii="Arial" w:cs="Arial" w:eastAsia="Arial" w:hAnsi="Arial"/>
                <w:sz w:val="14"/>
                <w:szCs w:val="14"/>
                <w:color w:val="auto"/>
                <w:w w:val="96"/>
              </w:rPr>
              <w:t>$1,400,000</w:t>
            </w:r>
          </w:p>
        </w:tc>
        <w:tc>
          <w:tcPr>
            <w:tcW w:w="3460" w:type="dxa"/>
            <w:vAlign w:val="bottom"/>
          </w:tcPr>
          <w:p>
            <w:pPr>
              <w:jc w:val="center"/>
              <w:ind w:left="232"/>
              <w:spacing w:after="0"/>
              <w:rPr>
                <w:sz w:val="20"/>
                <w:szCs w:val="20"/>
                <w:color w:val="auto"/>
              </w:rPr>
            </w:pPr>
            <w:r>
              <w:rPr>
                <w:rFonts w:ascii="Arial" w:cs="Arial" w:eastAsia="Arial" w:hAnsi="Arial"/>
                <w:sz w:val="14"/>
                <w:szCs w:val="14"/>
                <w:color w:val="auto"/>
                <w:w w:val="84"/>
              </w:rPr>
              <w:t>-</w:t>
            </w:r>
          </w:p>
        </w:tc>
      </w:tr>
      <w:tr>
        <w:trPr>
          <w:trHeight w:val="238"/>
        </w:trPr>
        <w:tc>
          <w:tcPr>
            <w:tcW w:w="1320" w:type="dxa"/>
            <w:vAlign w:val="bottom"/>
          </w:tcPr>
          <w:p>
            <w:pPr>
              <w:ind w:left="20"/>
              <w:spacing w:after="0"/>
              <w:rPr>
                <w:sz w:val="20"/>
                <w:szCs w:val="20"/>
                <w:color w:val="auto"/>
              </w:rPr>
            </w:pPr>
            <w:r>
              <w:rPr>
                <w:rFonts w:ascii="Arial" w:cs="Arial" w:eastAsia="Arial" w:hAnsi="Arial"/>
                <w:sz w:val="14"/>
                <w:szCs w:val="14"/>
                <w:color w:val="auto"/>
              </w:rPr>
              <w:t>Mr. Smiley</w:t>
            </w:r>
          </w:p>
        </w:tc>
        <w:tc>
          <w:tcPr>
            <w:tcW w:w="2360" w:type="dxa"/>
            <w:vAlign w:val="bottom"/>
          </w:tcPr>
          <w:p>
            <w:pPr>
              <w:ind w:left="1340"/>
              <w:spacing w:after="0" w:line="238" w:lineRule="exact"/>
              <w:rPr>
                <w:sz w:val="20"/>
                <w:szCs w:val="20"/>
                <w:color w:val="auto"/>
              </w:rPr>
            </w:pPr>
            <w:r>
              <w:rPr>
                <w:rFonts w:ascii="Arial" w:cs="Arial" w:eastAsia="Arial" w:hAnsi="Arial"/>
                <w:sz w:val="14"/>
                <w:szCs w:val="14"/>
                <w:color w:val="auto"/>
              </w:rPr>
              <w:t>N/A</w:t>
            </w:r>
            <w:r>
              <w:rPr>
                <w:rFonts w:ascii="Arial" w:cs="Arial" w:eastAsia="Arial" w:hAnsi="Arial"/>
                <w:sz w:val="22"/>
                <w:szCs w:val="22"/>
                <w:color w:val="auto"/>
                <w:vertAlign w:val="superscript"/>
              </w:rPr>
              <w:t>1</w:t>
            </w:r>
          </w:p>
        </w:tc>
        <w:tc>
          <w:tcPr>
            <w:tcW w:w="2380" w:type="dxa"/>
            <w:vAlign w:val="bottom"/>
          </w:tcPr>
          <w:p>
            <w:pPr>
              <w:jc w:val="center"/>
              <w:ind w:left="552"/>
              <w:spacing w:after="0"/>
              <w:rPr>
                <w:sz w:val="20"/>
                <w:szCs w:val="20"/>
                <w:color w:val="auto"/>
              </w:rPr>
            </w:pPr>
            <w:r>
              <w:rPr>
                <w:rFonts w:ascii="Arial" w:cs="Arial" w:eastAsia="Arial" w:hAnsi="Arial"/>
                <w:sz w:val="14"/>
                <w:szCs w:val="14"/>
                <w:color w:val="auto"/>
                <w:w w:val="95"/>
              </w:rPr>
              <w:t>$875,000</w:t>
            </w:r>
          </w:p>
        </w:tc>
        <w:tc>
          <w:tcPr>
            <w:tcW w:w="3460" w:type="dxa"/>
            <w:vAlign w:val="bottom"/>
          </w:tcPr>
          <w:p>
            <w:pPr>
              <w:jc w:val="center"/>
              <w:ind w:left="232"/>
              <w:spacing w:after="0"/>
              <w:rPr>
                <w:sz w:val="20"/>
                <w:szCs w:val="20"/>
                <w:color w:val="auto"/>
              </w:rPr>
            </w:pPr>
            <w:r>
              <w:rPr>
                <w:rFonts w:ascii="Arial" w:cs="Arial" w:eastAsia="Arial" w:hAnsi="Arial"/>
                <w:sz w:val="14"/>
                <w:szCs w:val="14"/>
                <w:color w:val="auto"/>
                <w:w w:val="84"/>
              </w:rPr>
              <w:t>-</w:t>
            </w:r>
          </w:p>
        </w:tc>
      </w:tr>
      <w:tr>
        <w:trPr>
          <w:trHeight w:val="194"/>
        </w:trPr>
        <w:tc>
          <w:tcPr>
            <w:tcW w:w="1320" w:type="dxa"/>
            <w:vAlign w:val="bottom"/>
          </w:tcPr>
          <w:p>
            <w:pPr>
              <w:ind w:left="20"/>
              <w:spacing w:after="0"/>
              <w:rPr>
                <w:sz w:val="20"/>
                <w:szCs w:val="20"/>
                <w:color w:val="auto"/>
              </w:rPr>
            </w:pPr>
            <w:r>
              <w:rPr>
                <w:rFonts w:ascii="Arial" w:cs="Arial" w:eastAsia="Arial" w:hAnsi="Arial"/>
                <w:sz w:val="14"/>
                <w:szCs w:val="14"/>
                <w:color w:val="auto"/>
              </w:rPr>
              <w:t>Mr. Harrington</w:t>
            </w:r>
          </w:p>
        </w:tc>
        <w:tc>
          <w:tcPr>
            <w:tcW w:w="2360" w:type="dxa"/>
            <w:vAlign w:val="bottom"/>
          </w:tcPr>
          <w:p>
            <w:pPr>
              <w:jc w:val="center"/>
              <w:ind w:left="551"/>
              <w:spacing w:after="0"/>
              <w:rPr>
                <w:sz w:val="20"/>
                <w:szCs w:val="20"/>
                <w:color w:val="auto"/>
              </w:rPr>
            </w:pPr>
            <w:r>
              <w:rPr>
                <w:rFonts w:ascii="Arial" w:cs="Arial" w:eastAsia="Arial" w:hAnsi="Arial"/>
                <w:sz w:val="14"/>
                <w:szCs w:val="14"/>
                <w:color w:val="auto"/>
                <w:w w:val="99"/>
              </w:rPr>
              <w:t>$860,300</w:t>
            </w:r>
          </w:p>
        </w:tc>
        <w:tc>
          <w:tcPr>
            <w:tcW w:w="2380" w:type="dxa"/>
            <w:vAlign w:val="bottom"/>
          </w:tcPr>
          <w:p>
            <w:pPr>
              <w:jc w:val="center"/>
              <w:ind w:left="552"/>
              <w:spacing w:after="0"/>
              <w:rPr>
                <w:sz w:val="20"/>
                <w:szCs w:val="20"/>
                <w:color w:val="auto"/>
              </w:rPr>
            </w:pPr>
            <w:r>
              <w:rPr>
                <w:rFonts w:ascii="Arial" w:cs="Arial" w:eastAsia="Arial" w:hAnsi="Arial"/>
                <w:sz w:val="14"/>
                <w:szCs w:val="14"/>
                <w:color w:val="auto"/>
                <w:w w:val="95"/>
              </w:rPr>
              <w:t>$860,300</w:t>
            </w:r>
          </w:p>
        </w:tc>
        <w:tc>
          <w:tcPr>
            <w:tcW w:w="3460" w:type="dxa"/>
            <w:vAlign w:val="bottom"/>
          </w:tcPr>
          <w:p>
            <w:pPr>
              <w:jc w:val="center"/>
              <w:ind w:left="232"/>
              <w:spacing w:after="0"/>
              <w:rPr>
                <w:sz w:val="20"/>
                <w:szCs w:val="20"/>
                <w:color w:val="auto"/>
              </w:rPr>
            </w:pPr>
            <w:r>
              <w:rPr>
                <w:rFonts w:ascii="Arial" w:cs="Arial" w:eastAsia="Arial" w:hAnsi="Arial"/>
                <w:sz w:val="14"/>
                <w:szCs w:val="14"/>
                <w:color w:val="auto"/>
                <w:w w:val="84"/>
              </w:rPr>
              <w:t>-</w:t>
            </w:r>
          </w:p>
        </w:tc>
      </w:tr>
      <w:tr>
        <w:trPr>
          <w:trHeight w:val="216"/>
        </w:trPr>
        <w:tc>
          <w:tcPr>
            <w:tcW w:w="1320" w:type="dxa"/>
            <w:vAlign w:val="bottom"/>
          </w:tcPr>
          <w:p>
            <w:pPr>
              <w:ind w:left="20"/>
              <w:spacing w:after="0"/>
              <w:rPr>
                <w:sz w:val="20"/>
                <w:szCs w:val="20"/>
                <w:color w:val="auto"/>
              </w:rPr>
            </w:pPr>
            <w:r>
              <w:rPr>
                <w:rFonts w:ascii="Arial" w:cs="Arial" w:eastAsia="Arial" w:hAnsi="Arial"/>
                <w:sz w:val="14"/>
                <w:szCs w:val="14"/>
                <w:color w:val="auto"/>
              </w:rPr>
              <w:t>Mr. Conterno</w:t>
            </w:r>
          </w:p>
        </w:tc>
        <w:tc>
          <w:tcPr>
            <w:tcW w:w="2360" w:type="dxa"/>
            <w:vAlign w:val="bottom"/>
          </w:tcPr>
          <w:p>
            <w:pPr>
              <w:jc w:val="center"/>
              <w:ind w:left="551"/>
              <w:spacing w:after="0"/>
              <w:rPr>
                <w:sz w:val="20"/>
                <w:szCs w:val="20"/>
                <w:color w:val="auto"/>
              </w:rPr>
            </w:pPr>
            <w:r>
              <w:rPr>
                <w:rFonts w:ascii="Arial" w:cs="Arial" w:eastAsia="Arial" w:hAnsi="Arial"/>
                <w:sz w:val="14"/>
                <w:szCs w:val="14"/>
                <w:color w:val="auto"/>
                <w:w w:val="99"/>
              </w:rPr>
              <w:t>$768,100</w:t>
            </w:r>
          </w:p>
        </w:tc>
        <w:tc>
          <w:tcPr>
            <w:tcW w:w="2380" w:type="dxa"/>
            <w:vAlign w:val="bottom"/>
          </w:tcPr>
          <w:p>
            <w:pPr>
              <w:jc w:val="center"/>
              <w:ind w:left="552"/>
              <w:spacing w:after="0"/>
              <w:rPr>
                <w:sz w:val="20"/>
                <w:szCs w:val="20"/>
                <w:color w:val="auto"/>
              </w:rPr>
            </w:pPr>
            <w:r>
              <w:rPr>
                <w:rFonts w:ascii="Arial" w:cs="Arial" w:eastAsia="Arial" w:hAnsi="Arial"/>
                <w:sz w:val="14"/>
                <w:szCs w:val="14"/>
                <w:color w:val="auto"/>
                <w:w w:val="95"/>
              </w:rPr>
              <w:t>$800,000</w:t>
            </w:r>
          </w:p>
        </w:tc>
        <w:tc>
          <w:tcPr>
            <w:tcW w:w="3460" w:type="dxa"/>
            <w:vAlign w:val="bottom"/>
          </w:tcPr>
          <w:p>
            <w:pPr>
              <w:jc w:val="center"/>
              <w:ind w:left="232"/>
              <w:spacing w:after="0"/>
              <w:rPr>
                <w:sz w:val="20"/>
                <w:szCs w:val="20"/>
                <w:color w:val="auto"/>
              </w:rPr>
            </w:pPr>
            <w:r>
              <w:rPr>
                <w:rFonts w:ascii="Arial" w:cs="Arial" w:eastAsia="Arial" w:hAnsi="Arial"/>
                <w:sz w:val="14"/>
                <w:szCs w:val="14"/>
                <w:color w:val="auto"/>
                <w:w w:val="98"/>
              </w:rPr>
              <w:t>4%</w:t>
            </w:r>
          </w:p>
        </w:tc>
      </w:tr>
      <w:tr>
        <w:trPr>
          <w:trHeight w:val="344"/>
        </w:trPr>
        <w:tc>
          <w:tcPr>
            <w:tcW w:w="132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2360" w:type="dxa"/>
            <w:vAlign w:val="bottom"/>
          </w:tcPr>
          <w:p>
            <w:pPr>
              <w:ind w:left="1340"/>
              <w:spacing w:after="0"/>
              <w:rPr>
                <w:sz w:val="20"/>
                <w:szCs w:val="20"/>
                <w:color w:val="auto"/>
              </w:rPr>
            </w:pPr>
            <w:r>
              <w:rPr>
                <w:rFonts w:ascii="Arial" w:cs="Arial" w:eastAsia="Arial" w:hAnsi="Arial"/>
                <w:sz w:val="14"/>
                <w:szCs w:val="14"/>
                <w:color w:val="auto"/>
              </w:rPr>
              <w:t>N/A</w:t>
            </w:r>
            <w:r>
              <w:rPr>
                <w:rFonts w:ascii="Arial" w:cs="Arial" w:eastAsia="Arial" w:hAnsi="Arial"/>
                <w:sz w:val="23"/>
                <w:szCs w:val="23"/>
                <w:color w:val="auto"/>
                <w:vertAlign w:val="superscript"/>
              </w:rPr>
              <w:t>1</w:t>
            </w:r>
          </w:p>
        </w:tc>
        <w:tc>
          <w:tcPr>
            <w:tcW w:w="2380" w:type="dxa"/>
            <w:vAlign w:val="bottom"/>
          </w:tcPr>
          <w:p>
            <w:pPr>
              <w:jc w:val="center"/>
              <w:ind w:left="552"/>
              <w:spacing w:after="0"/>
              <w:rPr>
                <w:sz w:val="20"/>
                <w:szCs w:val="20"/>
                <w:color w:val="auto"/>
              </w:rPr>
            </w:pPr>
            <w:r>
              <w:rPr>
                <w:rFonts w:ascii="Arial" w:cs="Arial" w:eastAsia="Arial" w:hAnsi="Arial"/>
                <w:sz w:val="14"/>
                <w:szCs w:val="14"/>
                <w:color w:val="auto"/>
                <w:w w:val="95"/>
              </w:rPr>
              <w:t>$900,000</w:t>
            </w:r>
          </w:p>
        </w:tc>
        <w:tc>
          <w:tcPr>
            <w:tcW w:w="3460" w:type="dxa"/>
            <w:vAlign w:val="bottom"/>
          </w:tcPr>
          <w:p>
            <w:pPr>
              <w:jc w:val="center"/>
              <w:ind w:left="232"/>
              <w:spacing w:after="0"/>
              <w:rPr>
                <w:sz w:val="20"/>
                <w:szCs w:val="20"/>
                <w:color w:val="auto"/>
              </w:rPr>
            </w:pPr>
            <w:r>
              <w:rPr>
                <w:rFonts w:ascii="Arial" w:cs="Arial" w:eastAsia="Arial" w:hAnsi="Arial"/>
                <w:sz w:val="14"/>
                <w:szCs w:val="14"/>
                <w:color w:val="auto"/>
                <w:w w:val="84"/>
              </w:rPr>
              <w:t>-</w:t>
            </w:r>
          </w:p>
        </w:tc>
      </w:tr>
    </w:tbl>
    <w:p>
      <w:pPr>
        <w:ind w:left="1900" w:hanging="109"/>
        <w:spacing w:after="0" w:line="229" w:lineRule="auto"/>
        <w:tabs>
          <w:tab w:leader="none" w:pos="190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Mr. Smiley and Dr. Skovronsky became executive officers in 2018.</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Annual Cash Bonus Targets</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Based on a review of internal relativity, peer group data, and individual performance, the Compensation Committee decided to retain the same bonus targets for Mr. Ricks, Mr. Harrington, and Mr. Conterno as in 2017. Mr. Simmons’ bonus target was 80% from January 1, 2018 through September 19, 2018. When Mr. Simmons assumed his new responsibilities as the president, CEO, and director of Elanco on September 20, 2018, his bonus target was adjusted to 120% by the Elanco board of directors. Bonus targets are shown in the table below as a percentage of each named executive officer’s base salary earnings: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P41</w:t>
      </w:r>
    </w:p>
    <w:p>
      <w:pPr>
        <w:sectPr>
          <w:pgSz w:w="11900" w:h="16838" w:orient="portrait"/>
          <w:cols w:equalWidth="0" w:num="1">
            <w:col w:w="11400"/>
          </w:cols>
          <w:pgMar w:left="240" w:top="557" w:right="259" w:bottom="1440" w:gutter="0" w:footer="0" w:header="0"/>
        </w:sectPr>
      </w:pPr>
    </w:p>
    <w:bookmarkStart w:id="45" w:name="page46"/>
    <w:bookmarkEnd w:id="45"/>
    <w:tbl>
      <w:tblPr>
        <w:tblLayout w:type="fixed"/>
        <w:tblInd w:w="3000" w:type="dxa"/>
        <w:tblCellMar>
          <w:top w:w="0" w:type="dxa"/>
          <w:left w:w="0" w:type="dxa"/>
          <w:bottom w:w="0" w:type="dxa"/>
          <w:right w:w="0" w:type="dxa"/>
        </w:tblCellMar>
      </w:tblPr>
      <w:tr>
        <w:trPr>
          <w:trHeight w:val="216"/>
        </w:trPr>
        <w:tc>
          <w:tcPr>
            <w:tcW w:w="150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Name</w:t>
            </w:r>
          </w:p>
        </w:tc>
        <w:tc>
          <w:tcPr>
            <w:tcW w:w="2080" w:type="dxa"/>
            <w:vAlign w:val="bottom"/>
            <w:shd w:val="clear" w:color="auto" w:fill="C8C9CB"/>
          </w:tcPr>
          <w:p>
            <w:pPr>
              <w:jc w:val="center"/>
              <w:ind w:left="172"/>
              <w:spacing w:after="0"/>
              <w:rPr>
                <w:sz w:val="20"/>
                <w:szCs w:val="20"/>
                <w:color w:val="auto"/>
              </w:rPr>
            </w:pPr>
            <w:r>
              <w:rPr>
                <w:rFonts w:ascii="Arial" w:cs="Arial" w:eastAsia="Arial" w:hAnsi="Arial"/>
                <w:sz w:val="14"/>
                <w:szCs w:val="14"/>
                <w:b w:val="1"/>
                <w:bCs w:val="1"/>
                <w:color w:val="00ABE8"/>
              </w:rPr>
              <w:t>2017 Bonus Target</w:t>
            </w:r>
          </w:p>
        </w:tc>
        <w:tc>
          <w:tcPr>
            <w:tcW w:w="1860" w:type="dxa"/>
            <w:vAlign w:val="bottom"/>
            <w:shd w:val="clear" w:color="auto" w:fill="C8C9CB"/>
          </w:tcPr>
          <w:p>
            <w:pPr>
              <w:ind w:left="300"/>
              <w:spacing w:after="0"/>
              <w:rPr>
                <w:sz w:val="20"/>
                <w:szCs w:val="20"/>
                <w:color w:val="auto"/>
              </w:rPr>
            </w:pPr>
            <w:r>
              <w:rPr>
                <w:rFonts w:ascii="Arial" w:cs="Arial" w:eastAsia="Arial" w:hAnsi="Arial"/>
                <w:sz w:val="14"/>
                <w:szCs w:val="14"/>
                <w:b w:val="1"/>
                <w:bCs w:val="1"/>
                <w:color w:val="00ABE8"/>
              </w:rPr>
              <w:t>2018 Bonus Target</w:t>
            </w:r>
          </w:p>
        </w:tc>
      </w:tr>
      <w:tr>
        <w:trPr>
          <w:trHeight w:val="208"/>
        </w:trPr>
        <w:tc>
          <w:tcPr>
            <w:tcW w:w="1500" w:type="dxa"/>
            <w:vAlign w:val="bottom"/>
          </w:tcPr>
          <w:p>
            <w:pPr>
              <w:ind w:left="20"/>
              <w:spacing w:after="0"/>
              <w:rPr>
                <w:sz w:val="20"/>
                <w:szCs w:val="20"/>
                <w:color w:val="auto"/>
              </w:rPr>
            </w:pPr>
            <w:r>
              <w:rPr>
                <w:rFonts w:ascii="Arial" w:cs="Arial" w:eastAsia="Arial" w:hAnsi="Arial"/>
                <w:sz w:val="14"/>
                <w:szCs w:val="14"/>
                <w:color w:val="auto"/>
              </w:rPr>
              <w:t>Mr. Ricks</w:t>
            </w:r>
          </w:p>
        </w:tc>
        <w:tc>
          <w:tcPr>
            <w:tcW w:w="2080" w:type="dxa"/>
            <w:vAlign w:val="bottom"/>
          </w:tcPr>
          <w:p>
            <w:pPr>
              <w:jc w:val="center"/>
              <w:ind w:left="192"/>
              <w:spacing w:after="0"/>
              <w:rPr>
                <w:sz w:val="20"/>
                <w:szCs w:val="20"/>
                <w:color w:val="auto"/>
              </w:rPr>
            </w:pPr>
            <w:r>
              <w:rPr>
                <w:rFonts w:ascii="Arial" w:cs="Arial" w:eastAsia="Arial" w:hAnsi="Arial"/>
                <w:sz w:val="14"/>
                <w:szCs w:val="14"/>
                <w:color w:val="auto"/>
                <w:w w:val="94"/>
              </w:rPr>
              <w:t>150%</w:t>
            </w:r>
          </w:p>
        </w:tc>
        <w:tc>
          <w:tcPr>
            <w:tcW w:w="1860" w:type="dxa"/>
            <w:vAlign w:val="bottom"/>
          </w:tcPr>
          <w:p>
            <w:pPr>
              <w:jc w:val="center"/>
              <w:spacing w:after="0"/>
              <w:rPr>
                <w:sz w:val="20"/>
                <w:szCs w:val="20"/>
                <w:color w:val="auto"/>
              </w:rPr>
            </w:pPr>
            <w:r>
              <w:rPr>
                <w:rFonts w:ascii="Arial" w:cs="Arial" w:eastAsia="Arial" w:hAnsi="Arial"/>
                <w:sz w:val="14"/>
                <w:szCs w:val="14"/>
                <w:color w:val="auto"/>
                <w:w w:val="94"/>
              </w:rPr>
              <w:t>150%</w:t>
            </w:r>
          </w:p>
        </w:tc>
      </w:tr>
      <w:tr>
        <w:trPr>
          <w:trHeight w:val="238"/>
        </w:trPr>
        <w:tc>
          <w:tcPr>
            <w:tcW w:w="1500" w:type="dxa"/>
            <w:vAlign w:val="bottom"/>
          </w:tcPr>
          <w:p>
            <w:pPr>
              <w:ind w:left="20"/>
              <w:spacing w:after="0"/>
              <w:rPr>
                <w:sz w:val="20"/>
                <w:szCs w:val="20"/>
                <w:color w:val="auto"/>
              </w:rPr>
            </w:pPr>
            <w:r>
              <w:rPr>
                <w:rFonts w:ascii="Arial" w:cs="Arial" w:eastAsia="Arial" w:hAnsi="Arial"/>
                <w:sz w:val="14"/>
                <w:szCs w:val="14"/>
                <w:color w:val="auto"/>
              </w:rPr>
              <w:t>Mr. Smiley</w:t>
            </w:r>
          </w:p>
        </w:tc>
        <w:tc>
          <w:tcPr>
            <w:tcW w:w="2080" w:type="dxa"/>
            <w:vAlign w:val="bottom"/>
          </w:tcPr>
          <w:p>
            <w:pPr>
              <w:jc w:val="center"/>
              <w:ind w:left="192"/>
              <w:spacing w:after="0" w:line="238" w:lineRule="exact"/>
              <w:rPr>
                <w:sz w:val="20"/>
                <w:szCs w:val="20"/>
                <w:color w:val="auto"/>
              </w:rPr>
            </w:pPr>
            <w:r>
              <w:rPr>
                <w:rFonts w:ascii="Arial" w:cs="Arial" w:eastAsia="Arial" w:hAnsi="Arial"/>
                <w:sz w:val="14"/>
                <w:szCs w:val="14"/>
                <w:color w:val="auto"/>
                <w:w w:val="95"/>
              </w:rPr>
              <w:t>N/A</w:t>
            </w:r>
            <w:r>
              <w:rPr>
                <w:rFonts w:ascii="Arial" w:cs="Arial" w:eastAsia="Arial" w:hAnsi="Arial"/>
                <w:sz w:val="22"/>
                <w:szCs w:val="22"/>
                <w:color w:val="auto"/>
                <w:w w:val="95"/>
                <w:vertAlign w:val="superscript"/>
              </w:rPr>
              <w:t>1</w:t>
            </w:r>
          </w:p>
        </w:tc>
        <w:tc>
          <w:tcPr>
            <w:tcW w:w="1860" w:type="dxa"/>
            <w:vAlign w:val="bottom"/>
          </w:tcPr>
          <w:p>
            <w:pPr>
              <w:jc w:val="center"/>
              <w:spacing w:after="0"/>
              <w:rPr>
                <w:sz w:val="20"/>
                <w:szCs w:val="20"/>
                <w:color w:val="auto"/>
              </w:rPr>
            </w:pPr>
            <w:r>
              <w:rPr>
                <w:rFonts w:ascii="Arial" w:cs="Arial" w:eastAsia="Arial" w:hAnsi="Arial"/>
                <w:sz w:val="14"/>
                <w:szCs w:val="14"/>
                <w:color w:val="auto"/>
                <w:w w:val="92"/>
              </w:rPr>
              <w:t>95%</w:t>
            </w:r>
          </w:p>
        </w:tc>
      </w:tr>
      <w:tr>
        <w:trPr>
          <w:trHeight w:val="194"/>
        </w:trPr>
        <w:tc>
          <w:tcPr>
            <w:tcW w:w="1500" w:type="dxa"/>
            <w:vAlign w:val="bottom"/>
          </w:tcPr>
          <w:p>
            <w:pPr>
              <w:ind w:left="20"/>
              <w:spacing w:after="0"/>
              <w:rPr>
                <w:sz w:val="20"/>
                <w:szCs w:val="20"/>
                <w:color w:val="auto"/>
              </w:rPr>
            </w:pPr>
            <w:r>
              <w:rPr>
                <w:rFonts w:ascii="Arial" w:cs="Arial" w:eastAsia="Arial" w:hAnsi="Arial"/>
                <w:sz w:val="14"/>
                <w:szCs w:val="14"/>
                <w:color w:val="auto"/>
              </w:rPr>
              <w:t>Mr. Harrington</w:t>
            </w:r>
          </w:p>
        </w:tc>
        <w:tc>
          <w:tcPr>
            <w:tcW w:w="2080" w:type="dxa"/>
            <w:vAlign w:val="bottom"/>
          </w:tcPr>
          <w:p>
            <w:pPr>
              <w:jc w:val="center"/>
              <w:ind w:left="192"/>
              <w:spacing w:after="0"/>
              <w:rPr>
                <w:sz w:val="20"/>
                <w:szCs w:val="20"/>
                <w:color w:val="auto"/>
              </w:rPr>
            </w:pPr>
            <w:r>
              <w:rPr>
                <w:rFonts w:ascii="Arial" w:cs="Arial" w:eastAsia="Arial" w:hAnsi="Arial"/>
                <w:sz w:val="14"/>
                <w:szCs w:val="14"/>
                <w:color w:val="auto"/>
                <w:w w:val="92"/>
              </w:rPr>
              <w:t>80%</w:t>
            </w:r>
          </w:p>
        </w:tc>
        <w:tc>
          <w:tcPr>
            <w:tcW w:w="1860" w:type="dxa"/>
            <w:vAlign w:val="bottom"/>
          </w:tcPr>
          <w:p>
            <w:pPr>
              <w:jc w:val="center"/>
              <w:spacing w:after="0"/>
              <w:rPr>
                <w:sz w:val="20"/>
                <w:szCs w:val="20"/>
                <w:color w:val="auto"/>
              </w:rPr>
            </w:pPr>
            <w:r>
              <w:rPr>
                <w:rFonts w:ascii="Arial" w:cs="Arial" w:eastAsia="Arial" w:hAnsi="Arial"/>
                <w:sz w:val="14"/>
                <w:szCs w:val="14"/>
                <w:color w:val="auto"/>
                <w:w w:val="92"/>
              </w:rPr>
              <w:t>80%</w:t>
            </w:r>
          </w:p>
        </w:tc>
      </w:tr>
      <w:tr>
        <w:trPr>
          <w:trHeight w:val="216"/>
        </w:trPr>
        <w:tc>
          <w:tcPr>
            <w:tcW w:w="1500" w:type="dxa"/>
            <w:vAlign w:val="bottom"/>
          </w:tcPr>
          <w:p>
            <w:pPr>
              <w:ind w:left="20"/>
              <w:spacing w:after="0"/>
              <w:rPr>
                <w:sz w:val="20"/>
                <w:szCs w:val="20"/>
                <w:color w:val="auto"/>
              </w:rPr>
            </w:pPr>
            <w:r>
              <w:rPr>
                <w:rFonts w:ascii="Arial" w:cs="Arial" w:eastAsia="Arial" w:hAnsi="Arial"/>
                <w:sz w:val="14"/>
                <w:szCs w:val="14"/>
                <w:color w:val="auto"/>
              </w:rPr>
              <w:t>Mr. Conterno</w:t>
            </w:r>
          </w:p>
        </w:tc>
        <w:tc>
          <w:tcPr>
            <w:tcW w:w="2080" w:type="dxa"/>
            <w:vAlign w:val="bottom"/>
          </w:tcPr>
          <w:p>
            <w:pPr>
              <w:jc w:val="center"/>
              <w:ind w:left="192"/>
              <w:spacing w:after="0"/>
              <w:rPr>
                <w:sz w:val="20"/>
                <w:szCs w:val="20"/>
                <w:color w:val="auto"/>
              </w:rPr>
            </w:pPr>
            <w:r>
              <w:rPr>
                <w:rFonts w:ascii="Arial" w:cs="Arial" w:eastAsia="Arial" w:hAnsi="Arial"/>
                <w:sz w:val="14"/>
                <w:szCs w:val="14"/>
                <w:color w:val="auto"/>
                <w:w w:val="92"/>
              </w:rPr>
              <w:t>80%</w:t>
            </w:r>
          </w:p>
        </w:tc>
        <w:tc>
          <w:tcPr>
            <w:tcW w:w="1860" w:type="dxa"/>
            <w:vAlign w:val="bottom"/>
          </w:tcPr>
          <w:p>
            <w:pPr>
              <w:jc w:val="center"/>
              <w:spacing w:after="0"/>
              <w:rPr>
                <w:sz w:val="20"/>
                <w:szCs w:val="20"/>
                <w:color w:val="auto"/>
              </w:rPr>
            </w:pPr>
            <w:r>
              <w:rPr>
                <w:rFonts w:ascii="Arial" w:cs="Arial" w:eastAsia="Arial" w:hAnsi="Arial"/>
                <w:sz w:val="14"/>
                <w:szCs w:val="14"/>
                <w:color w:val="auto"/>
                <w:w w:val="92"/>
              </w:rPr>
              <w:t>80%</w:t>
            </w:r>
          </w:p>
        </w:tc>
      </w:tr>
      <w:tr>
        <w:trPr>
          <w:trHeight w:val="332"/>
        </w:trPr>
        <w:tc>
          <w:tcPr>
            <w:tcW w:w="150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2080" w:type="dxa"/>
            <w:vAlign w:val="bottom"/>
          </w:tcPr>
          <w:p>
            <w:pPr>
              <w:jc w:val="center"/>
              <w:ind w:left="192"/>
              <w:spacing w:after="0"/>
              <w:rPr>
                <w:sz w:val="20"/>
                <w:szCs w:val="20"/>
                <w:color w:val="auto"/>
              </w:rPr>
            </w:pPr>
            <w:r>
              <w:rPr>
                <w:rFonts w:ascii="Arial" w:cs="Arial" w:eastAsia="Arial" w:hAnsi="Arial"/>
                <w:sz w:val="14"/>
                <w:szCs w:val="14"/>
                <w:color w:val="auto"/>
                <w:w w:val="95"/>
              </w:rPr>
              <w:t>N/A</w:t>
            </w:r>
            <w:r>
              <w:rPr>
                <w:rFonts w:ascii="Arial" w:cs="Arial" w:eastAsia="Arial" w:hAnsi="Arial"/>
                <w:sz w:val="22"/>
                <w:szCs w:val="22"/>
                <w:color w:val="auto"/>
                <w:w w:val="95"/>
                <w:vertAlign w:val="superscript"/>
              </w:rPr>
              <w:t>1</w:t>
            </w:r>
          </w:p>
        </w:tc>
        <w:tc>
          <w:tcPr>
            <w:tcW w:w="1860" w:type="dxa"/>
            <w:vAlign w:val="bottom"/>
          </w:tcPr>
          <w:p>
            <w:pPr>
              <w:jc w:val="center"/>
              <w:spacing w:after="0"/>
              <w:rPr>
                <w:sz w:val="20"/>
                <w:szCs w:val="20"/>
                <w:color w:val="auto"/>
              </w:rPr>
            </w:pPr>
            <w:r>
              <w:rPr>
                <w:rFonts w:ascii="Arial" w:cs="Arial" w:eastAsia="Arial" w:hAnsi="Arial"/>
                <w:sz w:val="14"/>
                <w:szCs w:val="14"/>
                <w:color w:val="auto"/>
                <w:w w:val="92"/>
              </w:rPr>
              <w:t>95%</w:t>
            </w:r>
          </w:p>
        </w:tc>
      </w:tr>
    </w:tbl>
    <w:p>
      <w:pPr>
        <w:ind w:left="1900" w:hanging="109"/>
        <w:spacing w:after="0" w:line="204" w:lineRule="auto"/>
        <w:tabs>
          <w:tab w:leader="none" w:pos="190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Mr. Smiley and Dr. Skovronsky became executive officers in 2018.</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Equity Incentives - Target Grant Values</w:t>
      </w:r>
    </w:p>
    <w:p>
      <w:pPr>
        <w:spacing w:after="0" w:line="16"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For 2018 equity grants, the Compensation Committee set the total target values for named executive officers based on peer group data, individual performance, and internal relativity. Named executive officers, except Dr. Skovronsky, have 60 percent of their equity target allocated to shareholder value awards and 40 percent to performance awards. Because Dr. Skovronsky was not an executive officer at the time of annual grants, 50 percent of his equity target was allocated to shareholder value awards and 50 percent was allocated to performance awards. Total target values for the 2017 and 2018 equity grants to the named executive officers were as follows:</w:t>
      </w:r>
    </w:p>
    <w:p>
      <w:pPr>
        <w:spacing w:after="0" w:line="336" w:lineRule="exact"/>
        <w:rPr>
          <w:sz w:val="20"/>
          <w:szCs w:val="20"/>
          <w:color w:val="auto"/>
        </w:rPr>
      </w:pPr>
    </w:p>
    <w:tbl>
      <w:tblPr>
        <w:tblLayout w:type="fixed"/>
        <w:tblInd w:w="2500" w:type="dxa"/>
        <w:tblCellMar>
          <w:top w:w="0" w:type="dxa"/>
          <w:left w:w="0" w:type="dxa"/>
          <w:bottom w:w="0" w:type="dxa"/>
          <w:right w:w="0" w:type="dxa"/>
        </w:tblCellMar>
      </w:tblPr>
      <w:tr>
        <w:trPr>
          <w:trHeight w:val="264"/>
        </w:trPr>
        <w:tc>
          <w:tcPr>
            <w:tcW w:w="198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Name</w:t>
            </w:r>
          </w:p>
        </w:tc>
        <w:tc>
          <w:tcPr>
            <w:tcW w:w="2140" w:type="dxa"/>
            <w:vAlign w:val="bottom"/>
            <w:shd w:val="clear" w:color="auto" w:fill="C8C9CB"/>
          </w:tcPr>
          <w:p>
            <w:pPr>
              <w:jc w:val="center"/>
              <w:ind w:right="32"/>
              <w:spacing w:after="0"/>
              <w:rPr>
                <w:sz w:val="20"/>
                <w:szCs w:val="20"/>
                <w:color w:val="auto"/>
              </w:rPr>
            </w:pPr>
            <w:r>
              <w:rPr>
                <w:rFonts w:ascii="Arial" w:cs="Arial" w:eastAsia="Arial" w:hAnsi="Arial"/>
                <w:sz w:val="14"/>
                <w:szCs w:val="14"/>
                <w:b w:val="1"/>
                <w:bCs w:val="1"/>
                <w:color w:val="00ABE8"/>
              </w:rPr>
              <w:t>2017 Annual Equity Grant</w:t>
            </w:r>
          </w:p>
        </w:tc>
        <w:tc>
          <w:tcPr>
            <w:tcW w:w="232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2018 Annual Equity Grant</w:t>
            </w:r>
            <w:r>
              <w:rPr>
                <w:rFonts w:ascii="Arial" w:cs="Arial" w:eastAsia="Arial" w:hAnsi="Arial"/>
                <w:sz w:val="23"/>
                <w:szCs w:val="23"/>
                <w:b w:val="1"/>
                <w:bCs w:val="1"/>
                <w:color w:val="00ABE8"/>
                <w:vertAlign w:val="superscript"/>
              </w:rPr>
              <w:t>2</w:t>
            </w:r>
          </w:p>
        </w:tc>
      </w:tr>
      <w:tr>
        <w:trPr>
          <w:trHeight w:val="191"/>
        </w:trPr>
        <w:tc>
          <w:tcPr>
            <w:tcW w:w="1980" w:type="dxa"/>
            <w:vAlign w:val="bottom"/>
          </w:tcPr>
          <w:p>
            <w:pPr>
              <w:jc w:val="right"/>
              <w:ind w:right="70"/>
              <w:spacing w:after="0"/>
              <w:rPr>
                <w:sz w:val="20"/>
                <w:szCs w:val="20"/>
                <w:color w:val="auto"/>
              </w:rPr>
            </w:pPr>
            <w:r>
              <w:rPr>
                <w:rFonts w:ascii="Arial" w:cs="Arial" w:eastAsia="Arial" w:hAnsi="Arial"/>
                <w:sz w:val="14"/>
                <w:szCs w:val="14"/>
                <w:color w:val="auto"/>
              </w:rPr>
              <w:t>Mr. Ricks</w:t>
            </w:r>
          </w:p>
        </w:tc>
        <w:tc>
          <w:tcPr>
            <w:tcW w:w="2140" w:type="dxa"/>
            <w:vAlign w:val="bottom"/>
          </w:tcPr>
          <w:p>
            <w:pPr>
              <w:jc w:val="center"/>
              <w:ind w:right="32"/>
              <w:spacing w:after="0"/>
              <w:rPr>
                <w:sz w:val="20"/>
                <w:szCs w:val="20"/>
                <w:color w:val="auto"/>
              </w:rPr>
            </w:pPr>
            <w:r>
              <w:rPr>
                <w:rFonts w:ascii="Arial" w:cs="Arial" w:eastAsia="Arial" w:hAnsi="Arial"/>
                <w:sz w:val="14"/>
                <w:szCs w:val="14"/>
                <w:color w:val="auto"/>
                <w:w w:val="96"/>
              </w:rPr>
              <w:t>$8,500,000</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$9,000,000</w:t>
            </w:r>
          </w:p>
        </w:tc>
      </w:tr>
      <w:tr>
        <w:trPr>
          <w:trHeight w:val="225"/>
        </w:trPr>
        <w:tc>
          <w:tcPr>
            <w:tcW w:w="1980" w:type="dxa"/>
            <w:vAlign w:val="bottom"/>
          </w:tcPr>
          <w:p>
            <w:pPr>
              <w:jc w:val="right"/>
              <w:ind w:right="90"/>
              <w:spacing w:after="0"/>
              <w:rPr>
                <w:sz w:val="20"/>
                <w:szCs w:val="20"/>
                <w:color w:val="auto"/>
              </w:rPr>
            </w:pPr>
            <w:r>
              <w:rPr>
                <w:rFonts w:ascii="Arial" w:cs="Arial" w:eastAsia="Arial" w:hAnsi="Arial"/>
                <w:sz w:val="14"/>
                <w:szCs w:val="14"/>
                <w:color w:val="auto"/>
              </w:rPr>
              <w:t>Mr. Smiley</w:t>
            </w:r>
          </w:p>
        </w:tc>
        <w:tc>
          <w:tcPr>
            <w:tcW w:w="2140" w:type="dxa"/>
            <w:vAlign w:val="bottom"/>
          </w:tcPr>
          <w:p>
            <w:pPr>
              <w:jc w:val="center"/>
              <w:ind w:right="32"/>
              <w:spacing w:after="0" w:line="225" w:lineRule="exact"/>
              <w:rPr>
                <w:sz w:val="20"/>
                <w:szCs w:val="20"/>
                <w:color w:val="auto"/>
              </w:rPr>
            </w:pPr>
            <w:r>
              <w:rPr>
                <w:rFonts w:ascii="Arial" w:cs="Arial" w:eastAsia="Arial" w:hAnsi="Arial"/>
                <w:sz w:val="14"/>
                <w:szCs w:val="14"/>
                <w:color w:val="auto"/>
                <w:w w:val="88"/>
              </w:rPr>
              <w:t>N/A</w:t>
            </w:r>
            <w:r>
              <w:rPr>
                <w:rFonts w:ascii="Arial" w:cs="Arial" w:eastAsia="Arial" w:hAnsi="Arial"/>
                <w:sz w:val="22"/>
                <w:szCs w:val="22"/>
                <w:color w:val="auto"/>
                <w:w w:val="88"/>
                <w:vertAlign w:val="superscript"/>
              </w:rPr>
              <w:t>1</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$2,300,000</w:t>
            </w:r>
          </w:p>
        </w:tc>
      </w:tr>
      <w:tr>
        <w:trPr>
          <w:trHeight w:val="180"/>
        </w:trPr>
        <w:tc>
          <w:tcPr>
            <w:tcW w:w="1980" w:type="dxa"/>
            <w:vAlign w:val="bottom"/>
          </w:tcPr>
          <w:p>
            <w:pPr>
              <w:jc w:val="right"/>
              <w:ind w:right="90"/>
              <w:spacing w:after="0"/>
              <w:rPr>
                <w:sz w:val="20"/>
                <w:szCs w:val="20"/>
                <w:color w:val="auto"/>
              </w:rPr>
            </w:pPr>
            <w:r>
              <w:rPr>
                <w:rFonts w:ascii="Arial" w:cs="Arial" w:eastAsia="Arial" w:hAnsi="Arial"/>
                <w:sz w:val="14"/>
                <w:szCs w:val="14"/>
                <w:color w:val="auto"/>
              </w:rPr>
              <w:t>Mr. Harrington</w:t>
            </w:r>
          </w:p>
        </w:tc>
        <w:tc>
          <w:tcPr>
            <w:tcW w:w="2140" w:type="dxa"/>
            <w:vAlign w:val="bottom"/>
          </w:tcPr>
          <w:p>
            <w:pPr>
              <w:jc w:val="center"/>
              <w:ind w:right="32"/>
              <w:spacing w:after="0"/>
              <w:rPr>
                <w:sz w:val="20"/>
                <w:szCs w:val="20"/>
                <w:color w:val="auto"/>
              </w:rPr>
            </w:pPr>
            <w:r>
              <w:rPr>
                <w:rFonts w:ascii="Arial" w:cs="Arial" w:eastAsia="Arial" w:hAnsi="Arial"/>
                <w:sz w:val="14"/>
                <w:szCs w:val="14"/>
                <w:color w:val="auto"/>
                <w:w w:val="96"/>
              </w:rPr>
              <w:t>$2,300,000</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$2,550,000</w:t>
            </w:r>
          </w:p>
        </w:tc>
      </w:tr>
      <w:tr>
        <w:trPr>
          <w:trHeight w:val="220"/>
        </w:trPr>
        <w:tc>
          <w:tcPr>
            <w:tcW w:w="1980" w:type="dxa"/>
            <w:vAlign w:val="bottom"/>
          </w:tcPr>
          <w:p>
            <w:pPr>
              <w:ind w:left="20"/>
              <w:spacing w:after="0"/>
              <w:rPr>
                <w:sz w:val="20"/>
                <w:szCs w:val="20"/>
                <w:color w:val="auto"/>
              </w:rPr>
            </w:pPr>
            <w:r>
              <w:rPr>
                <w:rFonts w:ascii="Arial" w:cs="Arial" w:eastAsia="Arial" w:hAnsi="Arial"/>
                <w:sz w:val="14"/>
                <w:szCs w:val="14"/>
                <w:color w:val="auto"/>
              </w:rPr>
              <w:t>Mr. Conterno</w:t>
            </w:r>
          </w:p>
        </w:tc>
        <w:tc>
          <w:tcPr>
            <w:tcW w:w="2140" w:type="dxa"/>
            <w:vAlign w:val="bottom"/>
          </w:tcPr>
          <w:p>
            <w:pPr>
              <w:jc w:val="center"/>
              <w:ind w:right="32"/>
              <w:spacing w:after="0"/>
              <w:rPr>
                <w:sz w:val="20"/>
                <w:szCs w:val="20"/>
                <w:color w:val="auto"/>
              </w:rPr>
            </w:pPr>
            <w:r>
              <w:rPr>
                <w:rFonts w:ascii="Arial" w:cs="Arial" w:eastAsia="Arial" w:hAnsi="Arial"/>
                <w:sz w:val="14"/>
                <w:szCs w:val="14"/>
                <w:color w:val="auto"/>
                <w:w w:val="96"/>
              </w:rPr>
              <w:t>$2,500,000</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$2,600,000</w:t>
            </w:r>
          </w:p>
        </w:tc>
      </w:tr>
      <w:tr>
        <w:trPr>
          <w:trHeight w:val="238"/>
        </w:trPr>
        <w:tc>
          <w:tcPr>
            <w:tcW w:w="198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2140" w:type="dxa"/>
            <w:vAlign w:val="bottom"/>
          </w:tcPr>
          <w:p>
            <w:pPr>
              <w:jc w:val="center"/>
              <w:ind w:right="32"/>
              <w:spacing w:after="0" w:line="238" w:lineRule="exact"/>
              <w:rPr>
                <w:sz w:val="20"/>
                <w:szCs w:val="20"/>
                <w:color w:val="auto"/>
              </w:rPr>
            </w:pPr>
            <w:r>
              <w:rPr>
                <w:rFonts w:ascii="Arial" w:cs="Arial" w:eastAsia="Arial" w:hAnsi="Arial"/>
                <w:sz w:val="14"/>
                <w:szCs w:val="14"/>
                <w:color w:val="auto"/>
                <w:w w:val="88"/>
              </w:rPr>
              <w:t>N/A</w:t>
            </w:r>
            <w:r>
              <w:rPr>
                <w:rFonts w:ascii="Arial" w:cs="Arial" w:eastAsia="Arial" w:hAnsi="Arial"/>
                <w:sz w:val="22"/>
                <w:szCs w:val="22"/>
                <w:color w:val="auto"/>
                <w:w w:val="88"/>
                <w:vertAlign w:val="superscript"/>
              </w:rPr>
              <w:t>1</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$2,300,000</w:t>
            </w:r>
          </w:p>
        </w:tc>
      </w:tr>
      <w:tr>
        <w:trPr>
          <w:trHeight w:val="194"/>
        </w:trPr>
        <w:tc>
          <w:tcPr>
            <w:tcW w:w="1980" w:type="dxa"/>
            <w:vAlign w:val="bottom"/>
          </w:tcPr>
          <w:p>
            <w:pPr>
              <w:ind w:left="20"/>
              <w:spacing w:after="0"/>
              <w:rPr>
                <w:sz w:val="20"/>
                <w:szCs w:val="20"/>
                <w:color w:val="auto"/>
              </w:rPr>
            </w:pPr>
            <w:r>
              <w:rPr>
                <w:rFonts w:ascii="Arial" w:cs="Arial" w:eastAsia="Arial" w:hAnsi="Arial"/>
                <w:sz w:val="14"/>
                <w:szCs w:val="14"/>
                <w:color w:val="auto"/>
              </w:rPr>
              <w:t>Mr. Simmons*</w:t>
            </w:r>
          </w:p>
        </w:tc>
        <w:tc>
          <w:tcPr>
            <w:tcW w:w="2140" w:type="dxa"/>
            <w:vAlign w:val="bottom"/>
          </w:tcPr>
          <w:p>
            <w:pPr>
              <w:jc w:val="center"/>
              <w:ind w:right="32"/>
              <w:spacing w:after="0"/>
              <w:rPr>
                <w:sz w:val="20"/>
                <w:szCs w:val="20"/>
                <w:color w:val="auto"/>
              </w:rPr>
            </w:pPr>
            <w:r>
              <w:rPr>
                <w:rFonts w:ascii="Arial" w:cs="Arial" w:eastAsia="Arial" w:hAnsi="Arial"/>
                <w:sz w:val="14"/>
                <w:szCs w:val="14"/>
                <w:color w:val="auto"/>
              </w:rPr>
              <w:t>N/A</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$1,200,000</w:t>
            </w:r>
          </w:p>
        </w:tc>
      </w:tr>
    </w:tbl>
    <w:p>
      <w:pPr>
        <w:spacing w:after="0" w:line="170" w:lineRule="exact"/>
        <w:rPr>
          <w:sz w:val="20"/>
          <w:szCs w:val="20"/>
          <w:color w:val="auto"/>
        </w:rPr>
      </w:pPr>
    </w:p>
    <w:p>
      <w:pPr>
        <w:ind w:left="1900" w:hanging="109"/>
        <w:spacing w:after="0"/>
        <w:tabs>
          <w:tab w:leader="none" w:pos="190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Mr. Smiley and Dr. Skovronsky became executive officers in 2018.</w:t>
      </w:r>
    </w:p>
    <w:p>
      <w:pPr>
        <w:spacing w:after="0" w:line="34" w:lineRule="exact"/>
        <w:rPr>
          <w:sz w:val="20"/>
          <w:szCs w:val="20"/>
          <w:color w:val="auto"/>
        </w:rPr>
      </w:pPr>
    </w:p>
    <w:p>
      <w:pPr>
        <w:ind w:left="1880" w:hanging="89"/>
        <w:spacing w:after="0"/>
        <w:tabs>
          <w:tab w:leader="none" w:pos="188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Mr. Simmons’ 2018 annual equity grant from Lilly was $1,200,000; this amount excludes the</w:t>
      </w:r>
    </w:p>
    <w:p>
      <w:pPr>
        <w:ind w:left="1880"/>
        <w:spacing w:after="0"/>
        <w:rPr>
          <w:rFonts w:ascii="Arial" w:cs="Arial" w:eastAsia="Arial" w:hAnsi="Arial"/>
          <w:sz w:val="24"/>
          <w:szCs w:val="24"/>
          <w:color w:val="auto"/>
          <w:vertAlign w:val="superscript"/>
        </w:rPr>
      </w:pPr>
      <w:r>
        <w:rPr>
          <w:rFonts w:ascii="Arial" w:cs="Arial" w:eastAsia="Arial" w:hAnsi="Arial"/>
          <w:sz w:val="14"/>
          <w:szCs w:val="14"/>
          <w:color w:val="auto"/>
        </w:rPr>
        <w:t>founders’ awards Mr. Simmons received as part of the Elanco initial public offering as described in the "Grants</w:t>
      </w:r>
    </w:p>
    <w:p>
      <w:pPr>
        <w:spacing w:after="0" w:line="1" w:lineRule="exact"/>
        <w:rPr>
          <w:rFonts w:ascii="Arial" w:cs="Arial" w:eastAsia="Arial" w:hAnsi="Arial"/>
          <w:sz w:val="24"/>
          <w:szCs w:val="24"/>
          <w:color w:val="auto"/>
          <w:vertAlign w:val="superscript"/>
        </w:rPr>
      </w:pPr>
    </w:p>
    <w:p>
      <w:pPr>
        <w:ind w:left="1880"/>
        <w:spacing w:after="0" w:line="264" w:lineRule="auto"/>
        <w:rPr>
          <w:rFonts w:ascii="Arial" w:cs="Arial" w:eastAsia="Arial" w:hAnsi="Arial"/>
          <w:sz w:val="24"/>
          <w:szCs w:val="24"/>
          <w:color w:val="auto"/>
          <w:vertAlign w:val="superscript"/>
        </w:rPr>
      </w:pPr>
      <w:r>
        <w:rPr>
          <w:rFonts w:ascii="Arial" w:cs="Arial" w:eastAsia="Arial" w:hAnsi="Arial"/>
          <w:sz w:val="14"/>
          <w:szCs w:val="14"/>
          <w:color w:val="auto"/>
        </w:rPr>
        <w:t>of Plan-Based Awards During 2018" table below. Mr. Simmons' annual equity grants from Lilly will terminate in accordance with their teams when Lilly divests its remaining interest in Elanco.</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Goals for 2018 Incentive Programs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Annual Cash Bonus Goals</w:t>
      </w:r>
    </w:p>
    <w:p>
      <w:pPr>
        <w:spacing w:after="0" w:line="4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Compensation Committee established the company performance targets using the company's 2018 corporate operating plan, which was approved by the Board of Directors in 2017. These targets are described below under "2018 Compensation Results." Management established the Elanco bonus plan performance targets, and Mr. Simmons’ bonus plan alignment, which was approved by the Compensation Committee in 2017 and later approved by the Elanco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2018-2020 Performance Award</w:t>
      </w:r>
    </w:p>
    <w:p>
      <w:pPr>
        <w:spacing w:after="0" w:line="31" w:lineRule="exact"/>
        <w:rPr>
          <w:sz w:val="20"/>
          <w:szCs w:val="20"/>
          <w:color w:val="auto"/>
        </w:rPr>
      </w:pPr>
    </w:p>
    <w:p>
      <w:pPr>
        <w:jc w:val="both"/>
        <w:ind w:right="140"/>
        <w:spacing w:after="0" w:line="256" w:lineRule="auto"/>
        <w:rPr>
          <w:sz w:val="20"/>
          <w:szCs w:val="20"/>
          <w:color w:val="auto"/>
        </w:rPr>
      </w:pPr>
      <w:r>
        <w:rPr>
          <w:rFonts w:ascii="Arial" w:cs="Arial" w:eastAsia="Arial" w:hAnsi="Arial"/>
          <w:sz w:val="17"/>
          <w:szCs w:val="17"/>
          <w:color w:val="auto"/>
        </w:rPr>
        <w:t>In February 2018, the Compensation Committee established a compounded two-year EPS growth target of 8.1 percent per year based on investment analysts’ EPS growth estimates for our peer group companies at that time. Payouts for the 2018-2020 performance award could range from 0 to 150 percent of target, as shown below:</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P42</w:t>
      </w:r>
    </w:p>
    <w:p>
      <w:pPr>
        <w:sectPr>
          <w:pgSz w:w="11900" w:h="16838" w:orient="portrait"/>
          <w:cols w:equalWidth="0" w:num="1">
            <w:col w:w="11420"/>
          </w:cols>
          <w:pgMar w:left="240" w:top="720" w:right="239" w:bottom="1440" w:gutter="0" w:footer="0" w:header="0"/>
        </w:sectPr>
      </w:pPr>
    </w:p>
    <w:bookmarkStart w:id="46" w:name="page47"/>
    <w:bookmarkEnd w:id="46"/>
    <w:p>
      <w:pPr>
        <w:ind w:left="3760"/>
        <w:spacing w:after="0"/>
        <w:rPr>
          <w:sz w:val="20"/>
          <w:szCs w:val="20"/>
          <w:color w:val="auto"/>
        </w:rPr>
      </w:pPr>
      <w:r>
        <w:rPr>
          <w:rFonts w:ascii="Arial" w:cs="Arial" w:eastAsia="Arial" w:hAnsi="Arial"/>
          <w:sz w:val="14"/>
          <w:szCs w:val="14"/>
          <w:color w:val="auto"/>
        </w:rPr>
        <w:t>50%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77470</wp:posOffset>
            </wp:positionV>
            <wp:extent cx="107188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71880" cy="137160"/>
                    </a:xfrm>
                    <a:prstGeom prst="rect">
                      <a:avLst/>
                    </a:prstGeom>
                    <a:noFill/>
                  </pic:spPr>
                </pic:pic>
              </a:graphicData>
            </a:graphic>
          </wp:anchor>
        </w:drawing>
      </w:r>
    </w:p>
    <w:p>
      <w:pPr>
        <w:spacing w:after="0" w:line="209" w:lineRule="exact"/>
        <w:rPr>
          <w:sz w:val="20"/>
          <w:szCs w:val="20"/>
          <w:color w:val="auto"/>
        </w:rPr>
      </w:pPr>
    </w:p>
    <w:tbl>
      <w:tblPr>
        <w:tblLayout w:type="fixed"/>
        <w:tblInd w:w="1660" w:type="dxa"/>
        <w:tblCellMar>
          <w:top w:w="0" w:type="dxa"/>
          <w:left w:w="0" w:type="dxa"/>
          <w:bottom w:w="0" w:type="dxa"/>
          <w:right w:w="0" w:type="dxa"/>
        </w:tblCellMar>
      </w:tblPr>
      <w:tr>
        <w:trPr>
          <w:trHeight w:val="202"/>
        </w:trPr>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ind w:left="380"/>
              <w:spacing w:after="0"/>
              <w:rPr>
                <w:sz w:val="20"/>
                <w:szCs w:val="20"/>
                <w:color w:val="auto"/>
              </w:rPr>
            </w:pPr>
            <w:r>
              <w:rPr>
                <w:rFonts w:ascii="Arial" w:cs="Arial" w:eastAsia="Arial" w:hAnsi="Arial"/>
                <w:sz w:val="14"/>
                <w:szCs w:val="14"/>
                <w:b w:val="1"/>
                <w:bCs w:val="1"/>
                <w:color w:val="auto"/>
              </w:rPr>
              <w:t>Target</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4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Payout Multiple</w:t>
            </w:r>
          </w:p>
        </w:tc>
        <w:tc>
          <w:tcPr>
            <w:tcW w:w="240" w:type="dxa"/>
            <w:vAlign w:val="bottom"/>
            <w:tcBorders>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440" w:type="dxa"/>
            <w:vAlign w:val="bottom"/>
            <w:vMerge w:val="continue"/>
          </w:tcPr>
          <w:p>
            <w:pPr>
              <w:spacing w:after="0"/>
              <w:rPr>
                <w:sz w:val="23"/>
                <w:szCs w:val="23"/>
                <w:color w:val="auto"/>
              </w:rPr>
            </w:pPr>
          </w:p>
        </w:tc>
        <w:tc>
          <w:tcPr>
            <w:tcW w:w="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0.00</w:t>
            </w:r>
          </w:p>
        </w:tc>
        <w:tc>
          <w:tcPr>
            <w:tcW w:w="8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gridSpan w:val="2"/>
          </w:tcPr>
          <w:p>
            <w:pPr>
              <w:jc w:val="center"/>
              <w:ind w:left="828"/>
              <w:spacing w:after="0"/>
              <w:rPr>
                <w:sz w:val="20"/>
                <w:szCs w:val="20"/>
                <w:color w:val="auto"/>
              </w:rPr>
            </w:pPr>
            <w:r>
              <w:rPr>
                <w:rFonts w:ascii="Arial" w:cs="Arial" w:eastAsia="Arial" w:hAnsi="Arial"/>
                <w:sz w:val="14"/>
                <w:szCs w:val="14"/>
                <w:color w:val="auto"/>
              </w:rPr>
              <w:t>0.50</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0.75</w:t>
            </w:r>
          </w:p>
        </w:tc>
        <w:tc>
          <w:tcPr>
            <w:tcW w:w="112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color w:val="FF0000"/>
              </w:rPr>
              <w:t>1.00</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1.25</w:t>
            </w:r>
          </w:p>
        </w:tc>
        <w:tc>
          <w:tcPr>
            <w:tcW w:w="4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56"/>
        </w:trPr>
        <w:tc>
          <w:tcPr>
            <w:tcW w:w="1440" w:type="dxa"/>
            <w:vAlign w:val="bottom"/>
          </w:tcPr>
          <w:p>
            <w:pPr>
              <w:jc w:val="right"/>
              <w:ind w:right="128"/>
              <w:spacing w:after="0" w:line="156" w:lineRule="exact"/>
              <w:rPr>
                <w:sz w:val="20"/>
                <w:szCs w:val="20"/>
                <w:color w:val="auto"/>
              </w:rPr>
            </w:pPr>
            <w:r>
              <w:rPr>
                <w:rFonts w:ascii="Arial" w:cs="Arial" w:eastAsia="Arial" w:hAnsi="Arial"/>
                <w:sz w:val="14"/>
                <w:szCs w:val="14"/>
                <w:b w:val="1"/>
                <w:bCs w:val="1"/>
                <w:color w:val="auto"/>
                <w:w w:val="99"/>
              </w:rPr>
              <w:t>Cumulative 2-Year</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13"/>
                <w:szCs w:val="13"/>
                <w:color w:val="auto"/>
              </w:rPr>
              <w:t>≤</w:t>
            </w:r>
          </w:p>
        </w:tc>
        <w:tc>
          <w:tcPr>
            <w:tcW w:w="4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rPr>
              <w:t>$4.28</w:t>
            </w:r>
          </w:p>
        </w:tc>
        <w:tc>
          <w:tcPr>
            <w:tcW w:w="2140" w:type="dxa"/>
            <w:vAlign w:val="bottom"/>
            <w:tcBorders>
              <w:bottom w:val="single" w:sz="8" w:color="auto"/>
            </w:tcBorders>
            <w:gridSpan w:val="2"/>
          </w:tcPr>
          <w:p>
            <w:pPr>
              <w:jc w:val="center"/>
              <w:ind w:left="828"/>
              <w:spacing w:after="0"/>
              <w:rPr>
                <w:sz w:val="20"/>
                <w:szCs w:val="20"/>
                <w:color w:val="auto"/>
              </w:rPr>
            </w:pPr>
            <w:r>
              <w:rPr>
                <w:rFonts w:ascii="Arial" w:cs="Arial" w:eastAsia="Arial" w:hAnsi="Arial"/>
                <w:sz w:val="14"/>
                <w:szCs w:val="14"/>
                <w:color w:val="auto"/>
              </w:rPr>
              <w:t>$8.57</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$9.09</w:t>
            </w:r>
          </w:p>
        </w:tc>
        <w:tc>
          <w:tcPr>
            <w:tcW w:w="112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color w:val="FF0000"/>
              </w:rPr>
              <w:t>$9.63</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$10.18</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264"/>
        </w:trPr>
        <w:tc>
          <w:tcPr>
            <w:tcW w:w="1440" w:type="dxa"/>
            <w:vAlign w:val="bottom"/>
          </w:tcPr>
          <w:p>
            <w:pPr>
              <w:jc w:val="right"/>
              <w:ind w:right="128"/>
              <w:spacing w:after="0"/>
              <w:rPr>
                <w:sz w:val="20"/>
                <w:szCs w:val="20"/>
                <w:color w:val="auto"/>
              </w:rPr>
            </w:pPr>
            <w:r>
              <w:rPr>
                <w:rFonts w:ascii="Arial" w:cs="Arial" w:eastAsia="Arial" w:hAnsi="Arial"/>
                <w:sz w:val="14"/>
                <w:szCs w:val="14"/>
                <w:b w:val="1"/>
                <w:bCs w:val="1"/>
                <w:color w:val="auto"/>
              </w:rPr>
              <w:t>EPS Growth</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40" w:type="dxa"/>
            <w:vAlign w:val="bottom"/>
            <w:gridSpan w:val="2"/>
          </w:tcPr>
          <w:p>
            <w:pPr>
              <w:jc w:val="center"/>
              <w:ind w:left="808"/>
              <w:spacing w:after="0"/>
              <w:rPr>
                <w:sz w:val="20"/>
                <w:szCs w:val="20"/>
                <w:color w:val="auto"/>
              </w:rPr>
            </w:pPr>
            <w:r>
              <w:rPr>
                <w:rFonts w:ascii="Arial" w:cs="Arial" w:eastAsia="Arial" w:hAnsi="Arial"/>
                <w:sz w:val="14"/>
                <w:szCs w:val="14"/>
                <w:color w:val="auto"/>
              </w:rPr>
              <w:t>0.1%</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rPr>
              <w:t>4.1%</w:t>
            </w:r>
          </w:p>
        </w:tc>
        <w:tc>
          <w:tcPr>
            <w:tcW w:w="1120" w:type="dxa"/>
            <w:vAlign w:val="bottom"/>
            <w:gridSpan w:val="2"/>
          </w:tcPr>
          <w:p>
            <w:pPr>
              <w:jc w:val="center"/>
              <w:ind w:left="8"/>
              <w:spacing w:after="0"/>
              <w:rPr>
                <w:sz w:val="20"/>
                <w:szCs w:val="20"/>
                <w:color w:val="auto"/>
              </w:rPr>
            </w:pPr>
            <w:r>
              <w:rPr>
                <w:rFonts w:ascii="Arial" w:cs="Arial" w:eastAsia="Arial" w:hAnsi="Arial"/>
                <w:sz w:val="14"/>
                <w:szCs w:val="14"/>
                <w:color w:val="FF0000"/>
              </w:rPr>
              <w:t>8.1%</w:t>
            </w: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rPr>
              <w:t>12.1%</w:t>
            </w:r>
          </w:p>
        </w:tc>
        <w:tc>
          <w:tcPr>
            <w:tcW w:w="420" w:type="dxa"/>
            <w:vAlign w:val="bottom"/>
          </w:tcPr>
          <w:p>
            <w:pPr>
              <w:ind w:left="2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-774065</wp:posOffset>
            </wp:positionV>
            <wp:extent cx="99441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94410" cy="4254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2018-2020 Shareholder Value Award</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For purposes of establishing the stock price target for the shareholder value awards, the starting price was $84.70 per share, the average closing stock price for all trading days in November and December 2017. The target share price was established using the expected annual rate of return for large-cap companies (8 percent), less an assumed Lilly dividend yield of 2.66 percent. To determine payout, the ending price will be the average closing price of company stock for all trading days in November and December 2020. The award is designed to deliver no payout to executive officers if the shareholder return (including projected dividends) is zero or negative. Possible payouts based on share price ranges are illustrated in the grid below (and apply to all named executive officers other than Dr. Skovronsky).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245745</wp:posOffset>
            </wp:positionV>
            <wp:extent cx="1852295" cy="840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52295" cy="840740"/>
                    </a:xfrm>
                    <a:prstGeom prst="rect">
                      <a:avLst/>
                    </a:prstGeom>
                    <a:noFill/>
                  </pic:spPr>
                </pic:pic>
              </a:graphicData>
            </a:graphic>
          </wp:anchor>
        </w:drawing>
      </w:r>
    </w:p>
    <w:p>
      <w:pPr>
        <w:sectPr>
          <w:pgSz w:w="11900" w:h="16838" w:orient="portrait"/>
          <w:cols w:equalWidth="0" w:num="1">
            <w:col w:w="11400"/>
          </w:cols>
          <w:pgMar w:left="240" w:top="788" w:right="2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00ABE8"/>
        </w:rPr>
        <w:t>Ending Stock Price</w:t>
      </w:r>
    </w:p>
    <w:p>
      <w:pPr>
        <w:spacing w:after="0" w:line="312" w:lineRule="exact"/>
        <w:rPr>
          <w:sz w:val="20"/>
          <w:szCs w:val="20"/>
          <w:color w:val="auto"/>
        </w:rPr>
      </w:pPr>
    </w:p>
    <w:p>
      <w:pPr>
        <w:ind w:left="1780"/>
        <w:spacing w:after="0" w:line="303" w:lineRule="auto"/>
        <w:rPr>
          <w:sz w:val="20"/>
          <w:szCs w:val="20"/>
          <w:color w:val="auto"/>
        </w:rPr>
      </w:pPr>
      <w:r>
        <w:rPr>
          <w:rFonts w:ascii="Arial" w:cs="Arial" w:eastAsia="Arial" w:hAnsi="Arial"/>
          <w:sz w:val="14"/>
          <w:szCs w:val="14"/>
          <w:b w:val="1"/>
          <w:bCs w:val="1"/>
          <w:color w:val="00ABE8"/>
        </w:rPr>
        <w:t>Compounded Annual Share Price Growth Rate (excluding dividends)</w:t>
      </w:r>
    </w:p>
    <w:p>
      <w:pPr>
        <w:spacing w:after="0" w:line="66" w:lineRule="exact"/>
        <w:rPr>
          <w:sz w:val="20"/>
          <w:szCs w:val="20"/>
          <w:color w:val="auto"/>
        </w:rPr>
      </w:pPr>
    </w:p>
    <w:p>
      <w:pPr>
        <w:jc w:val="center"/>
        <w:ind w:left="120"/>
        <w:spacing w:after="0"/>
        <w:rPr>
          <w:sz w:val="20"/>
          <w:szCs w:val="20"/>
          <w:color w:val="auto"/>
        </w:rPr>
      </w:pPr>
      <w:r>
        <w:rPr>
          <w:rFonts w:ascii="Arial" w:cs="Arial" w:eastAsia="Arial" w:hAnsi="Arial"/>
          <w:sz w:val="14"/>
          <w:szCs w:val="14"/>
          <w:b w:val="1"/>
          <w:bCs w:val="1"/>
          <w:color w:val="00ABE8"/>
        </w:rPr>
        <w:t>Percent of Target</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740" w:type="dxa"/>
            <w:vAlign w:val="bottom"/>
            <w:vMerge w:val="restart"/>
            <w:shd w:val="clear" w:color="auto" w:fill="F4F6F6"/>
          </w:tcPr>
          <w:p>
            <w:pPr>
              <w:ind w:left="40"/>
              <w:spacing w:after="0"/>
              <w:rPr>
                <w:sz w:val="20"/>
                <w:szCs w:val="20"/>
                <w:color w:val="auto"/>
              </w:rPr>
            </w:pPr>
            <w:r>
              <w:rPr>
                <w:rFonts w:ascii="Arial" w:cs="Arial" w:eastAsia="Arial" w:hAnsi="Arial"/>
                <w:sz w:val="14"/>
                <w:szCs w:val="14"/>
                <w:color w:val="auto"/>
              </w:rPr>
              <w:t>Less than</w:t>
            </w:r>
          </w:p>
        </w:tc>
        <w:tc>
          <w:tcPr>
            <w:tcW w:w="1160" w:type="dxa"/>
            <w:vAlign w:val="bottom"/>
            <w:shd w:val="clear" w:color="auto" w:fill="F4F6F6"/>
          </w:tcPr>
          <w:p>
            <w:pPr>
              <w:spacing w:after="0"/>
              <w:rPr>
                <w:sz w:val="15"/>
                <w:szCs w:val="15"/>
                <w:color w:val="auto"/>
              </w:rPr>
            </w:pPr>
          </w:p>
        </w:tc>
        <w:tc>
          <w:tcPr>
            <w:tcW w:w="800" w:type="dxa"/>
            <w:vAlign w:val="bottom"/>
            <w:vMerge w:val="restart"/>
            <w:shd w:val="clear" w:color="auto" w:fill="F4F6F6"/>
          </w:tcPr>
          <w:p>
            <w:pPr>
              <w:jc w:val="center"/>
              <w:spacing w:after="0"/>
              <w:rPr>
                <w:sz w:val="20"/>
                <w:szCs w:val="20"/>
                <w:color w:val="auto"/>
              </w:rPr>
            </w:pPr>
            <w:r>
              <w:rPr>
                <w:rFonts w:ascii="Arial" w:cs="Arial" w:eastAsia="Arial" w:hAnsi="Arial"/>
                <w:sz w:val="14"/>
                <w:szCs w:val="14"/>
                <w:color w:val="auto"/>
              </w:rPr>
              <w:t>$88.20</w:t>
            </w:r>
          </w:p>
        </w:tc>
        <w:tc>
          <w:tcPr>
            <w:tcW w:w="1060" w:type="dxa"/>
            <w:vAlign w:val="bottom"/>
            <w:shd w:val="clear" w:color="auto" w:fill="F4F6F6"/>
          </w:tcPr>
          <w:p>
            <w:pPr>
              <w:spacing w:after="0"/>
              <w:rPr>
                <w:sz w:val="15"/>
                <w:szCs w:val="15"/>
                <w:color w:val="auto"/>
              </w:rPr>
            </w:pPr>
          </w:p>
        </w:tc>
        <w:tc>
          <w:tcPr>
            <w:tcW w:w="640" w:type="dxa"/>
            <w:vAlign w:val="bottom"/>
            <w:vMerge w:val="restart"/>
            <w:shd w:val="clear" w:color="auto" w:fill="F4F6F6"/>
          </w:tcPr>
          <w:p>
            <w:pPr>
              <w:jc w:val="center"/>
              <w:spacing w:after="0"/>
              <w:rPr>
                <w:sz w:val="20"/>
                <w:szCs w:val="20"/>
                <w:color w:val="auto"/>
              </w:rPr>
            </w:pPr>
            <w:r>
              <w:rPr>
                <w:rFonts w:ascii="Arial" w:cs="Arial" w:eastAsia="Arial" w:hAnsi="Arial"/>
                <w:sz w:val="14"/>
                <w:szCs w:val="14"/>
                <w:color w:val="auto"/>
              </w:rPr>
              <w:t>$109.84</w:t>
            </w:r>
          </w:p>
        </w:tc>
        <w:tc>
          <w:tcPr>
            <w:tcW w:w="60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Greater</w:t>
            </w:r>
          </w:p>
        </w:tc>
        <w:tc>
          <w:tcPr>
            <w:tcW w:w="0" w:type="dxa"/>
            <w:vAlign w:val="bottom"/>
          </w:tcPr>
          <w:p>
            <w:pPr>
              <w:spacing w:after="0"/>
              <w:rPr>
                <w:sz w:val="1"/>
                <w:szCs w:val="1"/>
                <w:color w:val="auto"/>
              </w:rPr>
            </w:pPr>
          </w:p>
        </w:tc>
      </w:tr>
      <w:tr>
        <w:trPr>
          <w:trHeight w:val="148"/>
        </w:trPr>
        <w:tc>
          <w:tcPr>
            <w:tcW w:w="740" w:type="dxa"/>
            <w:vAlign w:val="bottom"/>
            <w:vMerge w:val="continue"/>
            <w:shd w:val="clear" w:color="auto" w:fill="F4F6F6"/>
          </w:tcPr>
          <w:p>
            <w:pPr>
              <w:spacing w:after="0"/>
              <w:rPr>
                <w:sz w:val="12"/>
                <w:szCs w:val="12"/>
                <w:color w:val="auto"/>
              </w:rPr>
            </w:pPr>
          </w:p>
        </w:tc>
        <w:tc>
          <w:tcPr>
            <w:tcW w:w="1160" w:type="dxa"/>
            <w:vAlign w:val="bottom"/>
            <w:shd w:val="clear" w:color="auto" w:fill="F4F6F6"/>
          </w:tcPr>
          <w:p>
            <w:pPr>
              <w:jc w:val="center"/>
              <w:spacing w:after="0" w:line="149" w:lineRule="exact"/>
              <w:rPr>
                <w:sz w:val="20"/>
                <w:szCs w:val="20"/>
                <w:color w:val="auto"/>
              </w:rPr>
            </w:pPr>
            <w:r>
              <w:rPr>
                <w:rFonts w:ascii="Arial" w:cs="Arial" w:eastAsia="Arial" w:hAnsi="Arial"/>
                <w:sz w:val="14"/>
                <w:szCs w:val="14"/>
                <w:color w:val="auto"/>
              </w:rPr>
              <w:t>$77.38 - $88.19</w:t>
            </w:r>
          </w:p>
        </w:tc>
        <w:tc>
          <w:tcPr>
            <w:tcW w:w="800" w:type="dxa"/>
            <w:vAlign w:val="bottom"/>
            <w:vMerge w:val="continue"/>
            <w:shd w:val="clear" w:color="auto" w:fill="F4F6F6"/>
          </w:tcPr>
          <w:p>
            <w:pPr>
              <w:spacing w:after="0"/>
              <w:rPr>
                <w:sz w:val="12"/>
                <w:szCs w:val="12"/>
                <w:color w:val="auto"/>
              </w:rPr>
            </w:pPr>
          </w:p>
        </w:tc>
        <w:tc>
          <w:tcPr>
            <w:tcW w:w="1060" w:type="dxa"/>
            <w:vAlign w:val="bottom"/>
            <w:shd w:val="clear" w:color="auto" w:fill="F4F6F6"/>
          </w:tcPr>
          <w:p>
            <w:pPr>
              <w:jc w:val="center"/>
              <w:spacing w:after="0" w:line="149" w:lineRule="exact"/>
              <w:rPr>
                <w:sz w:val="20"/>
                <w:szCs w:val="20"/>
                <w:color w:val="auto"/>
              </w:rPr>
            </w:pPr>
            <w:r>
              <w:rPr>
                <w:rFonts w:ascii="Arial" w:cs="Arial" w:eastAsia="Arial" w:hAnsi="Arial"/>
                <w:sz w:val="14"/>
                <w:szCs w:val="14"/>
                <w:color w:val="FF0000"/>
              </w:rPr>
              <w:t>$99.02-$109.83</w:t>
            </w:r>
          </w:p>
        </w:tc>
        <w:tc>
          <w:tcPr>
            <w:tcW w:w="640" w:type="dxa"/>
            <w:vAlign w:val="bottom"/>
            <w:vMerge w:val="continue"/>
            <w:shd w:val="clear" w:color="auto" w:fill="F4F6F6"/>
          </w:tcPr>
          <w:p>
            <w:pPr>
              <w:spacing w:after="0"/>
              <w:rPr>
                <w:sz w:val="12"/>
                <w:szCs w:val="12"/>
                <w:color w:val="auto"/>
              </w:rPr>
            </w:pPr>
          </w:p>
        </w:tc>
        <w:tc>
          <w:tcPr>
            <w:tcW w:w="600" w:type="dxa"/>
            <w:vAlign w:val="bottom"/>
            <w:shd w:val="clear" w:color="auto" w:fill="F4F6F6"/>
          </w:tcPr>
          <w:p>
            <w:pPr>
              <w:jc w:val="center"/>
              <w:spacing w:after="0" w:line="149" w:lineRule="exact"/>
              <w:rPr>
                <w:sz w:val="20"/>
                <w:szCs w:val="20"/>
                <w:color w:val="auto"/>
              </w:rPr>
            </w:pPr>
            <w:r>
              <w:rPr>
                <w:rFonts w:ascii="Arial" w:cs="Arial" w:eastAsia="Arial" w:hAnsi="Arial"/>
                <w:sz w:val="14"/>
                <w:szCs w:val="14"/>
                <w:color w:val="auto"/>
              </w:rPr>
              <w:t>than</w:t>
            </w:r>
          </w:p>
        </w:tc>
        <w:tc>
          <w:tcPr>
            <w:tcW w:w="0" w:type="dxa"/>
            <w:vAlign w:val="bottom"/>
          </w:tcPr>
          <w:p>
            <w:pPr>
              <w:spacing w:after="0"/>
              <w:rPr>
                <w:sz w:val="1"/>
                <w:szCs w:val="1"/>
                <w:color w:val="auto"/>
              </w:rPr>
            </w:pPr>
          </w:p>
        </w:tc>
      </w:tr>
      <w:tr>
        <w:trPr>
          <w:trHeight w:val="212"/>
        </w:trPr>
        <w:tc>
          <w:tcPr>
            <w:tcW w:w="74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4"/>
                <w:szCs w:val="14"/>
                <w:color w:val="auto"/>
              </w:rPr>
              <w:t>$77.38</w:t>
            </w:r>
          </w:p>
        </w:tc>
        <w:tc>
          <w:tcPr>
            <w:tcW w:w="1160" w:type="dxa"/>
            <w:vAlign w:val="bottom"/>
            <w:tcBorders>
              <w:bottom w:val="single" w:sz="8" w:color="C8C9CB"/>
            </w:tcBorders>
            <w:shd w:val="clear" w:color="auto" w:fill="F4F6F6"/>
          </w:tcPr>
          <w:p>
            <w:pPr>
              <w:spacing w:after="0"/>
              <w:rPr>
                <w:sz w:val="18"/>
                <w:szCs w:val="18"/>
                <w:color w:val="auto"/>
              </w:rPr>
            </w:pPr>
          </w:p>
        </w:tc>
        <w:tc>
          <w:tcPr>
            <w:tcW w:w="80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4"/>
                <w:szCs w:val="14"/>
                <w:color w:val="auto"/>
              </w:rPr>
              <w:t>-$99.01</w:t>
            </w:r>
          </w:p>
        </w:tc>
        <w:tc>
          <w:tcPr>
            <w:tcW w:w="1060" w:type="dxa"/>
            <w:vAlign w:val="bottom"/>
            <w:tcBorders>
              <w:bottom w:val="single" w:sz="8" w:color="C8C9CB"/>
            </w:tcBorders>
            <w:shd w:val="clear" w:color="auto" w:fill="F4F6F6"/>
          </w:tcPr>
          <w:p>
            <w:pPr>
              <w:spacing w:after="0"/>
              <w:rPr>
                <w:sz w:val="18"/>
                <w:szCs w:val="18"/>
                <w:color w:val="auto"/>
              </w:rPr>
            </w:pPr>
          </w:p>
        </w:tc>
        <w:tc>
          <w:tcPr>
            <w:tcW w:w="64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4"/>
                <w:szCs w:val="14"/>
                <w:color w:val="auto"/>
              </w:rPr>
              <w:t>-$120.65</w:t>
            </w:r>
          </w:p>
        </w:tc>
        <w:tc>
          <w:tcPr>
            <w:tcW w:w="60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4"/>
                <w:szCs w:val="14"/>
                <w:color w:val="auto"/>
              </w:rPr>
              <w:t>$120.65</w:t>
            </w:r>
          </w:p>
        </w:tc>
        <w:tc>
          <w:tcPr>
            <w:tcW w:w="0" w:type="dxa"/>
            <w:vAlign w:val="bottom"/>
          </w:tcPr>
          <w:p>
            <w:pPr>
              <w:spacing w:after="0"/>
              <w:rPr>
                <w:sz w:val="1"/>
                <w:szCs w:val="1"/>
                <w:color w:val="auto"/>
              </w:rPr>
            </w:pPr>
          </w:p>
        </w:tc>
      </w:tr>
      <w:tr>
        <w:trPr>
          <w:trHeight w:val="173"/>
        </w:trPr>
        <w:tc>
          <w:tcPr>
            <w:tcW w:w="740" w:type="dxa"/>
            <w:vAlign w:val="bottom"/>
            <w:vMerge w:val="restart"/>
          </w:tcPr>
          <w:p>
            <w:pPr>
              <w:ind w:left="40"/>
              <w:spacing w:after="0"/>
              <w:rPr>
                <w:sz w:val="20"/>
                <w:szCs w:val="20"/>
                <w:color w:val="auto"/>
              </w:rPr>
            </w:pPr>
            <w:r>
              <w:rPr>
                <w:rFonts w:ascii="Arial" w:cs="Arial" w:eastAsia="Arial" w:hAnsi="Arial"/>
                <w:sz w:val="14"/>
                <w:szCs w:val="14"/>
                <w:color w:val="auto"/>
              </w:rPr>
              <w:t>Less than</w:t>
            </w: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9.1%</w:t>
            </w:r>
          </w:p>
        </w:tc>
        <w:tc>
          <w:tcPr>
            <w:tcW w:w="600" w:type="dxa"/>
            <w:vAlign w:val="bottom"/>
          </w:tcPr>
          <w:p>
            <w:pPr>
              <w:jc w:val="center"/>
              <w:spacing w:after="0"/>
              <w:rPr>
                <w:sz w:val="20"/>
                <w:szCs w:val="20"/>
                <w:color w:val="auto"/>
              </w:rPr>
            </w:pPr>
            <w:r>
              <w:rPr>
                <w:rFonts w:ascii="Arial" w:cs="Arial" w:eastAsia="Arial" w:hAnsi="Arial"/>
                <w:sz w:val="14"/>
                <w:szCs w:val="14"/>
                <w:color w:val="auto"/>
              </w:rPr>
              <w:t>Greater</w:t>
            </w:r>
          </w:p>
        </w:tc>
        <w:tc>
          <w:tcPr>
            <w:tcW w:w="0" w:type="dxa"/>
            <w:vAlign w:val="bottom"/>
          </w:tcPr>
          <w:p>
            <w:pPr>
              <w:spacing w:after="0"/>
              <w:rPr>
                <w:sz w:val="1"/>
                <w:szCs w:val="1"/>
                <w:color w:val="auto"/>
              </w:rPr>
            </w:pPr>
          </w:p>
        </w:tc>
      </w:tr>
      <w:tr>
        <w:trPr>
          <w:trHeight w:val="81"/>
        </w:trPr>
        <w:tc>
          <w:tcPr>
            <w:tcW w:w="740" w:type="dxa"/>
            <w:vAlign w:val="bottom"/>
            <w:vMerge w:val="continue"/>
          </w:tcPr>
          <w:p>
            <w:pPr>
              <w:spacing w:after="0"/>
              <w:rPr>
                <w:sz w:val="7"/>
                <w:szCs w:val="7"/>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rPr>
              <w:t>(3.0%)-1.4%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1.4%-5.3%</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FF0000"/>
              </w:rPr>
              <w:t>5.3%-9.0%</w:t>
            </w:r>
          </w:p>
        </w:tc>
        <w:tc>
          <w:tcPr>
            <w:tcW w:w="640" w:type="dxa"/>
            <w:vAlign w:val="bottom"/>
            <w:vMerge w:val="continue"/>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rPr>
              <w:t>than</w:t>
            </w:r>
          </w:p>
        </w:tc>
        <w:tc>
          <w:tcPr>
            <w:tcW w:w="0" w:type="dxa"/>
            <w:vAlign w:val="bottom"/>
          </w:tcPr>
          <w:p>
            <w:pPr>
              <w:spacing w:after="0"/>
              <w:rPr>
                <w:sz w:val="1"/>
                <w:szCs w:val="1"/>
                <w:color w:val="auto"/>
              </w:rPr>
            </w:pPr>
          </w:p>
        </w:tc>
      </w:tr>
      <w:tr>
        <w:trPr>
          <w:trHeight w:val="81"/>
        </w:trPr>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(3.0%)</w:t>
            </w:r>
          </w:p>
        </w:tc>
        <w:tc>
          <w:tcPr>
            <w:tcW w:w="11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9"/>
              </w:rPr>
              <w:t>-12.5%</w:t>
            </w: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7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85"/>
        </w:trPr>
        <w:tc>
          <w:tcPr>
            <w:tcW w:w="740" w:type="dxa"/>
            <w:vAlign w:val="bottom"/>
            <w:tcBorders>
              <w:bottom w:val="single" w:sz="8" w:color="C8C9CB"/>
            </w:tcBorders>
          </w:tcPr>
          <w:p>
            <w:pPr>
              <w:spacing w:after="0"/>
              <w:rPr>
                <w:sz w:val="7"/>
                <w:szCs w:val="7"/>
                <w:color w:val="auto"/>
              </w:rPr>
            </w:pPr>
          </w:p>
        </w:tc>
        <w:tc>
          <w:tcPr>
            <w:tcW w:w="1160" w:type="dxa"/>
            <w:vAlign w:val="bottom"/>
            <w:tcBorders>
              <w:bottom w:val="single" w:sz="8" w:color="C8C9CB"/>
            </w:tcBorders>
          </w:tcPr>
          <w:p>
            <w:pPr>
              <w:spacing w:after="0"/>
              <w:rPr>
                <w:sz w:val="7"/>
                <w:szCs w:val="7"/>
                <w:color w:val="auto"/>
              </w:rPr>
            </w:pPr>
          </w:p>
        </w:tc>
        <w:tc>
          <w:tcPr>
            <w:tcW w:w="800" w:type="dxa"/>
            <w:vAlign w:val="bottom"/>
            <w:tcBorders>
              <w:bottom w:val="single" w:sz="8" w:color="C8C9CB"/>
            </w:tcBorders>
          </w:tcPr>
          <w:p>
            <w:pPr>
              <w:spacing w:after="0"/>
              <w:rPr>
                <w:sz w:val="7"/>
                <w:szCs w:val="7"/>
                <w:color w:val="auto"/>
              </w:rPr>
            </w:pPr>
          </w:p>
        </w:tc>
        <w:tc>
          <w:tcPr>
            <w:tcW w:w="1060" w:type="dxa"/>
            <w:vAlign w:val="bottom"/>
            <w:tcBorders>
              <w:bottom w:val="single" w:sz="8" w:color="C8C9CB"/>
            </w:tcBorders>
          </w:tcPr>
          <w:p>
            <w:pPr>
              <w:spacing w:after="0"/>
              <w:rPr>
                <w:sz w:val="7"/>
                <w:szCs w:val="7"/>
                <w:color w:val="auto"/>
              </w:rPr>
            </w:pPr>
          </w:p>
        </w:tc>
        <w:tc>
          <w:tcPr>
            <w:tcW w:w="640" w:type="dxa"/>
            <w:vAlign w:val="bottom"/>
            <w:tcBorders>
              <w:bottom w:val="single" w:sz="8" w:color="C8C9CB"/>
            </w:tcBorders>
          </w:tcPr>
          <w:p>
            <w:pPr>
              <w:spacing w:after="0"/>
              <w:rPr>
                <w:sz w:val="7"/>
                <w:szCs w:val="7"/>
                <w:color w:val="auto"/>
              </w:rPr>
            </w:pPr>
          </w:p>
        </w:tc>
        <w:tc>
          <w:tcPr>
            <w:tcW w:w="600" w:type="dxa"/>
            <w:vAlign w:val="bottom"/>
            <w:tcBorders>
              <w:bottom w:val="single" w:sz="8" w:color="C8C9CB"/>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740" w:type="dxa"/>
            <w:vAlign w:val="bottom"/>
            <w:shd w:val="clear" w:color="auto" w:fill="F4F6F6"/>
          </w:tcPr>
          <w:p>
            <w:pPr>
              <w:jc w:val="center"/>
              <w:spacing w:after="0"/>
              <w:rPr>
                <w:sz w:val="20"/>
                <w:szCs w:val="20"/>
                <w:color w:val="auto"/>
              </w:rPr>
            </w:pPr>
            <w:r>
              <w:rPr>
                <w:rFonts w:ascii="Arial" w:cs="Arial" w:eastAsia="Arial" w:hAnsi="Arial"/>
                <w:sz w:val="14"/>
                <w:szCs w:val="14"/>
                <w:color w:val="auto"/>
                <w:w w:val="98"/>
              </w:rPr>
              <w:t>0%</w:t>
            </w:r>
          </w:p>
        </w:tc>
        <w:tc>
          <w:tcPr>
            <w:tcW w:w="1160" w:type="dxa"/>
            <w:vAlign w:val="bottom"/>
            <w:shd w:val="clear" w:color="auto" w:fill="F4F6F6"/>
          </w:tcPr>
          <w:p>
            <w:pPr>
              <w:jc w:val="center"/>
              <w:spacing w:after="0"/>
              <w:rPr>
                <w:sz w:val="20"/>
                <w:szCs w:val="20"/>
                <w:color w:val="auto"/>
              </w:rPr>
            </w:pPr>
            <w:r>
              <w:rPr>
                <w:rFonts w:ascii="Arial" w:cs="Arial" w:eastAsia="Arial" w:hAnsi="Arial"/>
                <w:sz w:val="14"/>
                <w:szCs w:val="14"/>
                <w:color w:val="auto"/>
                <w:w w:val="99"/>
              </w:rPr>
              <w:t>50%</w:t>
            </w:r>
          </w:p>
        </w:tc>
        <w:tc>
          <w:tcPr>
            <w:tcW w:w="800" w:type="dxa"/>
            <w:vAlign w:val="bottom"/>
            <w:shd w:val="clear" w:color="auto" w:fill="F4F6F6"/>
          </w:tcPr>
          <w:p>
            <w:pPr>
              <w:jc w:val="center"/>
              <w:spacing w:after="0"/>
              <w:rPr>
                <w:sz w:val="20"/>
                <w:szCs w:val="20"/>
                <w:color w:val="auto"/>
              </w:rPr>
            </w:pPr>
            <w:r>
              <w:rPr>
                <w:rFonts w:ascii="Arial" w:cs="Arial" w:eastAsia="Arial" w:hAnsi="Arial"/>
                <w:sz w:val="14"/>
                <w:szCs w:val="14"/>
                <w:color w:val="auto"/>
                <w:w w:val="92"/>
              </w:rPr>
              <w:t>75%</w:t>
            </w:r>
          </w:p>
        </w:tc>
        <w:tc>
          <w:tcPr>
            <w:tcW w:w="1060" w:type="dxa"/>
            <w:vAlign w:val="bottom"/>
            <w:shd w:val="clear" w:color="auto" w:fill="F4F6F6"/>
          </w:tcPr>
          <w:p>
            <w:pPr>
              <w:jc w:val="center"/>
              <w:spacing w:after="0"/>
              <w:rPr>
                <w:sz w:val="20"/>
                <w:szCs w:val="20"/>
                <w:color w:val="auto"/>
              </w:rPr>
            </w:pPr>
            <w:r>
              <w:rPr>
                <w:rFonts w:ascii="Arial" w:cs="Arial" w:eastAsia="Arial" w:hAnsi="Arial"/>
                <w:sz w:val="14"/>
                <w:szCs w:val="14"/>
                <w:color w:val="FF0000"/>
                <w:w w:val="94"/>
              </w:rPr>
              <w:t>100%</w:t>
            </w:r>
          </w:p>
        </w:tc>
        <w:tc>
          <w:tcPr>
            <w:tcW w:w="64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125%</w:t>
            </w:r>
          </w:p>
        </w:tc>
        <w:tc>
          <w:tcPr>
            <w:tcW w:w="600" w:type="dxa"/>
            <w:vAlign w:val="bottom"/>
            <w:shd w:val="clear" w:color="auto" w:fill="F4F6F6"/>
          </w:tcPr>
          <w:p>
            <w:pPr>
              <w:jc w:val="center"/>
              <w:spacing w:after="0"/>
              <w:rPr>
                <w:sz w:val="20"/>
                <w:szCs w:val="20"/>
                <w:color w:val="auto"/>
              </w:rPr>
            </w:pPr>
            <w:r>
              <w:rPr>
                <w:rFonts w:ascii="Arial" w:cs="Arial" w:eastAsia="Arial" w:hAnsi="Arial"/>
                <w:sz w:val="14"/>
                <w:szCs w:val="14"/>
                <w:color w:val="auto"/>
                <w:w w:val="94"/>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620" w:space="60"/>
            <w:col w:w="6720"/>
          </w:cols>
          <w:pgMar w:left="240" w:top="788" w:right="259" w:bottom="1440" w:gutter="0" w:footer="0" w:header="0"/>
          <w:type w:val="continuous"/>
        </w:sectPr>
      </w:pPr>
    </w:p>
    <w:p>
      <w:pPr>
        <w:spacing w:after="0" w:line="69"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Executive officer awards are subject to a relative TSR modifier, as shown in the grid below. The number of shares to be paid will increase or decrease by 1 percent for every percentage point Lilly's three-year TSR deviates from our peer group's median three-year TSR, capped at 20 percent (applies to all named executive officers other than Dr. Skovronsky).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173355</wp:posOffset>
            </wp:positionV>
            <wp:extent cx="5042535" cy="1406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4253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Because Dr. Skovronsky was not an executive officer when his award was granted, his award does not include the TSR modifier described above, and has a lower threshold stock price hurdle. Otherwise, the payout grid for his shareholder value award, as illustrated below is the same as for the other named executive officers.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P43</w:t>
      </w:r>
    </w:p>
    <w:p>
      <w:pPr>
        <w:sectPr>
          <w:pgSz w:w="11900" w:h="16838" w:orient="portrait"/>
          <w:cols w:equalWidth="0" w:num="1">
            <w:col w:w="11400"/>
          </w:cols>
          <w:pgMar w:left="240" w:top="788" w:right="259" w:bottom="1440" w:gutter="0" w:footer="0" w:header="0"/>
          <w:type w:val="continuous"/>
        </w:sectPr>
      </w:pPr>
    </w:p>
    <w:bookmarkStart w:id="47" w:name="page48"/>
    <w:bookmarkEnd w:id="47"/>
    <w:tbl>
      <w:tblPr>
        <w:tblLayout w:type="fixed"/>
        <w:tblInd w:w="380" w:type="dxa"/>
        <w:tblCellMar>
          <w:top w:w="0" w:type="dxa"/>
          <w:left w:w="0" w:type="dxa"/>
          <w:bottom w:w="0" w:type="dxa"/>
          <w:right w:w="0" w:type="dxa"/>
        </w:tblCellMar>
      </w:tblPr>
      <w:tr>
        <w:trPr>
          <w:trHeight w:val="216"/>
        </w:trPr>
        <w:tc>
          <w:tcPr>
            <w:tcW w:w="1920" w:type="dxa"/>
            <w:vAlign w:val="bottom"/>
            <w:tcBorders>
              <w:bottom w:val="single" w:sz="8" w:color="C8C9CB"/>
            </w:tcBorders>
            <w:shd w:val="clear" w:color="auto" w:fill="C8C9CB"/>
          </w:tcPr>
          <w:p>
            <w:pPr>
              <w:ind w:left="20"/>
              <w:spacing w:after="0"/>
              <w:rPr>
                <w:sz w:val="20"/>
                <w:szCs w:val="20"/>
                <w:color w:val="auto"/>
              </w:rPr>
            </w:pPr>
            <w:r>
              <w:rPr>
                <w:rFonts w:ascii="Arial" w:cs="Arial" w:eastAsia="Arial" w:hAnsi="Arial"/>
                <w:sz w:val="14"/>
                <w:szCs w:val="14"/>
                <w:b w:val="1"/>
                <w:bCs w:val="1"/>
                <w:color w:val="00ABE8"/>
              </w:rPr>
              <w:t>Ending Stock Price</w:t>
            </w:r>
          </w:p>
        </w:tc>
        <w:tc>
          <w:tcPr>
            <w:tcW w:w="152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4"/>
                <w:szCs w:val="14"/>
                <w:color w:val="auto"/>
              </w:rPr>
              <w:t>Less than $42.35</w:t>
            </w:r>
          </w:p>
        </w:tc>
        <w:tc>
          <w:tcPr>
            <w:tcW w:w="136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4"/>
                <w:szCs w:val="14"/>
                <w:color w:val="auto"/>
              </w:rPr>
              <w:t>$42.35 - $88.19</w:t>
            </w:r>
          </w:p>
        </w:tc>
        <w:tc>
          <w:tcPr>
            <w:tcW w:w="132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4"/>
                <w:szCs w:val="14"/>
                <w:color w:val="auto"/>
              </w:rPr>
              <w:t>$88.20 -$99.01</w:t>
            </w:r>
          </w:p>
        </w:tc>
        <w:tc>
          <w:tcPr>
            <w:tcW w:w="134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4"/>
                <w:szCs w:val="14"/>
                <w:color w:val="FF0000"/>
              </w:rPr>
              <w:t>$99.02-$109.83</w:t>
            </w:r>
          </w:p>
        </w:tc>
        <w:tc>
          <w:tcPr>
            <w:tcW w:w="146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4"/>
                <w:szCs w:val="14"/>
                <w:color w:val="auto"/>
              </w:rPr>
              <w:t>$109.84 -$120.65</w:t>
            </w:r>
          </w:p>
        </w:tc>
        <w:tc>
          <w:tcPr>
            <w:tcW w:w="1760" w:type="dxa"/>
            <w:vAlign w:val="bottom"/>
            <w:tcBorders>
              <w:bottom w:val="single" w:sz="8" w:color="C8C9CB"/>
            </w:tcBorders>
            <w:gridSpan w:val="2"/>
            <w:shd w:val="clear" w:color="auto" w:fill="F4F6F6"/>
          </w:tcPr>
          <w:p>
            <w:pPr>
              <w:jc w:val="right"/>
              <w:ind w:right="128"/>
              <w:spacing w:after="0"/>
              <w:rPr>
                <w:sz w:val="20"/>
                <w:szCs w:val="20"/>
                <w:color w:val="auto"/>
              </w:rPr>
            </w:pPr>
            <w:r>
              <w:rPr>
                <w:rFonts w:ascii="Arial" w:cs="Arial" w:eastAsia="Arial" w:hAnsi="Arial"/>
                <w:sz w:val="14"/>
                <w:szCs w:val="14"/>
                <w:color w:val="auto"/>
              </w:rPr>
              <w:t>Greater than $120.65</w:t>
            </w:r>
          </w:p>
        </w:tc>
      </w:tr>
      <w:tr>
        <w:trPr>
          <w:trHeight w:val="167"/>
        </w:trPr>
        <w:tc>
          <w:tcPr>
            <w:tcW w:w="192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Compounded Annual</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192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Share Price Growth Rate</w:t>
            </w:r>
          </w:p>
        </w:tc>
        <w:tc>
          <w:tcPr>
            <w:tcW w:w="1520" w:type="dxa"/>
            <w:vAlign w:val="bottom"/>
          </w:tcPr>
          <w:p>
            <w:pPr>
              <w:jc w:val="center"/>
              <w:spacing w:after="0"/>
              <w:rPr>
                <w:sz w:val="20"/>
                <w:szCs w:val="20"/>
                <w:color w:val="auto"/>
              </w:rPr>
            </w:pPr>
            <w:r>
              <w:rPr>
                <w:rFonts w:ascii="Arial" w:cs="Arial" w:eastAsia="Arial" w:hAnsi="Arial"/>
                <w:sz w:val="14"/>
                <w:szCs w:val="14"/>
                <w:color w:val="auto"/>
              </w:rPr>
              <w:t>Less than (20.6%)</w:t>
            </w:r>
          </w:p>
        </w:tc>
        <w:tc>
          <w:tcPr>
            <w:tcW w:w="1360" w:type="dxa"/>
            <w:vAlign w:val="bottom"/>
          </w:tcPr>
          <w:p>
            <w:pPr>
              <w:jc w:val="center"/>
              <w:spacing w:after="0"/>
              <w:rPr>
                <w:sz w:val="20"/>
                <w:szCs w:val="20"/>
                <w:color w:val="auto"/>
              </w:rPr>
            </w:pPr>
            <w:r>
              <w:rPr>
                <w:rFonts w:ascii="Arial" w:cs="Arial" w:eastAsia="Arial" w:hAnsi="Arial"/>
                <w:sz w:val="14"/>
                <w:szCs w:val="14"/>
                <w:color w:val="auto"/>
              </w:rPr>
              <w:t>(20.6%)-1.4%</w:t>
            </w:r>
          </w:p>
        </w:tc>
        <w:tc>
          <w:tcPr>
            <w:tcW w:w="1320" w:type="dxa"/>
            <w:vAlign w:val="bottom"/>
          </w:tcPr>
          <w:p>
            <w:pPr>
              <w:jc w:val="center"/>
              <w:spacing w:after="0"/>
              <w:rPr>
                <w:sz w:val="20"/>
                <w:szCs w:val="20"/>
                <w:color w:val="auto"/>
              </w:rPr>
            </w:pPr>
            <w:r>
              <w:rPr>
                <w:rFonts w:ascii="Arial" w:cs="Arial" w:eastAsia="Arial" w:hAnsi="Arial"/>
                <w:sz w:val="14"/>
                <w:szCs w:val="14"/>
                <w:color w:val="auto"/>
              </w:rPr>
              <w:t>1.4%-5.3%</w:t>
            </w:r>
          </w:p>
        </w:tc>
        <w:tc>
          <w:tcPr>
            <w:tcW w:w="1340" w:type="dxa"/>
            <w:vAlign w:val="bottom"/>
          </w:tcPr>
          <w:p>
            <w:pPr>
              <w:jc w:val="center"/>
              <w:spacing w:after="0"/>
              <w:rPr>
                <w:sz w:val="20"/>
                <w:szCs w:val="20"/>
                <w:color w:val="auto"/>
              </w:rPr>
            </w:pPr>
            <w:r>
              <w:rPr>
                <w:rFonts w:ascii="Arial" w:cs="Arial" w:eastAsia="Arial" w:hAnsi="Arial"/>
                <w:sz w:val="14"/>
                <w:szCs w:val="14"/>
                <w:color w:val="EE2724"/>
              </w:rPr>
              <w:t>5.3%-9.0%</w:t>
            </w:r>
          </w:p>
        </w:tc>
        <w:tc>
          <w:tcPr>
            <w:tcW w:w="1460" w:type="dxa"/>
            <w:vAlign w:val="bottom"/>
          </w:tcPr>
          <w:p>
            <w:pPr>
              <w:jc w:val="center"/>
              <w:spacing w:after="0"/>
              <w:rPr>
                <w:sz w:val="20"/>
                <w:szCs w:val="20"/>
                <w:color w:val="auto"/>
              </w:rPr>
            </w:pPr>
            <w:r>
              <w:rPr>
                <w:rFonts w:ascii="Arial" w:cs="Arial" w:eastAsia="Arial" w:hAnsi="Arial"/>
                <w:sz w:val="14"/>
                <w:szCs w:val="14"/>
                <w:color w:val="auto"/>
              </w:rPr>
              <w:t>9.1% -12.5%</w:t>
            </w:r>
          </w:p>
        </w:tc>
        <w:tc>
          <w:tcPr>
            <w:tcW w:w="1060" w:type="dxa"/>
            <w:vAlign w:val="bottom"/>
          </w:tcPr>
          <w:p>
            <w:pPr>
              <w:jc w:val="right"/>
              <w:spacing w:after="0"/>
              <w:rPr>
                <w:sz w:val="20"/>
                <w:szCs w:val="20"/>
                <w:color w:val="auto"/>
              </w:rPr>
            </w:pPr>
            <w:r>
              <w:rPr>
                <w:rFonts w:ascii="Arial" w:cs="Arial" w:eastAsia="Arial" w:hAnsi="Arial"/>
                <w:sz w:val="14"/>
                <w:szCs w:val="14"/>
                <w:color w:val="auto"/>
              </w:rPr>
              <w:t>Greater than</w:t>
            </w: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12.5%</w:t>
            </w:r>
          </w:p>
        </w:tc>
      </w:tr>
      <w:tr>
        <w:trPr>
          <w:trHeight w:val="202"/>
        </w:trPr>
        <w:tc>
          <w:tcPr>
            <w:tcW w:w="1920" w:type="dxa"/>
            <w:vAlign w:val="bottom"/>
            <w:tcBorders>
              <w:bottom w:val="single" w:sz="8" w:color="C8C9CB"/>
            </w:tcBorders>
            <w:shd w:val="clear" w:color="auto" w:fill="C8C9CB"/>
          </w:tcPr>
          <w:p>
            <w:pPr>
              <w:ind w:left="20"/>
              <w:spacing w:after="0"/>
              <w:rPr>
                <w:sz w:val="20"/>
                <w:szCs w:val="20"/>
                <w:color w:val="auto"/>
              </w:rPr>
            </w:pPr>
            <w:r>
              <w:rPr>
                <w:rFonts w:ascii="Arial" w:cs="Arial" w:eastAsia="Arial" w:hAnsi="Arial"/>
                <w:sz w:val="14"/>
                <w:szCs w:val="14"/>
                <w:b w:val="1"/>
                <w:bCs w:val="1"/>
                <w:color w:val="00ABE8"/>
              </w:rPr>
              <w:t>(excluding dividends)</w:t>
            </w:r>
          </w:p>
        </w:tc>
        <w:tc>
          <w:tcPr>
            <w:tcW w:w="1520" w:type="dxa"/>
            <w:vAlign w:val="bottom"/>
            <w:tcBorders>
              <w:bottom w:val="single" w:sz="8" w:color="C8C9CB"/>
            </w:tcBorders>
          </w:tcPr>
          <w:p>
            <w:pPr>
              <w:spacing w:after="0"/>
              <w:rPr>
                <w:sz w:val="17"/>
                <w:szCs w:val="17"/>
                <w:color w:val="auto"/>
              </w:rPr>
            </w:pPr>
          </w:p>
        </w:tc>
        <w:tc>
          <w:tcPr>
            <w:tcW w:w="1360" w:type="dxa"/>
            <w:vAlign w:val="bottom"/>
            <w:tcBorders>
              <w:bottom w:val="single" w:sz="8" w:color="C8C9CB"/>
            </w:tcBorders>
          </w:tcPr>
          <w:p>
            <w:pPr>
              <w:spacing w:after="0"/>
              <w:rPr>
                <w:sz w:val="17"/>
                <w:szCs w:val="17"/>
                <w:color w:val="auto"/>
              </w:rPr>
            </w:pPr>
          </w:p>
        </w:tc>
        <w:tc>
          <w:tcPr>
            <w:tcW w:w="1320" w:type="dxa"/>
            <w:vAlign w:val="bottom"/>
            <w:tcBorders>
              <w:bottom w:val="single" w:sz="8" w:color="C8C9CB"/>
            </w:tcBorders>
          </w:tcPr>
          <w:p>
            <w:pPr>
              <w:spacing w:after="0"/>
              <w:rPr>
                <w:sz w:val="17"/>
                <w:szCs w:val="17"/>
                <w:color w:val="auto"/>
              </w:rPr>
            </w:pPr>
          </w:p>
        </w:tc>
        <w:tc>
          <w:tcPr>
            <w:tcW w:w="1340" w:type="dxa"/>
            <w:vAlign w:val="bottom"/>
            <w:tcBorders>
              <w:bottom w:val="single" w:sz="8" w:color="C8C9CB"/>
            </w:tcBorders>
          </w:tcPr>
          <w:p>
            <w:pPr>
              <w:spacing w:after="0"/>
              <w:rPr>
                <w:sz w:val="17"/>
                <w:szCs w:val="17"/>
                <w:color w:val="auto"/>
              </w:rPr>
            </w:pPr>
          </w:p>
        </w:tc>
        <w:tc>
          <w:tcPr>
            <w:tcW w:w="1460" w:type="dxa"/>
            <w:vAlign w:val="bottom"/>
            <w:tcBorders>
              <w:bottom w:val="single" w:sz="8" w:color="C8C9CB"/>
            </w:tcBorders>
          </w:tcPr>
          <w:p>
            <w:pPr>
              <w:spacing w:after="0"/>
              <w:rPr>
                <w:sz w:val="17"/>
                <w:szCs w:val="17"/>
                <w:color w:val="auto"/>
              </w:rPr>
            </w:pPr>
          </w:p>
        </w:tc>
        <w:tc>
          <w:tcPr>
            <w:tcW w:w="1060" w:type="dxa"/>
            <w:vAlign w:val="bottom"/>
            <w:tcBorders>
              <w:bottom w:val="single" w:sz="8" w:color="C8C9CB"/>
            </w:tcBorders>
          </w:tcPr>
          <w:p>
            <w:pPr>
              <w:spacing w:after="0"/>
              <w:rPr>
                <w:sz w:val="17"/>
                <w:szCs w:val="17"/>
                <w:color w:val="auto"/>
              </w:rPr>
            </w:pPr>
          </w:p>
        </w:tc>
        <w:tc>
          <w:tcPr>
            <w:tcW w:w="700" w:type="dxa"/>
            <w:vAlign w:val="bottom"/>
            <w:tcBorders>
              <w:bottom w:val="single" w:sz="8" w:color="C8C9CB"/>
            </w:tcBorders>
          </w:tcPr>
          <w:p>
            <w:pPr>
              <w:spacing w:after="0"/>
              <w:rPr>
                <w:sz w:val="17"/>
                <w:szCs w:val="17"/>
                <w:color w:val="auto"/>
              </w:rPr>
            </w:pPr>
          </w:p>
        </w:tc>
      </w:tr>
      <w:tr>
        <w:trPr>
          <w:trHeight w:val="212"/>
        </w:trPr>
        <w:tc>
          <w:tcPr>
            <w:tcW w:w="192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Percent of Target</w:t>
            </w:r>
          </w:p>
        </w:tc>
        <w:tc>
          <w:tcPr>
            <w:tcW w:w="1520" w:type="dxa"/>
            <w:vAlign w:val="bottom"/>
            <w:shd w:val="clear" w:color="auto" w:fill="F4F6F6"/>
          </w:tcPr>
          <w:p>
            <w:pPr>
              <w:jc w:val="center"/>
              <w:spacing w:after="0"/>
              <w:rPr>
                <w:sz w:val="20"/>
                <w:szCs w:val="20"/>
                <w:color w:val="auto"/>
              </w:rPr>
            </w:pPr>
            <w:r>
              <w:rPr>
                <w:rFonts w:ascii="Arial" w:cs="Arial" w:eastAsia="Arial" w:hAnsi="Arial"/>
                <w:sz w:val="14"/>
                <w:szCs w:val="14"/>
                <w:color w:val="auto"/>
                <w:w w:val="98"/>
              </w:rPr>
              <w:t>0%</w:t>
            </w:r>
          </w:p>
        </w:tc>
        <w:tc>
          <w:tcPr>
            <w:tcW w:w="1360" w:type="dxa"/>
            <w:vAlign w:val="bottom"/>
            <w:shd w:val="clear" w:color="auto" w:fill="F4F6F6"/>
          </w:tcPr>
          <w:p>
            <w:pPr>
              <w:jc w:val="center"/>
              <w:spacing w:after="0"/>
              <w:rPr>
                <w:sz w:val="20"/>
                <w:szCs w:val="20"/>
                <w:color w:val="auto"/>
              </w:rPr>
            </w:pPr>
            <w:r>
              <w:rPr>
                <w:rFonts w:ascii="Arial" w:cs="Arial" w:eastAsia="Arial" w:hAnsi="Arial"/>
                <w:sz w:val="14"/>
                <w:szCs w:val="14"/>
                <w:color w:val="auto"/>
                <w:w w:val="99"/>
              </w:rPr>
              <w:t>50%</w:t>
            </w:r>
          </w:p>
        </w:tc>
        <w:tc>
          <w:tcPr>
            <w:tcW w:w="1320" w:type="dxa"/>
            <w:vAlign w:val="bottom"/>
            <w:shd w:val="clear" w:color="auto" w:fill="F4F6F6"/>
          </w:tcPr>
          <w:p>
            <w:pPr>
              <w:jc w:val="center"/>
              <w:spacing w:after="0"/>
              <w:rPr>
                <w:sz w:val="20"/>
                <w:szCs w:val="20"/>
                <w:color w:val="auto"/>
              </w:rPr>
            </w:pPr>
            <w:r>
              <w:rPr>
                <w:rFonts w:ascii="Arial" w:cs="Arial" w:eastAsia="Arial" w:hAnsi="Arial"/>
                <w:sz w:val="14"/>
                <w:szCs w:val="14"/>
                <w:color w:val="auto"/>
                <w:w w:val="99"/>
              </w:rPr>
              <w:t>75%</w:t>
            </w:r>
          </w:p>
        </w:tc>
        <w:tc>
          <w:tcPr>
            <w:tcW w:w="1340" w:type="dxa"/>
            <w:vAlign w:val="bottom"/>
            <w:shd w:val="clear" w:color="auto" w:fill="F4F6F6"/>
          </w:tcPr>
          <w:p>
            <w:pPr>
              <w:jc w:val="center"/>
              <w:spacing w:after="0"/>
              <w:rPr>
                <w:sz w:val="20"/>
                <w:szCs w:val="20"/>
                <w:color w:val="auto"/>
              </w:rPr>
            </w:pPr>
            <w:r>
              <w:rPr>
                <w:rFonts w:ascii="Arial" w:cs="Arial" w:eastAsia="Arial" w:hAnsi="Arial"/>
                <w:sz w:val="14"/>
                <w:szCs w:val="14"/>
                <w:color w:val="EE2724"/>
              </w:rPr>
              <w:t>100%</w:t>
            </w:r>
          </w:p>
        </w:tc>
        <w:tc>
          <w:tcPr>
            <w:tcW w:w="146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125%</w:t>
            </w:r>
          </w:p>
        </w:tc>
        <w:tc>
          <w:tcPr>
            <w:tcW w:w="1060" w:type="dxa"/>
            <w:vAlign w:val="bottom"/>
            <w:shd w:val="clear" w:color="auto" w:fill="F4F6F6"/>
          </w:tcPr>
          <w:p>
            <w:pPr>
              <w:jc w:val="right"/>
              <w:spacing w:after="0"/>
              <w:rPr>
                <w:sz w:val="20"/>
                <w:szCs w:val="20"/>
                <w:color w:val="auto"/>
              </w:rPr>
            </w:pPr>
            <w:r>
              <w:rPr>
                <w:rFonts w:ascii="Arial" w:cs="Arial" w:eastAsia="Arial" w:hAnsi="Arial"/>
                <w:sz w:val="14"/>
                <w:szCs w:val="14"/>
                <w:color w:val="auto"/>
              </w:rPr>
              <w:t>150%</w:t>
            </w:r>
          </w:p>
        </w:tc>
        <w:tc>
          <w:tcPr>
            <w:tcW w:w="700" w:type="dxa"/>
            <w:vAlign w:val="bottom"/>
            <w:shd w:val="clear" w:color="auto" w:fill="F4F6F6"/>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-145415</wp:posOffset>
            </wp:positionV>
            <wp:extent cx="12261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-496570</wp:posOffset>
            </wp:positionV>
            <wp:extent cx="12261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2018 Compensation Results</w:t>
      </w:r>
    </w:p>
    <w:p>
      <w:pPr>
        <w:spacing w:after="0" w:line="27" w:lineRule="exact"/>
        <w:rPr>
          <w:sz w:val="20"/>
          <w:szCs w:val="20"/>
          <w:color w:val="auto"/>
        </w:rPr>
      </w:pPr>
    </w:p>
    <w:p>
      <w:pPr>
        <w:ind w:right="600"/>
        <w:spacing w:after="0" w:line="265" w:lineRule="auto"/>
        <w:rPr>
          <w:sz w:val="20"/>
          <w:szCs w:val="20"/>
          <w:color w:val="auto"/>
        </w:rPr>
      </w:pPr>
      <w:r>
        <w:rPr>
          <w:rFonts w:ascii="Arial" w:cs="Arial" w:eastAsia="Arial" w:hAnsi="Arial"/>
          <w:sz w:val="17"/>
          <w:szCs w:val="17"/>
          <w:color w:val="auto"/>
        </w:rPr>
        <w:t>The information in this section reflects the amounts paid to named executive officers under the Lilly bonus plan or the Elanco bonus plan, as applicable, and for equity awards granted in prior years for which the relevant performance period ended in 2018.</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Lilly Performance</w:t>
      </w:r>
    </w:p>
    <w:p>
      <w:pPr>
        <w:spacing w:after="0" w:line="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2018 we exceeded both our annual revenue and EPS targets. We also made significant progress on our pipeline, meeting or exceeding all of our pipeline targets. Key pipeline highlights include first regulatory approval for Emgality and eleven other new approvals, indications, or line extensions.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Lilly Bonus Plan</w:t>
      </w:r>
    </w:p>
    <w:p>
      <w:pPr>
        <w:spacing w:after="0" w:line="25"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 company's performance compared to targets for revenue, EPS, and pipeline progress, as well as the resulting Lilly bonus multiple, is illustrated below. In 2018, the Non-GAAP EPS for Lilly Bonus was adjusted by $(0.06) to eliminate the benefit of share repurchases in excess of a pre-established collar.</w:t>
      </w:r>
    </w:p>
    <w:p>
      <w:pPr>
        <w:spacing w:after="0" w:line="200" w:lineRule="exact"/>
        <w:rPr>
          <w:sz w:val="20"/>
          <w:szCs w:val="20"/>
          <w:color w:val="auto"/>
        </w:rPr>
      </w:pPr>
    </w:p>
    <w:p>
      <w:pPr>
        <w:spacing w:after="0" w:line="329" w:lineRule="exact"/>
        <w:rPr>
          <w:sz w:val="20"/>
          <w:szCs w:val="20"/>
          <w:color w:val="auto"/>
        </w:rPr>
      </w:pPr>
    </w:p>
    <w:tbl>
      <w:tblPr>
        <w:tblLayout w:type="fixed"/>
        <w:tblInd w:w="960" w:type="dxa"/>
        <w:tblCellMar>
          <w:top w:w="0" w:type="dxa"/>
          <w:left w:w="0" w:type="dxa"/>
          <w:bottom w:w="0" w:type="dxa"/>
          <w:right w:w="0" w:type="dxa"/>
        </w:tblCellMar>
      </w:tblPr>
      <w:tr>
        <w:trPr>
          <w:trHeight w:val="270"/>
        </w:trPr>
        <w:tc>
          <w:tcPr>
            <w:tcW w:w="2100" w:type="dxa"/>
            <w:vAlign w:val="bottom"/>
            <w:shd w:val="clear" w:color="auto" w:fill="C8C9CB"/>
          </w:tcPr>
          <w:p>
            <w:pPr>
              <w:spacing w:after="0"/>
              <w:rPr>
                <w:sz w:val="23"/>
                <w:szCs w:val="23"/>
                <w:color w:val="auto"/>
              </w:rPr>
            </w:pPr>
          </w:p>
        </w:tc>
        <w:tc>
          <w:tcPr>
            <w:tcW w:w="2940" w:type="dxa"/>
            <w:vAlign w:val="bottom"/>
            <w:shd w:val="clear" w:color="auto" w:fill="C8C9CB"/>
          </w:tcPr>
          <w:p>
            <w:pPr>
              <w:jc w:val="center"/>
              <w:ind w:left="406"/>
              <w:spacing w:after="0"/>
              <w:rPr>
                <w:sz w:val="20"/>
                <w:szCs w:val="20"/>
                <w:color w:val="auto"/>
              </w:rPr>
            </w:pPr>
            <w:r>
              <w:rPr>
                <w:rFonts w:ascii="Arial" w:cs="Arial" w:eastAsia="Arial" w:hAnsi="Arial"/>
                <w:sz w:val="16"/>
                <w:szCs w:val="16"/>
                <w:b w:val="1"/>
                <w:bCs w:val="1"/>
                <w:color w:val="00ABE8"/>
              </w:rPr>
              <w:t>2018 Corporate Target</w:t>
            </w:r>
          </w:p>
        </w:tc>
        <w:tc>
          <w:tcPr>
            <w:tcW w:w="2380" w:type="dxa"/>
            <w:vAlign w:val="bottom"/>
            <w:shd w:val="clear" w:color="auto" w:fill="C8C9CB"/>
          </w:tcPr>
          <w:p>
            <w:pPr>
              <w:jc w:val="center"/>
              <w:ind w:right="206"/>
              <w:spacing w:after="0"/>
              <w:rPr>
                <w:sz w:val="20"/>
                <w:szCs w:val="20"/>
                <w:color w:val="auto"/>
              </w:rPr>
            </w:pPr>
            <w:r>
              <w:rPr>
                <w:rFonts w:ascii="Arial" w:cs="Arial" w:eastAsia="Arial" w:hAnsi="Arial"/>
                <w:sz w:val="16"/>
                <w:szCs w:val="16"/>
                <w:b w:val="1"/>
                <w:bCs w:val="1"/>
                <w:color w:val="00ABE8"/>
              </w:rPr>
              <w:t>Adjusted Results*</w:t>
            </w:r>
          </w:p>
        </w:tc>
        <w:tc>
          <w:tcPr>
            <w:tcW w:w="2100" w:type="dxa"/>
            <w:vAlign w:val="bottom"/>
            <w:shd w:val="clear" w:color="auto" w:fill="C8C9CB"/>
          </w:tcPr>
          <w:p>
            <w:pPr>
              <w:jc w:val="center"/>
              <w:ind w:right="126"/>
              <w:spacing w:after="0"/>
              <w:rPr>
                <w:sz w:val="20"/>
                <w:szCs w:val="20"/>
                <w:color w:val="auto"/>
              </w:rPr>
            </w:pPr>
            <w:r>
              <w:rPr>
                <w:rFonts w:ascii="Arial" w:cs="Arial" w:eastAsia="Arial" w:hAnsi="Arial"/>
                <w:sz w:val="16"/>
                <w:szCs w:val="16"/>
                <w:b w:val="1"/>
                <w:bCs w:val="1"/>
                <w:color w:val="00ABE8"/>
              </w:rPr>
              <w:t>Multiple</w:t>
            </w:r>
          </w:p>
        </w:tc>
      </w:tr>
      <w:tr>
        <w:trPr>
          <w:trHeight w:val="208"/>
        </w:trPr>
        <w:tc>
          <w:tcPr>
            <w:tcW w:w="2100" w:type="dxa"/>
            <w:vAlign w:val="bottom"/>
          </w:tcPr>
          <w:p>
            <w:pPr>
              <w:ind w:left="20"/>
              <w:spacing w:after="0"/>
              <w:rPr>
                <w:sz w:val="20"/>
                <w:szCs w:val="20"/>
                <w:color w:val="auto"/>
              </w:rPr>
            </w:pPr>
            <w:r>
              <w:rPr>
                <w:rFonts w:ascii="Arial" w:cs="Arial" w:eastAsia="Arial" w:hAnsi="Arial"/>
                <w:sz w:val="14"/>
                <w:szCs w:val="14"/>
                <w:color w:val="auto"/>
              </w:rPr>
              <w:t>Revenue</w:t>
            </w:r>
          </w:p>
        </w:tc>
        <w:tc>
          <w:tcPr>
            <w:tcW w:w="2940" w:type="dxa"/>
            <w:vAlign w:val="bottom"/>
          </w:tcPr>
          <w:p>
            <w:pPr>
              <w:jc w:val="center"/>
              <w:ind w:left="406"/>
              <w:spacing w:after="0"/>
              <w:rPr>
                <w:sz w:val="20"/>
                <w:szCs w:val="20"/>
                <w:color w:val="auto"/>
              </w:rPr>
            </w:pPr>
            <w:r>
              <w:rPr>
                <w:rFonts w:ascii="Arial" w:cs="Arial" w:eastAsia="Arial" w:hAnsi="Arial"/>
                <w:sz w:val="14"/>
                <w:szCs w:val="14"/>
                <w:color w:val="auto"/>
              </w:rPr>
              <w:t>$23.457 billion</w:t>
            </w:r>
          </w:p>
        </w:tc>
        <w:tc>
          <w:tcPr>
            <w:tcW w:w="2380" w:type="dxa"/>
            <w:vAlign w:val="bottom"/>
          </w:tcPr>
          <w:p>
            <w:pPr>
              <w:jc w:val="center"/>
              <w:ind w:right="206"/>
              <w:spacing w:after="0"/>
              <w:rPr>
                <w:sz w:val="20"/>
                <w:szCs w:val="20"/>
                <w:color w:val="auto"/>
              </w:rPr>
            </w:pPr>
            <w:r>
              <w:rPr>
                <w:rFonts w:ascii="Arial" w:cs="Arial" w:eastAsia="Arial" w:hAnsi="Arial"/>
                <w:sz w:val="14"/>
                <w:szCs w:val="14"/>
                <w:color w:val="auto"/>
              </w:rPr>
              <w:t>$24.556 billion</w:t>
            </w:r>
          </w:p>
        </w:tc>
        <w:tc>
          <w:tcPr>
            <w:tcW w:w="2100" w:type="dxa"/>
            <w:vAlign w:val="bottom"/>
          </w:tcPr>
          <w:p>
            <w:pPr>
              <w:jc w:val="center"/>
              <w:ind w:right="106"/>
              <w:spacing w:after="0"/>
              <w:rPr>
                <w:sz w:val="20"/>
                <w:szCs w:val="20"/>
                <w:color w:val="auto"/>
              </w:rPr>
            </w:pPr>
            <w:r>
              <w:rPr>
                <w:rFonts w:ascii="Arial" w:cs="Arial" w:eastAsia="Arial" w:hAnsi="Arial"/>
                <w:sz w:val="14"/>
                <w:szCs w:val="14"/>
                <w:color w:val="auto"/>
              </w:rPr>
              <w:t>1.48</w:t>
            </w:r>
          </w:p>
        </w:tc>
      </w:tr>
      <w:tr>
        <w:trPr>
          <w:trHeight w:val="216"/>
        </w:trPr>
        <w:tc>
          <w:tcPr>
            <w:tcW w:w="2100" w:type="dxa"/>
            <w:vAlign w:val="bottom"/>
          </w:tcPr>
          <w:p>
            <w:pPr>
              <w:ind w:left="20"/>
              <w:spacing w:after="0"/>
              <w:rPr>
                <w:sz w:val="20"/>
                <w:szCs w:val="20"/>
                <w:color w:val="auto"/>
              </w:rPr>
            </w:pPr>
            <w:r>
              <w:rPr>
                <w:rFonts w:ascii="Arial" w:cs="Arial" w:eastAsia="Arial" w:hAnsi="Arial"/>
                <w:sz w:val="14"/>
                <w:szCs w:val="14"/>
                <w:color w:val="auto"/>
              </w:rPr>
              <w:t>EPS</w:t>
            </w:r>
          </w:p>
        </w:tc>
        <w:tc>
          <w:tcPr>
            <w:tcW w:w="2940" w:type="dxa"/>
            <w:vAlign w:val="bottom"/>
          </w:tcPr>
          <w:p>
            <w:pPr>
              <w:jc w:val="right"/>
              <w:ind w:right="986"/>
              <w:spacing w:after="0"/>
              <w:rPr>
                <w:sz w:val="20"/>
                <w:szCs w:val="20"/>
                <w:color w:val="auto"/>
              </w:rPr>
            </w:pPr>
            <w:r>
              <w:rPr>
                <w:rFonts w:ascii="Arial" w:cs="Arial" w:eastAsia="Arial" w:hAnsi="Arial"/>
                <w:sz w:val="14"/>
                <w:szCs w:val="14"/>
                <w:color w:val="auto"/>
              </w:rPr>
              <w:t>$4.91</w:t>
            </w:r>
          </w:p>
        </w:tc>
        <w:tc>
          <w:tcPr>
            <w:tcW w:w="2380" w:type="dxa"/>
            <w:vAlign w:val="bottom"/>
          </w:tcPr>
          <w:p>
            <w:pPr>
              <w:jc w:val="right"/>
              <w:ind w:right="1066"/>
              <w:spacing w:after="0"/>
              <w:rPr>
                <w:sz w:val="20"/>
                <w:szCs w:val="20"/>
                <w:color w:val="auto"/>
              </w:rPr>
            </w:pPr>
            <w:r>
              <w:rPr>
                <w:rFonts w:ascii="Arial" w:cs="Arial" w:eastAsia="Arial" w:hAnsi="Arial"/>
                <w:sz w:val="14"/>
                <w:szCs w:val="14"/>
                <w:color w:val="auto"/>
              </w:rPr>
              <w:t>$5.49</w:t>
            </w:r>
          </w:p>
        </w:tc>
        <w:tc>
          <w:tcPr>
            <w:tcW w:w="2100" w:type="dxa"/>
            <w:vAlign w:val="bottom"/>
          </w:tcPr>
          <w:p>
            <w:pPr>
              <w:jc w:val="center"/>
              <w:ind w:right="106"/>
              <w:spacing w:after="0"/>
              <w:rPr>
                <w:sz w:val="20"/>
                <w:szCs w:val="20"/>
                <w:color w:val="auto"/>
              </w:rPr>
            </w:pPr>
            <w:r>
              <w:rPr>
                <w:rFonts w:ascii="Arial" w:cs="Arial" w:eastAsia="Arial" w:hAnsi="Arial"/>
                <w:sz w:val="14"/>
                <w:szCs w:val="14"/>
                <w:color w:val="auto"/>
              </w:rPr>
              <w:t>2.00</w:t>
            </w:r>
          </w:p>
        </w:tc>
      </w:tr>
      <w:tr>
        <w:trPr>
          <w:trHeight w:val="216"/>
        </w:trPr>
        <w:tc>
          <w:tcPr>
            <w:tcW w:w="2100" w:type="dxa"/>
            <w:vAlign w:val="bottom"/>
          </w:tcPr>
          <w:p>
            <w:pPr>
              <w:ind w:left="20"/>
              <w:spacing w:after="0"/>
              <w:rPr>
                <w:sz w:val="20"/>
                <w:szCs w:val="20"/>
                <w:color w:val="auto"/>
              </w:rPr>
            </w:pPr>
            <w:r>
              <w:rPr>
                <w:rFonts w:ascii="Arial" w:cs="Arial" w:eastAsia="Arial" w:hAnsi="Arial"/>
                <w:sz w:val="14"/>
                <w:szCs w:val="14"/>
                <w:color w:val="auto"/>
              </w:rPr>
              <w:t>Pipeline score</w:t>
            </w:r>
          </w:p>
        </w:tc>
        <w:tc>
          <w:tcPr>
            <w:tcW w:w="2940" w:type="dxa"/>
            <w:vAlign w:val="bottom"/>
          </w:tcPr>
          <w:p>
            <w:pPr>
              <w:jc w:val="right"/>
              <w:ind w:right="1026"/>
              <w:spacing w:after="0"/>
              <w:rPr>
                <w:sz w:val="20"/>
                <w:szCs w:val="20"/>
                <w:color w:val="auto"/>
              </w:rPr>
            </w:pPr>
            <w:r>
              <w:rPr>
                <w:rFonts w:ascii="Arial" w:cs="Arial" w:eastAsia="Arial" w:hAnsi="Arial"/>
                <w:sz w:val="14"/>
                <w:szCs w:val="14"/>
                <w:color w:val="auto"/>
              </w:rPr>
              <w:t>3.00</w:t>
            </w:r>
          </w:p>
        </w:tc>
        <w:tc>
          <w:tcPr>
            <w:tcW w:w="2380" w:type="dxa"/>
            <w:vAlign w:val="bottom"/>
          </w:tcPr>
          <w:p>
            <w:pPr>
              <w:jc w:val="right"/>
              <w:ind w:right="1146"/>
              <w:spacing w:after="0"/>
              <w:rPr>
                <w:sz w:val="20"/>
                <w:szCs w:val="20"/>
                <w:color w:val="auto"/>
              </w:rPr>
            </w:pPr>
            <w:r>
              <w:rPr>
                <w:rFonts w:ascii="Arial" w:cs="Arial" w:eastAsia="Arial" w:hAnsi="Arial"/>
                <w:sz w:val="14"/>
                <w:szCs w:val="14"/>
                <w:color w:val="auto"/>
              </w:rPr>
              <w:t>3.9</w:t>
            </w:r>
          </w:p>
        </w:tc>
        <w:tc>
          <w:tcPr>
            <w:tcW w:w="2100" w:type="dxa"/>
            <w:vAlign w:val="bottom"/>
          </w:tcPr>
          <w:p>
            <w:pPr>
              <w:jc w:val="center"/>
              <w:ind w:right="106"/>
              <w:spacing w:after="0"/>
              <w:rPr>
                <w:sz w:val="20"/>
                <w:szCs w:val="20"/>
                <w:color w:val="auto"/>
              </w:rPr>
            </w:pPr>
            <w:r>
              <w:rPr>
                <w:rFonts w:ascii="Arial" w:cs="Arial" w:eastAsia="Arial" w:hAnsi="Arial"/>
                <w:sz w:val="14"/>
                <w:szCs w:val="14"/>
                <w:color w:val="auto"/>
              </w:rPr>
              <w:t>1.45</w:t>
            </w:r>
          </w:p>
        </w:tc>
      </w:tr>
      <w:tr>
        <w:trPr>
          <w:trHeight w:val="270"/>
        </w:trPr>
        <w:tc>
          <w:tcPr>
            <w:tcW w:w="2100" w:type="dxa"/>
            <w:vAlign w:val="bottom"/>
          </w:tcPr>
          <w:p>
            <w:pPr>
              <w:ind w:left="20"/>
              <w:spacing w:after="0"/>
              <w:rPr>
                <w:sz w:val="20"/>
                <w:szCs w:val="20"/>
                <w:color w:val="auto"/>
              </w:rPr>
            </w:pPr>
            <w:r>
              <w:rPr>
                <w:rFonts w:ascii="Arial" w:cs="Arial" w:eastAsia="Arial" w:hAnsi="Arial"/>
                <w:sz w:val="14"/>
                <w:szCs w:val="14"/>
                <w:color w:val="auto"/>
              </w:rPr>
              <w:t>Lilly Bonus Multiple</w:t>
            </w:r>
          </w:p>
        </w:tc>
        <w:tc>
          <w:tcPr>
            <w:tcW w:w="29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100" w:type="dxa"/>
            <w:vAlign w:val="bottom"/>
          </w:tcPr>
          <w:p>
            <w:pPr>
              <w:jc w:val="center"/>
              <w:ind w:right="106"/>
              <w:spacing w:after="0"/>
              <w:rPr>
                <w:sz w:val="20"/>
                <w:szCs w:val="20"/>
                <w:color w:val="auto"/>
              </w:rPr>
            </w:pPr>
            <w:r>
              <w:rPr>
                <w:rFonts w:ascii="Arial" w:cs="Arial" w:eastAsia="Arial" w:hAnsi="Arial"/>
                <w:sz w:val="14"/>
                <w:szCs w:val="14"/>
                <w:color w:val="auto"/>
              </w:rPr>
              <w:t>1.73</w:t>
            </w:r>
          </w:p>
        </w:tc>
      </w:tr>
    </w:tbl>
    <w:p>
      <w:pPr>
        <w:spacing w:after="0" w:line="197"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*See Appendix A, “Summary of Adjustments Related to the Annual Cash Bonus and Performance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137795</wp:posOffset>
            </wp:positionV>
            <wp:extent cx="5368290" cy="22809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6829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The Science and Technology Committee's assessment of the company's progress toward achieving product pipeline goals is detailed below:</w:t>
      </w: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P44</w:t>
      </w:r>
    </w:p>
    <w:p>
      <w:pPr>
        <w:sectPr>
          <w:pgSz w:w="11900" w:h="16838" w:orient="portrait"/>
          <w:cols w:equalWidth="0" w:num="1">
            <w:col w:w="11180"/>
          </w:cols>
          <w:pgMar w:left="240" w:top="720" w:right="479" w:bottom="1440" w:gutter="0" w:footer="0" w:header="0"/>
        </w:sectPr>
      </w:pPr>
    </w:p>
    <w:bookmarkStart w:id="48" w:name="page49"/>
    <w:bookmarkEnd w:id="48"/>
    <w:tbl>
      <w:tblPr>
        <w:tblLayout w:type="fixed"/>
        <w:tblInd w:w="200" w:type="dxa"/>
        <w:tblCellMar>
          <w:top w:w="0" w:type="dxa"/>
          <w:left w:w="0" w:type="dxa"/>
          <w:bottom w:w="0" w:type="dxa"/>
          <w:right w:w="0" w:type="dxa"/>
        </w:tblCellMar>
      </w:tblPr>
      <w:tr>
        <w:trPr>
          <w:trHeight w:val="243"/>
        </w:trPr>
        <w:tc>
          <w:tcPr>
            <w:tcW w:w="3400" w:type="dxa"/>
            <w:vAlign w:val="bottom"/>
            <w:shd w:val="clear" w:color="auto" w:fill="C8C9CB"/>
          </w:tcPr>
          <w:p>
            <w:pPr>
              <w:ind w:left="1420"/>
              <w:spacing w:after="0"/>
              <w:rPr>
                <w:sz w:val="20"/>
                <w:szCs w:val="20"/>
                <w:color w:val="auto"/>
              </w:rPr>
            </w:pPr>
            <w:r>
              <w:rPr>
                <w:rFonts w:ascii="Arial" w:cs="Arial" w:eastAsia="Arial" w:hAnsi="Arial"/>
                <w:sz w:val="16"/>
                <w:szCs w:val="16"/>
                <w:b w:val="1"/>
                <w:bCs w:val="1"/>
                <w:color w:val="00ABE8"/>
              </w:rPr>
              <w:t>Activity</w:t>
            </w:r>
          </w:p>
        </w:tc>
        <w:tc>
          <w:tcPr>
            <w:tcW w:w="3740" w:type="dxa"/>
            <w:vAlign w:val="bottom"/>
            <w:shd w:val="clear" w:color="auto" w:fill="C8C9CB"/>
          </w:tcPr>
          <w:p>
            <w:pPr>
              <w:jc w:val="center"/>
              <w:ind w:right="191"/>
              <w:spacing w:after="0"/>
              <w:rPr>
                <w:sz w:val="20"/>
                <w:szCs w:val="20"/>
                <w:color w:val="auto"/>
              </w:rPr>
            </w:pPr>
            <w:r>
              <w:rPr>
                <w:rFonts w:ascii="Arial" w:cs="Arial" w:eastAsia="Arial" w:hAnsi="Arial"/>
                <w:sz w:val="16"/>
                <w:szCs w:val="16"/>
                <w:b w:val="1"/>
                <w:bCs w:val="1"/>
                <w:color w:val="00ABE8"/>
                <w:w w:val="99"/>
              </w:rPr>
              <w:t>Objective</w:t>
            </w:r>
          </w:p>
        </w:tc>
        <w:tc>
          <w:tcPr>
            <w:tcW w:w="3900" w:type="dxa"/>
            <w:vAlign w:val="bottom"/>
            <w:shd w:val="clear" w:color="auto" w:fill="C8C9CB"/>
          </w:tcPr>
          <w:p>
            <w:pPr>
              <w:jc w:val="center"/>
              <w:ind w:right="231"/>
              <w:spacing w:after="0"/>
              <w:rPr>
                <w:sz w:val="20"/>
                <w:szCs w:val="20"/>
                <w:color w:val="auto"/>
              </w:rPr>
            </w:pPr>
            <w:r>
              <w:rPr>
                <w:rFonts w:ascii="Arial" w:cs="Arial" w:eastAsia="Arial" w:hAnsi="Arial"/>
                <w:sz w:val="16"/>
                <w:szCs w:val="16"/>
                <w:b w:val="1"/>
                <w:bCs w:val="1"/>
                <w:color w:val="00ABE8"/>
              </w:rPr>
              <w:t>Achievement</w:t>
            </w:r>
          </w:p>
        </w:tc>
        <w:tc>
          <w:tcPr>
            <w:tcW w:w="0" w:type="dxa"/>
            <w:vAlign w:val="bottom"/>
          </w:tcPr>
          <w:p>
            <w:pPr>
              <w:spacing w:after="0"/>
              <w:rPr>
                <w:sz w:val="1"/>
                <w:szCs w:val="1"/>
                <w:color w:val="auto"/>
              </w:rPr>
            </w:pPr>
          </w:p>
        </w:tc>
      </w:tr>
      <w:tr>
        <w:trPr>
          <w:trHeight w:val="159"/>
        </w:trPr>
        <w:tc>
          <w:tcPr>
            <w:tcW w:w="3400" w:type="dxa"/>
            <w:vAlign w:val="bottom"/>
            <w:vMerge w:val="restart"/>
          </w:tcPr>
          <w:p>
            <w:pPr>
              <w:ind w:left="20"/>
              <w:spacing w:after="0"/>
              <w:rPr>
                <w:sz w:val="20"/>
                <w:szCs w:val="20"/>
                <w:color w:val="auto"/>
              </w:rPr>
            </w:pPr>
            <w:r>
              <w:rPr>
                <w:rFonts w:ascii="Arial" w:cs="Arial" w:eastAsia="Arial" w:hAnsi="Arial"/>
                <w:sz w:val="14"/>
                <w:szCs w:val="14"/>
                <w:color w:val="auto"/>
              </w:rPr>
              <w:t>Approvals</w:t>
            </w:r>
          </w:p>
        </w:tc>
        <w:tc>
          <w:tcPr>
            <w:tcW w:w="3740" w:type="dxa"/>
            <w:vAlign w:val="bottom"/>
          </w:tcPr>
          <w:p>
            <w:pPr>
              <w:jc w:val="center"/>
              <w:ind w:right="191"/>
              <w:spacing w:after="0" w:line="159" w:lineRule="exact"/>
              <w:rPr>
                <w:sz w:val="20"/>
                <w:szCs w:val="20"/>
                <w:color w:val="auto"/>
              </w:rPr>
            </w:pPr>
            <w:r>
              <w:rPr>
                <w:rFonts w:ascii="Arial" w:cs="Arial" w:eastAsia="Arial" w:hAnsi="Arial"/>
                <w:sz w:val="14"/>
                <w:szCs w:val="14"/>
                <w:color w:val="auto"/>
                <w:w w:val="96"/>
              </w:rPr>
              <w:t>1-2 new drug first approval</w:t>
            </w:r>
          </w:p>
        </w:tc>
        <w:tc>
          <w:tcPr>
            <w:tcW w:w="3900" w:type="dxa"/>
            <w:vAlign w:val="bottom"/>
          </w:tcPr>
          <w:p>
            <w:pPr>
              <w:jc w:val="center"/>
              <w:ind w:right="211"/>
              <w:spacing w:after="0" w:line="159" w:lineRule="exact"/>
              <w:rPr>
                <w:sz w:val="20"/>
                <w:szCs w:val="20"/>
                <w:color w:val="auto"/>
              </w:rPr>
            </w:pPr>
            <w:r>
              <w:rPr>
                <w:rFonts w:ascii="Arial" w:cs="Arial" w:eastAsia="Arial" w:hAnsi="Arial"/>
                <w:sz w:val="14"/>
                <w:szCs w:val="14"/>
                <w:color w:val="auto"/>
                <w:w w:val="96"/>
              </w:rPr>
              <w:t>1 new drug first approvals</w:t>
            </w:r>
          </w:p>
        </w:tc>
        <w:tc>
          <w:tcPr>
            <w:tcW w:w="0" w:type="dxa"/>
            <w:vAlign w:val="bottom"/>
          </w:tcPr>
          <w:p>
            <w:pPr>
              <w:spacing w:after="0"/>
              <w:rPr>
                <w:sz w:val="1"/>
                <w:szCs w:val="1"/>
                <w:color w:val="auto"/>
              </w:rPr>
            </w:pPr>
          </w:p>
        </w:tc>
      </w:tr>
      <w:tr>
        <w:trPr>
          <w:trHeight w:val="99"/>
        </w:trPr>
        <w:tc>
          <w:tcPr>
            <w:tcW w:w="3400" w:type="dxa"/>
            <w:vAlign w:val="bottom"/>
            <w:vMerge w:val="continue"/>
          </w:tcPr>
          <w:p>
            <w:pPr>
              <w:spacing w:after="0"/>
              <w:rPr>
                <w:sz w:val="8"/>
                <w:szCs w:val="8"/>
                <w:color w:val="auto"/>
              </w:rPr>
            </w:pPr>
          </w:p>
        </w:tc>
        <w:tc>
          <w:tcPr>
            <w:tcW w:w="3740" w:type="dxa"/>
            <w:vAlign w:val="bottom"/>
            <w:vMerge w:val="restart"/>
          </w:tcPr>
          <w:p>
            <w:pPr>
              <w:jc w:val="center"/>
              <w:ind w:right="191"/>
              <w:spacing w:after="0"/>
              <w:rPr>
                <w:sz w:val="20"/>
                <w:szCs w:val="20"/>
                <w:color w:val="auto"/>
              </w:rPr>
            </w:pPr>
            <w:r>
              <w:rPr>
                <w:rFonts w:ascii="Arial" w:cs="Arial" w:eastAsia="Arial" w:hAnsi="Arial"/>
                <w:sz w:val="14"/>
                <w:szCs w:val="14"/>
                <w:color w:val="auto"/>
                <w:w w:val="96"/>
              </w:rPr>
              <w:t>9 other approvals</w:t>
            </w:r>
          </w:p>
        </w:tc>
        <w:tc>
          <w:tcPr>
            <w:tcW w:w="3900" w:type="dxa"/>
            <w:vAlign w:val="bottom"/>
            <w:vMerge w:val="restart"/>
          </w:tcPr>
          <w:p>
            <w:pPr>
              <w:jc w:val="center"/>
              <w:ind w:right="231"/>
              <w:spacing w:after="0"/>
              <w:rPr>
                <w:sz w:val="20"/>
                <w:szCs w:val="20"/>
                <w:color w:val="auto"/>
              </w:rPr>
            </w:pPr>
            <w:r>
              <w:rPr>
                <w:rFonts w:ascii="Arial" w:cs="Arial" w:eastAsia="Arial" w:hAnsi="Arial"/>
                <w:sz w:val="14"/>
                <w:szCs w:val="14"/>
                <w:color w:val="auto"/>
                <w:w w:val="96"/>
              </w:rPr>
              <w:t>10 other approvals</w:t>
            </w:r>
          </w:p>
        </w:tc>
        <w:tc>
          <w:tcPr>
            <w:tcW w:w="0" w:type="dxa"/>
            <w:vAlign w:val="bottom"/>
          </w:tcPr>
          <w:p>
            <w:pPr>
              <w:spacing w:after="0"/>
              <w:rPr>
                <w:sz w:val="1"/>
                <w:szCs w:val="1"/>
                <w:color w:val="auto"/>
              </w:rPr>
            </w:pPr>
          </w:p>
        </w:tc>
      </w:tr>
      <w:tr>
        <w:trPr>
          <w:trHeight w:val="87"/>
        </w:trPr>
        <w:tc>
          <w:tcPr>
            <w:tcW w:w="3400" w:type="dxa"/>
            <w:vAlign w:val="bottom"/>
          </w:tcPr>
          <w:p>
            <w:pPr>
              <w:spacing w:after="0"/>
              <w:rPr>
                <w:sz w:val="7"/>
                <w:szCs w:val="7"/>
                <w:color w:val="auto"/>
              </w:rPr>
            </w:pPr>
          </w:p>
        </w:tc>
        <w:tc>
          <w:tcPr>
            <w:tcW w:w="3740" w:type="dxa"/>
            <w:vAlign w:val="bottom"/>
            <w:vMerge w:val="continue"/>
          </w:tcPr>
          <w:p>
            <w:pPr>
              <w:spacing w:after="0"/>
              <w:rPr>
                <w:sz w:val="7"/>
                <w:szCs w:val="7"/>
                <w:color w:val="auto"/>
              </w:rPr>
            </w:pPr>
          </w:p>
        </w:tc>
        <w:tc>
          <w:tcPr>
            <w:tcW w:w="3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F4F6F6"/>
          </w:tcPr>
          <w:p>
            <w:pPr>
              <w:ind w:left="20"/>
              <w:spacing w:after="0"/>
              <w:rPr>
                <w:sz w:val="20"/>
                <w:szCs w:val="20"/>
                <w:color w:val="auto"/>
              </w:rPr>
            </w:pPr>
            <w:r>
              <w:rPr>
                <w:rFonts w:ascii="Arial" w:cs="Arial" w:eastAsia="Arial" w:hAnsi="Arial"/>
                <w:sz w:val="14"/>
                <w:szCs w:val="14"/>
                <w:color w:val="auto"/>
              </w:rPr>
              <w:t>Potential new drug Phase 3 starts</w:t>
            </w:r>
          </w:p>
        </w:tc>
        <w:tc>
          <w:tcPr>
            <w:tcW w:w="3740" w:type="dxa"/>
            <w:vAlign w:val="bottom"/>
            <w:shd w:val="clear" w:color="auto" w:fill="F4F6F6"/>
          </w:tcPr>
          <w:p>
            <w:pPr>
              <w:jc w:val="center"/>
              <w:ind w:right="191"/>
              <w:spacing w:after="0"/>
              <w:rPr>
                <w:sz w:val="20"/>
                <w:szCs w:val="20"/>
                <w:color w:val="auto"/>
              </w:rPr>
            </w:pPr>
            <w:r>
              <w:rPr>
                <w:rFonts w:ascii="Arial" w:cs="Arial" w:eastAsia="Arial" w:hAnsi="Arial"/>
                <w:sz w:val="14"/>
                <w:szCs w:val="14"/>
                <w:color w:val="auto"/>
              </w:rPr>
              <w:t>2</w:t>
            </w:r>
          </w:p>
        </w:tc>
        <w:tc>
          <w:tcPr>
            <w:tcW w:w="3900" w:type="dxa"/>
            <w:vAlign w:val="bottom"/>
            <w:shd w:val="clear" w:color="auto" w:fill="F4F6F6"/>
          </w:tcPr>
          <w:p>
            <w:pPr>
              <w:jc w:val="center"/>
              <w:ind w:right="231"/>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7"/>
        </w:trPr>
        <w:tc>
          <w:tcPr>
            <w:tcW w:w="3400" w:type="dxa"/>
            <w:vAlign w:val="bottom"/>
          </w:tcPr>
          <w:p>
            <w:pPr>
              <w:ind w:left="20"/>
              <w:spacing w:after="0"/>
              <w:rPr>
                <w:sz w:val="20"/>
                <w:szCs w:val="20"/>
                <w:color w:val="auto"/>
              </w:rPr>
            </w:pPr>
            <w:r>
              <w:rPr>
                <w:rFonts w:ascii="Arial" w:cs="Arial" w:eastAsia="Arial" w:hAnsi="Arial"/>
                <w:sz w:val="14"/>
                <w:szCs w:val="14"/>
                <w:color w:val="auto"/>
              </w:rPr>
              <w:t>Potential new drug Phase 1 starts</w:t>
            </w:r>
          </w:p>
        </w:tc>
        <w:tc>
          <w:tcPr>
            <w:tcW w:w="3740" w:type="dxa"/>
            <w:vAlign w:val="bottom"/>
          </w:tcPr>
          <w:p>
            <w:pPr>
              <w:jc w:val="center"/>
              <w:ind w:right="211"/>
              <w:spacing w:after="0"/>
              <w:rPr>
                <w:sz w:val="20"/>
                <w:szCs w:val="20"/>
                <w:color w:val="auto"/>
              </w:rPr>
            </w:pPr>
            <w:r>
              <w:rPr>
                <w:rFonts w:ascii="Arial" w:cs="Arial" w:eastAsia="Arial" w:hAnsi="Arial"/>
                <w:sz w:val="14"/>
                <w:szCs w:val="14"/>
                <w:color w:val="auto"/>
                <w:w w:val="92"/>
              </w:rPr>
              <w:t>9-11</w:t>
            </w:r>
          </w:p>
        </w:tc>
        <w:tc>
          <w:tcPr>
            <w:tcW w:w="3900" w:type="dxa"/>
            <w:vAlign w:val="bottom"/>
          </w:tcPr>
          <w:p>
            <w:pPr>
              <w:jc w:val="center"/>
              <w:ind w:right="211"/>
              <w:spacing w:after="0"/>
              <w:rPr>
                <w:sz w:val="20"/>
                <w:szCs w:val="20"/>
                <w:color w:val="auto"/>
              </w:rPr>
            </w:pPr>
            <w:r>
              <w:rPr>
                <w:rFonts w:ascii="Arial" w:cs="Arial" w:eastAsia="Arial" w:hAnsi="Arial"/>
                <w:sz w:val="14"/>
                <w:szCs w:val="14"/>
                <w:color w:val="auto"/>
                <w:w w:val="89"/>
              </w:rPr>
              <w:t>11</w:t>
            </w:r>
          </w:p>
        </w:tc>
        <w:tc>
          <w:tcPr>
            <w:tcW w:w="0" w:type="dxa"/>
            <w:vAlign w:val="bottom"/>
          </w:tcPr>
          <w:p>
            <w:pPr>
              <w:spacing w:after="0"/>
              <w:rPr>
                <w:sz w:val="1"/>
                <w:szCs w:val="1"/>
                <w:color w:val="auto"/>
              </w:rPr>
            </w:pPr>
          </w:p>
        </w:tc>
      </w:tr>
      <w:tr>
        <w:trPr>
          <w:trHeight w:val="209"/>
        </w:trPr>
        <w:tc>
          <w:tcPr>
            <w:tcW w:w="3400" w:type="dxa"/>
            <w:vAlign w:val="bottom"/>
            <w:shd w:val="clear" w:color="auto" w:fill="F4F6F6"/>
          </w:tcPr>
          <w:p>
            <w:pPr>
              <w:ind w:left="20"/>
              <w:spacing w:after="0"/>
              <w:rPr>
                <w:sz w:val="20"/>
                <w:szCs w:val="20"/>
                <w:color w:val="auto"/>
              </w:rPr>
            </w:pPr>
            <w:r>
              <w:rPr>
                <w:rFonts w:ascii="Arial" w:cs="Arial" w:eastAsia="Arial" w:hAnsi="Arial"/>
                <w:sz w:val="14"/>
                <w:szCs w:val="14"/>
                <w:color w:val="auto"/>
                <w:w w:val="97"/>
              </w:rPr>
              <w:t>Potential new indication or line extension Phase 3 starts</w:t>
            </w:r>
          </w:p>
        </w:tc>
        <w:tc>
          <w:tcPr>
            <w:tcW w:w="3740" w:type="dxa"/>
            <w:vAlign w:val="bottom"/>
            <w:shd w:val="clear" w:color="auto" w:fill="F4F6F6"/>
          </w:tcPr>
          <w:p>
            <w:pPr>
              <w:jc w:val="center"/>
              <w:ind w:right="191"/>
              <w:spacing w:after="0"/>
              <w:rPr>
                <w:sz w:val="20"/>
                <w:szCs w:val="20"/>
                <w:color w:val="auto"/>
              </w:rPr>
            </w:pPr>
            <w:r>
              <w:rPr>
                <w:rFonts w:ascii="Arial" w:cs="Arial" w:eastAsia="Arial" w:hAnsi="Arial"/>
                <w:sz w:val="14"/>
                <w:szCs w:val="14"/>
                <w:color w:val="auto"/>
              </w:rPr>
              <w:t>3</w:t>
            </w:r>
          </w:p>
        </w:tc>
        <w:tc>
          <w:tcPr>
            <w:tcW w:w="3900" w:type="dxa"/>
            <w:vAlign w:val="bottom"/>
            <w:shd w:val="clear" w:color="auto" w:fill="F4F6F6"/>
          </w:tcPr>
          <w:p>
            <w:pPr>
              <w:jc w:val="center"/>
              <w:ind w:right="231"/>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7"/>
        </w:trPr>
        <w:tc>
          <w:tcPr>
            <w:tcW w:w="3400" w:type="dxa"/>
            <w:vAlign w:val="bottom"/>
          </w:tcPr>
          <w:p>
            <w:pPr>
              <w:ind w:left="20"/>
              <w:spacing w:after="0"/>
              <w:rPr>
                <w:sz w:val="20"/>
                <w:szCs w:val="20"/>
                <w:color w:val="auto"/>
              </w:rPr>
            </w:pPr>
            <w:r>
              <w:rPr>
                <w:rFonts w:ascii="Arial" w:cs="Arial" w:eastAsia="Arial" w:hAnsi="Arial"/>
                <w:sz w:val="14"/>
                <w:szCs w:val="14"/>
                <w:color w:val="auto"/>
              </w:rPr>
              <w:t>Plan Boldly</w:t>
            </w:r>
          </w:p>
        </w:tc>
        <w:tc>
          <w:tcPr>
            <w:tcW w:w="3740" w:type="dxa"/>
            <w:vAlign w:val="bottom"/>
          </w:tcPr>
          <w:p>
            <w:pPr>
              <w:jc w:val="center"/>
              <w:ind w:right="191"/>
              <w:spacing w:after="0"/>
              <w:rPr>
                <w:sz w:val="20"/>
                <w:szCs w:val="20"/>
                <w:color w:val="auto"/>
              </w:rPr>
            </w:pPr>
            <w:r>
              <w:rPr>
                <w:rFonts w:ascii="Arial" w:cs="Arial" w:eastAsia="Arial" w:hAnsi="Arial"/>
                <w:sz w:val="14"/>
                <w:szCs w:val="14"/>
                <w:color w:val="auto"/>
                <w:w w:val="96"/>
              </w:rPr>
              <w:t>Meet industry benchmark for speed of development</w:t>
            </w:r>
          </w:p>
        </w:tc>
        <w:tc>
          <w:tcPr>
            <w:tcW w:w="3900" w:type="dxa"/>
            <w:vAlign w:val="bottom"/>
          </w:tcPr>
          <w:p>
            <w:pPr>
              <w:jc w:val="center"/>
              <w:ind w:right="211"/>
              <w:spacing w:after="0"/>
              <w:rPr>
                <w:sz w:val="20"/>
                <w:szCs w:val="20"/>
                <w:color w:val="auto"/>
              </w:rPr>
            </w:pPr>
            <w:r>
              <w:rPr>
                <w:rFonts w:ascii="Arial" w:cs="Arial" w:eastAsia="Arial" w:hAnsi="Arial"/>
                <w:sz w:val="14"/>
                <w:szCs w:val="14"/>
                <w:color w:val="auto"/>
                <w:w w:val="96"/>
              </w:rPr>
              <w:t>Plans exceeded industry benchmark</w:t>
            </w:r>
          </w:p>
        </w:tc>
        <w:tc>
          <w:tcPr>
            <w:tcW w:w="0" w:type="dxa"/>
            <w:vAlign w:val="bottom"/>
          </w:tcPr>
          <w:p>
            <w:pPr>
              <w:spacing w:after="0"/>
              <w:rPr>
                <w:sz w:val="1"/>
                <w:szCs w:val="1"/>
                <w:color w:val="auto"/>
              </w:rPr>
            </w:pPr>
          </w:p>
        </w:tc>
      </w:tr>
      <w:tr>
        <w:trPr>
          <w:trHeight w:val="209"/>
        </w:trPr>
        <w:tc>
          <w:tcPr>
            <w:tcW w:w="3400" w:type="dxa"/>
            <w:vAlign w:val="bottom"/>
            <w:shd w:val="clear" w:color="auto" w:fill="F4F6F6"/>
          </w:tcPr>
          <w:p>
            <w:pPr>
              <w:ind w:left="20"/>
              <w:spacing w:after="0"/>
              <w:rPr>
                <w:sz w:val="20"/>
                <w:szCs w:val="20"/>
                <w:color w:val="auto"/>
              </w:rPr>
            </w:pPr>
            <w:r>
              <w:rPr>
                <w:rFonts w:ascii="Arial" w:cs="Arial" w:eastAsia="Arial" w:hAnsi="Arial"/>
                <w:sz w:val="14"/>
                <w:szCs w:val="14"/>
                <w:color w:val="auto"/>
              </w:rPr>
              <w:t>Deliver to Launch</w:t>
            </w:r>
          </w:p>
        </w:tc>
        <w:tc>
          <w:tcPr>
            <w:tcW w:w="3740" w:type="dxa"/>
            <w:vAlign w:val="bottom"/>
            <w:shd w:val="clear" w:color="auto" w:fill="F4F6F6"/>
          </w:tcPr>
          <w:p>
            <w:pPr>
              <w:jc w:val="center"/>
              <w:ind w:right="191"/>
              <w:spacing w:after="0"/>
              <w:rPr>
                <w:sz w:val="20"/>
                <w:szCs w:val="20"/>
                <w:color w:val="auto"/>
              </w:rPr>
            </w:pPr>
            <w:r>
              <w:rPr>
                <w:rFonts w:ascii="Arial" w:cs="Arial" w:eastAsia="Arial" w:hAnsi="Arial"/>
                <w:sz w:val="14"/>
                <w:szCs w:val="14"/>
                <w:color w:val="auto"/>
                <w:w w:val="96"/>
              </w:rPr>
              <w:t>Meet planned project timelines</w:t>
            </w:r>
          </w:p>
        </w:tc>
        <w:tc>
          <w:tcPr>
            <w:tcW w:w="3900" w:type="dxa"/>
            <w:vAlign w:val="bottom"/>
            <w:shd w:val="clear" w:color="auto" w:fill="F4F6F6"/>
          </w:tcPr>
          <w:p>
            <w:pPr>
              <w:jc w:val="center"/>
              <w:ind w:right="211"/>
              <w:spacing w:after="0"/>
              <w:rPr>
                <w:sz w:val="20"/>
                <w:szCs w:val="20"/>
                <w:color w:val="auto"/>
              </w:rPr>
            </w:pPr>
            <w:r>
              <w:rPr>
                <w:rFonts w:ascii="Arial" w:cs="Arial" w:eastAsia="Arial" w:hAnsi="Arial"/>
                <w:sz w:val="14"/>
                <w:szCs w:val="14"/>
                <w:color w:val="auto"/>
                <w:w w:val="96"/>
              </w:rPr>
              <w:t>Delivered much faster than planned timelines</w:t>
            </w:r>
          </w:p>
        </w:tc>
        <w:tc>
          <w:tcPr>
            <w:tcW w:w="0" w:type="dxa"/>
            <w:vAlign w:val="bottom"/>
          </w:tcPr>
          <w:p>
            <w:pPr>
              <w:spacing w:after="0"/>
              <w:rPr>
                <w:sz w:val="1"/>
                <w:szCs w:val="1"/>
                <w:color w:val="auto"/>
              </w:rPr>
            </w:pPr>
          </w:p>
        </w:tc>
      </w:tr>
      <w:tr>
        <w:trPr>
          <w:trHeight w:val="191"/>
        </w:trPr>
        <w:tc>
          <w:tcPr>
            <w:tcW w:w="3400" w:type="dxa"/>
            <w:vAlign w:val="bottom"/>
          </w:tcPr>
          <w:p>
            <w:pPr>
              <w:ind w:left="20"/>
              <w:spacing w:after="0"/>
              <w:rPr>
                <w:sz w:val="20"/>
                <w:szCs w:val="20"/>
                <w:color w:val="auto"/>
              </w:rPr>
            </w:pPr>
            <w:r>
              <w:rPr>
                <w:rFonts w:ascii="Arial" w:cs="Arial" w:eastAsia="Arial" w:hAnsi="Arial"/>
                <w:sz w:val="14"/>
                <w:szCs w:val="14"/>
                <w:color w:val="auto"/>
              </w:rPr>
              <w:t>Qualitative Assessment</w:t>
            </w:r>
          </w:p>
        </w:tc>
        <w:tc>
          <w:tcPr>
            <w:tcW w:w="7640" w:type="dxa"/>
            <w:vAlign w:val="bottom"/>
            <w:gridSpan w:val="2"/>
          </w:tcPr>
          <w:p>
            <w:pPr>
              <w:ind w:left="40"/>
              <w:spacing w:after="0"/>
              <w:rPr>
                <w:sz w:val="20"/>
                <w:szCs w:val="20"/>
                <w:color w:val="auto"/>
              </w:rPr>
            </w:pPr>
            <w:r>
              <w:rPr>
                <w:rFonts w:ascii="Arial" w:cs="Arial" w:eastAsia="Arial" w:hAnsi="Arial"/>
                <w:sz w:val="14"/>
                <w:szCs w:val="14"/>
                <w:color w:val="auto"/>
              </w:rPr>
              <w:t>Chief scientific officer's assessment of performance against strategic objectives</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Based on the recommendation of the Science and Technology Committee, the Compensation Committee approved a pipeline score of 3.90, resulting in a pipeline multiple of 1.45.</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When combined, the revenue, EPS, and pipeline multiples yielded a bonus multiple of 1.73</w:t>
      </w:r>
      <w:r>
        <w:rPr>
          <w:rFonts w:ascii="Arial" w:cs="Arial" w:eastAsia="Arial" w:hAnsi="Arial"/>
          <w:sz w:val="13"/>
          <w:szCs w:val="13"/>
          <w:color w:val="auto"/>
          <w:highlight w:val="white"/>
        </w:rPr>
        <w:t>.</w:t>
      </w:r>
    </w:p>
    <w:p>
      <w:pPr>
        <w:spacing w:after="0" w:line="167" w:lineRule="exact"/>
        <w:rPr>
          <w:sz w:val="20"/>
          <w:szCs w:val="20"/>
          <w:color w:val="auto"/>
        </w:rPr>
      </w:pPr>
    </w:p>
    <w:p>
      <w:pPr>
        <w:ind w:left="3180"/>
        <w:spacing w:after="0"/>
        <w:rPr>
          <w:sz w:val="20"/>
          <w:szCs w:val="20"/>
          <w:color w:val="auto"/>
        </w:rPr>
      </w:pPr>
      <w:r>
        <w:rPr>
          <w:rFonts w:ascii="Arial" w:cs="Arial" w:eastAsia="Arial" w:hAnsi="Arial"/>
          <w:sz w:val="17"/>
          <w:szCs w:val="17"/>
          <w:b w:val="1"/>
          <w:bCs w:val="1"/>
          <w:color w:val="auto"/>
        </w:rPr>
        <w:t>(0.25 x 1.48) + (0.50 x 2.00) + (0.25 x 1.45) = 1.73 bonus multiple</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The 2018 bonuses paid to the applicable named executive officers under the Lilly bonus plan were as follows:</w:t>
      </w:r>
    </w:p>
    <w:p>
      <w:pPr>
        <w:spacing w:after="0" w:line="200" w:lineRule="exact"/>
        <w:rPr>
          <w:sz w:val="20"/>
          <w:szCs w:val="20"/>
          <w:color w:val="auto"/>
        </w:rPr>
      </w:pPr>
    </w:p>
    <w:p>
      <w:pPr>
        <w:spacing w:after="0" w:line="267" w:lineRule="exact"/>
        <w:rPr>
          <w:sz w:val="20"/>
          <w:szCs w:val="20"/>
          <w:color w:val="auto"/>
        </w:rPr>
      </w:pPr>
    </w:p>
    <w:tbl>
      <w:tblPr>
        <w:tblLayout w:type="fixed"/>
        <w:tblInd w:w="3420" w:type="dxa"/>
        <w:tblCellMar>
          <w:top w:w="0" w:type="dxa"/>
          <w:left w:w="0" w:type="dxa"/>
          <w:bottom w:w="0" w:type="dxa"/>
          <w:right w:w="0" w:type="dxa"/>
        </w:tblCellMar>
      </w:tblPr>
      <w:tr>
        <w:trPr>
          <w:trHeight w:val="243"/>
        </w:trPr>
        <w:tc>
          <w:tcPr>
            <w:tcW w:w="1920" w:type="dxa"/>
            <w:vAlign w:val="bottom"/>
            <w:shd w:val="clear" w:color="auto" w:fill="C8C9CB"/>
          </w:tcPr>
          <w:p>
            <w:pPr>
              <w:ind w:left="20"/>
              <w:spacing w:after="0"/>
              <w:rPr>
                <w:sz w:val="20"/>
                <w:szCs w:val="20"/>
                <w:color w:val="auto"/>
              </w:rPr>
            </w:pPr>
            <w:r>
              <w:rPr>
                <w:rFonts w:ascii="Arial" w:cs="Arial" w:eastAsia="Arial" w:hAnsi="Arial"/>
                <w:sz w:val="16"/>
                <w:szCs w:val="16"/>
                <w:b w:val="1"/>
                <w:bCs w:val="1"/>
                <w:color w:val="00ABE8"/>
              </w:rPr>
              <w:t>Name</w:t>
            </w:r>
          </w:p>
        </w:tc>
        <w:tc>
          <w:tcPr>
            <w:tcW w:w="2700" w:type="dxa"/>
            <w:vAlign w:val="bottom"/>
            <w:shd w:val="clear" w:color="auto" w:fill="C8C9CB"/>
          </w:tcPr>
          <w:p>
            <w:pPr>
              <w:jc w:val="center"/>
              <w:ind w:left="247"/>
              <w:spacing w:after="0"/>
              <w:rPr>
                <w:sz w:val="20"/>
                <w:szCs w:val="20"/>
                <w:color w:val="auto"/>
              </w:rPr>
            </w:pPr>
            <w:r>
              <w:rPr>
                <w:rFonts w:ascii="Arial" w:cs="Arial" w:eastAsia="Arial" w:hAnsi="Arial"/>
                <w:sz w:val="16"/>
                <w:szCs w:val="16"/>
                <w:b w:val="1"/>
                <w:bCs w:val="1"/>
                <w:color w:val="00ABE8"/>
              </w:rPr>
              <w:t>2018 Bonus ($)</w:t>
            </w:r>
          </w:p>
        </w:tc>
      </w:tr>
      <w:tr>
        <w:trPr>
          <w:trHeight w:val="208"/>
        </w:trPr>
        <w:tc>
          <w:tcPr>
            <w:tcW w:w="1920" w:type="dxa"/>
            <w:vAlign w:val="bottom"/>
          </w:tcPr>
          <w:p>
            <w:pPr>
              <w:ind w:left="20"/>
              <w:spacing w:after="0"/>
              <w:rPr>
                <w:sz w:val="20"/>
                <w:szCs w:val="20"/>
                <w:color w:val="auto"/>
              </w:rPr>
            </w:pPr>
            <w:r>
              <w:rPr>
                <w:rFonts w:ascii="Arial" w:cs="Arial" w:eastAsia="Arial" w:hAnsi="Arial"/>
                <w:sz w:val="14"/>
                <w:szCs w:val="14"/>
                <w:color w:val="auto"/>
              </w:rPr>
              <w:t>Mr. Ricks</w:t>
            </w:r>
          </w:p>
        </w:tc>
        <w:tc>
          <w:tcPr>
            <w:tcW w:w="2700" w:type="dxa"/>
            <w:vAlign w:val="bottom"/>
          </w:tcPr>
          <w:p>
            <w:pPr>
              <w:jc w:val="center"/>
              <w:ind w:left="227"/>
              <w:spacing w:after="0"/>
              <w:rPr>
                <w:sz w:val="20"/>
                <w:szCs w:val="20"/>
                <w:color w:val="auto"/>
              </w:rPr>
            </w:pPr>
            <w:r>
              <w:rPr>
                <w:rFonts w:ascii="Arial" w:cs="Arial" w:eastAsia="Arial" w:hAnsi="Arial"/>
                <w:sz w:val="14"/>
                <w:szCs w:val="14"/>
                <w:color w:val="auto"/>
              </w:rPr>
              <w:t>$3,633,000</w:t>
            </w:r>
          </w:p>
        </w:tc>
      </w:tr>
      <w:tr>
        <w:trPr>
          <w:trHeight w:val="216"/>
        </w:trPr>
        <w:tc>
          <w:tcPr>
            <w:tcW w:w="1920" w:type="dxa"/>
            <w:vAlign w:val="bottom"/>
          </w:tcPr>
          <w:p>
            <w:pPr>
              <w:ind w:left="20"/>
              <w:spacing w:after="0"/>
              <w:rPr>
                <w:sz w:val="20"/>
                <w:szCs w:val="20"/>
                <w:color w:val="auto"/>
              </w:rPr>
            </w:pPr>
            <w:r>
              <w:rPr>
                <w:rFonts w:ascii="Arial" w:cs="Arial" w:eastAsia="Arial" w:hAnsi="Arial"/>
                <w:sz w:val="14"/>
                <w:szCs w:val="14"/>
                <w:color w:val="auto"/>
              </w:rPr>
              <w:t>Mr. Smiley</w:t>
            </w:r>
          </w:p>
        </w:tc>
        <w:tc>
          <w:tcPr>
            <w:tcW w:w="2700" w:type="dxa"/>
            <w:vAlign w:val="bottom"/>
          </w:tcPr>
          <w:p>
            <w:pPr>
              <w:jc w:val="center"/>
              <w:ind w:left="227"/>
              <w:spacing w:after="0"/>
              <w:rPr>
                <w:sz w:val="20"/>
                <w:szCs w:val="20"/>
                <w:color w:val="auto"/>
              </w:rPr>
            </w:pPr>
            <w:r>
              <w:rPr>
                <w:rFonts w:ascii="Arial" w:cs="Arial" w:eastAsia="Arial" w:hAnsi="Arial"/>
                <w:sz w:val="14"/>
                <w:szCs w:val="14"/>
                <w:color w:val="auto"/>
              </w:rPr>
              <w:t>$1,438,063</w:t>
            </w:r>
          </w:p>
        </w:tc>
      </w:tr>
      <w:tr>
        <w:trPr>
          <w:trHeight w:val="216"/>
        </w:trPr>
        <w:tc>
          <w:tcPr>
            <w:tcW w:w="1920" w:type="dxa"/>
            <w:vAlign w:val="bottom"/>
          </w:tcPr>
          <w:p>
            <w:pPr>
              <w:ind w:left="20"/>
              <w:spacing w:after="0"/>
              <w:rPr>
                <w:sz w:val="20"/>
                <w:szCs w:val="20"/>
                <w:color w:val="auto"/>
              </w:rPr>
            </w:pPr>
            <w:r>
              <w:rPr>
                <w:rFonts w:ascii="Arial" w:cs="Arial" w:eastAsia="Arial" w:hAnsi="Arial"/>
                <w:sz w:val="14"/>
                <w:szCs w:val="14"/>
                <w:color w:val="auto"/>
              </w:rPr>
              <w:t>Mr. Harrington</w:t>
            </w:r>
          </w:p>
        </w:tc>
        <w:tc>
          <w:tcPr>
            <w:tcW w:w="2700" w:type="dxa"/>
            <w:vAlign w:val="bottom"/>
          </w:tcPr>
          <w:p>
            <w:pPr>
              <w:jc w:val="center"/>
              <w:ind w:left="227"/>
              <w:spacing w:after="0"/>
              <w:rPr>
                <w:sz w:val="20"/>
                <w:szCs w:val="20"/>
                <w:color w:val="auto"/>
              </w:rPr>
            </w:pPr>
            <w:r>
              <w:rPr>
                <w:rFonts w:ascii="Arial" w:cs="Arial" w:eastAsia="Arial" w:hAnsi="Arial"/>
                <w:sz w:val="14"/>
                <w:szCs w:val="14"/>
                <w:color w:val="auto"/>
              </w:rPr>
              <w:t>$1,190,655</w:t>
            </w:r>
          </w:p>
        </w:tc>
      </w:tr>
      <w:tr>
        <w:trPr>
          <w:trHeight w:val="216"/>
        </w:trPr>
        <w:tc>
          <w:tcPr>
            <w:tcW w:w="1920" w:type="dxa"/>
            <w:vAlign w:val="bottom"/>
          </w:tcPr>
          <w:p>
            <w:pPr>
              <w:ind w:left="20"/>
              <w:spacing w:after="0"/>
              <w:rPr>
                <w:sz w:val="20"/>
                <w:szCs w:val="20"/>
                <w:color w:val="auto"/>
              </w:rPr>
            </w:pPr>
            <w:r>
              <w:rPr>
                <w:rFonts w:ascii="Arial" w:cs="Arial" w:eastAsia="Arial" w:hAnsi="Arial"/>
                <w:sz w:val="14"/>
                <w:szCs w:val="14"/>
                <w:color w:val="auto"/>
              </w:rPr>
              <w:t>Mr. Conterno</w:t>
            </w:r>
          </w:p>
        </w:tc>
        <w:tc>
          <w:tcPr>
            <w:tcW w:w="2700" w:type="dxa"/>
            <w:vAlign w:val="bottom"/>
          </w:tcPr>
          <w:p>
            <w:pPr>
              <w:jc w:val="center"/>
              <w:ind w:left="227"/>
              <w:spacing w:after="0"/>
              <w:rPr>
                <w:sz w:val="20"/>
                <w:szCs w:val="20"/>
                <w:color w:val="auto"/>
              </w:rPr>
            </w:pPr>
            <w:r>
              <w:rPr>
                <w:rFonts w:ascii="Arial" w:cs="Arial" w:eastAsia="Arial" w:hAnsi="Arial"/>
                <w:sz w:val="14"/>
                <w:szCs w:val="14"/>
                <w:color w:val="auto"/>
              </w:rPr>
              <w:t>$1,099,842</w:t>
            </w:r>
          </w:p>
        </w:tc>
      </w:tr>
      <w:tr>
        <w:trPr>
          <w:trHeight w:val="216"/>
        </w:trPr>
        <w:tc>
          <w:tcPr>
            <w:tcW w:w="192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2700" w:type="dxa"/>
            <w:vAlign w:val="bottom"/>
          </w:tcPr>
          <w:p>
            <w:pPr>
              <w:jc w:val="center"/>
              <w:ind w:left="227"/>
              <w:spacing w:after="0"/>
              <w:rPr>
                <w:sz w:val="20"/>
                <w:szCs w:val="20"/>
                <w:color w:val="auto"/>
              </w:rPr>
            </w:pPr>
            <w:r>
              <w:rPr>
                <w:rFonts w:ascii="Arial" w:cs="Arial" w:eastAsia="Arial" w:hAnsi="Arial"/>
                <w:sz w:val="14"/>
                <w:szCs w:val="14"/>
                <w:color w:val="auto"/>
              </w:rPr>
              <w:t>$1,376,431</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Elanco Bonus Plan</w:t>
      </w:r>
    </w:p>
    <w:p>
      <w:pPr>
        <w:spacing w:after="0" w:line="25"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Elanco’s performance compared to targets for Elanco revenue, Elanco operating margin, Elanco innovation progress and the Lilly bonus multiple, as well as the resulting Elanco bonus multiple, is illustrated below.</w:t>
      </w:r>
    </w:p>
    <w:p>
      <w:pPr>
        <w:spacing w:after="0" w:line="317" w:lineRule="exact"/>
        <w:rPr>
          <w:sz w:val="20"/>
          <w:szCs w:val="20"/>
          <w:color w:val="auto"/>
        </w:rPr>
      </w:pPr>
    </w:p>
    <w:tbl>
      <w:tblPr>
        <w:tblLayout w:type="fixed"/>
        <w:tblInd w:w="620" w:type="dxa"/>
        <w:tblCellMar>
          <w:top w:w="0" w:type="dxa"/>
          <w:left w:w="0" w:type="dxa"/>
          <w:bottom w:w="0" w:type="dxa"/>
          <w:right w:w="0" w:type="dxa"/>
        </w:tblCellMar>
      </w:tblPr>
      <w:tr>
        <w:trPr>
          <w:trHeight w:val="270"/>
        </w:trPr>
        <w:tc>
          <w:tcPr>
            <w:tcW w:w="2880" w:type="dxa"/>
            <w:vAlign w:val="bottom"/>
            <w:shd w:val="clear" w:color="auto" w:fill="C8C9CB"/>
          </w:tcPr>
          <w:p>
            <w:pPr>
              <w:spacing w:after="0"/>
              <w:rPr>
                <w:sz w:val="23"/>
                <w:szCs w:val="23"/>
                <w:color w:val="auto"/>
              </w:rPr>
            </w:pPr>
          </w:p>
        </w:tc>
        <w:tc>
          <w:tcPr>
            <w:tcW w:w="2660" w:type="dxa"/>
            <w:vAlign w:val="bottom"/>
            <w:shd w:val="clear" w:color="auto" w:fill="C8C9CB"/>
          </w:tcPr>
          <w:p>
            <w:pPr>
              <w:jc w:val="center"/>
              <w:ind w:left="286"/>
              <w:spacing w:after="0"/>
              <w:rPr>
                <w:sz w:val="20"/>
                <w:szCs w:val="20"/>
                <w:color w:val="auto"/>
              </w:rPr>
            </w:pPr>
            <w:r>
              <w:rPr>
                <w:rFonts w:ascii="Arial" w:cs="Arial" w:eastAsia="Arial" w:hAnsi="Arial"/>
                <w:sz w:val="16"/>
                <w:szCs w:val="16"/>
                <w:b w:val="1"/>
                <w:bCs w:val="1"/>
                <w:color w:val="00ABE8"/>
              </w:rPr>
              <w:t>2018 Elanco Target</w:t>
            </w:r>
          </w:p>
        </w:tc>
        <w:tc>
          <w:tcPr>
            <w:tcW w:w="2580" w:type="dxa"/>
            <w:vAlign w:val="bottom"/>
            <w:shd w:val="clear" w:color="auto" w:fill="C8C9CB"/>
          </w:tcPr>
          <w:p>
            <w:pPr>
              <w:jc w:val="center"/>
              <w:ind w:right="126"/>
              <w:spacing w:after="0"/>
              <w:rPr>
                <w:sz w:val="20"/>
                <w:szCs w:val="20"/>
                <w:color w:val="auto"/>
              </w:rPr>
            </w:pPr>
            <w:r>
              <w:rPr>
                <w:rFonts w:ascii="Arial" w:cs="Arial" w:eastAsia="Arial" w:hAnsi="Arial"/>
                <w:sz w:val="16"/>
                <w:szCs w:val="16"/>
                <w:b w:val="1"/>
                <w:bCs w:val="1"/>
                <w:color w:val="00ABE8"/>
              </w:rPr>
              <w:t>2018 Elanco Results</w:t>
            </w:r>
          </w:p>
        </w:tc>
        <w:tc>
          <w:tcPr>
            <w:tcW w:w="2080" w:type="dxa"/>
            <w:vAlign w:val="bottom"/>
            <w:shd w:val="clear" w:color="auto" w:fill="C8C9CB"/>
          </w:tcPr>
          <w:p>
            <w:pPr>
              <w:jc w:val="center"/>
              <w:ind w:right="207"/>
              <w:spacing w:after="0"/>
              <w:rPr>
                <w:sz w:val="20"/>
                <w:szCs w:val="20"/>
                <w:color w:val="auto"/>
              </w:rPr>
            </w:pPr>
            <w:r>
              <w:rPr>
                <w:rFonts w:ascii="Arial" w:cs="Arial" w:eastAsia="Arial" w:hAnsi="Arial"/>
                <w:sz w:val="16"/>
                <w:szCs w:val="16"/>
                <w:b w:val="1"/>
                <w:bCs w:val="1"/>
                <w:color w:val="00ABE8"/>
                <w:w w:val="99"/>
              </w:rPr>
              <w:t>Multiple</w:t>
            </w:r>
          </w:p>
        </w:tc>
      </w:tr>
      <w:tr>
        <w:trPr>
          <w:trHeight w:val="208"/>
        </w:trPr>
        <w:tc>
          <w:tcPr>
            <w:tcW w:w="2880" w:type="dxa"/>
            <w:vAlign w:val="bottom"/>
          </w:tcPr>
          <w:p>
            <w:pPr>
              <w:ind w:left="20"/>
              <w:spacing w:after="0"/>
              <w:rPr>
                <w:sz w:val="20"/>
                <w:szCs w:val="20"/>
                <w:color w:val="auto"/>
              </w:rPr>
            </w:pPr>
            <w:r>
              <w:rPr>
                <w:rFonts w:ascii="Arial" w:cs="Arial" w:eastAsia="Arial" w:hAnsi="Arial"/>
                <w:sz w:val="14"/>
                <w:szCs w:val="14"/>
                <w:color w:val="auto"/>
              </w:rPr>
              <w:t>Elanco Revenue</w:t>
            </w:r>
          </w:p>
        </w:tc>
        <w:tc>
          <w:tcPr>
            <w:tcW w:w="2660" w:type="dxa"/>
            <w:vAlign w:val="bottom"/>
          </w:tcPr>
          <w:p>
            <w:pPr>
              <w:jc w:val="center"/>
              <w:ind w:left="266"/>
              <w:spacing w:after="0"/>
              <w:rPr>
                <w:sz w:val="20"/>
                <w:szCs w:val="20"/>
                <w:color w:val="auto"/>
              </w:rPr>
            </w:pPr>
            <w:r>
              <w:rPr>
                <w:rFonts w:ascii="Arial" w:cs="Arial" w:eastAsia="Arial" w:hAnsi="Arial"/>
                <w:sz w:val="14"/>
                <w:szCs w:val="14"/>
                <w:color w:val="auto"/>
              </w:rPr>
              <w:t>$3.171 billion</w:t>
            </w:r>
          </w:p>
        </w:tc>
        <w:tc>
          <w:tcPr>
            <w:tcW w:w="2580" w:type="dxa"/>
            <w:vAlign w:val="bottom"/>
          </w:tcPr>
          <w:p>
            <w:pPr>
              <w:jc w:val="center"/>
              <w:ind w:right="126"/>
              <w:spacing w:after="0"/>
              <w:rPr>
                <w:sz w:val="20"/>
                <w:szCs w:val="20"/>
                <w:color w:val="auto"/>
              </w:rPr>
            </w:pPr>
            <w:r>
              <w:rPr>
                <w:rFonts w:ascii="Arial" w:cs="Arial" w:eastAsia="Arial" w:hAnsi="Arial"/>
                <w:sz w:val="14"/>
                <w:szCs w:val="14"/>
                <w:color w:val="auto"/>
              </w:rPr>
              <w:t>$3.143 billion</w:t>
            </w:r>
          </w:p>
        </w:tc>
        <w:tc>
          <w:tcPr>
            <w:tcW w:w="2080" w:type="dxa"/>
            <w:vAlign w:val="bottom"/>
          </w:tcPr>
          <w:p>
            <w:pPr>
              <w:jc w:val="center"/>
              <w:ind w:right="207"/>
              <w:spacing w:after="0"/>
              <w:rPr>
                <w:sz w:val="20"/>
                <w:szCs w:val="20"/>
                <w:color w:val="auto"/>
              </w:rPr>
            </w:pPr>
            <w:r>
              <w:rPr>
                <w:rFonts w:ascii="Arial" w:cs="Arial" w:eastAsia="Arial" w:hAnsi="Arial"/>
                <w:sz w:val="14"/>
                <w:szCs w:val="14"/>
                <w:color w:val="auto"/>
              </w:rPr>
              <w:t>0.85</w:t>
            </w:r>
          </w:p>
        </w:tc>
      </w:tr>
      <w:tr>
        <w:trPr>
          <w:trHeight w:val="216"/>
        </w:trPr>
        <w:tc>
          <w:tcPr>
            <w:tcW w:w="2880" w:type="dxa"/>
            <w:vAlign w:val="bottom"/>
          </w:tcPr>
          <w:p>
            <w:pPr>
              <w:ind w:left="20"/>
              <w:spacing w:after="0"/>
              <w:rPr>
                <w:sz w:val="20"/>
                <w:szCs w:val="20"/>
                <w:color w:val="auto"/>
              </w:rPr>
            </w:pPr>
            <w:r>
              <w:rPr>
                <w:rFonts w:ascii="Arial" w:cs="Arial" w:eastAsia="Arial" w:hAnsi="Arial"/>
                <w:sz w:val="14"/>
                <w:szCs w:val="14"/>
                <w:color w:val="auto"/>
              </w:rPr>
              <w:t>Elanco Operating Margin</w:t>
            </w:r>
          </w:p>
        </w:tc>
        <w:tc>
          <w:tcPr>
            <w:tcW w:w="2660" w:type="dxa"/>
            <w:vAlign w:val="bottom"/>
          </w:tcPr>
          <w:p>
            <w:pPr>
              <w:jc w:val="right"/>
              <w:ind w:right="886"/>
              <w:spacing w:after="0"/>
              <w:rPr>
                <w:sz w:val="20"/>
                <w:szCs w:val="20"/>
                <w:color w:val="auto"/>
              </w:rPr>
            </w:pPr>
            <w:r>
              <w:rPr>
                <w:rFonts w:ascii="Arial" w:cs="Arial" w:eastAsia="Arial" w:hAnsi="Arial"/>
                <w:sz w:val="14"/>
                <w:szCs w:val="14"/>
                <w:color w:val="auto"/>
              </w:rPr>
              <w:t>20.0%</w:t>
            </w:r>
          </w:p>
        </w:tc>
        <w:tc>
          <w:tcPr>
            <w:tcW w:w="2580" w:type="dxa"/>
            <w:vAlign w:val="bottom"/>
          </w:tcPr>
          <w:p>
            <w:pPr>
              <w:jc w:val="right"/>
              <w:ind w:right="1106"/>
              <w:spacing w:after="0"/>
              <w:rPr>
                <w:sz w:val="20"/>
                <w:szCs w:val="20"/>
                <w:color w:val="auto"/>
              </w:rPr>
            </w:pPr>
            <w:r>
              <w:rPr>
                <w:rFonts w:ascii="Arial" w:cs="Arial" w:eastAsia="Arial" w:hAnsi="Arial"/>
                <w:sz w:val="14"/>
                <w:szCs w:val="14"/>
                <w:color w:val="auto"/>
              </w:rPr>
              <w:t>20.2%</w:t>
            </w:r>
          </w:p>
        </w:tc>
        <w:tc>
          <w:tcPr>
            <w:tcW w:w="2080" w:type="dxa"/>
            <w:vAlign w:val="bottom"/>
          </w:tcPr>
          <w:p>
            <w:pPr>
              <w:jc w:val="center"/>
              <w:ind w:right="207"/>
              <w:spacing w:after="0"/>
              <w:rPr>
                <w:sz w:val="20"/>
                <w:szCs w:val="20"/>
                <w:color w:val="auto"/>
              </w:rPr>
            </w:pPr>
            <w:r>
              <w:rPr>
                <w:rFonts w:ascii="Arial" w:cs="Arial" w:eastAsia="Arial" w:hAnsi="Arial"/>
                <w:sz w:val="14"/>
                <w:szCs w:val="14"/>
                <w:color w:val="auto"/>
              </w:rPr>
              <w:t>1.10</w:t>
            </w:r>
          </w:p>
        </w:tc>
      </w:tr>
      <w:tr>
        <w:trPr>
          <w:trHeight w:val="216"/>
        </w:trPr>
        <w:tc>
          <w:tcPr>
            <w:tcW w:w="2880" w:type="dxa"/>
            <w:vAlign w:val="bottom"/>
          </w:tcPr>
          <w:p>
            <w:pPr>
              <w:ind w:left="20"/>
              <w:spacing w:after="0"/>
              <w:rPr>
                <w:sz w:val="20"/>
                <w:szCs w:val="20"/>
                <w:color w:val="auto"/>
              </w:rPr>
            </w:pPr>
            <w:r>
              <w:rPr>
                <w:rFonts w:ascii="Arial" w:cs="Arial" w:eastAsia="Arial" w:hAnsi="Arial"/>
                <w:sz w:val="14"/>
                <w:szCs w:val="14"/>
                <w:color w:val="auto"/>
              </w:rPr>
              <w:t>Elanco Innovation</w:t>
            </w:r>
          </w:p>
        </w:tc>
        <w:tc>
          <w:tcPr>
            <w:tcW w:w="2660" w:type="dxa"/>
            <w:vAlign w:val="bottom"/>
          </w:tcPr>
          <w:p>
            <w:pPr>
              <w:jc w:val="right"/>
              <w:ind w:right="946"/>
              <w:spacing w:after="0"/>
              <w:rPr>
                <w:sz w:val="20"/>
                <w:szCs w:val="20"/>
                <w:color w:val="auto"/>
              </w:rPr>
            </w:pPr>
            <w:r>
              <w:rPr>
                <w:rFonts w:ascii="Arial" w:cs="Arial" w:eastAsia="Arial" w:hAnsi="Arial"/>
                <w:sz w:val="14"/>
                <w:szCs w:val="14"/>
                <w:color w:val="auto"/>
              </w:rPr>
              <w:t>3.00</w:t>
            </w:r>
          </w:p>
        </w:tc>
        <w:tc>
          <w:tcPr>
            <w:tcW w:w="2580" w:type="dxa"/>
            <w:vAlign w:val="bottom"/>
          </w:tcPr>
          <w:p>
            <w:pPr>
              <w:jc w:val="right"/>
              <w:ind w:right="1186"/>
              <w:spacing w:after="0"/>
              <w:rPr>
                <w:sz w:val="20"/>
                <w:szCs w:val="20"/>
                <w:color w:val="auto"/>
              </w:rPr>
            </w:pPr>
            <w:r>
              <w:rPr>
                <w:rFonts w:ascii="Arial" w:cs="Arial" w:eastAsia="Arial" w:hAnsi="Arial"/>
                <w:sz w:val="14"/>
                <w:szCs w:val="14"/>
                <w:color w:val="auto"/>
              </w:rPr>
              <w:t>3.60</w:t>
            </w:r>
          </w:p>
        </w:tc>
        <w:tc>
          <w:tcPr>
            <w:tcW w:w="2080" w:type="dxa"/>
            <w:vAlign w:val="bottom"/>
          </w:tcPr>
          <w:p>
            <w:pPr>
              <w:jc w:val="center"/>
              <w:ind w:right="207"/>
              <w:spacing w:after="0"/>
              <w:rPr>
                <w:sz w:val="20"/>
                <w:szCs w:val="20"/>
                <w:color w:val="auto"/>
              </w:rPr>
            </w:pPr>
            <w:r>
              <w:rPr>
                <w:rFonts w:ascii="Arial" w:cs="Arial" w:eastAsia="Arial" w:hAnsi="Arial"/>
                <w:sz w:val="14"/>
                <w:szCs w:val="14"/>
                <w:color w:val="auto"/>
              </w:rPr>
              <w:t>1.30</w:t>
            </w:r>
          </w:p>
        </w:tc>
      </w:tr>
      <w:tr>
        <w:trPr>
          <w:trHeight w:val="270"/>
        </w:trPr>
        <w:tc>
          <w:tcPr>
            <w:tcW w:w="2880" w:type="dxa"/>
            <w:vAlign w:val="bottom"/>
          </w:tcPr>
          <w:p>
            <w:pPr>
              <w:ind w:left="20"/>
              <w:spacing w:after="0"/>
              <w:rPr>
                <w:sz w:val="20"/>
                <w:szCs w:val="20"/>
                <w:color w:val="auto"/>
              </w:rPr>
            </w:pPr>
            <w:r>
              <w:rPr>
                <w:rFonts w:ascii="Arial" w:cs="Arial" w:eastAsia="Arial" w:hAnsi="Arial"/>
                <w:sz w:val="14"/>
                <w:szCs w:val="14"/>
                <w:color w:val="auto"/>
              </w:rPr>
              <w:t>Lilly Company Bonus Multiple</w:t>
            </w:r>
          </w:p>
        </w:tc>
        <w:tc>
          <w:tcPr>
            <w:tcW w:w="26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080" w:type="dxa"/>
            <w:vAlign w:val="bottom"/>
          </w:tcPr>
          <w:p>
            <w:pPr>
              <w:jc w:val="center"/>
              <w:ind w:right="207"/>
              <w:spacing w:after="0"/>
              <w:rPr>
                <w:sz w:val="20"/>
                <w:szCs w:val="20"/>
                <w:color w:val="auto"/>
              </w:rPr>
            </w:pPr>
            <w:r>
              <w:rPr>
                <w:rFonts w:ascii="Arial" w:cs="Arial" w:eastAsia="Arial" w:hAnsi="Arial"/>
                <w:sz w:val="14"/>
                <w:szCs w:val="14"/>
                <w:color w:val="auto"/>
              </w:rPr>
              <w:t>1.73</w:t>
            </w:r>
          </w:p>
        </w:tc>
      </w:tr>
      <w:tr>
        <w:trPr>
          <w:trHeight w:val="270"/>
        </w:trPr>
        <w:tc>
          <w:tcPr>
            <w:tcW w:w="2880" w:type="dxa"/>
            <w:vAlign w:val="bottom"/>
          </w:tcPr>
          <w:p>
            <w:pPr>
              <w:ind w:left="20"/>
              <w:spacing w:after="0"/>
              <w:rPr>
                <w:sz w:val="20"/>
                <w:szCs w:val="20"/>
                <w:color w:val="auto"/>
              </w:rPr>
            </w:pPr>
            <w:r>
              <w:rPr>
                <w:rFonts w:ascii="Arial" w:cs="Arial" w:eastAsia="Arial" w:hAnsi="Arial"/>
                <w:sz w:val="14"/>
                <w:szCs w:val="14"/>
                <w:color w:val="auto"/>
              </w:rPr>
              <w:t>Resulting Elanco Bonus Multiple</w:t>
            </w:r>
          </w:p>
        </w:tc>
        <w:tc>
          <w:tcPr>
            <w:tcW w:w="26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080" w:type="dxa"/>
            <w:vAlign w:val="bottom"/>
          </w:tcPr>
          <w:p>
            <w:pPr>
              <w:jc w:val="center"/>
              <w:ind w:right="207"/>
              <w:spacing w:after="0"/>
              <w:rPr>
                <w:sz w:val="20"/>
                <w:szCs w:val="20"/>
                <w:color w:val="auto"/>
              </w:rPr>
            </w:pPr>
            <w:r>
              <w:rPr>
                <w:rFonts w:ascii="Arial" w:cs="Arial" w:eastAsia="Arial" w:hAnsi="Arial"/>
                <w:sz w:val="14"/>
                <w:szCs w:val="14"/>
                <w:color w:val="auto"/>
              </w:rPr>
              <w:t>1.24</w:t>
            </w:r>
          </w:p>
        </w:tc>
      </w:tr>
    </w:tbl>
    <w:p>
      <w:pPr>
        <w:spacing w:after="0" w:line="3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*See Appendix A, “Summary of Adjustments Related to the Annual Cash Bonus and Performance Award.”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P45</w:t>
      </w:r>
    </w:p>
    <w:p>
      <w:pPr>
        <w:sectPr>
          <w:pgSz w:w="11900" w:h="16838" w:orient="portrait"/>
          <w:cols w:equalWidth="0" w:num="1">
            <w:col w:w="11260"/>
          </w:cols>
          <w:pgMar w:left="240" w:top="720" w:right="39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5377180" cy="22809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7718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Elanco’s 2018 innovation target was 3.0 on a scale of 1.0 to 5.0. Elanco’s innovation multiple comprises the following factors: (i) achievement of product approvals, (ii) entrants into early and late-stage development, (iii) adherence to approval timelines, and (iv) a qualitative assessment by Elanco’s head of R&amp;D of overall performance. Based on the weighted outcomes of these factors, Elanco achieved a 3.6 score, which correlates to a 1.30 innovation multiple for use in the Elanco bonus calculation.</w:t>
      </w:r>
    </w:p>
    <w:p>
      <w:pPr>
        <w:spacing w:after="0" w:line="156"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When combined, the Elanco revenue, Elanco operating margin, Elanco innovation and Lilly bonus multiple yielded a 2018 Elanco bonus plan multiple of 1.24.</w:t>
      </w:r>
    </w:p>
    <w:p>
      <w:pPr>
        <w:spacing w:after="0" w:line="130" w:lineRule="exact"/>
        <w:rPr>
          <w:sz w:val="20"/>
          <w:szCs w:val="20"/>
          <w:color w:val="auto"/>
        </w:rPr>
      </w:pPr>
    </w:p>
    <w:p>
      <w:pPr>
        <w:ind w:left="2580"/>
        <w:spacing w:after="0"/>
        <w:rPr>
          <w:sz w:val="20"/>
          <w:szCs w:val="20"/>
          <w:color w:val="auto"/>
        </w:rPr>
      </w:pPr>
      <w:r>
        <w:rPr>
          <w:rFonts w:ascii="Arial" w:cs="Arial" w:eastAsia="Arial" w:hAnsi="Arial"/>
          <w:sz w:val="17"/>
          <w:szCs w:val="17"/>
          <w:b w:val="1"/>
          <w:bCs w:val="1"/>
          <w:color w:val="auto"/>
        </w:rPr>
        <w:t>(0.25 x 0.85) + (0.25 x 1.10) + (0.25 x 1.30) + (0.25 x 1.73) = 1.24 bonus multiple</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The 2018 bonus paid to Mr. Simmons under the Elanco bonus plan is as follows:</w:t>
      </w:r>
    </w:p>
    <w:p>
      <w:pPr>
        <w:spacing w:after="0" w:line="200" w:lineRule="exact"/>
        <w:rPr>
          <w:sz w:val="20"/>
          <w:szCs w:val="20"/>
          <w:color w:val="auto"/>
        </w:rPr>
      </w:pPr>
    </w:p>
    <w:p>
      <w:pPr>
        <w:spacing w:after="0" w:line="308" w:lineRule="exact"/>
        <w:rPr>
          <w:sz w:val="20"/>
          <w:szCs w:val="20"/>
          <w:color w:val="auto"/>
        </w:rPr>
      </w:pPr>
    </w:p>
    <w:tbl>
      <w:tblPr>
        <w:tblLayout w:type="fixed"/>
        <w:tblInd w:w="3420" w:type="dxa"/>
        <w:tblCellMar>
          <w:top w:w="0" w:type="dxa"/>
          <w:left w:w="0" w:type="dxa"/>
          <w:bottom w:w="0" w:type="dxa"/>
          <w:right w:w="0" w:type="dxa"/>
        </w:tblCellMar>
      </w:tblPr>
      <w:tr>
        <w:trPr>
          <w:trHeight w:val="243"/>
        </w:trPr>
        <w:tc>
          <w:tcPr>
            <w:tcW w:w="1860" w:type="dxa"/>
            <w:vAlign w:val="bottom"/>
            <w:shd w:val="clear" w:color="auto" w:fill="C8C9CB"/>
          </w:tcPr>
          <w:p>
            <w:pPr>
              <w:ind w:left="20"/>
              <w:spacing w:after="0"/>
              <w:rPr>
                <w:sz w:val="20"/>
                <w:szCs w:val="20"/>
                <w:color w:val="auto"/>
              </w:rPr>
            </w:pPr>
            <w:r>
              <w:rPr>
                <w:rFonts w:ascii="Arial" w:cs="Arial" w:eastAsia="Arial" w:hAnsi="Arial"/>
                <w:sz w:val="16"/>
                <w:szCs w:val="16"/>
                <w:b w:val="1"/>
                <w:bCs w:val="1"/>
                <w:color w:val="00ABE8"/>
              </w:rPr>
              <w:t>Name</w:t>
            </w:r>
          </w:p>
        </w:tc>
        <w:tc>
          <w:tcPr>
            <w:tcW w:w="2760" w:type="dxa"/>
            <w:vAlign w:val="bottom"/>
            <w:shd w:val="clear" w:color="auto" w:fill="C8C9CB"/>
          </w:tcPr>
          <w:p>
            <w:pPr>
              <w:jc w:val="center"/>
              <w:ind w:left="303"/>
              <w:spacing w:after="0"/>
              <w:rPr>
                <w:sz w:val="20"/>
                <w:szCs w:val="20"/>
                <w:color w:val="auto"/>
              </w:rPr>
            </w:pPr>
            <w:r>
              <w:rPr>
                <w:rFonts w:ascii="Arial" w:cs="Arial" w:eastAsia="Arial" w:hAnsi="Arial"/>
                <w:sz w:val="16"/>
                <w:szCs w:val="16"/>
                <w:b w:val="1"/>
                <w:bCs w:val="1"/>
                <w:color w:val="00ABE8"/>
              </w:rPr>
              <w:t>2018 Bonus ($)</w:t>
            </w:r>
          </w:p>
        </w:tc>
      </w:tr>
      <w:tr>
        <w:trPr>
          <w:trHeight w:val="208"/>
        </w:trPr>
        <w:tc>
          <w:tcPr>
            <w:tcW w:w="1860" w:type="dxa"/>
            <w:vAlign w:val="bottom"/>
          </w:tcPr>
          <w:p>
            <w:pPr>
              <w:ind w:left="20"/>
              <w:spacing w:after="0"/>
              <w:rPr>
                <w:sz w:val="20"/>
                <w:szCs w:val="20"/>
                <w:color w:val="auto"/>
              </w:rPr>
            </w:pPr>
            <w:r>
              <w:rPr>
                <w:rFonts w:ascii="Arial" w:cs="Arial" w:eastAsia="Arial" w:hAnsi="Arial"/>
                <w:sz w:val="14"/>
                <w:szCs w:val="14"/>
                <w:color w:val="auto"/>
              </w:rPr>
              <w:t>Mr. Simmons</w:t>
            </w:r>
          </w:p>
        </w:tc>
        <w:tc>
          <w:tcPr>
            <w:tcW w:w="2760" w:type="dxa"/>
            <w:vAlign w:val="bottom"/>
          </w:tcPr>
          <w:p>
            <w:pPr>
              <w:jc w:val="right"/>
              <w:ind w:right="823"/>
              <w:spacing w:after="0"/>
              <w:rPr>
                <w:sz w:val="20"/>
                <w:szCs w:val="20"/>
                <w:color w:val="auto"/>
              </w:rPr>
            </w:pPr>
            <w:r>
              <w:rPr>
                <w:rFonts w:ascii="Arial" w:cs="Arial" w:eastAsia="Arial" w:hAnsi="Arial"/>
                <w:sz w:val="14"/>
                <w:szCs w:val="14"/>
                <w:color w:val="auto"/>
              </w:rPr>
              <w:t>$907,450</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2017-2019 Performance Awards</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target cumulative EPS for the 2017-2019 performance award was set in the first quarter of 2017 reflecting expected industry growth of 5.3 percent each year over the two-year performance period of 2017-2018. The company's actual annual EPS growth for the two-year period was 22.5 percent, after an adjustment to Non-GAAP EPS of $(0.24) to eliminate the benefit to our effective tax rate resulting from the implementation of U.S. tax reform in 2018. The actual EPS growth over the 2017-2018 performance period was largely driven by volume growth from our newer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P46</w:t>
      </w:r>
    </w:p>
    <w:p>
      <w:pPr>
        <w:sectPr>
          <w:pgSz w:w="11900" w:h="16838" w:orient="portrait"/>
          <w:cols w:equalWidth="0" w:num="1">
            <w:col w:w="11420"/>
          </w:cols>
          <w:pgMar w:left="240" w:top="1440" w:right="2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1101090</wp:posOffset>
            </wp:positionH>
            <wp:positionV relativeFrom="page">
              <wp:posOffset>372110</wp:posOffset>
            </wp:positionV>
            <wp:extent cx="5368290" cy="25126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6829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the named executive officers other than Mr. Smiley and Dr. Skovronsky, shares earned for the 2017-2018 performance period are subject to an additional 13-month service-vesting period and are shown in the table below as restricted stock units (RSUs). Mr. Smiley and Dr. Skovronsky’s 2017-2018 performance awards were paid in shares of Lilly common stock.</w:t>
      </w:r>
    </w:p>
    <w:p>
      <w:pPr>
        <w:spacing w:after="0" w:line="314"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1700" w:type="dxa"/>
            <w:vAlign w:val="bottom"/>
            <w:shd w:val="clear" w:color="auto" w:fill="D1D1D1"/>
          </w:tcPr>
          <w:p>
            <w:pPr>
              <w:ind w:left="20"/>
              <w:spacing w:after="0"/>
              <w:rPr>
                <w:sz w:val="20"/>
                <w:szCs w:val="20"/>
                <w:color w:val="auto"/>
              </w:rPr>
            </w:pPr>
            <w:r>
              <w:rPr>
                <w:rFonts w:ascii="Arial" w:cs="Arial" w:eastAsia="Arial" w:hAnsi="Arial"/>
                <w:sz w:val="14"/>
                <w:szCs w:val="14"/>
                <w:b w:val="1"/>
                <w:bCs w:val="1"/>
                <w:color w:val="00ABE8"/>
              </w:rPr>
              <w:t>Name</w:t>
            </w:r>
          </w:p>
        </w:tc>
        <w:tc>
          <w:tcPr>
            <w:tcW w:w="2160" w:type="dxa"/>
            <w:vAlign w:val="bottom"/>
            <w:shd w:val="clear" w:color="auto" w:fill="D1D1D1"/>
          </w:tcPr>
          <w:p>
            <w:pPr>
              <w:ind w:left="700"/>
              <w:spacing w:after="0"/>
              <w:rPr>
                <w:sz w:val="20"/>
                <w:szCs w:val="20"/>
                <w:color w:val="auto"/>
              </w:rPr>
            </w:pPr>
            <w:r>
              <w:rPr>
                <w:rFonts w:ascii="Arial" w:cs="Arial" w:eastAsia="Arial" w:hAnsi="Arial"/>
                <w:sz w:val="14"/>
                <w:szCs w:val="14"/>
                <w:b w:val="1"/>
                <w:bCs w:val="1"/>
                <w:color w:val="00ABE8"/>
              </w:rPr>
              <w:t>Target Shares</w:t>
            </w:r>
          </w:p>
        </w:tc>
        <w:tc>
          <w:tcPr>
            <w:tcW w:w="2000" w:type="dxa"/>
            <w:vAlign w:val="bottom"/>
            <w:shd w:val="clear" w:color="auto" w:fill="D1D1D1"/>
          </w:tcPr>
          <w:p>
            <w:pPr>
              <w:jc w:val="center"/>
              <w:ind w:left="12"/>
              <w:spacing w:after="0"/>
              <w:rPr>
                <w:sz w:val="20"/>
                <w:szCs w:val="20"/>
                <w:color w:val="auto"/>
              </w:rPr>
            </w:pPr>
            <w:r>
              <w:rPr>
                <w:rFonts w:ascii="Arial" w:cs="Arial" w:eastAsia="Arial" w:hAnsi="Arial"/>
                <w:sz w:val="14"/>
                <w:szCs w:val="14"/>
                <w:b w:val="1"/>
                <w:bCs w:val="1"/>
                <w:color w:val="00ABE8"/>
              </w:rPr>
              <w:t>Shares Earned</w:t>
            </w:r>
          </w:p>
        </w:tc>
        <w:tc>
          <w:tcPr>
            <w:tcW w:w="1840" w:type="dxa"/>
            <w:vAlign w:val="bottom"/>
            <w:shd w:val="clear" w:color="auto" w:fill="D1D1D1"/>
          </w:tcPr>
          <w:p>
            <w:pPr>
              <w:jc w:val="center"/>
              <w:spacing w:after="0"/>
              <w:rPr>
                <w:sz w:val="20"/>
                <w:szCs w:val="20"/>
                <w:color w:val="auto"/>
              </w:rPr>
            </w:pPr>
            <w:r>
              <w:rPr>
                <w:rFonts w:ascii="Arial" w:cs="Arial" w:eastAsia="Arial" w:hAnsi="Arial"/>
                <w:sz w:val="14"/>
                <w:szCs w:val="14"/>
                <w:b w:val="1"/>
                <w:bCs w:val="1"/>
                <w:color w:val="00ABE8"/>
              </w:rPr>
              <w:t>RSUs Earned</w:t>
            </w:r>
          </w:p>
        </w:tc>
      </w:tr>
      <w:tr>
        <w:trPr>
          <w:trHeight w:val="208"/>
        </w:trPr>
        <w:tc>
          <w:tcPr>
            <w:tcW w:w="1700" w:type="dxa"/>
            <w:vAlign w:val="bottom"/>
          </w:tcPr>
          <w:p>
            <w:pPr>
              <w:ind w:left="20"/>
              <w:spacing w:after="0"/>
              <w:rPr>
                <w:sz w:val="20"/>
                <w:szCs w:val="20"/>
                <w:color w:val="auto"/>
              </w:rPr>
            </w:pPr>
            <w:r>
              <w:rPr>
                <w:rFonts w:ascii="Arial" w:cs="Arial" w:eastAsia="Arial" w:hAnsi="Arial"/>
                <w:sz w:val="14"/>
                <w:szCs w:val="14"/>
                <w:color w:val="auto"/>
              </w:rPr>
              <w:t>Mr. Ricks</w:t>
            </w:r>
          </w:p>
        </w:tc>
        <w:tc>
          <w:tcPr>
            <w:tcW w:w="2160" w:type="dxa"/>
            <w:vAlign w:val="bottom"/>
          </w:tcPr>
          <w:p>
            <w:pPr>
              <w:jc w:val="center"/>
              <w:ind w:left="112"/>
              <w:spacing w:after="0"/>
              <w:rPr>
                <w:sz w:val="20"/>
                <w:szCs w:val="20"/>
                <w:color w:val="auto"/>
              </w:rPr>
            </w:pPr>
            <w:r>
              <w:rPr>
                <w:rFonts w:ascii="Arial" w:cs="Arial" w:eastAsia="Arial" w:hAnsi="Arial"/>
                <w:sz w:val="14"/>
                <w:szCs w:val="14"/>
                <w:color w:val="auto"/>
                <w:w w:val="97"/>
              </w:rPr>
              <w:t>46,233</w:t>
            </w:r>
          </w:p>
        </w:tc>
        <w:tc>
          <w:tcPr>
            <w:tcW w:w="2000" w:type="dxa"/>
            <w:vAlign w:val="bottom"/>
          </w:tcPr>
          <w:p>
            <w:pPr>
              <w:jc w:val="center"/>
              <w:ind w:left="32"/>
              <w:spacing w:after="0"/>
              <w:rPr>
                <w:sz w:val="20"/>
                <w:szCs w:val="20"/>
                <w:color w:val="auto"/>
              </w:rPr>
            </w:pPr>
            <w:r>
              <w:rPr>
                <w:rFonts w:ascii="Arial" w:cs="Arial" w:eastAsia="Arial" w:hAnsi="Arial"/>
                <w:sz w:val="14"/>
                <w:szCs w:val="14"/>
                <w:color w:val="auto"/>
                <w:w w:val="94"/>
              </w:rPr>
              <w:t>N/A</w:t>
            </w:r>
          </w:p>
        </w:tc>
        <w:tc>
          <w:tcPr>
            <w:tcW w:w="1840" w:type="dxa"/>
            <w:vAlign w:val="bottom"/>
          </w:tcPr>
          <w:p>
            <w:pPr>
              <w:jc w:val="center"/>
              <w:spacing w:after="0"/>
              <w:rPr>
                <w:sz w:val="20"/>
                <w:szCs w:val="20"/>
                <w:color w:val="auto"/>
              </w:rPr>
            </w:pPr>
            <w:r>
              <w:rPr>
                <w:rFonts w:ascii="Arial" w:cs="Arial" w:eastAsia="Arial" w:hAnsi="Arial"/>
                <w:sz w:val="14"/>
                <w:szCs w:val="14"/>
                <w:color w:val="auto"/>
                <w:w w:val="97"/>
              </w:rPr>
              <w:t>69,350</w:t>
            </w:r>
          </w:p>
        </w:tc>
      </w:tr>
      <w:tr>
        <w:trPr>
          <w:trHeight w:val="216"/>
        </w:trPr>
        <w:tc>
          <w:tcPr>
            <w:tcW w:w="1700" w:type="dxa"/>
            <w:vAlign w:val="bottom"/>
          </w:tcPr>
          <w:p>
            <w:pPr>
              <w:ind w:left="20"/>
              <w:spacing w:after="0"/>
              <w:rPr>
                <w:sz w:val="20"/>
                <w:szCs w:val="20"/>
                <w:color w:val="auto"/>
              </w:rPr>
            </w:pPr>
            <w:r>
              <w:rPr>
                <w:rFonts w:ascii="Arial" w:cs="Arial" w:eastAsia="Arial" w:hAnsi="Arial"/>
                <w:sz w:val="14"/>
                <w:szCs w:val="14"/>
                <w:color w:val="auto"/>
              </w:rPr>
              <w:t>Mr. Smiley</w:t>
            </w:r>
          </w:p>
        </w:tc>
        <w:tc>
          <w:tcPr>
            <w:tcW w:w="2160" w:type="dxa"/>
            <w:vAlign w:val="bottom"/>
          </w:tcPr>
          <w:p>
            <w:pPr>
              <w:jc w:val="center"/>
              <w:ind w:left="112"/>
              <w:spacing w:after="0"/>
              <w:rPr>
                <w:sz w:val="20"/>
                <w:szCs w:val="20"/>
                <w:color w:val="auto"/>
              </w:rPr>
            </w:pPr>
            <w:r>
              <w:rPr>
                <w:rFonts w:ascii="Arial" w:cs="Arial" w:eastAsia="Arial" w:hAnsi="Arial"/>
                <w:sz w:val="14"/>
                <w:szCs w:val="14"/>
                <w:color w:val="auto"/>
                <w:w w:val="96"/>
              </w:rPr>
              <w:t>4,759</w:t>
            </w:r>
          </w:p>
        </w:tc>
        <w:tc>
          <w:tcPr>
            <w:tcW w:w="2000" w:type="dxa"/>
            <w:vAlign w:val="bottom"/>
          </w:tcPr>
          <w:p>
            <w:pPr>
              <w:jc w:val="right"/>
              <w:ind w:right="732"/>
              <w:spacing w:after="0"/>
              <w:rPr>
                <w:sz w:val="20"/>
                <w:szCs w:val="20"/>
                <w:color w:val="auto"/>
              </w:rPr>
            </w:pPr>
            <w:r>
              <w:rPr>
                <w:rFonts w:ascii="Arial" w:cs="Arial" w:eastAsia="Arial" w:hAnsi="Arial"/>
                <w:sz w:val="14"/>
                <w:szCs w:val="14"/>
                <w:color w:val="auto"/>
              </w:rPr>
              <w:t>7,139</w:t>
            </w: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N/A</w:t>
            </w:r>
          </w:p>
        </w:tc>
      </w:tr>
      <w:tr>
        <w:trPr>
          <w:trHeight w:val="216"/>
        </w:trPr>
        <w:tc>
          <w:tcPr>
            <w:tcW w:w="1700" w:type="dxa"/>
            <w:vAlign w:val="bottom"/>
          </w:tcPr>
          <w:p>
            <w:pPr>
              <w:ind w:left="20"/>
              <w:spacing w:after="0"/>
              <w:rPr>
                <w:sz w:val="20"/>
                <w:szCs w:val="20"/>
                <w:color w:val="auto"/>
              </w:rPr>
            </w:pPr>
            <w:r>
              <w:rPr>
                <w:rFonts w:ascii="Arial" w:cs="Arial" w:eastAsia="Arial" w:hAnsi="Arial"/>
                <w:sz w:val="14"/>
                <w:szCs w:val="14"/>
                <w:color w:val="auto"/>
              </w:rPr>
              <w:t>Mr. Harrington</w:t>
            </w:r>
          </w:p>
        </w:tc>
        <w:tc>
          <w:tcPr>
            <w:tcW w:w="2160" w:type="dxa"/>
            <w:vAlign w:val="bottom"/>
          </w:tcPr>
          <w:p>
            <w:pPr>
              <w:jc w:val="center"/>
              <w:ind w:left="112"/>
              <w:spacing w:after="0"/>
              <w:rPr>
                <w:sz w:val="20"/>
                <w:szCs w:val="20"/>
                <w:color w:val="auto"/>
              </w:rPr>
            </w:pPr>
            <w:r>
              <w:rPr>
                <w:rFonts w:ascii="Arial" w:cs="Arial" w:eastAsia="Arial" w:hAnsi="Arial"/>
                <w:sz w:val="14"/>
                <w:szCs w:val="14"/>
                <w:color w:val="auto"/>
                <w:w w:val="97"/>
              </w:rPr>
              <w:t>12,510</w:t>
            </w:r>
          </w:p>
        </w:tc>
        <w:tc>
          <w:tcPr>
            <w:tcW w:w="2000" w:type="dxa"/>
            <w:vAlign w:val="bottom"/>
          </w:tcPr>
          <w:p>
            <w:pPr>
              <w:jc w:val="center"/>
              <w:ind w:left="32"/>
              <w:spacing w:after="0"/>
              <w:rPr>
                <w:sz w:val="20"/>
                <w:szCs w:val="20"/>
                <w:color w:val="auto"/>
              </w:rPr>
            </w:pPr>
            <w:r>
              <w:rPr>
                <w:rFonts w:ascii="Arial" w:cs="Arial" w:eastAsia="Arial" w:hAnsi="Arial"/>
                <w:sz w:val="14"/>
                <w:szCs w:val="14"/>
                <w:color w:val="auto"/>
                <w:w w:val="94"/>
              </w:rPr>
              <w:t>N/A</w:t>
            </w:r>
          </w:p>
        </w:tc>
        <w:tc>
          <w:tcPr>
            <w:tcW w:w="1840" w:type="dxa"/>
            <w:vAlign w:val="bottom"/>
          </w:tcPr>
          <w:p>
            <w:pPr>
              <w:jc w:val="center"/>
              <w:spacing w:after="0"/>
              <w:rPr>
                <w:sz w:val="20"/>
                <w:szCs w:val="20"/>
                <w:color w:val="auto"/>
              </w:rPr>
            </w:pPr>
            <w:r>
              <w:rPr>
                <w:rFonts w:ascii="Arial" w:cs="Arial" w:eastAsia="Arial" w:hAnsi="Arial"/>
                <w:sz w:val="14"/>
                <w:szCs w:val="14"/>
                <w:color w:val="auto"/>
                <w:w w:val="97"/>
              </w:rPr>
              <w:t>18,765</w:t>
            </w:r>
          </w:p>
        </w:tc>
      </w:tr>
      <w:tr>
        <w:trPr>
          <w:trHeight w:val="216"/>
        </w:trPr>
        <w:tc>
          <w:tcPr>
            <w:tcW w:w="1700" w:type="dxa"/>
            <w:vAlign w:val="bottom"/>
          </w:tcPr>
          <w:p>
            <w:pPr>
              <w:ind w:left="20"/>
              <w:spacing w:after="0"/>
              <w:rPr>
                <w:sz w:val="20"/>
                <w:szCs w:val="20"/>
                <w:color w:val="auto"/>
              </w:rPr>
            </w:pPr>
            <w:r>
              <w:rPr>
                <w:rFonts w:ascii="Arial" w:cs="Arial" w:eastAsia="Arial" w:hAnsi="Arial"/>
                <w:sz w:val="14"/>
                <w:szCs w:val="14"/>
                <w:color w:val="auto"/>
              </w:rPr>
              <w:t>Mr. Conterno</w:t>
            </w:r>
          </w:p>
        </w:tc>
        <w:tc>
          <w:tcPr>
            <w:tcW w:w="2160" w:type="dxa"/>
            <w:vAlign w:val="bottom"/>
          </w:tcPr>
          <w:p>
            <w:pPr>
              <w:jc w:val="center"/>
              <w:ind w:left="112"/>
              <w:spacing w:after="0"/>
              <w:rPr>
                <w:sz w:val="20"/>
                <w:szCs w:val="20"/>
                <w:color w:val="auto"/>
              </w:rPr>
            </w:pPr>
            <w:r>
              <w:rPr>
                <w:rFonts w:ascii="Arial" w:cs="Arial" w:eastAsia="Arial" w:hAnsi="Arial"/>
                <w:sz w:val="14"/>
                <w:szCs w:val="14"/>
                <w:color w:val="auto"/>
                <w:w w:val="97"/>
              </w:rPr>
              <w:t>13,598</w:t>
            </w:r>
          </w:p>
        </w:tc>
        <w:tc>
          <w:tcPr>
            <w:tcW w:w="2000" w:type="dxa"/>
            <w:vAlign w:val="bottom"/>
          </w:tcPr>
          <w:p>
            <w:pPr>
              <w:jc w:val="center"/>
              <w:ind w:left="32"/>
              <w:spacing w:after="0"/>
              <w:rPr>
                <w:sz w:val="20"/>
                <w:szCs w:val="20"/>
                <w:color w:val="auto"/>
              </w:rPr>
            </w:pPr>
            <w:r>
              <w:rPr>
                <w:rFonts w:ascii="Arial" w:cs="Arial" w:eastAsia="Arial" w:hAnsi="Arial"/>
                <w:sz w:val="14"/>
                <w:szCs w:val="14"/>
                <w:color w:val="auto"/>
                <w:w w:val="94"/>
              </w:rPr>
              <w:t>N/A</w:t>
            </w:r>
          </w:p>
        </w:tc>
        <w:tc>
          <w:tcPr>
            <w:tcW w:w="1840" w:type="dxa"/>
            <w:vAlign w:val="bottom"/>
          </w:tcPr>
          <w:p>
            <w:pPr>
              <w:jc w:val="center"/>
              <w:spacing w:after="0"/>
              <w:rPr>
                <w:sz w:val="20"/>
                <w:szCs w:val="20"/>
                <w:color w:val="auto"/>
              </w:rPr>
            </w:pPr>
            <w:r>
              <w:rPr>
                <w:rFonts w:ascii="Arial" w:cs="Arial" w:eastAsia="Arial" w:hAnsi="Arial"/>
                <w:sz w:val="14"/>
                <w:szCs w:val="14"/>
                <w:color w:val="auto"/>
                <w:w w:val="97"/>
              </w:rPr>
              <w:t>20,397</w:t>
            </w:r>
          </w:p>
        </w:tc>
      </w:tr>
      <w:tr>
        <w:trPr>
          <w:trHeight w:val="216"/>
        </w:trPr>
        <w:tc>
          <w:tcPr>
            <w:tcW w:w="170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2160" w:type="dxa"/>
            <w:vAlign w:val="bottom"/>
          </w:tcPr>
          <w:p>
            <w:pPr>
              <w:jc w:val="center"/>
              <w:ind w:left="112"/>
              <w:spacing w:after="0"/>
              <w:rPr>
                <w:sz w:val="20"/>
                <w:szCs w:val="20"/>
                <w:color w:val="auto"/>
              </w:rPr>
            </w:pPr>
            <w:r>
              <w:rPr>
                <w:rFonts w:ascii="Arial" w:cs="Arial" w:eastAsia="Arial" w:hAnsi="Arial"/>
                <w:sz w:val="14"/>
                <w:szCs w:val="14"/>
                <w:color w:val="auto"/>
                <w:w w:val="96"/>
              </w:rPr>
              <w:t>8,839</w:t>
            </w:r>
          </w:p>
        </w:tc>
        <w:tc>
          <w:tcPr>
            <w:tcW w:w="2000" w:type="dxa"/>
            <w:vAlign w:val="bottom"/>
          </w:tcPr>
          <w:p>
            <w:pPr>
              <w:jc w:val="right"/>
              <w:ind w:right="692"/>
              <w:spacing w:after="0"/>
              <w:rPr>
                <w:sz w:val="20"/>
                <w:szCs w:val="20"/>
                <w:color w:val="auto"/>
              </w:rPr>
            </w:pPr>
            <w:r>
              <w:rPr>
                <w:rFonts w:ascii="Arial" w:cs="Arial" w:eastAsia="Arial" w:hAnsi="Arial"/>
                <w:sz w:val="14"/>
                <w:szCs w:val="14"/>
                <w:color w:val="auto"/>
              </w:rPr>
              <w:t>13,259</w:t>
            </w: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N/A</w:t>
            </w:r>
          </w:p>
        </w:tc>
      </w:tr>
      <w:tr>
        <w:trPr>
          <w:trHeight w:val="216"/>
        </w:trPr>
        <w:tc>
          <w:tcPr>
            <w:tcW w:w="1700" w:type="dxa"/>
            <w:vAlign w:val="bottom"/>
          </w:tcPr>
          <w:p>
            <w:pPr>
              <w:ind w:left="20"/>
              <w:spacing w:after="0"/>
              <w:rPr>
                <w:sz w:val="20"/>
                <w:szCs w:val="20"/>
                <w:color w:val="auto"/>
              </w:rPr>
            </w:pPr>
            <w:r>
              <w:rPr>
                <w:rFonts w:ascii="Arial" w:cs="Arial" w:eastAsia="Arial" w:hAnsi="Arial"/>
                <w:sz w:val="14"/>
                <w:szCs w:val="14"/>
                <w:color w:val="auto"/>
              </w:rPr>
              <w:t>Mr. Simmons</w:t>
            </w:r>
          </w:p>
        </w:tc>
        <w:tc>
          <w:tcPr>
            <w:tcW w:w="2160" w:type="dxa"/>
            <w:vAlign w:val="bottom"/>
          </w:tcPr>
          <w:p>
            <w:pPr>
              <w:jc w:val="center"/>
              <w:ind w:left="112"/>
              <w:spacing w:after="0"/>
              <w:rPr>
                <w:sz w:val="20"/>
                <w:szCs w:val="20"/>
                <w:color w:val="auto"/>
              </w:rPr>
            </w:pPr>
            <w:r>
              <w:rPr>
                <w:rFonts w:ascii="Arial" w:cs="Arial" w:eastAsia="Arial" w:hAnsi="Arial"/>
                <w:sz w:val="14"/>
                <w:szCs w:val="14"/>
                <w:color w:val="auto"/>
                <w:w w:val="97"/>
              </w:rPr>
              <w:t>10,878</w:t>
            </w:r>
          </w:p>
        </w:tc>
        <w:tc>
          <w:tcPr>
            <w:tcW w:w="2000" w:type="dxa"/>
            <w:vAlign w:val="bottom"/>
          </w:tcPr>
          <w:p>
            <w:pPr>
              <w:jc w:val="center"/>
              <w:ind w:left="32"/>
              <w:spacing w:after="0"/>
              <w:rPr>
                <w:sz w:val="20"/>
                <w:szCs w:val="20"/>
                <w:color w:val="auto"/>
              </w:rPr>
            </w:pPr>
            <w:r>
              <w:rPr>
                <w:rFonts w:ascii="Arial" w:cs="Arial" w:eastAsia="Arial" w:hAnsi="Arial"/>
                <w:sz w:val="14"/>
                <w:szCs w:val="14"/>
                <w:color w:val="auto"/>
                <w:w w:val="94"/>
              </w:rPr>
              <w:t>N/A</w:t>
            </w:r>
          </w:p>
        </w:tc>
        <w:tc>
          <w:tcPr>
            <w:tcW w:w="1840" w:type="dxa"/>
            <w:vAlign w:val="bottom"/>
          </w:tcPr>
          <w:p>
            <w:pPr>
              <w:jc w:val="center"/>
              <w:spacing w:after="0"/>
              <w:rPr>
                <w:sz w:val="20"/>
                <w:szCs w:val="20"/>
                <w:color w:val="auto"/>
              </w:rPr>
            </w:pPr>
            <w:r>
              <w:rPr>
                <w:rFonts w:ascii="Arial" w:cs="Arial" w:eastAsia="Arial" w:hAnsi="Arial"/>
                <w:sz w:val="14"/>
                <w:szCs w:val="14"/>
                <w:color w:val="auto"/>
                <w:w w:val="97"/>
              </w:rPr>
              <w:t>16,317</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2016-2018 Shareholder Value Award</w:t>
      </w:r>
    </w:p>
    <w:p>
      <w:pPr>
        <w:spacing w:after="0" w:line="25" w:lineRule="exact"/>
        <w:rPr>
          <w:sz w:val="20"/>
          <w:szCs w:val="20"/>
          <w:color w:val="auto"/>
        </w:rPr>
      </w:pPr>
    </w:p>
    <w:p>
      <w:pPr>
        <w:jc w:val="both"/>
        <w:ind w:right="60"/>
        <w:spacing w:after="0" w:line="254" w:lineRule="auto"/>
        <w:rPr>
          <w:sz w:val="20"/>
          <w:szCs w:val="20"/>
          <w:color w:val="auto"/>
        </w:rPr>
      </w:pPr>
      <w:r>
        <w:rPr>
          <w:rFonts w:ascii="Arial" w:cs="Arial" w:eastAsia="Arial" w:hAnsi="Arial"/>
          <w:sz w:val="17"/>
          <w:szCs w:val="17"/>
          <w:color w:val="auto"/>
        </w:rPr>
        <w:t>The target stock price range of $98.55 to $109.06 (17.7 percent to 30.2 percent total stock price growth) for the 2016-2018 shareholder value award was set in 2016 based on a beginning stock price of $83.74, which was the average closing price for Lilly stock for all trading days in November and December 2015. The ending stock price of $112.38 represents stock price growth of approximately 34.2 percent over the relevant three-year period. The company’s performance compared to target (and the resulting payout multiple) for this award is shown below.</w:t>
      </w: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P47</w:t>
      </w:r>
    </w:p>
    <w:p>
      <w:pPr>
        <w:sectPr>
          <w:pgSz w:w="11900" w:h="16838" w:orient="portrait"/>
          <w:cols w:equalWidth="0" w:num="1">
            <w:col w:w="11240"/>
          </w:cols>
          <w:pgMar w:left="240" w:top="1440" w:right="41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1101090</wp:posOffset>
            </wp:positionH>
            <wp:positionV relativeFrom="page">
              <wp:posOffset>372110</wp:posOffset>
            </wp:positionV>
            <wp:extent cx="5368290" cy="24441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68290"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The performance multiple of 1.25 was modified for all the named executive officers other than Mr. Smiley and Dr. Skovronsky by the relative TSR metric. The cumulative TSR median for the company’s peer group was 16.6 percent, and Lilly’s TSR over the same period was 44.9 percent as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113665</wp:posOffset>
            </wp:positionV>
            <wp:extent cx="4536440" cy="16205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53644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00"/>
        <w:spacing w:after="0" w:line="292" w:lineRule="auto"/>
        <w:rPr>
          <w:sz w:val="20"/>
          <w:szCs w:val="20"/>
          <w:color w:val="auto"/>
        </w:rPr>
      </w:pPr>
      <w:r>
        <w:rPr>
          <w:rFonts w:ascii="Arial" w:cs="Arial" w:eastAsia="Arial" w:hAnsi="Arial"/>
          <w:sz w:val="17"/>
          <w:szCs w:val="17"/>
          <w:color w:val="auto"/>
        </w:rPr>
        <w:t>Given this positive relative performance, the shareholder value award payout multiple was increased by 20 percent, making the final performance multiple for these named executive officers 1.50.</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paid to each of our named executive officers for the 2016-2018 performance period were as follows:</w:t>
      </w:r>
    </w:p>
    <w:p>
      <w:pPr>
        <w:spacing w:after="0" w:line="373" w:lineRule="exact"/>
        <w:rPr>
          <w:sz w:val="20"/>
          <w:szCs w:val="20"/>
          <w:color w:val="auto"/>
        </w:rPr>
      </w:pPr>
    </w:p>
    <w:tbl>
      <w:tblPr>
        <w:tblLayout w:type="fixed"/>
        <w:tblInd w:w="2580" w:type="dxa"/>
        <w:tblCellMar>
          <w:top w:w="0" w:type="dxa"/>
          <w:left w:w="0" w:type="dxa"/>
          <w:bottom w:w="0" w:type="dxa"/>
          <w:right w:w="0" w:type="dxa"/>
        </w:tblCellMar>
      </w:tblPr>
      <w:tr>
        <w:trPr>
          <w:trHeight w:val="243"/>
        </w:trPr>
        <w:tc>
          <w:tcPr>
            <w:tcW w:w="1860" w:type="dxa"/>
            <w:vAlign w:val="bottom"/>
            <w:shd w:val="clear" w:color="auto" w:fill="C8C9CB"/>
          </w:tcPr>
          <w:p>
            <w:pPr>
              <w:ind w:left="40"/>
              <w:spacing w:after="0"/>
              <w:rPr>
                <w:sz w:val="20"/>
                <w:szCs w:val="20"/>
                <w:color w:val="auto"/>
              </w:rPr>
            </w:pPr>
            <w:r>
              <w:rPr>
                <w:rFonts w:ascii="Arial" w:cs="Arial" w:eastAsia="Arial" w:hAnsi="Arial"/>
                <w:sz w:val="16"/>
                <w:szCs w:val="16"/>
                <w:b w:val="1"/>
                <w:bCs w:val="1"/>
                <w:color w:val="00ABE8"/>
              </w:rPr>
              <w:t>Name</w:t>
            </w:r>
          </w:p>
        </w:tc>
        <w:tc>
          <w:tcPr>
            <w:tcW w:w="2280" w:type="dxa"/>
            <w:vAlign w:val="bottom"/>
            <w:shd w:val="clear" w:color="auto" w:fill="C8C9CB"/>
          </w:tcPr>
          <w:p>
            <w:pPr>
              <w:ind w:left="800"/>
              <w:spacing w:after="0"/>
              <w:rPr>
                <w:sz w:val="20"/>
                <w:szCs w:val="20"/>
                <w:color w:val="auto"/>
              </w:rPr>
            </w:pPr>
            <w:r>
              <w:rPr>
                <w:rFonts w:ascii="Arial" w:cs="Arial" w:eastAsia="Arial" w:hAnsi="Arial"/>
                <w:sz w:val="16"/>
                <w:szCs w:val="16"/>
                <w:b w:val="1"/>
                <w:bCs w:val="1"/>
                <w:color w:val="00ABE8"/>
              </w:rPr>
              <w:t>Target Shares</w:t>
            </w:r>
          </w:p>
        </w:tc>
        <w:tc>
          <w:tcPr>
            <w:tcW w:w="2120" w:type="dxa"/>
            <w:vAlign w:val="bottom"/>
            <w:shd w:val="clear" w:color="auto" w:fill="C8C9CB"/>
          </w:tcPr>
          <w:p>
            <w:pPr>
              <w:ind w:left="420"/>
              <w:spacing w:after="0"/>
              <w:rPr>
                <w:sz w:val="20"/>
                <w:szCs w:val="20"/>
                <w:color w:val="auto"/>
              </w:rPr>
            </w:pPr>
            <w:r>
              <w:rPr>
                <w:rFonts w:ascii="Arial" w:cs="Arial" w:eastAsia="Arial" w:hAnsi="Arial"/>
                <w:sz w:val="16"/>
                <w:szCs w:val="16"/>
                <w:b w:val="1"/>
                <w:bCs w:val="1"/>
                <w:color w:val="00ABE8"/>
              </w:rPr>
              <w:t>Shares Paid Out</w:t>
            </w:r>
          </w:p>
        </w:tc>
      </w:tr>
      <w:tr>
        <w:trPr>
          <w:trHeight w:val="208"/>
        </w:trPr>
        <w:tc>
          <w:tcPr>
            <w:tcW w:w="1860" w:type="dxa"/>
            <w:vAlign w:val="bottom"/>
          </w:tcPr>
          <w:p>
            <w:pPr>
              <w:ind w:left="40"/>
              <w:spacing w:after="0"/>
              <w:rPr>
                <w:sz w:val="20"/>
                <w:szCs w:val="20"/>
                <w:color w:val="auto"/>
              </w:rPr>
            </w:pPr>
            <w:r>
              <w:rPr>
                <w:rFonts w:ascii="Arial" w:cs="Arial" w:eastAsia="Arial" w:hAnsi="Arial"/>
                <w:sz w:val="14"/>
                <w:szCs w:val="14"/>
                <w:color w:val="auto"/>
              </w:rPr>
              <w:t>Mr. Ricks</w:t>
            </w:r>
          </w:p>
        </w:tc>
        <w:tc>
          <w:tcPr>
            <w:tcW w:w="2280" w:type="dxa"/>
            <w:vAlign w:val="bottom"/>
          </w:tcPr>
          <w:p>
            <w:pPr>
              <w:jc w:val="center"/>
              <w:ind w:left="327"/>
              <w:spacing w:after="0"/>
              <w:rPr>
                <w:sz w:val="20"/>
                <w:szCs w:val="20"/>
                <w:color w:val="auto"/>
              </w:rPr>
            </w:pPr>
            <w:r>
              <w:rPr>
                <w:rFonts w:ascii="Arial" w:cs="Arial" w:eastAsia="Arial" w:hAnsi="Arial"/>
                <w:sz w:val="14"/>
                <w:szCs w:val="14"/>
                <w:color w:val="auto"/>
              </w:rPr>
              <w:t>32,109</w:t>
            </w:r>
          </w:p>
        </w:tc>
        <w:tc>
          <w:tcPr>
            <w:tcW w:w="2120" w:type="dxa"/>
            <w:vAlign w:val="bottom"/>
          </w:tcPr>
          <w:p>
            <w:pPr>
              <w:jc w:val="center"/>
              <w:spacing w:after="0"/>
              <w:rPr>
                <w:sz w:val="20"/>
                <w:szCs w:val="20"/>
                <w:color w:val="auto"/>
              </w:rPr>
            </w:pPr>
            <w:r>
              <w:rPr>
                <w:rFonts w:ascii="Arial" w:cs="Arial" w:eastAsia="Arial" w:hAnsi="Arial"/>
                <w:sz w:val="14"/>
                <w:szCs w:val="14"/>
                <w:color w:val="auto"/>
              </w:rPr>
              <w:t>48,164</w:t>
            </w:r>
          </w:p>
        </w:tc>
      </w:tr>
      <w:tr>
        <w:trPr>
          <w:trHeight w:val="216"/>
        </w:trPr>
        <w:tc>
          <w:tcPr>
            <w:tcW w:w="1860" w:type="dxa"/>
            <w:vAlign w:val="bottom"/>
          </w:tcPr>
          <w:p>
            <w:pPr>
              <w:ind w:left="40"/>
              <w:spacing w:after="0"/>
              <w:rPr>
                <w:sz w:val="20"/>
                <w:szCs w:val="20"/>
                <w:color w:val="auto"/>
              </w:rPr>
            </w:pPr>
            <w:r>
              <w:rPr>
                <w:rFonts w:ascii="Arial" w:cs="Arial" w:eastAsia="Arial" w:hAnsi="Arial"/>
                <w:sz w:val="14"/>
                <w:szCs w:val="14"/>
                <w:color w:val="auto"/>
              </w:rPr>
              <w:t>Mr. Smiley*</w:t>
            </w:r>
          </w:p>
        </w:tc>
        <w:tc>
          <w:tcPr>
            <w:tcW w:w="2280" w:type="dxa"/>
            <w:vAlign w:val="bottom"/>
          </w:tcPr>
          <w:p>
            <w:pPr>
              <w:jc w:val="center"/>
              <w:ind w:left="327"/>
              <w:spacing w:after="0"/>
              <w:rPr>
                <w:sz w:val="20"/>
                <w:szCs w:val="20"/>
                <w:color w:val="auto"/>
              </w:rPr>
            </w:pPr>
            <w:r>
              <w:rPr>
                <w:rFonts w:ascii="Arial" w:cs="Arial" w:eastAsia="Arial" w:hAnsi="Arial"/>
                <w:sz w:val="14"/>
                <w:szCs w:val="14"/>
                <w:color w:val="auto"/>
              </w:rPr>
              <w:t>6,744</w:t>
            </w:r>
          </w:p>
        </w:tc>
        <w:tc>
          <w:tcPr>
            <w:tcW w:w="2120" w:type="dxa"/>
            <w:vAlign w:val="bottom"/>
          </w:tcPr>
          <w:p>
            <w:pPr>
              <w:jc w:val="center"/>
              <w:spacing w:after="0"/>
              <w:rPr>
                <w:sz w:val="20"/>
                <w:szCs w:val="20"/>
                <w:color w:val="auto"/>
              </w:rPr>
            </w:pPr>
            <w:r>
              <w:rPr>
                <w:rFonts w:ascii="Arial" w:cs="Arial" w:eastAsia="Arial" w:hAnsi="Arial"/>
                <w:sz w:val="14"/>
                <w:szCs w:val="14"/>
                <w:color w:val="auto"/>
              </w:rPr>
              <w:t>8,430</w:t>
            </w:r>
          </w:p>
        </w:tc>
      </w:tr>
      <w:tr>
        <w:trPr>
          <w:trHeight w:val="216"/>
        </w:trPr>
        <w:tc>
          <w:tcPr>
            <w:tcW w:w="1860" w:type="dxa"/>
            <w:vAlign w:val="bottom"/>
          </w:tcPr>
          <w:p>
            <w:pPr>
              <w:ind w:left="40"/>
              <w:spacing w:after="0"/>
              <w:rPr>
                <w:sz w:val="20"/>
                <w:szCs w:val="20"/>
                <w:color w:val="auto"/>
              </w:rPr>
            </w:pPr>
            <w:r>
              <w:rPr>
                <w:rFonts w:ascii="Arial" w:cs="Arial" w:eastAsia="Arial" w:hAnsi="Arial"/>
                <w:sz w:val="14"/>
                <w:szCs w:val="14"/>
                <w:color w:val="auto"/>
              </w:rPr>
              <w:t>Mr. Harrington</w:t>
            </w:r>
          </w:p>
        </w:tc>
        <w:tc>
          <w:tcPr>
            <w:tcW w:w="2280" w:type="dxa"/>
            <w:vAlign w:val="bottom"/>
          </w:tcPr>
          <w:p>
            <w:pPr>
              <w:jc w:val="center"/>
              <w:ind w:left="327"/>
              <w:spacing w:after="0"/>
              <w:rPr>
                <w:sz w:val="20"/>
                <w:szCs w:val="20"/>
                <w:color w:val="auto"/>
              </w:rPr>
            </w:pPr>
            <w:r>
              <w:rPr>
                <w:rFonts w:ascii="Arial" w:cs="Arial" w:eastAsia="Arial" w:hAnsi="Arial"/>
                <w:sz w:val="14"/>
                <w:szCs w:val="14"/>
                <w:color w:val="auto"/>
              </w:rPr>
              <w:t>33,568</w:t>
            </w:r>
          </w:p>
        </w:tc>
        <w:tc>
          <w:tcPr>
            <w:tcW w:w="2120" w:type="dxa"/>
            <w:vAlign w:val="bottom"/>
          </w:tcPr>
          <w:p>
            <w:pPr>
              <w:jc w:val="center"/>
              <w:spacing w:after="0"/>
              <w:rPr>
                <w:sz w:val="20"/>
                <w:szCs w:val="20"/>
                <w:color w:val="auto"/>
              </w:rPr>
            </w:pPr>
            <w:r>
              <w:rPr>
                <w:rFonts w:ascii="Arial" w:cs="Arial" w:eastAsia="Arial" w:hAnsi="Arial"/>
                <w:sz w:val="14"/>
                <w:szCs w:val="14"/>
                <w:color w:val="auto"/>
              </w:rPr>
              <w:t>50,352</w:t>
            </w:r>
          </w:p>
        </w:tc>
      </w:tr>
      <w:tr>
        <w:trPr>
          <w:trHeight w:val="216"/>
        </w:trPr>
        <w:tc>
          <w:tcPr>
            <w:tcW w:w="1860" w:type="dxa"/>
            <w:vAlign w:val="bottom"/>
          </w:tcPr>
          <w:p>
            <w:pPr>
              <w:ind w:left="40"/>
              <w:spacing w:after="0"/>
              <w:rPr>
                <w:sz w:val="20"/>
                <w:szCs w:val="20"/>
                <w:color w:val="auto"/>
              </w:rPr>
            </w:pPr>
            <w:r>
              <w:rPr>
                <w:rFonts w:ascii="Arial" w:cs="Arial" w:eastAsia="Arial" w:hAnsi="Arial"/>
                <w:sz w:val="14"/>
                <w:szCs w:val="14"/>
                <w:color w:val="auto"/>
              </w:rPr>
              <w:t>Mr. Conterno</w:t>
            </w:r>
          </w:p>
        </w:tc>
        <w:tc>
          <w:tcPr>
            <w:tcW w:w="2280" w:type="dxa"/>
            <w:vAlign w:val="bottom"/>
          </w:tcPr>
          <w:p>
            <w:pPr>
              <w:jc w:val="center"/>
              <w:ind w:left="327"/>
              <w:spacing w:after="0"/>
              <w:rPr>
                <w:sz w:val="20"/>
                <w:szCs w:val="20"/>
                <w:color w:val="auto"/>
              </w:rPr>
            </w:pPr>
            <w:r>
              <w:rPr>
                <w:rFonts w:ascii="Arial" w:cs="Arial" w:eastAsia="Arial" w:hAnsi="Arial"/>
                <w:sz w:val="14"/>
                <w:szCs w:val="14"/>
                <w:color w:val="auto"/>
              </w:rPr>
              <w:t>32,109</w:t>
            </w:r>
          </w:p>
        </w:tc>
        <w:tc>
          <w:tcPr>
            <w:tcW w:w="2120" w:type="dxa"/>
            <w:vAlign w:val="bottom"/>
          </w:tcPr>
          <w:p>
            <w:pPr>
              <w:jc w:val="center"/>
              <w:spacing w:after="0"/>
              <w:rPr>
                <w:sz w:val="20"/>
                <w:szCs w:val="20"/>
                <w:color w:val="auto"/>
              </w:rPr>
            </w:pPr>
            <w:r>
              <w:rPr>
                <w:rFonts w:ascii="Arial" w:cs="Arial" w:eastAsia="Arial" w:hAnsi="Arial"/>
                <w:sz w:val="14"/>
                <w:szCs w:val="14"/>
                <w:color w:val="auto"/>
              </w:rPr>
              <w:t>48,164</w:t>
            </w:r>
          </w:p>
        </w:tc>
      </w:tr>
      <w:tr>
        <w:trPr>
          <w:trHeight w:val="216"/>
        </w:trPr>
        <w:tc>
          <w:tcPr>
            <w:tcW w:w="1860" w:type="dxa"/>
            <w:vAlign w:val="bottom"/>
          </w:tcPr>
          <w:p>
            <w:pPr>
              <w:ind w:left="40"/>
              <w:spacing w:after="0"/>
              <w:rPr>
                <w:sz w:val="20"/>
                <w:szCs w:val="20"/>
                <w:color w:val="auto"/>
              </w:rPr>
            </w:pPr>
            <w:r>
              <w:rPr>
                <w:rFonts w:ascii="Arial" w:cs="Arial" w:eastAsia="Arial" w:hAnsi="Arial"/>
                <w:sz w:val="14"/>
                <w:szCs w:val="14"/>
                <w:color w:val="auto"/>
              </w:rPr>
              <w:t>Dr. Skovronsky*</w:t>
            </w:r>
          </w:p>
        </w:tc>
        <w:tc>
          <w:tcPr>
            <w:tcW w:w="2280" w:type="dxa"/>
            <w:vAlign w:val="bottom"/>
          </w:tcPr>
          <w:p>
            <w:pPr>
              <w:jc w:val="center"/>
              <w:ind w:left="327"/>
              <w:spacing w:after="0"/>
              <w:rPr>
                <w:sz w:val="20"/>
                <w:szCs w:val="20"/>
                <w:color w:val="auto"/>
              </w:rPr>
            </w:pPr>
            <w:r>
              <w:rPr>
                <w:rFonts w:ascii="Arial" w:cs="Arial" w:eastAsia="Arial" w:hAnsi="Arial"/>
                <w:sz w:val="14"/>
                <w:szCs w:val="14"/>
                <w:color w:val="auto"/>
              </w:rPr>
              <w:t>12,042</w:t>
            </w:r>
          </w:p>
        </w:tc>
        <w:tc>
          <w:tcPr>
            <w:tcW w:w="2120" w:type="dxa"/>
            <w:vAlign w:val="bottom"/>
          </w:tcPr>
          <w:p>
            <w:pPr>
              <w:jc w:val="center"/>
              <w:spacing w:after="0"/>
              <w:rPr>
                <w:sz w:val="20"/>
                <w:szCs w:val="20"/>
                <w:color w:val="auto"/>
              </w:rPr>
            </w:pPr>
            <w:r>
              <w:rPr>
                <w:rFonts w:ascii="Arial" w:cs="Arial" w:eastAsia="Arial" w:hAnsi="Arial"/>
                <w:sz w:val="14"/>
                <w:szCs w:val="14"/>
                <w:color w:val="auto"/>
              </w:rPr>
              <w:t>15,053</w:t>
            </w:r>
          </w:p>
        </w:tc>
      </w:tr>
      <w:tr>
        <w:trPr>
          <w:trHeight w:val="216"/>
        </w:trPr>
        <w:tc>
          <w:tcPr>
            <w:tcW w:w="1860" w:type="dxa"/>
            <w:vAlign w:val="bottom"/>
          </w:tcPr>
          <w:p>
            <w:pPr>
              <w:ind w:left="40"/>
              <w:spacing w:after="0"/>
              <w:rPr>
                <w:sz w:val="20"/>
                <w:szCs w:val="20"/>
                <w:color w:val="auto"/>
              </w:rPr>
            </w:pPr>
            <w:r>
              <w:rPr>
                <w:rFonts w:ascii="Arial" w:cs="Arial" w:eastAsia="Arial" w:hAnsi="Arial"/>
                <w:sz w:val="14"/>
                <w:szCs w:val="14"/>
                <w:color w:val="auto"/>
              </w:rPr>
              <w:t>Mr. Simmons</w:t>
            </w:r>
          </w:p>
        </w:tc>
        <w:tc>
          <w:tcPr>
            <w:tcW w:w="2280" w:type="dxa"/>
            <w:vAlign w:val="bottom"/>
          </w:tcPr>
          <w:p>
            <w:pPr>
              <w:jc w:val="center"/>
              <w:ind w:left="327"/>
              <w:spacing w:after="0"/>
              <w:rPr>
                <w:sz w:val="20"/>
                <w:szCs w:val="20"/>
                <w:color w:val="auto"/>
              </w:rPr>
            </w:pPr>
            <w:r>
              <w:rPr>
                <w:rFonts w:ascii="Arial" w:cs="Arial" w:eastAsia="Arial" w:hAnsi="Arial"/>
                <w:sz w:val="14"/>
                <w:szCs w:val="14"/>
                <w:color w:val="auto"/>
              </w:rPr>
              <w:t>29,190</w:t>
            </w:r>
          </w:p>
        </w:tc>
        <w:tc>
          <w:tcPr>
            <w:tcW w:w="2120" w:type="dxa"/>
            <w:vAlign w:val="bottom"/>
          </w:tcPr>
          <w:p>
            <w:pPr>
              <w:jc w:val="center"/>
              <w:spacing w:after="0"/>
              <w:rPr>
                <w:sz w:val="20"/>
                <w:szCs w:val="20"/>
                <w:color w:val="auto"/>
              </w:rPr>
            </w:pPr>
            <w:r>
              <w:rPr>
                <w:rFonts w:ascii="Arial" w:cs="Arial" w:eastAsia="Arial" w:hAnsi="Arial"/>
                <w:sz w:val="14"/>
                <w:szCs w:val="14"/>
                <w:color w:val="auto"/>
              </w:rPr>
              <w:t>43,785</w:t>
            </w:r>
          </w:p>
        </w:tc>
      </w:tr>
    </w:tbl>
    <w:p>
      <w:pPr>
        <w:spacing w:after="0" w:line="236"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*The TSR modifier did not apply to Mr. Smiley’s and Dr. Skovronky’s 2016-2018 shareholder value award payouts since neither one was an executive officer at the time of grant.</w:t>
      </w: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P48</w:t>
      </w:r>
    </w:p>
    <w:p>
      <w:pPr>
        <w:sectPr>
          <w:pgSz w:w="11900" w:h="16838" w:orient="portrait"/>
          <w:cols w:equalWidth="0" w:num="1">
            <w:col w:w="11280"/>
          </w:cols>
          <w:pgMar w:left="240" w:top="1440" w:right="379" w:bottom="1440" w:gutter="0" w:footer="0" w:header="0"/>
        </w:sectPr>
      </w:pPr>
    </w:p>
    <w:bookmarkStart w:id="52" w:name="page53"/>
    <w:bookmarkEnd w:id="52"/>
    <w:p>
      <w:pPr>
        <w:spacing w:after="0"/>
        <w:rPr>
          <w:sz w:val="20"/>
          <w:szCs w:val="20"/>
          <w:color w:val="auto"/>
        </w:rPr>
      </w:pPr>
      <w:r>
        <w:rPr>
          <w:rFonts w:ascii="Arial" w:cs="Arial" w:eastAsia="Arial" w:hAnsi="Arial"/>
          <w:sz w:val="23"/>
          <w:szCs w:val="23"/>
          <w:b w:val="1"/>
          <w:bCs w:val="1"/>
          <w:color w:val="1CA8E1"/>
        </w:rPr>
        <w:t>Other Compensation Practices and Information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Benefits</w:t>
      </w:r>
    </w:p>
    <w:p>
      <w:pPr>
        <w:spacing w:after="0"/>
        <w:rPr>
          <w:sz w:val="20"/>
          <w:szCs w:val="20"/>
          <w:color w:val="auto"/>
        </w:rPr>
      </w:pPr>
      <w:r>
        <w:rPr>
          <w:rFonts w:ascii="Arial" w:cs="Arial" w:eastAsia="Arial" w:hAnsi="Arial"/>
          <w:sz w:val="17"/>
          <w:szCs w:val="17"/>
          <w:color w:val="auto"/>
        </w:rPr>
        <w:t>The company offers core employee benefits coverage to:</w:t>
      </w:r>
    </w:p>
    <w:p>
      <w:pPr>
        <w:spacing w:after="0" w:line="7" w:lineRule="exact"/>
        <w:rPr>
          <w:sz w:val="20"/>
          <w:szCs w:val="20"/>
          <w:color w:val="auto"/>
        </w:rPr>
      </w:pPr>
    </w:p>
    <w:p>
      <w:pPr>
        <w:ind w:left="340" w:hanging="170"/>
        <w:spacing w:after="0"/>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provide our workforce with a reasonable level of financial support in the event of illness or injury</w:t>
      </w:r>
    </w:p>
    <w:p>
      <w:pPr>
        <w:spacing w:after="0" w:line="7" w:lineRule="exact"/>
        <w:rPr>
          <w:rFonts w:ascii="Arial" w:cs="Arial" w:eastAsia="Arial" w:hAnsi="Arial"/>
          <w:sz w:val="17"/>
          <w:szCs w:val="17"/>
          <w:color w:val="auto"/>
        </w:rPr>
      </w:pPr>
    </w:p>
    <w:p>
      <w:pPr>
        <w:ind w:left="340" w:hanging="170"/>
        <w:spacing w:after="0"/>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provide post-retirement income</w:t>
      </w:r>
    </w:p>
    <w:p>
      <w:pPr>
        <w:spacing w:after="0" w:line="7" w:lineRule="exact"/>
        <w:rPr>
          <w:rFonts w:ascii="Arial" w:cs="Arial" w:eastAsia="Arial" w:hAnsi="Arial"/>
          <w:sz w:val="17"/>
          <w:szCs w:val="17"/>
          <w:color w:val="auto"/>
        </w:rPr>
      </w:pPr>
    </w:p>
    <w:p>
      <w:pPr>
        <w:ind w:left="340" w:hanging="170"/>
        <w:spacing w:after="0"/>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enhance productivity and job satisfaction through benefit programs that focus on overall well-being.</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The benefit programs available to executive officers are offered to all U.S. employees and include medical and dental coverage, disability insurance, and life insurance. In addition, The Lilly Employee 401(k) plan (401(k) Plan) and The Lilly Retirement Plan (the Retirement Plan) provide U.S. employees a reasonable level of retirement income reflecting employees’ careers with the company. To the extent that any employee’s retirement benefit exceeds Internal Revenue Service (IRS) limits for amounts that can be paid through a qualified plan, the company also offers a nonqualified pension plan and a nonqualified savings plan. These plans provide only the difference between the calculated benefits and the IRS limits, and the formula is the same for all U.S. employees. The cost of employee benefits is partially borne by the employee, including each executive officer.</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Perquisites</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company provides very limited perquisites to executive officers. The company generally does not allow personal use of the corporate aircraft. In rare cases when the security and efficiency benefits outweigh the expense, the corporate aircraft is made available to Mr. Ricks for personal use. The company did not incur any expenses for personal use of its aircraft in 2018 by Mr. Ricks, and he did not receive any other perquisites. Depending on seat availability, family members and personal guests may accompany executive officers who are traveling for business on the company aircraft. There is no incremental cost to the company for these trips by family members and personal guests.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Lilly Deferred Compensation Plan</w:t>
      </w:r>
    </w:p>
    <w:p>
      <w:pPr>
        <w:spacing w:after="0" w:line="25"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Members of senior management may defer receipt of part or all of their cash compensation under The Lilly Deferred Compensation Plan (Deferred Compensation Plan), which allows executives to save for retirement in a tax-effective way at minimal cost to the company. Under this unfunded plan, amounts deferred by the executive are credited at an interest rate of 120 percent of the applicable federal long-term rate, as described in more detail following the “Nonqualified Deferred Compensation in 2018” table.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Severance Benefits</w:t>
      </w:r>
    </w:p>
    <w:p>
      <w:pPr>
        <w:spacing w:after="0" w:line="2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Except in the case of a change in control of the company, the company is not obligated to pay severance to executive officers upon termination of their employment; any such payments are at the discretion of the Compensation Committee.</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 has adopted change-in-control severance pay plans for nearly all employees, including executive officers. The plans are intended to preserve employee morale and productivity and encourage retention in the face of the disruptive impact of an actual or rumored change in control. In addition, the plans are intended to align executive and shareholder interests by enabling executives to evaluate corporate transactions that may be in the best interests of the shareholders and other constituents of the company without undue concern over whether the transactions may jeopardize the executives’ own employment.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 of Our Change-in-Control Severance Plans</w:t>
      </w:r>
    </w:p>
    <w:p>
      <w:pPr>
        <w:spacing w:after="0" w:line="2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all regular employees are covered</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double trigger generally required</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 tax gross-ups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up to two-year pay protection</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18-month benefit continuation</w:t>
      </w:r>
    </w:p>
    <w:p>
      <w:pPr>
        <w:spacing w:after="0" w:line="188" w:lineRule="exact"/>
        <w:rPr>
          <w:sz w:val="20"/>
          <w:szCs w:val="20"/>
          <w:color w:val="auto"/>
        </w:rPr>
      </w:pPr>
    </w:p>
    <w:p>
      <w:pPr>
        <w:ind w:right="180"/>
        <w:spacing w:after="0" w:line="292" w:lineRule="auto"/>
        <w:rPr>
          <w:sz w:val="20"/>
          <w:szCs w:val="20"/>
          <w:color w:val="auto"/>
        </w:rPr>
      </w:pPr>
      <w:r>
        <w:rPr>
          <w:rFonts w:ascii="Arial" w:cs="Arial" w:eastAsia="Arial" w:hAnsi="Arial"/>
          <w:sz w:val="17"/>
          <w:szCs w:val="17"/>
          <w:color w:val="auto"/>
        </w:rPr>
        <w:t>Although benefit levels may differ depending on the employee’s job level and seniority, the basic elements of the plans are comparable for all eligible employees:</w:t>
      </w:r>
    </w:p>
    <w:p>
      <w:pPr>
        <w:spacing w:after="0" w:line="130" w:lineRule="exact"/>
        <w:rPr>
          <w:sz w:val="20"/>
          <w:szCs w:val="20"/>
          <w:color w:val="auto"/>
        </w:rPr>
      </w:pPr>
    </w:p>
    <w:p>
      <w:pPr>
        <w:jc w:val="both"/>
        <w:ind w:left="340" w:right="60" w:hanging="170"/>
        <w:spacing w:after="0" w:line="271" w:lineRule="auto"/>
        <w:tabs>
          <w:tab w:leader="none" w:pos="34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00ABE8"/>
        </w:rPr>
        <w:t xml:space="preserve">Double trigger: </w:t>
      </w:r>
      <w:r>
        <w:rPr>
          <w:rFonts w:ascii="Arial" w:cs="Arial" w:eastAsia="Arial" w:hAnsi="Arial"/>
          <w:sz w:val="17"/>
          <w:szCs w:val="17"/>
          <w:color w:val="000000"/>
        </w:rPr>
        <w:t>Unlike “single trigger” plans that pay out immediately upon a change in control, our plans require a “double trigger” -- a change in</w:t>
      </w:r>
      <w:r>
        <w:rPr>
          <w:rFonts w:ascii="Arial" w:cs="Arial" w:eastAsia="Arial" w:hAnsi="Arial"/>
          <w:sz w:val="17"/>
          <w:szCs w:val="17"/>
          <w:b w:val="1"/>
          <w:bCs w:val="1"/>
          <w:color w:val="00ABE8"/>
        </w:rPr>
        <w:t xml:space="preserve"> </w:t>
      </w:r>
      <w:r>
        <w:rPr>
          <w:rFonts w:ascii="Arial" w:cs="Arial" w:eastAsia="Arial" w:hAnsi="Arial"/>
          <w:sz w:val="17"/>
          <w:szCs w:val="17"/>
          <w:color w:val="000000"/>
        </w:rPr>
        <w:t>control followed by an involuntary loss of employment within two years. This is consistent with the plan's intent to provide employees with financial protection upon loss of employment. With respect to unvested equity, performance to the date of the change in control will be used to</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P49</w:t>
      </w:r>
    </w:p>
    <w:p>
      <w:pPr>
        <w:sectPr>
          <w:pgSz w:w="11900" w:h="16838" w:orient="portrait"/>
          <w:cols w:equalWidth="0" w:num="1">
            <w:col w:w="11400"/>
          </w:cols>
          <w:pgMar w:left="240" w:top="557" w:right="259" w:bottom="1440" w:gutter="0" w:footer="0" w:header="0"/>
        </w:sectPr>
      </w:pPr>
    </w:p>
    <w:bookmarkStart w:id="53" w:name="page54"/>
    <w:bookmarkEnd w:id="53"/>
    <w:p>
      <w:pPr>
        <w:ind w:left="340" w:right="120"/>
        <w:spacing w:after="0" w:line="329" w:lineRule="auto"/>
        <w:rPr>
          <w:sz w:val="20"/>
          <w:szCs w:val="20"/>
          <w:color w:val="auto"/>
        </w:rPr>
      </w:pPr>
      <w:r>
        <w:rPr>
          <w:rFonts w:ascii="Arial" w:cs="Arial" w:eastAsia="Arial" w:hAnsi="Arial"/>
          <w:sz w:val="17"/>
          <w:szCs w:val="17"/>
          <w:color w:val="auto"/>
        </w:rPr>
        <w:t>determine the number of shares earned under an award, but vesting does not accelerate immediately upon a change in control. Rather, the performance-adjusted awards will convert to time-based restricted stock units that continue to vest with the new company. Shares will pay out upon the earlier of the completion of the original award period; upon a covered termination; or if the successor entity does not assume, substitute, or otherwise replace the awards.</w:t>
      </w:r>
    </w:p>
    <w:p>
      <w:pPr>
        <w:spacing w:after="0" w:line="128" w:lineRule="exact"/>
        <w:rPr>
          <w:sz w:val="20"/>
          <w:szCs w:val="20"/>
          <w:color w:val="auto"/>
        </w:rPr>
      </w:pPr>
    </w:p>
    <w:p>
      <w:pPr>
        <w:ind w:left="340" w:hanging="170"/>
        <w:spacing w:after="0"/>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00ABE8"/>
        </w:rPr>
        <w:t xml:space="preserve">Covered terminations: </w:t>
      </w:r>
      <w:r>
        <w:rPr>
          <w:rFonts w:ascii="Arial" w:cs="Arial" w:eastAsia="Arial" w:hAnsi="Arial"/>
          <w:sz w:val="17"/>
          <w:szCs w:val="17"/>
          <w:color w:val="000000"/>
        </w:rPr>
        <w:t>Employees are eligible for payments if, within two years of the change in control, their employment is terminated</w:t>
      </w:r>
    </w:p>
    <w:p>
      <w:pPr>
        <w:spacing w:after="0" w:line="31" w:lineRule="exact"/>
        <w:rPr>
          <w:rFonts w:ascii="Arial" w:cs="Arial" w:eastAsia="Arial" w:hAnsi="Arial"/>
          <w:sz w:val="17"/>
          <w:szCs w:val="17"/>
          <w:color w:val="auto"/>
        </w:rPr>
      </w:pPr>
    </w:p>
    <w:p>
      <w:pPr>
        <w:ind w:left="340" w:right="180" w:hanging="8"/>
        <w:spacing w:after="0" w:line="265" w:lineRule="auto"/>
        <w:tabs>
          <w:tab w:leader="none" w:pos="539" w:val="left"/>
        </w:tabs>
        <w:numPr>
          <w:ilvl w:val="1"/>
          <w:numId w:val="65"/>
        </w:numPr>
        <w:rPr>
          <w:rFonts w:ascii="Arial" w:cs="Arial" w:eastAsia="Arial" w:hAnsi="Arial"/>
          <w:sz w:val="17"/>
          <w:szCs w:val="17"/>
          <w:color w:val="auto"/>
        </w:rPr>
      </w:pPr>
      <w:r>
        <w:rPr>
          <w:rFonts w:ascii="Arial" w:cs="Arial" w:eastAsia="Arial" w:hAnsi="Arial"/>
          <w:sz w:val="17"/>
          <w:szCs w:val="17"/>
          <w:color w:val="auto"/>
        </w:rPr>
        <w:t>without cause by the company or (ii) for good reason by the employee, each as is defined in the plan. See “Executive Compensation - Payments Upon Termination or Change in Control” for a more detailed discussion, including a discussion of what constitutes a change in control.</w:t>
      </w:r>
    </w:p>
    <w:p>
      <w:pPr>
        <w:spacing w:after="0" w:line="152" w:lineRule="exact"/>
        <w:rPr>
          <w:rFonts w:ascii="Arial" w:cs="Arial" w:eastAsia="Arial" w:hAnsi="Arial"/>
          <w:sz w:val="17"/>
          <w:szCs w:val="17"/>
          <w:color w:val="auto"/>
        </w:rPr>
      </w:pPr>
    </w:p>
    <w:p>
      <w:pPr>
        <w:ind w:left="340" w:right="520" w:hanging="170"/>
        <w:spacing w:after="0" w:line="283" w:lineRule="auto"/>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00ABE8"/>
        </w:rPr>
        <w:t xml:space="preserve">Employees who suffer a covered termination receive up to two years of pay and 18 months of benefits protection: </w:t>
      </w:r>
      <w:r>
        <w:rPr>
          <w:rFonts w:ascii="Arial" w:cs="Arial" w:eastAsia="Arial" w:hAnsi="Arial"/>
          <w:sz w:val="17"/>
          <w:szCs w:val="17"/>
          <w:color w:val="000000"/>
        </w:rPr>
        <w:t>These provisions</w:t>
      </w:r>
      <w:r>
        <w:rPr>
          <w:rFonts w:ascii="Arial" w:cs="Arial" w:eastAsia="Arial" w:hAnsi="Arial"/>
          <w:sz w:val="17"/>
          <w:szCs w:val="17"/>
          <w:b w:val="1"/>
          <w:bCs w:val="1"/>
          <w:color w:val="00ABE8"/>
        </w:rPr>
        <w:t xml:space="preserve"> </w:t>
      </w:r>
      <w:r>
        <w:rPr>
          <w:rFonts w:ascii="Arial" w:cs="Arial" w:eastAsia="Arial" w:hAnsi="Arial"/>
          <w:sz w:val="17"/>
          <w:szCs w:val="17"/>
          <w:color w:val="000000"/>
        </w:rPr>
        <w:t>ensure employees a reasonable period of protection of their income and core employee benefits.</w:t>
      </w:r>
    </w:p>
    <w:p>
      <w:pPr>
        <w:ind w:left="980" w:right="440" w:hanging="162"/>
        <w:spacing w:after="0" w:line="262" w:lineRule="auto"/>
        <w:tabs>
          <w:tab w:leader="none" w:pos="980" w:val="left"/>
        </w:tabs>
        <w:numPr>
          <w:ilvl w:val="2"/>
          <w:numId w:val="6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Severance payment. </w:t>
      </w:r>
      <w:r>
        <w:rPr>
          <w:rFonts w:ascii="Arial" w:cs="Arial" w:eastAsia="Arial" w:hAnsi="Arial"/>
          <w:sz w:val="17"/>
          <w:szCs w:val="17"/>
          <w:color w:val="auto"/>
        </w:rPr>
        <w:t>Eligible terminated employees would receive a severance payment ranging from six months’ to two years’ base</w:t>
      </w:r>
      <w:r>
        <w:rPr>
          <w:rFonts w:ascii="Arial" w:cs="Arial" w:eastAsia="Arial" w:hAnsi="Arial"/>
          <w:sz w:val="17"/>
          <w:szCs w:val="17"/>
          <w:i w:val="1"/>
          <w:iCs w:val="1"/>
          <w:color w:val="auto"/>
        </w:rPr>
        <w:t xml:space="preserve"> </w:t>
      </w:r>
      <w:r>
        <w:rPr>
          <w:rFonts w:ascii="Arial" w:cs="Arial" w:eastAsia="Arial" w:hAnsi="Arial"/>
          <w:sz w:val="17"/>
          <w:szCs w:val="17"/>
          <w:color w:val="auto"/>
        </w:rPr>
        <w:t>salary. Executives are all eligible for two years’ base salary plus two times the then-current year’s target bonus.</w:t>
      </w:r>
    </w:p>
    <w:p>
      <w:pPr>
        <w:jc w:val="both"/>
        <w:ind w:left="980" w:right="380" w:hanging="162"/>
        <w:spacing w:after="0" w:line="256" w:lineRule="auto"/>
        <w:tabs>
          <w:tab w:leader="none" w:pos="980" w:val="left"/>
        </w:tabs>
        <w:numPr>
          <w:ilvl w:val="2"/>
          <w:numId w:val="6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Benefit continuation. </w:t>
      </w:r>
      <w:r>
        <w:rPr>
          <w:rFonts w:ascii="Arial" w:cs="Arial" w:eastAsia="Arial" w:hAnsi="Arial"/>
          <w:sz w:val="17"/>
          <w:szCs w:val="17"/>
          <w:color w:val="auto"/>
        </w:rPr>
        <w:t>Basic employee benefits such as health and life insurance would continue for 18 months following termination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unless the individual becomes eligible for coverage with a new employer. All employees would receive an additional two years of both age and years-of-service credit for purposes of determining eligibility for retiree medical and dental benefits.</w:t>
      </w:r>
    </w:p>
    <w:p>
      <w:pPr>
        <w:spacing w:after="0" w:line="160" w:lineRule="exact"/>
        <w:rPr>
          <w:rFonts w:ascii="Arial" w:cs="Arial" w:eastAsia="Arial" w:hAnsi="Arial"/>
          <w:sz w:val="17"/>
          <w:szCs w:val="17"/>
          <w:i w:val="1"/>
          <w:iCs w:val="1"/>
          <w:color w:val="auto"/>
        </w:rPr>
      </w:pPr>
    </w:p>
    <w:p>
      <w:pPr>
        <w:ind w:left="340" w:hanging="170"/>
        <w:spacing w:after="0"/>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00ABE8"/>
        </w:rPr>
        <w:t xml:space="preserve">Accelerated vesting of equity awards: </w:t>
      </w:r>
      <w:r>
        <w:rPr>
          <w:rFonts w:ascii="Arial" w:cs="Arial" w:eastAsia="Arial" w:hAnsi="Arial"/>
          <w:sz w:val="17"/>
          <w:szCs w:val="17"/>
          <w:color w:val="000000"/>
        </w:rPr>
        <w:t>Any unvested equity awards would vest at the time of a covered termination.</w:t>
      </w:r>
    </w:p>
    <w:p>
      <w:pPr>
        <w:spacing w:after="0" w:line="209" w:lineRule="exact"/>
        <w:rPr>
          <w:rFonts w:ascii="Arial" w:cs="Arial" w:eastAsia="Arial" w:hAnsi="Arial"/>
          <w:sz w:val="17"/>
          <w:szCs w:val="17"/>
          <w:color w:val="auto"/>
        </w:rPr>
      </w:pPr>
    </w:p>
    <w:p>
      <w:pPr>
        <w:ind w:left="340" w:hanging="170"/>
        <w:spacing w:after="0" w:line="263" w:lineRule="auto"/>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00ABE8"/>
        </w:rPr>
        <w:t xml:space="preserve">Excise tax: </w:t>
      </w:r>
      <w:r>
        <w:rPr>
          <w:rFonts w:ascii="Arial" w:cs="Arial" w:eastAsia="Arial" w:hAnsi="Arial"/>
          <w:sz w:val="17"/>
          <w:szCs w:val="17"/>
          <w:color w:val="000000"/>
        </w:rPr>
        <w:t>In some circumstances, the payments or other benefits received by the employee in connection with a change in control could exceed</w:t>
      </w:r>
      <w:r>
        <w:rPr>
          <w:rFonts w:ascii="Arial" w:cs="Arial" w:eastAsia="Arial" w:hAnsi="Arial"/>
          <w:sz w:val="17"/>
          <w:szCs w:val="17"/>
          <w:b w:val="1"/>
          <w:bCs w:val="1"/>
          <w:color w:val="00ABE8"/>
        </w:rPr>
        <w:t xml:space="preserve"> </w:t>
      </w:r>
      <w:r>
        <w:rPr>
          <w:rFonts w:ascii="Arial" w:cs="Arial" w:eastAsia="Arial" w:hAnsi="Arial"/>
          <w:sz w:val="17"/>
          <w:szCs w:val="17"/>
          <w:color w:val="000000"/>
        </w:rPr>
        <w:t>limits established under Section 280G of the Internal Revenue Code. The employee would then be subject to an excise tax on top of normal federal income tax. The company does not reimburse employees for these taxes. However, the amount of change in control-related benefits will be reduced to the 280G limit if the effect would be to deliver a greater after-tax benefit than the employee would receive with an unreduced benefit.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Elanco has adopted a similar severance plan that covers Mr. Simmons.</w:t>
      </w:r>
    </w:p>
    <w:p>
      <w:pPr>
        <w:spacing w:after="0" w:line="210"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Share Ownership and Retention Guidelines; Prohibition on Hedging and Pledging Shares</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Share ownership and retention guidelines help to foster a focus on long-term growth. The CEO is required to own company stock valued at least six times annual base salary. During 2018, the holding requirement for other executive officers ranged from two to four times annual base salary depending on the position. Until the required number of shares is reached, an executive officer must retain 50 percent of shares net of taxes received from new equity payouts. Our executives have a long history of maintaining significant levels of company stock. As of December 31, 2018, Mr. Ricks held shares valued at approximately 11 times his base salary. The following table shows the share requirements for the named executive officers:</w:t>
      </w:r>
    </w:p>
    <w:p>
      <w:pPr>
        <w:spacing w:after="0" w:line="330" w:lineRule="exact"/>
        <w:rPr>
          <w:sz w:val="20"/>
          <w:szCs w:val="20"/>
          <w:color w:val="auto"/>
        </w:rPr>
      </w:pPr>
    </w:p>
    <w:tbl>
      <w:tblPr>
        <w:tblLayout w:type="fixed"/>
        <w:tblInd w:w="3020" w:type="dxa"/>
        <w:tblCellMar>
          <w:top w:w="0" w:type="dxa"/>
          <w:left w:w="0" w:type="dxa"/>
          <w:bottom w:w="0" w:type="dxa"/>
          <w:right w:w="0" w:type="dxa"/>
        </w:tblCellMar>
      </w:tblPr>
      <w:tr>
        <w:trPr>
          <w:trHeight w:val="216"/>
        </w:trPr>
        <w:tc>
          <w:tcPr>
            <w:tcW w:w="150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Name</w:t>
            </w:r>
          </w:p>
        </w:tc>
        <w:tc>
          <w:tcPr>
            <w:tcW w:w="2120" w:type="dxa"/>
            <w:vAlign w:val="bottom"/>
            <w:shd w:val="clear" w:color="auto" w:fill="C8C9CB"/>
          </w:tcPr>
          <w:p>
            <w:pPr>
              <w:jc w:val="center"/>
              <w:ind w:left="208"/>
              <w:spacing w:after="0"/>
              <w:rPr>
                <w:sz w:val="20"/>
                <w:szCs w:val="20"/>
                <w:color w:val="auto"/>
              </w:rPr>
            </w:pPr>
            <w:r>
              <w:rPr>
                <w:rFonts w:ascii="Arial" w:cs="Arial" w:eastAsia="Arial" w:hAnsi="Arial"/>
                <w:sz w:val="14"/>
                <w:szCs w:val="14"/>
                <w:b w:val="1"/>
                <w:bCs w:val="1"/>
                <w:color w:val="00ABE8"/>
              </w:rPr>
              <w:t>Share Requirement</w:t>
            </w:r>
          </w:p>
        </w:tc>
        <w:tc>
          <w:tcPr>
            <w:tcW w:w="17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Meets Requirement</w:t>
            </w:r>
          </w:p>
        </w:tc>
      </w:tr>
      <w:tr>
        <w:trPr>
          <w:trHeight w:val="208"/>
        </w:trPr>
        <w:tc>
          <w:tcPr>
            <w:tcW w:w="1500" w:type="dxa"/>
            <w:vAlign w:val="bottom"/>
          </w:tcPr>
          <w:p>
            <w:pPr>
              <w:ind w:left="20"/>
              <w:spacing w:after="0"/>
              <w:rPr>
                <w:sz w:val="20"/>
                <w:szCs w:val="20"/>
                <w:color w:val="auto"/>
              </w:rPr>
            </w:pPr>
            <w:r>
              <w:rPr>
                <w:rFonts w:ascii="Arial" w:cs="Arial" w:eastAsia="Arial" w:hAnsi="Arial"/>
                <w:sz w:val="14"/>
                <w:szCs w:val="14"/>
                <w:color w:val="auto"/>
              </w:rPr>
              <w:t>Mr. Ricks</w:t>
            </w:r>
          </w:p>
        </w:tc>
        <w:tc>
          <w:tcPr>
            <w:tcW w:w="2120" w:type="dxa"/>
            <w:vAlign w:val="bottom"/>
          </w:tcPr>
          <w:p>
            <w:pPr>
              <w:jc w:val="center"/>
              <w:ind w:left="188"/>
              <w:spacing w:after="0"/>
              <w:rPr>
                <w:sz w:val="20"/>
                <w:szCs w:val="20"/>
                <w:color w:val="auto"/>
              </w:rPr>
            </w:pPr>
            <w:r>
              <w:rPr>
                <w:rFonts w:ascii="Arial" w:cs="Arial" w:eastAsia="Arial" w:hAnsi="Arial"/>
                <w:sz w:val="14"/>
                <w:szCs w:val="14"/>
                <w:color w:val="auto"/>
              </w:rPr>
              <w:t>six times base salary</w:t>
            </w:r>
          </w:p>
        </w:tc>
        <w:tc>
          <w:tcPr>
            <w:tcW w:w="1760" w:type="dxa"/>
            <w:vAlign w:val="bottom"/>
          </w:tcPr>
          <w:p>
            <w:pPr>
              <w:jc w:val="center"/>
              <w:spacing w:after="0"/>
              <w:rPr>
                <w:sz w:val="20"/>
                <w:szCs w:val="20"/>
                <w:color w:val="auto"/>
              </w:rPr>
            </w:pPr>
            <w:r>
              <w:rPr>
                <w:rFonts w:ascii="Arial" w:cs="Arial" w:eastAsia="Arial" w:hAnsi="Arial"/>
                <w:sz w:val="14"/>
                <w:szCs w:val="14"/>
                <w:color w:val="auto"/>
                <w:w w:val="90"/>
              </w:rPr>
              <w:t>Yes</w:t>
            </w:r>
          </w:p>
        </w:tc>
      </w:tr>
      <w:tr>
        <w:trPr>
          <w:trHeight w:val="216"/>
        </w:trPr>
        <w:tc>
          <w:tcPr>
            <w:tcW w:w="1500" w:type="dxa"/>
            <w:vAlign w:val="bottom"/>
          </w:tcPr>
          <w:p>
            <w:pPr>
              <w:ind w:left="20"/>
              <w:spacing w:after="0"/>
              <w:rPr>
                <w:sz w:val="20"/>
                <w:szCs w:val="20"/>
                <w:color w:val="auto"/>
              </w:rPr>
            </w:pPr>
            <w:r>
              <w:rPr>
                <w:rFonts w:ascii="Arial" w:cs="Arial" w:eastAsia="Arial" w:hAnsi="Arial"/>
                <w:sz w:val="14"/>
                <w:szCs w:val="14"/>
                <w:color w:val="auto"/>
              </w:rPr>
              <w:t>Mr. Smiley*</w:t>
            </w:r>
          </w:p>
        </w:tc>
        <w:tc>
          <w:tcPr>
            <w:tcW w:w="2120" w:type="dxa"/>
            <w:vAlign w:val="bottom"/>
          </w:tcPr>
          <w:p>
            <w:pPr>
              <w:jc w:val="center"/>
              <w:ind w:left="208"/>
              <w:spacing w:after="0"/>
              <w:rPr>
                <w:sz w:val="20"/>
                <w:szCs w:val="20"/>
                <w:color w:val="auto"/>
              </w:rPr>
            </w:pPr>
            <w:r>
              <w:rPr>
                <w:rFonts w:ascii="Arial" w:cs="Arial" w:eastAsia="Arial" w:hAnsi="Arial"/>
                <w:sz w:val="14"/>
                <w:szCs w:val="14"/>
                <w:color w:val="auto"/>
              </w:rPr>
              <w:t>four times base salary</w:t>
            </w:r>
          </w:p>
        </w:tc>
        <w:tc>
          <w:tcPr>
            <w:tcW w:w="1760" w:type="dxa"/>
            <w:vAlign w:val="bottom"/>
          </w:tcPr>
          <w:p>
            <w:pPr>
              <w:jc w:val="center"/>
              <w:spacing w:after="0"/>
              <w:rPr>
                <w:sz w:val="20"/>
                <w:szCs w:val="20"/>
                <w:color w:val="auto"/>
              </w:rPr>
            </w:pPr>
            <w:r>
              <w:rPr>
                <w:rFonts w:ascii="Arial" w:cs="Arial" w:eastAsia="Arial" w:hAnsi="Arial"/>
                <w:sz w:val="14"/>
                <w:szCs w:val="14"/>
                <w:color w:val="auto"/>
              </w:rPr>
              <w:t>No</w:t>
            </w:r>
          </w:p>
        </w:tc>
      </w:tr>
      <w:tr>
        <w:trPr>
          <w:trHeight w:val="216"/>
        </w:trPr>
        <w:tc>
          <w:tcPr>
            <w:tcW w:w="1500" w:type="dxa"/>
            <w:vAlign w:val="bottom"/>
          </w:tcPr>
          <w:p>
            <w:pPr>
              <w:ind w:left="20"/>
              <w:spacing w:after="0"/>
              <w:rPr>
                <w:sz w:val="20"/>
                <w:szCs w:val="20"/>
                <w:color w:val="auto"/>
              </w:rPr>
            </w:pPr>
            <w:r>
              <w:rPr>
                <w:rFonts w:ascii="Arial" w:cs="Arial" w:eastAsia="Arial" w:hAnsi="Arial"/>
                <w:sz w:val="14"/>
                <w:szCs w:val="14"/>
                <w:color w:val="auto"/>
              </w:rPr>
              <w:t>Mr. Harrington</w:t>
            </w:r>
          </w:p>
        </w:tc>
        <w:tc>
          <w:tcPr>
            <w:tcW w:w="2120" w:type="dxa"/>
            <w:vAlign w:val="bottom"/>
          </w:tcPr>
          <w:p>
            <w:pPr>
              <w:jc w:val="center"/>
              <w:ind w:left="208"/>
              <w:spacing w:after="0"/>
              <w:rPr>
                <w:sz w:val="20"/>
                <w:szCs w:val="20"/>
                <w:color w:val="auto"/>
              </w:rPr>
            </w:pPr>
            <w:r>
              <w:rPr>
                <w:rFonts w:ascii="Arial" w:cs="Arial" w:eastAsia="Arial" w:hAnsi="Arial"/>
                <w:sz w:val="14"/>
                <w:szCs w:val="14"/>
                <w:color w:val="auto"/>
              </w:rPr>
              <w:t>four times base salary</w:t>
            </w:r>
          </w:p>
        </w:tc>
        <w:tc>
          <w:tcPr>
            <w:tcW w:w="1760" w:type="dxa"/>
            <w:vAlign w:val="bottom"/>
          </w:tcPr>
          <w:p>
            <w:pPr>
              <w:jc w:val="center"/>
              <w:spacing w:after="0"/>
              <w:rPr>
                <w:sz w:val="20"/>
                <w:szCs w:val="20"/>
                <w:color w:val="auto"/>
              </w:rPr>
            </w:pPr>
            <w:r>
              <w:rPr>
                <w:rFonts w:ascii="Arial" w:cs="Arial" w:eastAsia="Arial" w:hAnsi="Arial"/>
                <w:sz w:val="14"/>
                <w:szCs w:val="14"/>
                <w:color w:val="auto"/>
                <w:w w:val="90"/>
              </w:rPr>
              <w:t>Yes</w:t>
            </w:r>
          </w:p>
        </w:tc>
      </w:tr>
      <w:tr>
        <w:trPr>
          <w:trHeight w:val="216"/>
        </w:trPr>
        <w:tc>
          <w:tcPr>
            <w:tcW w:w="1500" w:type="dxa"/>
            <w:vAlign w:val="bottom"/>
          </w:tcPr>
          <w:p>
            <w:pPr>
              <w:ind w:left="20"/>
              <w:spacing w:after="0"/>
              <w:rPr>
                <w:sz w:val="20"/>
                <w:szCs w:val="20"/>
                <w:color w:val="auto"/>
              </w:rPr>
            </w:pPr>
            <w:r>
              <w:rPr>
                <w:rFonts w:ascii="Arial" w:cs="Arial" w:eastAsia="Arial" w:hAnsi="Arial"/>
                <w:sz w:val="14"/>
                <w:szCs w:val="14"/>
                <w:color w:val="auto"/>
              </w:rPr>
              <w:t>Mr. Conterno</w:t>
            </w:r>
          </w:p>
        </w:tc>
        <w:tc>
          <w:tcPr>
            <w:tcW w:w="2120" w:type="dxa"/>
            <w:vAlign w:val="bottom"/>
          </w:tcPr>
          <w:p>
            <w:pPr>
              <w:jc w:val="center"/>
              <w:ind w:left="208"/>
              <w:spacing w:after="0"/>
              <w:rPr>
                <w:sz w:val="20"/>
                <w:szCs w:val="20"/>
                <w:color w:val="auto"/>
              </w:rPr>
            </w:pPr>
            <w:r>
              <w:rPr>
                <w:rFonts w:ascii="Arial" w:cs="Arial" w:eastAsia="Arial" w:hAnsi="Arial"/>
                <w:sz w:val="14"/>
                <w:szCs w:val="14"/>
                <w:color w:val="auto"/>
              </w:rPr>
              <w:t>four times base salary</w:t>
            </w:r>
          </w:p>
        </w:tc>
        <w:tc>
          <w:tcPr>
            <w:tcW w:w="1760" w:type="dxa"/>
            <w:vAlign w:val="bottom"/>
          </w:tcPr>
          <w:p>
            <w:pPr>
              <w:jc w:val="center"/>
              <w:spacing w:after="0"/>
              <w:rPr>
                <w:sz w:val="20"/>
                <w:szCs w:val="20"/>
                <w:color w:val="auto"/>
              </w:rPr>
            </w:pPr>
            <w:r>
              <w:rPr>
                <w:rFonts w:ascii="Arial" w:cs="Arial" w:eastAsia="Arial" w:hAnsi="Arial"/>
                <w:sz w:val="14"/>
                <w:szCs w:val="14"/>
                <w:color w:val="auto"/>
                <w:w w:val="90"/>
              </w:rPr>
              <w:t>Yes</w:t>
            </w:r>
          </w:p>
        </w:tc>
      </w:tr>
      <w:tr>
        <w:trPr>
          <w:trHeight w:val="216"/>
        </w:trPr>
        <w:tc>
          <w:tcPr>
            <w:tcW w:w="150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2120" w:type="dxa"/>
            <w:vAlign w:val="bottom"/>
          </w:tcPr>
          <w:p>
            <w:pPr>
              <w:jc w:val="center"/>
              <w:ind w:left="208"/>
              <w:spacing w:after="0"/>
              <w:rPr>
                <w:sz w:val="20"/>
                <w:szCs w:val="20"/>
                <w:color w:val="auto"/>
              </w:rPr>
            </w:pPr>
            <w:r>
              <w:rPr>
                <w:rFonts w:ascii="Arial" w:cs="Arial" w:eastAsia="Arial" w:hAnsi="Arial"/>
                <w:sz w:val="14"/>
                <w:szCs w:val="14"/>
                <w:color w:val="auto"/>
              </w:rPr>
              <w:t>four times base salary</w:t>
            </w:r>
          </w:p>
        </w:tc>
        <w:tc>
          <w:tcPr>
            <w:tcW w:w="1760" w:type="dxa"/>
            <w:vAlign w:val="bottom"/>
          </w:tcPr>
          <w:p>
            <w:pPr>
              <w:jc w:val="center"/>
              <w:spacing w:after="0"/>
              <w:rPr>
                <w:sz w:val="20"/>
                <w:szCs w:val="20"/>
                <w:color w:val="auto"/>
              </w:rPr>
            </w:pPr>
            <w:r>
              <w:rPr>
                <w:rFonts w:ascii="Arial" w:cs="Arial" w:eastAsia="Arial" w:hAnsi="Arial"/>
                <w:sz w:val="14"/>
                <w:szCs w:val="14"/>
                <w:color w:val="auto"/>
                <w:w w:val="90"/>
              </w:rPr>
              <w:t>Yes</w:t>
            </w:r>
          </w:p>
        </w:tc>
      </w:tr>
      <w:tr>
        <w:trPr>
          <w:trHeight w:val="216"/>
        </w:trPr>
        <w:tc>
          <w:tcPr>
            <w:tcW w:w="1500" w:type="dxa"/>
            <w:vAlign w:val="bottom"/>
          </w:tcPr>
          <w:p>
            <w:pPr>
              <w:ind w:left="20"/>
              <w:spacing w:after="0"/>
              <w:rPr>
                <w:sz w:val="20"/>
                <w:szCs w:val="20"/>
                <w:color w:val="auto"/>
              </w:rPr>
            </w:pPr>
            <w:r>
              <w:rPr>
                <w:rFonts w:ascii="Arial" w:cs="Arial" w:eastAsia="Arial" w:hAnsi="Arial"/>
                <w:sz w:val="14"/>
                <w:szCs w:val="14"/>
                <w:color w:val="auto"/>
              </w:rPr>
              <w:t>Mr. Simmons</w:t>
            </w:r>
          </w:p>
        </w:tc>
        <w:tc>
          <w:tcPr>
            <w:tcW w:w="2120" w:type="dxa"/>
            <w:vAlign w:val="bottom"/>
          </w:tcPr>
          <w:p>
            <w:pPr>
              <w:jc w:val="center"/>
              <w:ind w:left="208"/>
              <w:spacing w:after="0"/>
              <w:rPr>
                <w:sz w:val="20"/>
                <w:szCs w:val="20"/>
                <w:color w:val="auto"/>
              </w:rPr>
            </w:pPr>
            <w:r>
              <w:rPr>
                <w:rFonts w:ascii="Arial" w:cs="Arial" w:eastAsia="Arial" w:hAnsi="Arial"/>
                <w:sz w:val="14"/>
                <w:szCs w:val="14"/>
                <w:color w:val="auto"/>
              </w:rPr>
              <w:t>four times base salary</w:t>
            </w:r>
          </w:p>
        </w:tc>
        <w:tc>
          <w:tcPr>
            <w:tcW w:w="1760" w:type="dxa"/>
            <w:vAlign w:val="bottom"/>
          </w:tcPr>
          <w:p>
            <w:pPr>
              <w:jc w:val="center"/>
              <w:spacing w:after="0"/>
              <w:rPr>
                <w:sz w:val="20"/>
                <w:szCs w:val="20"/>
                <w:color w:val="auto"/>
              </w:rPr>
            </w:pPr>
            <w:r>
              <w:rPr>
                <w:rFonts w:ascii="Arial" w:cs="Arial" w:eastAsia="Arial" w:hAnsi="Arial"/>
                <w:sz w:val="14"/>
                <w:szCs w:val="14"/>
                <w:color w:val="auto"/>
                <w:w w:val="90"/>
              </w:rPr>
              <w:t>Yes</w:t>
            </w:r>
          </w:p>
        </w:tc>
      </w:tr>
    </w:tbl>
    <w:p>
      <w:pPr>
        <w:spacing w:after="0" w:line="197" w:lineRule="exact"/>
        <w:rPr>
          <w:sz w:val="20"/>
          <w:szCs w:val="20"/>
          <w:color w:val="auto"/>
        </w:rPr>
      </w:pPr>
    </w:p>
    <w:p>
      <w:pPr>
        <w:ind w:left="2040" w:right="4320" w:hanging="87"/>
        <w:spacing w:after="0" w:line="291" w:lineRule="auto"/>
        <w:tabs>
          <w:tab w:leader="none" w:pos="2055"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Smiley was compliant with the annual share retention guideline as he builds toward his ownership requirement.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P50</w:t>
      </w:r>
    </w:p>
    <w:p>
      <w:pPr>
        <w:sectPr>
          <w:pgSz w:w="11900" w:h="16838" w:orient="portrait"/>
          <w:cols w:equalWidth="0" w:num="1">
            <w:col w:w="11420"/>
          </w:cols>
          <w:pgMar w:left="240" w:top="584" w:right="239" w:bottom="1440" w:gutter="0" w:footer="0" w:header="0"/>
        </w:sectPr>
      </w:pPr>
    </w:p>
    <w:bookmarkStart w:id="54" w:name="page55"/>
    <w:bookmarkEnd w:id="54"/>
    <w:p>
      <w:pPr>
        <w:jc w:val="both"/>
        <w:ind w:right="220"/>
        <w:spacing w:after="0" w:line="270" w:lineRule="auto"/>
        <w:rPr>
          <w:sz w:val="20"/>
          <w:szCs w:val="20"/>
          <w:color w:val="auto"/>
        </w:rPr>
      </w:pPr>
      <w:r>
        <w:rPr>
          <w:rFonts w:ascii="Arial" w:cs="Arial" w:eastAsia="Arial" w:hAnsi="Arial"/>
          <w:sz w:val="17"/>
          <w:szCs w:val="17"/>
          <w:color w:val="auto"/>
        </w:rPr>
        <w:t>Executive officers are also required to hold all shares received from equity program payouts, net of acquisition costs and taxes, for at least one year, even once share ownership requirements have been met. For performance awards awarded to executive officers, this holding requirement is met by the 13-month service-vesting period that applies after the end of the performance period.</w:t>
      </w:r>
    </w:p>
    <w:p>
      <w:pPr>
        <w:spacing w:after="0" w:line="15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Non-employee directors and employees, including executive officers, are not permitted to hedge their economic exposures to company stock through short sales or derivative transactions. Non-employee directors and all members of senior management (approximately 150 employees in 2018) are prohibited from pledging any company stock (i.e., using company stock as collateral for a loan or trading shares on margin).</w:t>
      </w:r>
    </w:p>
    <w:p>
      <w:pPr>
        <w:spacing w:after="0" w:line="151"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Executive Compensation Recovery Policy</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All incentive awards are subject to forfeiture upon termination of employment prior to the end of the performance or vesting period or for disciplinary reasons. In addition, the Compensation Committee has adopted an executive compensation recovery policy that gives the Compensation Committee broad discretion to claw back incentive payouts from any member of senior management whose misconduct results in a material violation of law or company policy that causes significant harm to the company or who fails in his or her supervisory responsibility to prevent such misconduct by others.</w:t>
      </w:r>
    </w:p>
    <w:p>
      <w:pPr>
        <w:spacing w:after="0" w:line="1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Additionally, the company can recover all or a portion of any incentive compensation from an executive officer in the case of materially inaccurate financial statements or material errors in the performance calculation, whether or not such inaccuracies or errors result in a restatement and whether or not the executive officer has engaged in wrongful conduct.</w:t>
      </w:r>
    </w:p>
    <w:p>
      <w:pPr>
        <w:spacing w:after="0" w:line="151"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The recovery policy covers any incentive compensation awarded or paid to a member of senior management during the last three years. Subsequent changes in status, including retirement or termination of employment, do not affect the company’s rights to recover compensation under the policy.</w:t>
      </w:r>
    </w:p>
    <w:p>
      <w:pPr>
        <w:spacing w:after="0" w:line="133"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Looking Ahead to 2019 Compensation</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Compensation Committee reviewed our peer group in 2018 to ensure it continues to include the companies that compete with us, operate in a similar business model, and employ people with the unique skills required to operate an established biopharmaceutical company. The Compensation Committee selected companies whose median market cap and revenues are broadly similar to Lilly. During this review, the Compensation Committee chose to add Allergan, Novo Nordisk and Takeda while removing Baxter and Medtronic.</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P51</w:t>
      </w:r>
    </w:p>
    <w:p>
      <w:pPr>
        <w:sectPr>
          <w:pgSz w:w="11900" w:h="16838" w:orient="portrait"/>
          <w:cols w:equalWidth="0" w:num="1">
            <w:col w:w="11400"/>
          </w:cols>
          <w:pgMar w:left="240" w:top="557" w:right="259" w:bottom="1440" w:gutter="0" w:footer="0" w:header="0"/>
        </w:sectPr>
      </w:pPr>
    </w:p>
    <w:bookmarkStart w:id="55" w:name="page56"/>
    <w:bookmarkEnd w:id="55"/>
    <w:p>
      <w:pPr>
        <w:spacing w:after="0"/>
        <w:rPr>
          <w:sz w:val="20"/>
          <w:szCs w:val="20"/>
          <w:color w:val="auto"/>
        </w:rPr>
      </w:pPr>
      <w:r>
        <w:rPr>
          <w:rFonts w:ascii="Arial" w:cs="Arial" w:eastAsia="Arial" w:hAnsi="Arial"/>
          <w:sz w:val="27"/>
          <w:szCs w:val="27"/>
          <w:b w:val="1"/>
          <w:bCs w:val="1"/>
          <w:color w:val="EF3729"/>
        </w:rPr>
        <w:t>Executive Compensation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152"/>
        </w:trPr>
        <w:tc>
          <w:tcPr>
            <w:tcW w:w="1440" w:type="dxa"/>
            <w:vAlign w:val="bottom"/>
            <w:shd w:val="clear" w:color="auto" w:fill="C8C9CB"/>
          </w:tcPr>
          <w:p>
            <w:pPr>
              <w:spacing w:after="0"/>
              <w:rPr>
                <w:sz w:val="13"/>
                <w:szCs w:val="13"/>
                <w:color w:val="auto"/>
              </w:rPr>
            </w:pPr>
          </w:p>
        </w:tc>
        <w:tc>
          <w:tcPr>
            <w:tcW w:w="440" w:type="dxa"/>
            <w:vAlign w:val="bottom"/>
            <w:shd w:val="clear" w:color="auto" w:fill="C8C9CB"/>
          </w:tcPr>
          <w:p>
            <w:pPr>
              <w:spacing w:after="0"/>
              <w:rPr>
                <w:sz w:val="13"/>
                <w:szCs w:val="13"/>
                <w:color w:val="auto"/>
              </w:rPr>
            </w:pPr>
          </w:p>
        </w:tc>
        <w:tc>
          <w:tcPr>
            <w:tcW w:w="740" w:type="dxa"/>
            <w:vAlign w:val="bottom"/>
            <w:shd w:val="clear" w:color="auto" w:fill="C8C9CB"/>
          </w:tcPr>
          <w:p>
            <w:pPr>
              <w:spacing w:after="0"/>
              <w:rPr>
                <w:sz w:val="13"/>
                <w:szCs w:val="13"/>
                <w:color w:val="auto"/>
              </w:rPr>
            </w:pPr>
          </w:p>
        </w:tc>
        <w:tc>
          <w:tcPr>
            <w:tcW w:w="460" w:type="dxa"/>
            <w:vAlign w:val="bottom"/>
            <w:shd w:val="clear" w:color="auto" w:fill="C8C9CB"/>
          </w:tcPr>
          <w:p>
            <w:pPr>
              <w:spacing w:after="0"/>
              <w:rPr>
                <w:sz w:val="13"/>
                <w:szCs w:val="13"/>
                <w:color w:val="auto"/>
              </w:rPr>
            </w:pPr>
          </w:p>
        </w:tc>
        <w:tc>
          <w:tcPr>
            <w:tcW w:w="900" w:type="dxa"/>
            <w:vAlign w:val="bottom"/>
            <w:vMerge w:val="restart"/>
            <w:shd w:val="clear" w:color="auto" w:fill="C8C9CB"/>
          </w:tcPr>
          <w:p>
            <w:pPr>
              <w:jc w:val="center"/>
              <w:ind w:right="57"/>
              <w:spacing w:after="0"/>
              <w:rPr>
                <w:sz w:val="20"/>
                <w:szCs w:val="20"/>
                <w:color w:val="auto"/>
              </w:rPr>
            </w:pPr>
            <w:r>
              <w:rPr>
                <w:rFonts w:ascii="Arial" w:cs="Arial" w:eastAsia="Arial" w:hAnsi="Arial"/>
                <w:sz w:val="13"/>
                <w:szCs w:val="13"/>
                <w:b w:val="1"/>
                <w:bCs w:val="1"/>
                <w:color w:val="00ABE8"/>
                <w:w w:val="95"/>
              </w:rPr>
              <w:t>Stock</w:t>
            </w:r>
          </w:p>
        </w:tc>
        <w:tc>
          <w:tcPr>
            <w:tcW w:w="720" w:type="dxa"/>
            <w:vAlign w:val="bottom"/>
            <w:shd w:val="clear" w:color="auto" w:fill="C8C9CB"/>
          </w:tcPr>
          <w:p>
            <w:pPr>
              <w:spacing w:after="0"/>
              <w:rPr>
                <w:sz w:val="13"/>
                <w:szCs w:val="13"/>
                <w:color w:val="auto"/>
              </w:rPr>
            </w:pPr>
          </w:p>
        </w:tc>
        <w:tc>
          <w:tcPr>
            <w:tcW w:w="96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5"/>
              </w:rPr>
              <w:t>Non-Equity</w:t>
            </w:r>
          </w:p>
        </w:tc>
        <w:tc>
          <w:tcPr>
            <w:tcW w:w="1040" w:type="dxa"/>
            <w:vAlign w:val="bottom"/>
            <w:shd w:val="clear" w:color="auto" w:fill="C8C9CB"/>
          </w:tcPr>
          <w:p>
            <w:pPr>
              <w:spacing w:after="0"/>
              <w:rPr>
                <w:sz w:val="13"/>
                <w:szCs w:val="13"/>
                <w:color w:val="auto"/>
              </w:rPr>
            </w:pPr>
          </w:p>
        </w:tc>
        <w:tc>
          <w:tcPr>
            <w:tcW w:w="980" w:type="dxa"/>
            <w:vAlign w:val="bottom"/>
            <w:shd w:val="clear" w:color="auto" w:fill="C8C9CB"/>
          </w:tcPr>
          <w:p>
            <w:pPr>
              <w:spacing w:after="0"/>
              <w:rPr>
                <w:sz w:val="13"/>
                <w:szCs w:val="13"/>
                <w:color w:val="auto"/>
              </w:rPr>
            </w:pPr>
          </w:p>
        </w:tc>
        <w:tc>
          <w:tcPr>
            <w:tcW w:w="980" w:type="dxa"/>
            <w:vAlign w:val="bottom"/>
            <w:shd w:val="clear" w:color="auto" w:fill="C8C9CB"/>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440" w:type="dxa"/>
            <w:vAlign w:val="bottom"/>
            <w:shd w:val="clear" w:color="auto" w:fill="C8C9CB"/>
          </w:tcPr>
          <w:p>
            <w:pPr>
              <w:spacing w:after="0"/>
              <w:rPr>
                <w:sz w:val="7"/>
                <w:szCs w:val="7"/>
                <w:color w:val="auto"/>
              </w:rPr>
            </w:pPr>
          </w:p>
        </w:tc>
        <w:tc>
          <w:tcPr>
            <w:tcW w:w="440" w:type="dxa"/>
            <w:vAlign w:val="bottom"/>
            <w:shd w:val="clear" w:color="auto" w:fill="C8C9CB"/>
          </w:tcPr>
          <w:p>
            <w:pPr>
              <w:spacing w:after="0"/>
              <w:rPr>
                <w:sz w:val="7"/>
                <w:szCs w:val="7"/>
                <w:color w:val="auto"/>
              </w:rPr>
            </w:pPr>
          </w:p>
        </w:tc>
        <w:tc>
          <w:tcPr>
            <w:tcW w:w="740" w:type="dxa"/>
            <w:vAlign w:val="bottom"/>
            <w:shd w:val="clear" w:color="auto" w:fill="C8C9CB"/>
          </w:tcPr>
          <w:p>
            <w:pPr>
              <w:spacing w:after="0"/>
              <w:rPr>
                <w:sz w:val="7"/>
                <w:szCs w:val="7"/>
                <w:color w:val="auto"/>
              </w:rPr>
            </w:pPr>
          </w:p>
        </w:tc>
        <w:tc>
          <w:tcPr>
            <w:tcW w:w="460" w:type="dxa"/>
            <w:vAlign w:val="bottom"/>
            <w:shd w:val="clear" w:color="auto" w:fill="C8C9CB"/>
          </w:tcPr>
          <w:p>
            <w:pPr>
              <w:spacing w:after="0"/>
              <w:rPr>
                <w:sz w:val="7"/>
                <w:szCs w:val="7"/>
                <w:color w:val="auto"/>
              </w:rPr>
            </w:pPr>
          </w:p>
        </w:tc>
        <w:tc>
          <w:tcPr>
            <w:tcW w:w="900" w:type="dxa"/>
            <w:vAlign w:val="bottom"/>
            <w:vMerge w:val="continue"/>
            <w:shd w:val="clear" w:color="auto" w:fill="C8C9CB"/>
          </w:tcPr>
          <w:p>
            <w:pPr>
              <w:spacing w:after="0"/>
              <w:rPr>
                <w:sz w:val="7"/>
                <w:szCs w:val="7"/>
                <w:color w:val="auto"/>
              </w:rPr>
            </w:pPr>
          </w:p>
        </w:tc>
        <w:tc>
          <w:tcPr>
            <w:tcW w:w="720" w:type="dxa"/>
            <w:vAlign w:val="bottom"/>
            <w:vMerge w:val="restart"/>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5"/>
              </w:rPr>
              <w:t>Option</w:t>
            </w:r>
          </w:p>
        </w:tc>
        <w:tc>
          <w:tcPr>
            <w:tcW w:w="960" w:type="dxa"/>
            <w:vAlign w:val="bottom"/>
            <w:vMerge w:val="restart"/>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8"/>
              </w:rPr>
              <w:t>Incentive Plan</w:t>
            </w:r>
          </w:p>
        </w:tc>
        <w:tc>
          <w:tcPr>
            <w:tcW w:w="1040" w:type="dxa"/>
            <w:vAlign w:val="bottom"/>
            <w:vMerge w:val="restart"/>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8"/>
              </w:rPr>
              <w:t>Change in</w:t>
            </w:r>
          </w:p>
        </w:tc>
        <w:tc>
          <w:tcPr>
            <w:tcW w:w="980" w:type="dxa"/>
            <w:vAlign w:val="bottom"/>
            <w:vMerge w:val="restart"/>
            <w:shd w:val="clear" w:color="auto" w:fill="C8C9CB"/>
          </w:tcPr>
          <w:p>
            <w:pPr>
              <w:jc w:val="center"/>
              <w:ind w:left="97"/>
              <w:spacing w:after="0" w:line="135" w:lineRule="exact"/>
              <w:rPr>
                <w:sz w:val="20"/>
                <w:szCs w:val="20"/>
                <w:color w:val="auto"/>
              </w:rPr>
            </w:pPr>
            <w:r>
              <w:rPr>
                <w:rFonts w:ascii="Arial" w:cs="Arial" w:eastAsia="Arial" w:hAnsi="Arial"/>
                <w:sz w:val="13"/>
                <w:szCs w:val="13"/>
                <w:b w:val="1"/>
                <w:bCs w:val="1"/>
                <w:color w:val="00ABE8"/>
                <w:w w:val="98"/>
              </w:rPr>
              <w:t>All Other</w:t>
            </w:r>
          </w:p>
        </w:tc>
        <w:tc>
          <w:tcPr>
            <w:tcW w:w="980" w:type="dxa"/>
            <w:vAlign w:val="bottom"/>
            <w:vMerge w:val="restart"/>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89"/>
              </w:rPr>
              <w:t>Total</w:t>
            </w:r>
          </w:p>
        </w:tc>
        <w:tc>
          <w:tcPr>
            <w:tcW w:w="0" w:type="dxa"/>
            <w:vAlign w:val="bottom"/>
          </w:tcPr>
          <w:p>
            <w:pPr>
              <w:spacing w:after="0"/>
              <w:rPr>
                <w:sz w:val="1"/>
                <w:szCs w:val="1"/>
                <w:color w:val="auto"/>
              </w:rPr>
            </w:pPr>
          </w:p>
        </w:tc>
      </w:tr>
      <w:tr>
        <w:trPr>
          <w:trHeight w:val="54"/>
        </w:trPr>
        <w:tc>
          <w:tcPr>
            <w:tcW w:w="1440" w:type="dxa"/>
            <w:vAlign w:val="bottom"/>
            <w:shd w:val="clear" w:color="auto" w:fill="C8C9CB"/>
          </w:tcPr>
          <w:p>
            <w:pPr>
              <w:spacing w:after="0"/>
              <w:rPr>
                <w:sz w:val="4"/>
                <w:szCs w:val="4"/>
                <w:color w:val="auto"/>
              </w:rPr>
            </w:pPr>
          </w:p>
        </w:tc>
        <w:tc>
          <w:tcPr>
            <w:tcW w:w="440" w:type="dxa"/>
            <w:vAlign w:val="bottom"/>
            <w:shd w:val="clear" w:color="auto" w:fill="C8C9CB"/>
          </w:tcPr>
          <w:p>
            <w:pPr>
              <w:spacing w:after="0"/>
              <w:rPr>
                <w:sz w:val="4"/>
                <w:szCs w:val="4"/>
                <w:color w:val="auto"/>
              </w:rPr>
            </w:pPr>
          </w:p>
        </w:tc>
        <w:tc>
          <w:tcPr>
            <w:tcW w:w="740" w:type="dxa"/>
            <w:vAlign w:val="bottom"/>
            <w:shd w:val="clear" w:color="auto" w:fill="C8C9CB"/>
          </w:tcPr>
          <w:p>
            <w:pPr>
              <w:spacing w:after="0"/>
              <w:rPr>
                <w:sz w:val="4"/>
                <w:szCs w:val="4"/>
                <w:color w:val="auto"/>
              </w:rPr>
            </w:pPr>
          </w:p>
        </w:tc>
        <w:tc>
          <w:tcPr>
            <w:tcW w:w="460" w:type="dxa"/>
            <w:vAlign w:val="bottom"/>
            <w:shd w:val="clear" w:color="auto" w:fill="C8C9CB"/>
          </w:tcPr>
          <w:p>
            <w:pPr>
              <w:spacing w:after="0"/>
              <w:rPr>
                <w:sz w:val="4"/>
                <w:szCs w:val="4"/>
                <w:color w:val="auto"/>
              </w:rPr>
            </w:pPr>
          </w:p>
        </w:tc>
        <w:tc>
          <w:tcPr>
            <w:tcW w:w="900" w:type="dxa"/>
            <w:vAlign w:val="bottom"/>
            <w:vMerge w:val="restart"/>
            <w:shd w:val="clear" w:color="auto" w:fill="C8C9CB"/>
          </w:tcPr>
          <w:p>
            <w:pPr>
              <w:jc w:val="center"/>
              <w:ind w:right="37"/>
              <w:spacing w:after="0" w:line="135" w:lineRule="exact"/>
              <w:rPr>
                <w:sz w:val="20"/>
                <w:szCs w:val="20"/>
                <w:color w:val="auto"/>
              </w:rPr>
            </w:pPr>
            <w:r>
              <w:rPr>
                <w:rFonts w:ascii="Arial" w:cs="Arial" w:eastAsia="Arial" w:hAnsi="Arial"/>
                <w:sz w:val="13"/>
                <w:szCs w:val="13"/>
                <w:b w:val="1"/>
                <w:bCs w:val="1"/>
                <w:color w:val="00ABE8"/>
                <w:w w:val="93"/>
              </w:rPr>
              <w:t>Awards</w:t>
            </w:r>
          </w:p>
        </w:tc>
        <w:tc>
          <w:tcPr>
            <w:tcW w:w="720" w:type="dxa"/>
            <w:vAlign w:val="bottom"/>
            <w:vMerge w:val="continue"/>
            <w:shd w:val="clear" w:color="auto" w:fill="C8C9CB"/>
          </w:tcPr>
          <w:p>
            <w:pPr>
              <w:spacing w:after="0"/>
              <w:rPr>
                <w:sz w:val="4"/>
                <w:szCs w:val="4"/>
                <w:color w:val="auto"/>
              </w:rPr>
            </w:pPr>
          </w:p>
        </w:tc>
        <w:tc>
          <w:tcPr>
            <w:tcW w:w="960" w:type="dxa"/>
            <w:vAlign w:val="bottom"/>
            <w:vMerge w:val="continue"/>
            <w:shd w:val="clear" w:color="auto" w:fill="C8C9CB"/>
          </w:tcPr>
          <w:p>
            <w:pPr>
              <w:spacing w:after="0"/>
              <w:rPr>
                <w:sz w:val="4"/>
                <w:szCs w:val="4"/>
                <w:color w:val="auto"/>
              </w:rPr>
            </w:pPr>
          </w:p>
        </w:tc>
        <w:tc>
          <w:tcPr>
            <w:tcW w:w="1040" w:type="dxa"/>
            <w:vAlign w:val="bottom"/>
            <w:vMerge w:val="continue"/>
            <w:shd w:val="clear" w:color="auto" w:fill="C8C9CB"/>
          </w:tcPr>
          <w:p>
            <w:pPr>
              <w:spacing w:after="0"/>
              <w:rPr>
                <w:sz w:val="4"/>
                <w:szCs w:val="4"/>
                <w:color w:val="auto"/>
              </w:rPr>
            </w:pPr>
          </w:p>
        </w:tc>
        <w:tc>
          <w:tcPr>
            <w:tcW w:w="980" w:type="dxa"/>
            <w:vAlign w:val="bottom"/>
            <w:vMerge w:val="continue"/>
            <w:shd w:val="clear" w:color="auto" w:fill="C8C9CB"/>
          </w:tcPr>
          <w:p>
            <w:pPr>
              <w:spacing w:after="0"/>
              <w:rPr>
                <w:sz w:val="4"/>
                <w:szCs w:val="4"/>
                <w:color w:val="auto"/>
              </w:rPr>
            </w:pPr>
          </w:p>
        </w:tc>
        <w:tc>
          <w:tcPr>
            <w:tcW w:w="980" w:type="dxa"/>
            <w:vAlign w:val="bottom"/>
            <w:vMerge w:val="continue"/>
            <w:shd w:val="clear" w:color="auto" w:fill="C8C9CB"/>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440" w:type="dxa"/>
            <w:vAlign w:val="bottom"/>
            <w:vMerge w:val="restart"/>
            <w:shd w:val="clear" w:color="auto" w:fill="C8C9CB"/>
          </w:tcPr>
          <w:p>
            <w:pPr>
              <w:ind w:left="40"/>
              <w:spacing w:after="0" w:line="135" w:lineRule="exact"/>
              <w:rPr>
                <w:sz w:val="20"/>
                <w:szCs w:val="20"/>
                <w:color w:val="auto"/>
              </w:rPr>
            </w:pPr>
            <w:r>
              <w:rPr>
                <w:rFonts w:ascii="Arial" w:cs="Arial" w:eastAsia="Arial" w:hAnsi="Arial"/>
                <w:sz w:val="13"/>
                <w:szCs w:val="13"/>
                <w:b w:val="1"/>
                <w:bCs w:val="1"/>
                <w:color w:val="00ABE8"/>
              </w:rPr>
              <w:t>Name and Principal</w:t>
            </w:r>
          </w:p>
        </w:tc>
        <w:tc>
          <w:tcPr>
            <w:tcW w:w="440" w:type="dxa"/>
            <w:vAlign w:val="bottom"/>
            <w:shd w:val="clear" w:color="auto" w:fill="C8C9CB"/>
          </w:tcPr>
          <w:p>
            <w:pPr>
              <w:spacing w:after="0"/>
              <w:rPr>
                <w:sz w:val="7"/>
                <w:szCs w:val="7"/>
                <w:color w:val="auto"/>
              </w:rPr>
            </w:pPr>
          </w:p>
        </w:tc>
        <w:tc>
          <w:tcPr>
            <w:tcW w:w="740" w:type="dxa"/>
            <w:vAlign w:val="bottom"/>
            <w:vMerge w:val="restart"/>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7"/>
              </w:rPr>
              <w:t>Salary</w:t>
            </w:r>
          </w:p>
        </w:tc>
        <w:tc>
          <w:tcPr>
            <w:tcW w:w="460" w:type="dxa"/>
            <w:vAlign w:val="bottom"/>
            <w:vMerge w:val="restart"/>
            <w:shd w:val="clear" w:color="auto" w:fill="C8C9CB"/>
          </w:tcPr>
          <w:p>
            <w:pPr>
              <w:ind w:left="40"/>
              <w:spacing w:after="0" w:line="135" w:lineRule="exact"/>
              <w:rPr>
                <w:sz w:val="20"/>
                <w:szCs w:val="20"/>
                <w:color w:val="auto"/>
              </w:rPr>
            </w:pPr>
            <w:r>
              <w:rPr>
                <w:rFonts w:ascii="Arial" w:cs="Arial" w:eastAsia="Arial" w:hAnsi="Arial"/>
                <w:sz w:val="13"/>
                <w:szCs w:val="13"/>
                <w:b w:val="1"/>
                <w:bCs w:val="1"/>
                <w:color w:val="00ABE8"/>
                <w:w w:val="98"/>
              </w:rPr>
              <w:t>Bonus</w:t>
            </w:r>
          </w:p>
        </w:tc>
        <w:tc>
          <w:tcPr>
            <w:tcW w:w="900" w:type="dxa"/>
            <w:vAlign w:val="bottom"/>
            <w:vMerge w:val="continue"/>
            <w:shd w:val="clear" w:color="auto" w:fill="C8C9CB"/>
          </w:tcPr>
          <w:p>
            <w:pPr>
              <w:spacing w:after="0"/>
              <w:rPr>
                <w:sz w:val="7"/>
                <w:szCs w:val="7"/>
                <w:color w:val="auto"/>
              </w:rPr>
            </w:pPr>
          </w:p>
        </w:tc>
        <w:tc>
          <w:tcPr>
            <w:tcW w:w="720" w:type="dxa"/>
            <w:vAlign w:val="bottom"/>
            <w:vMerge w:val="restart"/>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3"/>
              </w:rPr>
              <w:t>Awards</w:t>
            </w:r>
          </w:p>
        </w:tc>
        <w:tc>
          <w:tcPr>
            <w:tcW w:w="960" w:type="dxa"/>
            <w:vAlign w:val="bottom"/>
            <w:vMerge w:val="restart"/>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5"/>
              </w:rPr>
              <w:t>Compensation</w:t>
            </w:r>
          </w:p>
        </w:tc>
        <w:tc>
          <w:tcPr>
            <w:tcW w:w="1040" w:type="dxa"/>
            <w:vAlign w:val="bottom"/>
            <w:vMerge w:val="restart"/>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6"/>
              </w:rPr>
              <w:t>Pension Value</w:t>
            </w:r>
          </w:p>
        </w:tc>
        <w:tc>
          <w:tcPr>
            <w:tcW w:w="1960" w:type="dxa"/>
            <w:vAlign w:val="bottom"/>
            <w:gridSpan w:val="2"/>
            <w:vMerge w:val="restart"/>
            <w:shd w:val="clear" w:color="auto" w:fill="C8C9CB"/>
          </w:tcPr>
          <w:p>
            <w:pPr>
              <w:ind w:left="120"/>
              <w:spacing w:after="0" w:line="135" w:lineRule="exact"/>
              <w:rPr>
                <w:sz w:val="20"/>
                <w:szCs w:val="20"/>
                <w:color w:val="auto"/>
              </w:rPr>
            </w:pPr>
            <w:r>
              <w:rPr>
                <w:rFonts w:ascii="Arial" w:cs="Arial" w:eastAsia="Arial" w:hAnsi="Arial"/>
                <w:sz w:val="13"/>
                <w:szCs w:val="13"/>
                <w:b w:val="1"/>
                <w:bCs w:val="1"/>
                <w:color w:val="00ABE8"/>
                <w:w w:val="98"/>
              </w:rPr>
              <w:t>Compensation Compensation</w:t>
            </w:r>
          </w:p>
        </w:tc>
        <w:tc>
          <w:tcPr>
            <w:tcW w:w="0" w:type="dxa"/>
            <w:vAlign w:val="bottom"/>
          </w:tcPr>
          <w:p>
            <w:pPr>
              <w:spacing w:after="0"/>
              <w:rPr>
                <w:sz w:val="1"/>
                <w:szCs w:val="1"/>
                <w:color w:val="auto"/>
              </w:rPr>
            </w:pPr>
          </w:p>
        </w:tc>
      </w:tr>
      <w:tr>
        <w:trPr>
          <w:trHeight w:val="54"/>
        </w:trPr>
        <w:tc>
          <w:tcPr>
            <w:tcW w:w="1440" w:type="dxa"/>
            <w:vAlign w:val="bottom"/>
            <w:vMerge w:val="continue"/>
            <w:shd w:val="clear" w:color="auto" w:fill="C8C9CB"/>
          </w:tcPr>
          <w:p>
            <w:pPr>
              <w:spacing w:after="0"/>
              <w:rPr>
                <w:sz w:val="4"/>
                <w:szCs w:val="4"/>
                <w:color w:val="auto"/>
              </w:rPr>
            </w:pPr>
          </w:p>
        </w:tc>
        <w:tc>
          <w:tcPr>
            <w:tcW w:w="440" w:type="dxa"/>
            <w:vAlign w:val="bottom"/>
            <w:shd w:val="clear" w:color="auto" w:fill="C8C9CB"/>
          </w:tcPr>
          <w:p>
            <w:pPr>
              <w:spacing w:after="0"/>
              <w:rPr>
                <w:sz w:val="4"/>
                <w:szCs w:val="4"/>
                <w:color w:val="auto"/>
              </w:rPr>
            </w:pPr>
          </w:p>
        </w:tc>
        <w:tc>
          <w:tcPr>
            <w:tcW w:w="740" w:type="dxa"/>
            <w:vAlign w:val="bottom"/>
            <w:vMerge w:val="continue"/>
            <w:shd w:val="clear" w:color="auto" w:fill="C8C9CB"/>
          </w:tcPr>
          <w:p>
            <w:pPr>
              <w:spacing w:after="0"/>
              <w:rPr>
                <w:sz w:val="4"/>
                <w:szCs w:val="4"/>
                <w:color w:val="auto"/>
              </w:rPr>
            </w:pPr>
          </w:p>
        </w:tc>
        <w:tc>
          <w:tcPr>
            <w:tcW w:w="460" w:type="dxa"/>
            <w:vAlign w:val="bottom"/>
            <w:vMerge w:val="continue"/>
            <w:shd w:val="clear" w:color="auto" w:fill="C8C9CB"/>
          </w:tcPr>
          <w:p>
            <w:pPr>
              <w:spacing w:after="0"/>
              <w:rPr>
                <w:sz w:val="4"/>
                <w:szCs w:val="4"/>
                <w:color w:val="auto"/>
              </w:rPr>
            </w:pPr>
          </w:p>
        </w:tc>
        <w:tc>
          <w:tcPr>
            <w:tcW w:w="900" w:type="dxa"/>
            <w:vAlign w:val="bottom"/>
            <w:vMerge w:val="restart"/>
            <w:shd w:val="clear" w:color="auto" w:fill="C8C9CB"/>
          </w:tcPr>
          <w:p>
            <w:pPr>
              <w:jc w:val="center"/>
              <w:ind w:right="37"/>
              <w:spacing w:after="0"/>
              <w:rPr>
                <w:sz w:val="20"/>
                <w:szCs w:val="20"/>
                <w:color w:val="auto"/>
              </w:rPr>
            </w:pPr>
            <w:r>
              <w:rPr>
                <w:rFonts w:ascii="Arial" w:cs="Arial" w:eastAsia="Arial" w:hAnsi="Arial"/>
                <w:sz w:val="13"/>
                <w:szCs w:val="13"/>
                <w:b w:val="1"/>
                <w:bCs w:val="1"/>
                <w:color w:val="00ABE8"/>
                <w:w w:val="95"/>
              </w:rPr>
              <w:t xml:space="preserve">($) </w:t>
            </w:r>
            <w:r>
              <w:rPr>
                <w:rFonts w:ascii="Arial" w:cs="Arial" w:eastAsia="Arial" w:hAnsi="Arial"/>
                <w:sz w:val="10"/>
                <w:szCs w:val="10"/>
                <w:b w:val="1"/>
                <w:bCs w:val="1"/>
                <w:color w:val="00ABE8"/>
                <w:w w:val="95"/>
              </w:rPr>
              <w:t>1</w:t>
            </w:r>
          </w:p>
        </w:tc>
        <w:tc>
          <w:tcPr>
            <w:tcW w:w="720" w:type="dxa"/>
            <w:vAlign w:val="bottom"/>
            <w:vMerge w:val="continue"/>
            <w:shd w:val="clear" w:color="auto" w:fill="C8C9CB"/>
          </w:tcPr>
          <w:p>
            <w:pPr>
              <w:spacing w:after="0"/>
              <w:rPr>
                <w:sz w:val="4"/>
                <w:szCs w:val="4"/>
                <w:color w:val="auto"/>
              </w:rPr>
            </w:pPr>
          </w:p>
        </w:tc>
        <w:tc>
          <w:tcPr>
            <w:tcW w:w="960" w:type="dxa"/>
            <w:vAlign w:val="bottom"/>
            <w:vMerge w:val="continue"/>
            <w:shd w:val="clear" w:color="auto" w:fill="C8C9CB"/>
          </w:tcPr>
          <w:p>
            <w:pPr>
              <w:spacing w:after="0"/>
              <w:rPr>
                <w:sz w:val="4"/>
                <w:szCs w:val="4"/>
                <w:color w:val="auto"/>
              </w:rPr>
            </w:pPr>
          </w:p>
        </w:tc>
        <w:tc>
          <w:tcPr>
            <w:tcW w:w="1040" w:type="dxa"/>
            <w:vAlign w:val="bottom"/>
            <w:vMerge w:val="continue"/>
            <w:shd w:val="clear" w:color="auto" w:fill="C8C9CB"/>
          </w:tcPr>
          <w:p>
            <w:pPr>
              <w:spacing w:after="0"/>
              <w:rPr>
                <w:sz w:val="4"/>
                <w:szCs w:val="4"/>
                <w:color w:val="auto"/>
              </w:rPr>
            </w:pPr>
          </w:p>
        </w:tc>
        <w:tc>
          <w:tcPr>
            <w:tcW w:w="1960" w:type="dxa"/>
            <w:vAlign w:val="bottom"/>
            <w:gridSpan w:val="2"/>
            <w:vMerge w:val="continue"/>
            <w:shd w:val="clear" w:color="auto" w:fill="C8C9CB"/>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440" w:type="dxa"/>
            <w:vAlign w:val="bottom"/>
            <w:vMerge w:val="restart"/>
            <w:shd w:val="clear" w:color="auto" w:fill="C8C9CB"/>
          </w:tcPr>
          <w:p>
            <w:pPr>
              <w:ind w:left="40"/>
              <w:spacing w:after="0"/>
              <w:rPr>
                <w:sz w:val="20"/>
                <w:szCs w:val="20"/>
                <w:color w:val="auto"/>
              </w:rPr>
            </w:pPr>
            <w:r>
              <w:rPr>
                <w:rFonts w:ascii="Arial" w:cs="Arial" w:eastAsia="Arial" w:hAnsi="Arial"/>
                <w:sz w:val="13"/>
                <w:szCs w:val="13"/>
                <w:b w:val="1"/>
                <w:bCs w:val="1"/>
                <w:color w:val="00ABE8"/>
              </w:rPr>
              <w:t>Position</w:t>
            </w:r>
          </w:p>
        </w:tc>
        <w:tc>
          <w:tcPr>
            <w:tcW w:w="440" w:type="dxa"/>
            <w:vAlign w:val="bottom"/>
            <w:vMerge w:val="restart"/>
            <w:shd w:val="clear" w:color="auto" w:fill="C8C9CB"/>
          </w:tcPr>
          <w:p>
            <w:pPr>
              <w:ind w:left="80"/>
              <w:spacing w:after="0"/>
              <w:rPr>
                <w:sz w:val="20"/>
                <w:szCs w:val="20"/>
                <w:color w:val="auto"/>
              </w:rPr>
            </w:pPr>
            <w:r>
              <w:rPr>
                <w:rFonts w:ascii="Arial" w:cs="Arial" w:eastAsia="Arial" w:hAnsi="Arial"/>
                <w:sz w:val="13"/>
                <w:szCs w:val="13"/>
                <w:b w:val="1"/>
                <w:bCs w:val="1"/>
                <w:color w:val="00ABE8"/>
              </w:rPr>
              <w:t>Year</w:t>
            </w:r>
          </w:p>
        </w:tc>
        <w:tc>
          <w:tcPr>
            <w:tcW w:w="740" w:type="dxa"/>
            <w:vAlign w:val="bottom"/>
            <w:vMerge w:val="restart"/>
            <w:shd w:val="clear" w:color="auto" w:fill="C8C9CB"/>
          </w:tcPr>
          <w:p>
            <w:pPr>
              <w:jc w:val="center"/>
              <w:spacing w:after="0"/>
              <w:rPr>
                <w:sz w:val="20"/>
                <w:szCs w:val="20"/>
                <w:color w:val="auto"/>
              </w:rPr>
            </w:pPr>
            <w:r>
              <w:rPr>
                <w:rFonts w:ascii="Arial" w:cs="Arial" w:eastAsia="Arial" w:hAnsi="Arial"/>
                <w:sz w:val="13"/>
                <w:szCs w:val="13"/>
                <w:b w:val="1"/>
                <w:bCs w:val="1"/>
                <w:color w:val="00ABE8"/>
                <w:w w:val="87"/>
              </w:rPr>
              <w:t>($)</w:t>
            </w:r>
          </w:p>
        </w:tc>
        <w:tc>
          <w:tcPr>
            <w:tcW w:w="460" w:type="dxa"/>
            <w:vAlign w:val="bottom"/>
            <w:vMerge w:val="restart"/>
            <w:shd w:val="clear" w:color="auto" w:fill="C8C9CB"/>
          </w:tcPr>
          <w:p>
            <w:pPr>
              <w:ind w:left="160"/>
              <w:spacing w:after="0"/>
              <w:rPr>
                <w:sz w:val="20"/>
                <w:szCs w:val="20"/>
                <w:color w:val="auto"/>
              </w:rPr>
            </w:pPr>
            <w:r>
              <w:rPr>
                <w:rFonts w:ascii="Arial" w:cs="Arial" w:eastAsia="Arial" w:hAnsi="Arial"/>
                <w:sz w:val="13"/>
                <w:szCs w:val="13"/>
                <w:b w:val="1"/>
                <w:bCs w:val="1"/>
                <w:color w:val="00ABE8"/>
              </w:rPr>
              <w:t>($)</w:t>
            </w:r>
          </w:p>
        </w:tc>
        <w:tc>
          <w:tcPr>
            <w:tcW w:w="900" w:type="dxa"/>
            <w:vAlign w:val="bottom"/>
            <w:vMerge w:val="continue"/>
            <w:shd w:val="clear" w:color="auto" w:fill="C8C9CB"/>
          </w:tcPr>
          <w:p>
            <w:pPr>
              <w:spacing w:after="0"/>
              <w:rPr>
                <w:sz w:val="10"/>
                <w:szCs w:val="10"/>
                <w:color w:val="auto"/>
              </w:rPr>
            </w:pPr>
          </w:p>
        </w:tc>
        <w:tc>
          <w:tcPr>
            <w:tcW w:w="720" w:type="dxa"/>
            <w:vAlign w:val="bottom"/>
            <w:vMerge w:val="restart"/>
            <w:shd w:val="clear" w:color="auto" w:fill="C8C9CB"/>
          </w:tcPr>
          <w:p>
            <w:pPr>
              <w:jc w:val="center"/>
              <w:spacing w:after="0"/>
              <w:rPr>
                <w:sz w:val="20"/>
                <w:szCs w:val="20"/>
                <w:color w:val="auto"/>
              </w:rPr>
            </w:pPr>
            <w:r>
              <w:rPr>
                <w:rFonts w:ascii="Arial" w:cs="Arial" w:eastAsia="Arial" w:hAnsi="Arial"/>
                <w:sz w:val="13"/>
                <w:szCs w:val="13"/>
                <w:b w:val="1"/>
                <w:bCs w:val="1"/>
                <w:color w:val="00ABE8"/>
                <w:w w:val="95"/>
              </w:rPr>
              <w:t xml:space="preserve">($) </w:t>
            </w:r>
            <w:r>
              <w:rPr>
                <w:rFonts w:ascii="Arial" w:cs="Arial" w:eastAsia="Arial" w:hAnsi="Arial"/>
                <w:sz w:val="10"/>
                <w:szCs w:val="10"/>
                <w:b w:val="1"/>
                <w:bCs w:val="1"/>
                <w:color w:val="00ABE8"/>
                <w:w w:val="95"/>
              </w:rPr>
              <w:t>2</w:t>
            </w:r>
          </w:p>
        </w:tc>
        <w:tc>
          <w:tcPr>
            <w:tcW w:w="960" w:type="dxa"/>
            <w:vAlign w:val="bottom"/>
            <w:vMerge w:val="restart"/>
            <w:shd w:val="clear" w:color="auto" w:fill="C8C9CB"/>
          </w:tcPr>
          <w:p>
            <w:pPr>
              <w:jc w:val="center"/>
              <w:spacing w:after="0"/>
              <w:rPr>
                <w:sz w:val="20"/>
                <w:szCs w:val="20"/>
                <w:color w:val="auto"/>
              </w:rPr>
            </w:pPr>
            <w:r>
              <w:rPr>
                <w:rFonts w:ascii="Arial" w:cs="Arial" w:eastAsia="Arial" w:hAnsi="Arial"/>
                <w:sz w:val="13"/>
                <w:szCs w:val="13"/>
                <w:b w:val="1"/>
                <w:bCs w:val="1"/>
                <w:color w:val="00ABE8"/>
              </w:rPr>
              <w:t xml:space="preserve">($) </w:t>
            </w:r>
            <w:r>
              <w:rPr>
                <w:rFonts w:ascii="Arial" w:cs="Arial" w:eastAsia="Arial" w:hAnsi="Arial"/>
                <w:sz w:val="10"/>
                <w:szCs w:val="10"/>
                <w:b w:val="1"/>
                <w:bCs w:val="1"/>
                <w:color w:val="00ABE8"/>
              </w:rPr>
              <w:t>3</w:t>
            </w:r>
          </w:p>
        </w:tc>
        <w:tc>
          <w:tcPr>
            <w:tcW w:w="1040" w:type="dxa"/>
            <w:vAlign w:val="bottom"/>
            <w:vMerge w:val="restart"/>
            <w:shd w:val="clear" w:color="auto" w:fill="C8C9CB"/>
          </w:tcPr>
          <w:p>
            <w:pPr>
              <w:jc w:val="center"/>
              <w:spacing w:after="0"/>
              <w:rPr>
                <w:sz w:val="20"/>
                <w:szCs w:val="20"/>
                <w:color w:val="auto"/>
              </w:rPr>
            </w:pPr>
            <w:r>
              <w:rPr>
                <w:rFonts w:ascii="Arial" w:cs="Arial" w:eastAsia="Arial" w:hAnsi="Arial"/>
                <w:sz w:val="13"/>
                <w:szCs w:val="13"/>
                <w:b w:val="1"/>
                <w:bCs w:val="1"/>
                <w:color w:val="00ABE8"/>
              </w:rPr>
              <w:t xml:space="preserve">($) </w:t>
            </w:r>
            <w:r>
              <w:rPr>
                <w:rFonts w:ascii="Arial" w:cs="Arial" w:eastAsia="Arial" w:hAnsi="Arial"/>
                <w:sz w:val="10"/>
                <w:szCs w:val="10"/>
                <w:b w:val="1"/>
                <w:bCs w:val="1"/>
                <w:color w:val="00ABE8"/>
              </w:rPr>
              <w:t>4</w:t>
            </w:r>
          </w:p>
        </w:tc>
        <w:tc>
          <w:tcPr>
            <w:tcW w:w="980" w:type="dxa"/>
            <w:vAlign w:val="bottom"/>
            <w:vMerge w:val="restart"/>
            <w:shd w:val="clear" w:color="auto" w:fill="C8C9CB"/>
          </w:tcPr>
          <w:p>
            <w:pPr>
              <w:jc w:val="center"/>
              <w:ind w:left="77"/>
              <w:spacing w:after="0"/>
              <w:rPr>
                <w:sz w:val="20"/>
                <w:szCs w:val="20"/>
                <w:color w:val="auto"/>
              </w:rPr>
            </w:pPr>
            <w:r>
              <w:rPr>
                <w:rFonts w:ascii="Arial" w:cs="Arial" w:eastAsia="Arial" w:hAnsi="Arial"/>
                <w:sz w:val="13"/>
                <w:szCs w:val="13"/>
                <w:b w:val="1"/>
                <w:bCs w:val="1"/>
                <w:color w:val="00ABE8"/>
                <w:w w:val="95"/>
              </w:rPr>
              <w:t xml:space="preserve">($) </w:t>
            </w:r>
            <w:r>
              <w:rPr>
                <w:rFonts w:ascii="Arial" w:cs="Arial" w:eastAsia="Arial" w:hAnsi="Arial"/>
                <w:sz w:val="10"/>
                <w:szCs w:val="10"/>
                <w:b w:val="1"/>
                <w:bCs w:val="1"/>
                <w:color w:val="00ABE8"/>
                <w:w w:val="95"/>
              </w:rPr>
              <w:t>5</w:t>
            </w:r>
          </w:p>
        </w:tc>
        <w:tc>
          <w:tcPr>
            <w:tcW w:w="980" w:type="dxa"/>
            <w:vAlign w:val="bottom"/>
            <w:vMerge w:val="restart"/>
            <w:shd w:val="clear" w:color="auto" w:fill="C8C9CB"/>
          </w:tcPr>
          <w:p>
            <w:pPr>
              <w:jc w:val="center"/>
              <w:spacing w:after="0"/>
              <w:rPr>
                <w:sz w:val="20"/>
                <w:szCs w:val="20"/>
                <w:color w:val="auto"/>
              </w:rPr>
            </w:pPr>
            <w:r>
              <w:rPr>
                <w:rFonts w:ascii="Arial" w:cs="Arial" w:eastAsia="Arial" w:hAnsi="Arial"/>
                <w:sz w:val="13"/>
                <w:szCs w:val="13"/>
                <w:b w:val="1"/>
                <w:bCs w:val="1"/>
                <w:color w:val="00ABE8"/>
              </w:rPr>
              <w:t>($)</w:t>
            </w:r>
          </w:p>
        </w:tc>
        <w:tc>
          <w:tcPr>
            <w:tcW w:w="0" w:type="dxa"/>
            <w:vAlign w:val="bottom"/>
          </w:tcPr>
          <w:p>
            <w:pPr>
              <w:spacing w:after="0"/>
              <w:rPr>
                <w:sz w:val="1"/>
                <w:szCs w:val="1"/>
                <w:color w:val="auto"/>
              </w:rPr>
            </w:pPr>
          </w:p>
        </w:tc>
      </w:tr>
      <w:tr>
        <w:trPr>
          <w:trHeight w:val="62"/>
        </w:trPr>
        <w:tc>
          <w:tcPr>
            <w:tcW w:w="1440" w:type="dxa"/>
            <w:vAlign w:val="bottom"/>
            <w:vMerge w:val="continue"/>
            <w:shd w:val="clear" w:color="auto" w:fill="C8C9CB"/>
          </w:tcPr>
          <w:p>
            <w:pPr>
              <w:spacing w:after="0"/>
              <w:rPr>
                <w:sz w:val="5"/>
                <w:szCs w:val="5"/>
                <w:color w:val="auto"/>
              </w:rPr>
            </w:pPr>
          </w:p>
        </w:tc>
        <w:tc>
          <w:tcPr>
            <w:tcW w:w="440" w:type="dxa"/>
            <w:vAlign w:val="bottom"/>
            <w:vMerge w:val="continue"/>
            <w:shd w:val="clear" w:color="auto" w:fill="C8C9CB"/>
          </w:tcPr>
          <w:p>
            <w:pPr>
              <w:spacing w:after="0"/>
              <w:rPr>
                <w:sz w:val="5"/>
                <w:szCs w:val="5"/>
                <w:color w:val="auto"/>
              </w:rPr>
            </w:pPr>
          </w:p>
        </w:tc>
        <w:tc>
          <w:tcPr>
            <w:tcW w:w="740" w:type="dxa"/>
            <w:vAlign w:val="bottom"/>
            <w:vMerge w:val="continue"/>
            <w:shd w:val="clear" w:color="auto" w:fill="C8C9CB"/>
          </w:tcPr>
          <w:p>
            <w:pPr>
              <w:spacing w:after="0"/>
              <w:rPr>
                <w:sz w:val="5"/>
                <w:szCs w:val="5"/>
                <w:color w:val="auto"/>
              </w:rPr>
            </w:pPr>
          </w:p>
        </w:tc>
        <w:tc>
          <w:tcPr>
            <w:tcW w:w="460" w:type="dxa"/>
            <w:vAlign w:val="bottom"/>
            <w:vMerge w:val="continue"/>
            <w:shd w:val="clear" w:color="auto" w:fill="C8C9CB"/>
          </w:tcPr>
          <w:p>
            <w:pPr>
              <w:spacing w:after="0"/>
              <w:rPr>
                <w:sz w:val="5"/>
                <w:szCs w:val="5"/>
                <w:color w:val="auto"/>
              </w:rPr>
            </w:pPr>
          </w:p>
        </w:tc>
        <w:tc>
          <w:tcPr>
            <w:tcW w:w="900" w:type="dxa"/>
            <w:vAlign w:val="bottom"/>
            <w:shd w:val="clear" w:color="auto" w:fill="C8C9CB"/>
          </w:tcPr>
          <w:p>
            <w:pPr>
              <w:spacing w:after="0"/>
              <w:rPr>
                <w:sz w:val="5"/>
                <w:szCs w:val="5"/>
                <w:color w:val="auto"/>
              </w:rPr>
            </w:pPr>
          </w:p>
        </w:tc>
        <w:tc>
          <w:tcPr>
            <w:tcW w:w="720" w:type="dxa"/>
            <w:vAlign w:val="bottom"/>
            <w:vMerge w:val="continue"/>
            <w:shd w:val="clear" w:color="auto" w:fill="C8C9CB"/>
          </w:tcPr>
          <w:p>
            <w:pPr>
              <w:spacing w:after="0"/>
              <w:rPr>
                <w:sz w:val="5"/>
                <w:szCs w:val="5"/>
                <w:color w:val="auto"/>
              </w:rPr>
            </w:pPr>
          </w:p>
        </w:tc>
        <w:tc>
          <w:tcPr>
            <w:tcW w:w="960" w:type="dxa"/>
            <w:vAlign w:val="bottom"/>
            <w:vMerge w:val="continue"/>
            <w:shd w:val="clear" w:color="auto" w:fill="C8C9CB"/>
          </w:tcPr>
          <w:p>
            <w:pPr>
              <w:spacing w:after="0"/>
              <w:rPr>
                <w:sz w:val="5"/>
                <w:szCs w:val="5"/>
                <w:color w:val="auto"/>
              </w:rPr>
            </w:pPr>
          </w:p>
        </w:tc>
        <w:tc>
          <w:tcPr>
            <w:tcW w:w="1040" w:type="dxa"/>
            <w:vAlign w:val="bottom"/>
            <w:vMerge w:val="continue"/>
            <w:shd w:val="clear" w:color="auto" w:fill="C8C9CB"/>
          </w:tcPr>
          <w:p>
            <w:pPr>
              <w:spacing w:after="0"/>
              <w:rPr>
                <w:sz w:val="5"/>
                <w:szCs w:val="5"/>
                <w:color w:val="auto"/>
              </w:rPr>
            </w:pPr>
          </w:p>
        </w:tc>
        <w:tc>
          <w:tcPr>
            <w:tcW w:w="980" w:type="dxa"/>
            <w:vAlign w:val="bottom"/>
            <w:vMerge w:val="continue"/>
            <w:shd w:val="clear" w:color="auto" w:fill="C8C9CB"/>
          </w:tcPr>
          <w:p>
            <w:pPr>
              <w:spacing w:after="0"/>
              <w:rPr>
                <w:sz w:val="5"/>
                <w:szCs w:val="5"/>
                <w:color w:val="auto"/>
              </w:rPr>
            </w:pPr>
          </w:p>
        </w:tc>
        <w:tc>
          <w:tcPr>
            <w:tcW w:w="980" w:type="dxa"/>
            <w:vAlign w:val="bottom"/>
            <w:vMerge w:val="continue"/>
            <w:shd w:val="clear" w:color="auto" w:fill="C8C9CB"/>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440" w:type="dxa"/>
            <w:vAlign w:val="bottom"/>
          </w:tcPr>
          <w:p>
            <w:pPr>
              <w:ind w:left="40"/>
              <w:spacing w:after="0"/>
              <w:rPr>
                <w:sz w:val="20"/>
                <w:szCs w:val="20"/>
                <w:color w:val="auto"/>
              </w:rPr>
            </w:pPr>
            <w:r>
              <w:rPr>
                <w:rFonts w:ascii="Arial" w:cs="Arial" w:eastAsia="Arial" w:hAnsi="Arial"/>
                <w:sz w:val="14"/>
                <w:szCs w:val="14"/>
                <w:color w:val="auto"/>
              </w:rPr>
              <w:t>David A. Ricks</w:t>
            </w:r>
          </w:p>
        </w:tc>
        <w:tc>
          <w:tcPr>
            <w:tcW w:w="440" w:type="dxa"/>
            <w:vAlign w:val="bottom"/>
          </w:tcPr>
          <w:p>
            <w:pPr>
              <w:ind w:left="80"/>
              <w:spacing w:after="0"/>
              <w:rPr>
                <w:sz w:val="20"/>
                <w:szCs w:val="20"/>
                <w:color w:val="auto"/>
              </w:rPr>
            </w:pPr>
            <w:r>
              <w:rPr>
                <w:rFonts w:ascii="Arial" w:cs="Arial" w:eastAsia="Arial" w:hAnsi="Arial"/>
                <w:sz w:val="13"/>
                <w:szCs w:val="13"/>
                <w:color w:val="auto"/>
              </w:rPr>
              <w:t>2018</w:t>
            </w:r>
          </w:p>
        </w:tc>
        <w:tc>
          <w:tcPr>
            <w:tcW w:w="740" w:type="dxa"/>
            <w:vAlign w:val="bottom"/>
          </w:tcPr>
          <w:p>
            <w:pPr>
              <w:jc w:val="center"/>
              <w:spacing w:after="0"/>
              <w:rPr>
                <w:sz w:val="20"/>
                <w:szCs w:val="20"/>
                <w:color w:val="auto"/>
              </w:rPr>
            </w:pPr>
            <w:r>
              <w:rPr>
                <w:rFonts w:ascii="Arial" w:cs="Arial" w:eastAsia="Arial" w:hAnsi="Arial"/>
                <w:sz w:val="13"/>
                <w:szCs w:val="13"/>
                <w:color w:val="auto"/>
                <w:w w:val="95"/>
              </w:rPr>
              <w:t>$1,400,000</w:t>
            </w:r>
          </w:p>
        </w:tc>
        <w:tc>
          <w:tcPr>
            <w:tcW w:w="460" w:type="dxa"/>
            <w:vAlign w:val="bottom"/>
          </w:tcPr>
          <w:p>
            <w:pPr>
              <w:ind w:left="160"/>
              <w:spacing w:after="0"/>
              <w:rPr>
                <w:sz w:val="20"/>
                <w:szCs w:val="20"/>
                <w:color w:val="auto"/>
              </w:rPr>
            </w:pPr>
            <w:r>
              <w:rPr>
                <w:rFonts w:ascii="Arial" w:cs="Arial" w:eastAsia="Arial" w:hAnsi="Arial"/>
                <w:sz w:val="13"/>
                <w:szCs w:val="13"/>
                <w:color w:val="auto"/>
              </w:rPr>
              <w:t>$0</w:t>
            </w:r>
          </w:p>
        </w:tc>
        <w:tc>
          <w:tcPr>
            <w:tcW w:w="900" w:type="dxa"/>
            <w:vAlign w:val="bottom"/>
          </w:tcPr>
          <w:p>
            <w:pPr>
              <w:jc w:val="center"/>
              <w:ind w:right="57"/>
              <w:spacing w:after="0"/>
              <w:rPr>
                <w:sz w:val="20"/>
                <w:szCs w:val="20"/>
                <w:color w:val="auto"/>
              </w:rPr>
            </w:pPr>
            <w:r>
              <w:rPr>
                <w:rFonts w:ascii="Arial" w:cs="Arial" w:eastAsia="Arial" w:hAnsi="Arial"/>
                <w:sz w:val="13"/>
                <w:szCs w:val="13"/>
                <w:color w:val="auto"/>
                <w:w w:val="96"/>
              </w:rPr>
              <w:t>$10,584,000</w:t>
            </w: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$3,633,000</w:t>
            </w:r>
          </w:p>
        </w:tc>
        <w:tc>
          <w:tcPr>
            <w:tcW w:w="1040" w:type="dxa"/>
            <w:vAlign w:val="bottom"/>
          </w:tcPr>
          <w:p>
            <w:pPr>
              <w:jc w:val="center"/>
              <w:spacing w:after="0"/>
              <w:rPr>
                <w:sz w:val="20"/>
                <w:szCs w:val="20"/>
                <w:color w:val="auto"/>
              </w:rPr>
            </w:pPr>
            <w:r>
              <w:rPr>
                <w:rFonts w:ascii="Arial" w:cs="Arial" w:eastAsia="Arial" w:hAnsi="Arial"/>
                <w:sz w:val="13"/>
                <w:szCs w:val="13"/>
                <w:color w:val="auto"/>
                <w:w w:val="95"/>
              </w:rPr>
              <w:t>$1,529,337</w:t>
            </w:r>
          </w:p>
        </w:tc>
        <w:tc>
          <w:tcPr>
            <w:tcW w:w="980" w:type="dxa"/>
            <w:vAlign w:val="bottom"/>
          </w:tcPr>
          <w:p>
            <w:pPr>
              <w:jc w:val="center"/>
              <w:ind w:left="97"/>
              <w:spacing w:after="0"/>
              <w:rPr>
                <w:sz w:val="20"/>
                <w:szCs w:val="20"/>
                <w:color w:val="auto"/>
              </w:rPr>
            </w:pPr>
            <w:r>
              <w:rPr>
                <w:rFonts w:ascii="Arial" w:cs="Arial" w:eastAsia="Arial" w:hAnsi="Arial"/>
                <w:sz w:val="13"/>
                <w:szCs w:val="13"/>
                <w:color w:val="auto"/>
                <w:w w:val="97"/>
              </w:rPr>
              <w:t>$84,000</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$17,230,337</w:t>
            </w:r>
          </w:p>
        </w:tc>
        <w:tc>
          <w:tcPr>
            <w:tcW w:w="0" w:type="dxa"/>
            <w:vAlign w:val="bottom"/>
          </w:tcPr>
          <w:p>
            <w:pPr>
              <w:spacing w:after="0"/>
              <w:rPr>
                <w:sz w:val="1"/>
                <w:szCs w:val="1"/>
                <w:color w:val="auto"/>
              </w:rPr>
            </w:pPr>
          </w:p>
        </w:tc>
      </w:tr>
      <w:tr>
        <w:trPr>
          <w:trHeight w:val="148"/>
        </w:trPr>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Chairman, President,</w:t>
            </w:r>
          </w:p>
        </w:tc>
        <w:tc>
          <w:tcPr>
            <w:tcW w:w="440" w:type="dxa"/>
            <w:vAlign w:val="bottom"/>
            <w:vMerge w:val="restart"/>
          </w:tcPr>
          <w:p>
            <w:pPr>
              <w:ind w:left="80"/>
              <w:spacing w:after="0"/>
              <w:rPr>
                <w:sz w:val="20"/>
                <w:szCs w:val="20"/>
                <w:color w:val="auto"/>
              </w:rPr>
            </w:pPr>
            <w:r>
              <w:rPr>
                <w:rFonts w:ascii="Arial" w:cs="Arial" w:eastAsia="Arial" w:hAnsi="Arial"/>
                <w:sz w:val="13"/>
                <w:szCs w:val="13"/>
                <w:color w:val="auto"/>
              </w:rPr>
              <w:t>2017</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5"/>
              </w:rPr>
              <w:t>$1,400,000</w:t>
            </w:r>
          </w:p>
        </w:tc>
        <w:tc>
          <w:tcPr>
            <w:tcW w:w="460" w:type="dxa"/>
            <w:vAlign w:val="bottom"/>
            <w:vMerge w:val="restart"/>
          </w:tcPr>
          <w:p>
            <w:pPr>
              <w:ind w:left="160"/>
              <w:spacing w:after="0"/>
              <w:rPr>
                <w:sz w:val="20"/>
                <w:szCs w:val="20"/>
                <w:color w:val="auto"/>
              </w:rPr>
            </w:pPr>
            <w:r>
              <w:rPr>
                <w:rFonts w:ascii="Arial" w:cs="Arial" w:eastAsia="Arial" w:hAnsi="Arial"/>
                <w:sz w:val="13"/>
                <w:szCs w:val="13"/>
                <w:color w:val="auto"/>
              </w:rPr>
              <w:t>$0</w:t>
            </w:r>
          </w:p>
        </w:tc>
        <w:tc>
          <w:tcPr>
            <w:tcW w:w="900" w:type="dxa"/>
            <w:vAlign w:val="bottom"/>
            <w:vMerge w:val="restart"/>
          </w:tcPr>
          <w:p>
            <w:pPr>
              <w:jc w:val="center"/>
              <w:ind w:right="57"/>
              <w:spacing w:after="0"/>
              <w:rPr>
                <w:sz w:val="20"/>
                <w:szCs w:val="20"/>
                <w:color w:val="auto"/>
              </w:rPr>
            </w:pPr>
            <w:r>
              <w:rPr>
                <w:rFonts w:ascii="Arial" w:cs="Arial" w:eastAsia="Arial" w:hAnsi="Arial"/>
                <w:sz w:val="13"/>
                <w:szCs w:val="13"/>
                <w:color w:val="auto"/>
                <w:w w:val="96"/>
              </w:rPr>
              <w:t>$10,200,000</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6"/>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5"/>
              </w:rPr>
              <w:t>$2,814,000</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5"/>
              </w:rPr>
              <w:t>$1,347,991</w:t>
            </w:r>
          </w:p>
        </w:tc>
        <w:tc>
          <w:tcPr>
            <w:tcW w:w="980" w:type="dxa"/>
            <w:vAlign w:val="bottom"/>
            <w:vMerge w:val="restart"/>
          </w:tcPr>
          <w:p>
            <w:pPr>
              <w:jc w:val="center"/>
              <w:ind w:left="97"/>
              <w:spacing w:after="0"/>
              <w:rPr>
                <w:sz w:val="20"/>
                <w:szCs w:val="20"/>
                <w:color w:val="auto"/>
              </w:rPr>
            </w:pPr>
            <w:r>
              <w:rPr>
                <w:rFonts w:ascii="Arial" w:cs="Arial" w:eastAsia="Arial" w:hAnsi="Arial"/>
                <w:sz w:val="13"/>
                <w:szCs w:val="13"/>
                <w:color w:val="auto"/>
                <w:w w:val="97"/>
              </w:rPr>
              <w:t>$84,000</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6"/>
              </w:rPr>
              <w:t>$15,845,991</w:t>
            </w:r>
          </w:p>
        </w:tc>
        <w:tc>
          <w:tcPr>
            <w:tcW w:w="0" w:type="dxa"/>
            <w:vAlign w:val="bottom"/>
          </w:tcPr>
          <w:p>
            <w:pPr>
              <w:spacing w:after="0"/>
              <w:rPr>
                <w:sz w:val="1"/>
                <w:szCs w:val="1"/>
                <w:color w:val="auto"/>
              </w:rPr>
            </w:pPr>
          </w:p>
        </w:tc>
      </w:tr>
      <w:tr>
        <w:trPr>
          <w:trHeight w:val="135"/>
        </w:trPr>
        <w:tc>
          <w:tcPr>
            <w:tcW w:w="1440" w:type="dxa"/>
            <w:vAlign w:val="bottom"/>
          </w:tcPr>
          <w:p>
            <w:pPr>
              <w:ind w:left="40"/>
              <w:spacing w:after="0" w:line="135" w:lineRule="exact"/>
              <w:rPr>
                <w:sz w:val="20"/>
                <w:szCs w:val="20"/>
                <w:color w:val="auto"/>
              </w:rPr>
            </w:pPr>
            <w:r>
              <w:rPr>
                <w:rFonts w:ascii="Arial" w:cs="Arial" w:eastAsia="Arial" w:hAnsi="Arial"/>
                <w:sz w:val="13"/>
                <w:szCs w:val="13"/>
                <w:color w:val="auto"/>
              </w:rPr>
              <w:t>and</w:t>
            </w:r>
          </w:p>
        </w:tc>
        <w:tc>
          <w:tcPr>
            <w:tcW w:w="4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440" w:type="dxa"/>
            <w:vAlign w:val="bottom"/>
          </w:tcPr>
          <w:p>
            <w:pPr>
              <w:ind w:left="40"/>
              <w:spacing w:after="0"/>
              <w:rPr>
                <w:sz w:val="20"/>
                <w:szCs w:val="20"/>
                <w:color w:val="auto"/>
              </w:rPr>
            </w:pPr>
            <w:r>
              <w:rPr>
                <w:rFonts w:ascii="Arial" w:cs="Arial" w:eastAsia="Arial" w:hAnsi="Arial"/>
                <w:sz w:val="13"/>
                <w:szCs w:val="13"/>
                <w:color w:val="auto"/>
              </w:rPr>
              <w:t>Chief Executive Officer</w:t>
            </w:r>
          </w:p>
        </w:tc>
        <w:tc>
          <w:tcPr>
            <w:tcW w:w="440" w:type="dxa"/>
            <w:vAlign w:val="bottom"/>
            <w:vMerge w:val="restart"/>
          </w:tcPr>
          <w:p>
            <w:pPr>
              <w:ind w:left="80"/>
              <w:spacing w:after="0"/>
              <w:rPr>
                <w:sz w:val="20"/>
                <w:szCs w:val="20"/>
                <w:color w:val="auto"/>
              </w:rPr>
            </w:pPr>
            <w:r>
              <w:rPr>
                <w:rFonts w:ascii="Arial" w:cs="Arial" w:eastAsia="Arial" w:hAnsi="Arial"/>
                <w:sz w:val="13"/>
                <w:szCs w:val="13"/>
                <w:color w:val="auto"/>
              </w:rPr>
              <w:t>2016</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460" w:type="dxa"/>
            <w:vAlign w:val="bottom"/>
            <w:vMerge w:val="restart"/>
          </w:tcPr>
          <w:p>
            <w:pPr>
              <w:ind w:left="140"/>
              <w:spacing w:after="0"/>
              <w:rPr>
                <w:sz w:val="20"/>
                <w:szCs w:val="20"/>
                <w:color w:val="auto"/>
              </w:rPr>
            </w:pPr>
            <w:r>
              <w:rPr>
                <w:rFonts w:ascii="Arial" w:cs="Arial" w:eastAsia="Arial" w:hAnsi="Arial"/>
                <w:sz w:val="13"/>
                <w:szCs w:val="13"/>
                <w:color w:val="auto"/>
              </w:rPr>
              <w:t>N/A</w:t>
            </w:r>
          </w:p>
        </w:tc>
        <w:tc>
          <w:tcPr>
            <w:tcW w:w="900" w:type="dxa"/>
            <w:vAlign w:val="bottom"/>
            <w:vMerge w:val="restart"/>
          </w:tcPr>
          <w:p>
            <w:pPr>
              <w:jc w:val="center"/>
              <w:ind w:right="37"/>
              <w:spacing w:after="0"/>
              <w:rPr>
                <w:sz w:val="20"/>
                <w:szCs w:val="20"/>
                <w:color w:val="auto"/>
              </w:rPr>
            </w:pPr>
            <w:r>
              <w:rPr>
                <w:rFonts w:ascii="Arial" w:cs="Arial" w:eastAsia="Arial" w:hAnsi="Arial"/>
                <w:sz w:val="13"/>
                <w:szCs w:val="13"/>
                <w:color w:val="auto"/>
                <w:w w:val="92"/>
              </w:rPr>
              <w:t>N/A</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2"/>
              </w:rPr>
              <w:t>N/A</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980" w:type="dxa"/>
            <w:vAlign w:val="bottom"/>
            <w:vMerge w:val="restart"/>
          </w:tcPr>
          <w:p>
            <w:pPr>
              <w:jc w:val="center"/>
              <w:ind w:left="77"/>
              <w:spacing w:after="0"/>
              <w:rPr>
                <w:sz w:val="20"/>
                <w:szCs w:val="20"/>
                <w:color w:val="auto"/>
              </w:rPr>
            </w:pPr>
            <w:r>
              <w:rPr>
                <w:rFonts w:ascii="Arial" w:cs="Arial" w:eastAsia="Arial" w:hAnsi="Arial"/>
                <w:sz w:val="13"/>
                <w:szCs w:val="13"/>
                <w:color w:val="auto"/>
                <w:w w:val="92"/>
              </w:rPr>
              <w:t>N/A</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2"/>
              </w:rPr>
              <w:t>N/A</w:t>
            </w:r>
          </w:p>
        </w:tc>
        <w:tc>
          <w:tcPr>
            <w:tcW w:w="0" w:type="dxa"/>
            <w:vAlign w:val="bottom"/>
          </w:tcPr>
          <w:p>
            <w:pPr>
              <w:spacing w:after="0"/>
              <w:rPr>
                <w:sz w:val="1"/>
                <w:szCs w:val="1"/>
                <w:color w:val="auto"/>
              </w:rPr>
            </w:pPr>
          </w:p>
        </w:tc>
      </w:tr>
      <w:tr>
        <w:trPr>
          <w:trHeight w:val="89"/>
        </w:trPr>
        <w:tc>
          <w:tcPr>
            <w:tcW w:w="1440" w:type="dxa"/>
            <w:vAlign w:val="bottom"/>
            <w:tcBorders>
              <w:bottom w:val="single" w:sz="8" w:color="C8C9CB"/>
            </w:tcBorders>
          </w:tcPr>
          <w:p>
            <w:pPr>
              <w:spacing w:after="0"/>
              <w:rPr>
                <w:sz w:val="7"/>
                <w:szCs w:val="7"/>
                <w:color w:val="auto"/>
              </w:rPr>
            </w:pPr>
          </w:p>
        </w:tc>
        <w:tc>
          <w:tcPr>
            <w:tcW w:w="440" w:type="dxa"/>
            <w:vAlign w:val="bottom"/>
            <w:tcBorders>
              <w:bottom w:val="single" w:sz="8" w:color="C8C9CB"/>
            </w:tcBorders>
            <w:vMerge w:val="continue"/>
          </w:tcPr>
          <w:p>
            <w:pPr>
              <w:spacing w:after="0"/>
              <w:rPr>
                <w:sz w:val="7"/>
                <w:szCs w:val="7"/>
                <w:color w:val="auto"/>
              </w:rPr>
            </w:pPr>
          </w:p>
        </w:tc>
        <w:tc>
          <w:tcPr>
            <w:tcW w:w="740" w:type="dxa"/>
            <w:vAlign w:val="bottom"/>
            <w:tcBorders>
              <w:bottom w:val="single" w:sz="8" w:color="C8C9CB"/>
            </w:tcBorders>
            <w:vMerge w:val="continue"/>
          </w:tcPr>
          <w:p>
            <w:pPr>
              <w:spacing w:after="0"/>
              <w:rPr>
                <w:sz w:val="7"/>
                <w:szCs w:val="7"/>
                <w:color w:val="auto"/>
              </w:rPr>
            </w:pPr>
          </w:p>
        </w:tc>
        <w:tc>
          <w:tcPr>
            <w:tcW w:w="460" w:type="dxa"/>
            <w:vAlign w:val="bottom"/>
            <w:tcBorders>
              <w:bottom w:val="single" w:sz="8" w:color="C8C9CB"/>
            </w:tcBorders>
            <w:vMerge w:val="continue"/>
          </w:tcPr>
          <w:p>
            <w:pPr>
              <w:spacing w:after="0"/>
              <w:rPr>
                <w:sz w:val="7"/>
                <w:szCs w:val="7"/>
                <w:color w:val="auto"/>
              </w:rPr>
            </w:pPr>
          </w:p>
        </w:tc>
        <w:tc>
          <w:tcPr>
            <w:tcW w:w="900" w:type="dxa"/>
            <w:vAlign w:val="bottom"/>
            <w:tcBorders>
              <w:bottom w:val="single" w:sz="8" w:color="C8C9CB"/>
            </w:tcBorders>
            <w:vMerge w:val="continue"/>
          </w:tcPr>
          <w:p>
            <w:pPr>
              <w:spacing w:after="0"/>
              <w:rPr>
                <w:sz w:val="7"/>
                <w:szCs w:val="7"/>
                <w:color w:val="auto"/>
              </w:rPr>
            </w:pPr>
          </w:p>
        </w:tc>
        <w:tc>
          <w:tcPr>
            <w:tcW w:w="720" w:type="dxa"/>
            <w:vAlign w:val="bottom"/>
            <w:tcBorders>
              <w:bottom w:val="single" w:sz="8" w:color="C8C9CB"/>
            </w:tcBorders>
            <w:vMerge w:val="continue"/>
          </w:tcPr>
          <w:p>
            <w:pPr>
              <w:spacing w:after="0"/>
              <w:rPr>
                <w:sz w:val="7"/>
                <w:szCs w:val="7"/>
                <w:color w:val="auto"/>
              </w:rPr>
            </w:pPr>
          </w:p>
        </w:tc>
        <w:tc>
          <w:tcPr>
            <w:tcW w:w="960" w:type="dxa"/>
            <w:vAlign w:val="bottom"/>
            <w:tcBorders>
              <w:bottom w:val="single" w:sz="8" w:color="C8C9CB"/>
            </w:tcBorders>
            <w:vMerge w:val="continue"/>
          </w:tcPr>
          <w:p>
            <w:pPr>
              <w:spacing w:after="0"/>
              <w:rPr>
                <w:sz w:val="7"/>
                <w:szCs w:val="7"/>
                <w:color w:val="auto"/>
              </w:rPr>
            </w:pPr>
          </w:p>
        </w:tc>
        <w:tc>
          <w:tcPr>
            <w:tcW w:w="1040" w:type="dxa"/>
            <w:vAlign w:val="bottom"/>
            <w:tcBorders>
              <w:bottom w:val="single" w:sz="8" w:color="C8C9CB"/>
            </w:tcBorders>
            <w:vMerge w:val="continue"/>
          </w:tcPr>
          <w:p>
            <w:pPr>
              <w:spacing w:after="0"/>
              <w:rPr>
                <w:sz w:val="7"/>
                <w:szCs w:val="7"/>
                <w:color w:val="auto"/>
              </w:rPr>
            </w:pPr>
          </w:p>
        </w:tc>
        <w:tc>
          <w:tcPr>
            <w:tcW w:w="980" w:type="dxa"/>
            <w:vAlign w:val="bottom"/>
            <w:tcBorders>
              <w:bottom w:val="single" w:sz="8" w:color="C8C9CB"/>
            </w:tcBorders>
            <w:vMerge w:val="continue"/>
          </w:tcPr>
          <w:p>
            <w:pPr>
              <w:spacing w:after="0"/>
              <w:rPr>
                <w:sz w:val="7"/>
                <w:szCs w:val="7"/>
                <w:color w:val="auto"/>
              </w:rPr>
            </w:pPr>
          </w:p>
        </w:tc>
        <w:tc>
          <w:tcPr>
            <w:tcW w:w="980" w:type="dxa"/>
            <w:vAlign w:val="bottom"/>
            <w:tcBorders>
              <w:bottom w:val="single" w:sz="8" w:color="C8C9CB"/>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440" w:type="dxa"/>
            <w:vAlign w:val="bottom"/>
            <w:shd w:val="clear" w:color="auto" w:fill="F4F6F6"/>
          </w:tcPr>
          <w:p>
            <w:pPr>
              <w:ind w:left="40"/>
              <w:spacing w:after="0"/>
              <w:rPr>
                <w:sz w:val="20"/>
                <w:szCs w:val="20"/>
                <w:color w:val="auto"/>
              </w:rPr>
            </w:pPr>
            <w:r>
              <w:rPr>
                <w:rFonts w:ascii="Arial" w:cs="Arial" w:eastAsia="Arial" w:hAnsi="Arial"/>
                <w:sz w:val="14"/>
                <w:szCs w:val="14"/>
                <w:color w:val="auto"/>
              </w:rPr>
              <w:t>Joshua L. Smiley</w:t>
            </w:r>
          </w:p>
        </w:tc>
        <w:tc>
          <w:tcPr>
            <w:tcW w:w="440" w:type="dxa"/>
            <w:vAlign w:val="bottom"/>
            <w:shd w:val="clear" w:color="auto" w:fill="F4F6F6"/>
          </w:tcPr>
          <w:p>
            <w:pPr>
              <w:ind w:left="80"/>
              <w:spacing w:after="0"/>
              <w:rPr>
                <w:sz w:val="20"/>
                <w:szCs w:val="20"/>
                <w:color w:val="auto"/>
              </w:rPr>
            </w:pPr>
            <w:r>
              <w:rPr>
                <w:rFonts w:ascii="Arial" w:cs="Arial" w:eastAsia="Arial" w:hAnsi="Arial"/>
                <w:sz w:val="13"/>
                <w:szCs w:val="13"/>
                <w:color w:val="auto"/>
              </w:rPr>
              <w:t>2018</w:t>
            </w:r>
          </w:p>
        </w:tc>
        <w:tc>
          <w:tcPr>
            <w:tcW w:w="7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9"/>
              </w:rPr>
              <w:t>$875,000</w:t>
            </w:r>
          </w:p>
        </w:tc>
        <w:tc>
          <w:tcPr>
            <w:tcW w:w="460" w:type="dxa"/>
            <w:vAlign w:val="bottom"/>
            <w:shd w:val="clear" w:color="auto" w:fill="F4F6F6"/>
          </w:tcPr>
          <w:p>
            <w:pPr>
              <w:ind w:left="160"/>
              <w:spacing w:after="0"/>
              <w:rPr>
                <w:sz w:val="20"/>
                <w:szCs w:val="20"/>
                <w:color w:val="auto"/>
              </w:rPr>
            </w:pPr>
            <w:r>
              <w:rPr>
                <w:rFonts w:ascii="Arial" w:cs="Arial" w:eastAsia="Arial" w:hAnsi="Arial"/>
                <w:sz w:val="13"/>
                <w:szCs w:val="13"/>
                <w:color w:val="auto"/>
              </w:rPr>
              <w:t>$0</w:t>
            </w:r>
          </w:p>
        </w:tc>
        <w:tc>
          <w:tcPr>
            <w:tcW w:w="900" w:type="dxa"/>
            <w:vAlign w:val="bottom"/>
            <w:shd w:val="clear" w:color="auto" w:fill="F4F6F6"/>
          </w:tcPr>
          <w:p>
            <w:pPr>
              <w:jc w:val="center"/>
              <w:ind w:right="37"/>
              <w:spacing w:after="0"/>
              <w:rPr>
                <w:sz w:val="20"/>
                <w:szCs w:val="20"/>
                <w:color w:val="auto"/>
              </w:rPr>
            </w:pPr>
            <w:r>
              <w:rPr>
                <w:rFonts w:ascii="Arial" w:cs="Arial" w:eastAsia="Arial" w:hAnsi="Arial"/>
                <w:sz w:val="13"/>
                <w:szCs w:val="13"/>
                <w:color w:val="auto"/>
                <w:w w:val="98"/>
              </w:rPr>
              <w:t>$2,704,800</w:t>
            </w:r>
          </w:p>
        </w:tc>
        <w:tc>
          <w:tcPr>
            <w:tcW w:w="72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9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5"/>
              </w:rPr>
              <w:t>$1,438,063</w:t>
            </w:r>
          </w:p>
        </w:tc>
        <w:tc>
          <w:tcPr>
            <w:tcW w:w="10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9"/>
              </w:rPr>
              <w:t>$174,980</w:t>
            </w:r>
          </w:p>
        </w:tc>
        <w:tc>
          <w:tcPr>
            <w:tcW w:w="980" w:type="dxa"/>
            <w:vAlign w:val="bottom"/>
            <w:shd w:val="clear" w:color="auto" w:fill="F4F6F6"/>
          </w:tcPr>
          <w:p>
            <w:pPr>
              <w:jc w:val="center"/>
              <w:ind w:left="97"/>
              <w:spacing w:after="0"/>
              <w:rPr>
                <w:sz w:val="20"/>
                <w:szCs w:val="20"/>
                <w:color w:val="auto"/>
              </w:rPr>
            </w:pPr>
            <w:r>
              <w:rPr>
                <w:rFonts w:ascii="Arial" w:cs="Arial" w:eastAsia="Arial" w:hAnsi="Arial"/>
                <w:sz w:val="13"/>
                <w:szCs w:val="13"/>
                <w:color w:val="auto"/>
                <w:w w:val="97"/>
              </w:rPr>
              <w:t>$52,500</w:t>
            </w:r>
          </w:p>
        </w:tc>
        <w:tc>
          <w:tcPr>
            <w:tcW w:w="98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8"/>
              </w:rPr>
              <w:t>$5,245,343</w:t>
            </w:r>
          </w:p>
        </w:tc>
        <w:tc>
          <w:tcPr>
            <w:tcW w:w="0" w:type="dxa"/>
            <w:vAlign w:val="bottom"/>
          </w:tcPr>
          <w:p>
            <w:pPr>
              <w:spacing w:after="0"/>
              <w:rPr>
                <w:sz w:val="1"/>
                <w:szCs w:val="1"/>
                <w:color w:val="auto"/>
              </w:rPr>
            </w:pPr>
          </w:p>
        </w:tc>
      </w:tr>
      <w:tr>
        <w:trPr>
          <w:trHeight w:val="148"/>
        </w:trPr>
        <w:tc>
          <w:tcPr>
            <w:tcW w:w="1440" w:type="dxa"/>
            <w:vAlign w:val="bottom"/>
            <w:shd w:val="clear" w:color="auto" w:fill="F4F6F6"/>
          </w:tcPr>
          <w:p>
            <w:pPr>
              <w:ind w:left="40"/>
              <w:spacing w:after="0" w:line="148" w:lineRule="exact"/>
              <w:rPr>
                <w:sz w:val="20"/>
                <w:szCs w:val="20"/>
                <w:color w:val="auto"/>
              </w:rPr>
            </w:pPr>
            <w:r>
              <w:rPr>
                <w:rFonts w:ascii="Arial" w:cs="Arial" w:eastAsia="Arial" w:hAnsi="Arial"/>
                <w:sz w:val="13"/>
                <w:szCs w:val="13"/>
                <w:color w:val="auto"/>
              </w:rPr>
              <w:t>Senior Vice President</w:t>
            </w:r>
          </w:p>
        </w:tc>
        <w:tc>
          <w:tcPr>
            <w:tcW w:w="440" w:type="dxa"/>
            <w:vAlign w:val="bottom"/>
            <w:vMerge w:val="restart"/>
            <w:shd w:val="clear" w:color="auto" w:fill="F4F6F6"/>
          </w:tcPr>
          <w:p>
            <w:pPr>
              <w:ind w:left="80"/>
              <w:spacing w:after="0"/>
              <w:rPr>
                <w:sz w:val="20"/>
                <w:szCs w:val="20"/>
                <w:color w:val="auto"/>
              </w:rPr>
            </w:pPr>
            <w:r>
              <w:rPr>
                <w:rFonts w:ascii="Arial" w:cs="Arial" w:eastAsia="Arial" w:hAnsi="Arial"/>
                <w:sz w:val="13"/>
                <w:szCs w:val="13"/>
                <w:color w:val="auto"/>
              </w:rPr>
              <w:t>2017</w:t>
            </w:r>
          </w:p>
        </w:tc>
        <w:tc>
          <w:tcPr>
            <w:tcW w:w="7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460" w:type="dxa"/>
            <w:vAlign w:val="bottom"/>
            <w:vMerge w:val="restart"/>
            <w:shd w:val="clear" w:color="auto" w:fill="F4F6F6"/>
          </w:tcPr>
          <w:p>
            <w:pPr>
              <w:ind w:left="140"/>
              <w:spacing w:after="0"/>
              <w:rPr>
                <w:sz w:val="20"/>
                <w:szCs w:val="20"/>
                <w:color w:val="auto"/>
              </w:rPr>
            </w:pPr>
            <w:r>
              <w:rPr>
                <w:rFonts w:ascii="Arial" w:cs="Arial" w:eastAsia="Arial" w:hAnsi="Arial"/>
                <w:sz w:val="13"/>
                <w:szCs w:val="13"/>
                <w:color w:val="auto"/>
              </w:rPr>
              <w:t>N/A</w:t>
            </w:r>
          </w:p>
        </w:tc>
        <w:tc>
          <w:tcPr>
            <w:tcW w:w="900" w:type="dxa"/>
            <w:vAlign w:val="bottom"/>
            <w:vMerge w:val="restart"/>
            <w:shd w:val="clear" w:color="auto" w:fill="F4F6F6"/>
          </w:tcPr>
          <w:p>
            <w:pPr>
              <w:jc w:val="center"/>
              <w:ind w:right="37"/>
              <w:spacing w:after="0"/>
              <w:rPr>
                <w:sz w:val="20"/>
                <w:szCs w:val="20"/>
                <w:color w:val="auto"/>
              </w:rPr>
            </w:pPr>
            <w:r>
              <w:rPr>
                <w:rFonts w:ascii="Arial" w:cs="Arial" w:eastAsia="Arial" w:hAnsi="Arial"/>
                <w:sz w:val="13"/>
                <w:szCs w:val="13"/>
                <w:color w:val="auto"/>
                <w:w w:val="92"/>
              </w:rPr>
              <w:t>N/A</w:t>
            </w:r>
          </w:p>
        </w:tc>
        <w:tc>
          <w:tcPr>
            <w:tcW w:w="7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2"/>
              </w:rPr>
              <w:t>N/A</w:t>
            </w:r>
          </w:p>
        </w:tc>
        <w:tc>
          <w:tcPr>
            <w:tcW w:w="9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10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980" w:type="dxa"/>
            <w:vAlign w:val="bottom"/>
            <w:vMerge w:val="restart"/>
            <w:shd w:val="clear" w:color="auto" w:fill="F4F6F6"/>
          </w:tcPr>
          <w:p>
            <w:pPr>
              <w:jc w:val="center"/>
              <w:ind w:left="77"/>
              <w:spacing w:after="0"/>
              <w:rPr>
                <w:sz w:val="20"/>
                <w:szCs w:val="20"/>
                <w:color w:val="auto"/>
              </w:rPr>
            </w:pPr>
            <w:r>
              <w:rPr>
                <w:rFonts w:ascii="Arial" w:cs="Arial" w:eastAsia="Arial" w:hAnsi="Arial"/>
                <w:sz w:val="13"/>
                <w:szCs w:val="13"/>
                <w:color w:val="auto"/>
                <w:w w:val="92"/>
              </w:rPr>
              <w:t>N/A</w:t>
            </w:r>
          </w:p>
        </w:tc>
        <w:tc>
          <w:tcPr>
            <w:tcW w:w="9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2"/>
              </w:rPr>
              <w:t>N/A</w:t>
            </w:r>
          </w:p>
        </w:tc>
        <w:tc>
          <w:tcPr>
            <w:tcW w:w="0" w:type="dxa"/>
            <w:vAlign w:val="bottom"/>
          </w:tcPr>
          <w:p>
            <w:pPr>
              <w:spacing w:after="0"/>
              <w:rPr>
                <w:sz w:val="1"/>
                <w:szCs w:val="1"/>
                <w:color w:val="auto"/>
              </w:rPr>
            </w:pPr>
          </w:p>
        </w:tc>
      </w:tr>
      <w:tr>
        <w:trPr>
          <w:trHeight w:val="135"/>
        </w:trPr>
        <w:tc>
          <w:tcPr>
            <w:tcW w:w="1440" w:type="dxa"/>
            <w:vAlign w:val="bottom"/>
            <w:shd w:val="clear" w:color="auto" w:fill="F4F6F6"/>
          </w:tcPr>
          <w:p>
            <w:pPr>
              <w:ind w:left="40"/>
              <w:spacing w:after="0" w:line="135" w:lineRule="exact"/>
              <w:rPr>
                <w:sz w:val="20"/>
                <w:szCs w:val="20"/>
                <w:color w:val="auto"/>
              </w:rPr>
            </w:pPr>
            <w:r>
              <w:rPr>
                <w:rFonts w:ascii="Arial" w:cs="Arial" w:eastAsia="Arial" w:hAnsi="Arial"/>
                <w:sz w:val="13"/>
                <w:szCs w:val="13"/>
                <w:color w:val="auto"/>
              </w:rPr>
              <w:t>and</w:t>
            </w:r>
          </w:p>
        </w:tc>
        <w:tc>
          <w:tcPr>
            <w:tcW w:w="440" w:type="dxa"/>
            <w:vAlign w:val="bottom"/>
            <w:vMerge w:val="continue"/>
            <w:shd w:val="clear" w:color="auto" w:fill="F4F6F6"/>
          </w:tcPr>
          <w:p>
            <w:pPr>
              <w:spacing w:after="0"/>
              <w:rPr>
                <w:sz w:val="11"/>
                <w:szCs w:val="11"/>
                <w:color w:val="auto"/>
              </w:rPr>
            </w:pPr>
          </w:p>
        </w:tc>
        <w:tc>
          <w:tcPr>
            <w:tcW w:w="740" w:type="dxa"/>
            <w:vAlign w:val="bottom"/>
            <w:vMerge w:val="continue"/>
            <w:shd w:val="clear" w:color="auto" w:fill="F4F6F6"/>
          </w:tcPr>
          <w:p>
            <w:pPr>
              <w:spacing w:after="0"/>
              <w:rPr>
                <w:sz w:val="11"/>
                <w:szCs w:val="11"/>
                <w:color w:val="auto"/>
              </w:rPr>
            </w:pPr>
          </w:p>
        </w:tc>
        <w:tc>
          <w:tcPr>
            <w:tcW w:w="460" w:type="dxa"/>
            <w:vAlign w:val="bottom"/>
            <w:vMerge w:val="continue"/>
            <w:shd w:val="clear" w:color="auto" w:fill="F4F6F6"/>
          </w:tcPr>
          <w:p>
            <w:pPr>
              <w:spacing w:after="0"/>
              <w:rPr>
                <w:sz w:val="11"/>
                <w:szCs w:val="11"/>
                <w:color w:val="auto"/>
              </w:rPr>
            </w:pPr>
          </w:p>
        </w:tc>
        <w:tc>
          <w:tcPr>
            <w:tcW w:w="900" w:type="dxa"/>
            <w:vAlign w:val="bottom"/>
            <w:vMerge w:val="continue"/>
            <w:shd w:val="clear" w:color="auto" w:fill="F4F6F6"/>
          </w:tcPr>
          <w:p>
            <w:pPr>
              <w:spacing w:after="0"/>
              <w:rPr>
                <w:sz w:val="11"/>
                <w:szCs w:val="11"/>
                <w:color w:val="auto"/>
              </w:rPr>
            </w:pPr>
          </w:p>
        </w:tc>
        <w:tc>
          <w:tcPr>
            <w:tcW w:w="720" w:type="dxa"/>
            <w:vAlign w:val="bottom"/>
            <w:vMerge w:val="continue"/>
            <w:shd w:val="clear" w:color="auto" w:fill="F4F6F6"/>
          </w:tcPr>
          <w:p>
            <w:pPr>
              <w:spacing w:after="0"/>
              <w:rPr>
                <w:sz w:val="11"/>
                <w:szCs w:val="11"/>
                <w:color w:val="auto"/>
              </w:rPr>
            </w:pPr>
          </w:p>
        </w:tc>
        <w:tc>
          <w:tcPr>
            <w:tcW w:w="960" w:type="dxa"/>
            <w:vAlign w:val="bottom"/>
            <w:vMerge w:val="continue"/>
            <w:shd w:val="clear" w:color="auto" w:fill="F4F6F6"/>
          </w:tcPr>
          <w:p>
            <w:pPr>
              <w:spacing w:after="0"/>
              <w:rPr>
                <w:sz w:val="11"/>
                <w:szCs w:val="11"/>
                <w:color w:val="auto"/>
              </w:rPr>
            </w:pPr>
          </w:p>
        </w:tc>
        <w:tc>
          <w:tcPr>
            <w:tcW w:w="1040" w:type="dxa"/>
            <w:vAlign w:val="bottom"/>
            <w:vMerge w:val="continue"/>
            <w:shd w:val="clear" w:color="auto" w:fill="F4F6F6"/>
          </w:tcPr>
          <w:p>
            <w:pPr>
              <w:spacing w:after="0"/>
              <w:rPr>
                <w:sz w:val="11"/>
                <w:szCs w:val="11"/>
                <w:color w:val="auto"/>
              </w:rPr>
            </w:pPr>
          </w:p>
        </w:tc>
        <w:tc>
          <w:tcPr>
            <w:tcW w:w="980" w:type="dxa"/>
            <w:vAlign w:val="bottom"/>
            <w:vMerge w:val="continue"/>
            <w:shd w:val="clear" w:color="auto" w:fill="F4F6F6"/>
          </w:tcPr>
          <w:p>
            <w:pPr>
              <w:spacing w:after="0"/>
              <w:rPr>
                <w:sz w:val="11"/>
                <w:szCs w:val="11"/>
                <w:color w:val="auto"/>
              </w:rPr>
            </w:pPr>
          </w:p>
        </w:tc>
        <w:tc>
          <w:tcPr>
            <w:tcW w:w="980" w:type="dxa"/>
            <w:vAlign w:val="bottom"/>
            <w:vMerge w:val="continue"/>
            <w:shd w:val="clear" w:color="auto" w:fill="F4F6F6"/>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440" w:type="dxa"/>
            <w:vAlign w:val="bottom"/>
            <w:shd w:val="clear" w:color="auto" w:fill="F4F6F6"/>
          </w:tcPr>
          <w:p>
            <w:pPr>
              <w:ind w:left="40"/>
              <w:spacing w:after="0"/>
              <w:rPr>
                <w:sz w:val="20"/>
                <w:szCs w:val="20"/>
                <w:color w:val="auto"/>
              </w:rPr>
            </w:pPr>
            <w:r>
              <w:rPr>
                <w:rFonts w:ascii="Arial" w:cs="Arial" w:eastAsia="Arial" w:hAnsi="Arial"/>
                <w:sz w:val="13"/>
                <w:szCs w:val="13"/>
                <w:color w:val="auto"/>
              </w:rPr>
              <w:t>Chief Financial Officer</w:t>
            </w:r>
          </w:p>
        </w:tc>
        <w:tc>
          <w:tcPr>
            <w:tcW w:w="440" w:type="dxa"/>
            <w:vAlign w:val="bottom"/>
            <w:vMerge w:val="restart"/>
            <w:shd w:val="clear" w:color="auto" w:fill="F4F6F6"/>
          </w:tcPr>
          <w:p>
            <w:pPr>
              <w:ind w:left="80"/>
              <w:spacing w:after="0"/>
              <w:rPr>
                <w:sz w:val="20"/>
                <w:szCs w:val="20"/>
                <w:color w:val="auto"/>
              </w:rPr>
            </w:pPr>
            <w:r>
              <w:rPr>
                <w:rFonts w:ascii="Arial" w:cs="Arial" w:eastAsia="Arial" w:hAnsi="Arial"/>
                <w:sz w:val="13"/>
                <w:szCs w:val="13"/>
                <w:color w:val="auto"/>
              </w:rPr>
              <w:t>2016</w:t>
            </w:r>
          </w:p>
        </w:tc>
        <w:tc>
          <w:tcPr>
            <w:tcW w:w="7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460" w:type="dxa"/>
            <w:vAlign w:val="bottom"/>
            <w:vMerge w:val="restart"/>
            <w:shd w:val="clear" w:color="auto" w:fill="F4F6F6"/>
          </w:tcPr>
          <w:p>
            <w:pPr>
              <w:ind w:left="140"/>
              <w:spacing w:after="0"/>
              <w:rPr>
                <w:sz w:val="20"/>
                <w:szCs w:val="20"/>
                <w:color w:val="auto"/>
              </w:rPr>
            </w:pPr>
            <w:r>
              <w:rPr>
                <w:rFonts w:ascii="Arial" w:cs="Arial" w:eastAsia="Arial" w:hAnsi="Arial"/>
                <w:sz w:val="13"/>
                <w:szCs w:val="13"/>
                <w:color w:val="auto"/>
              </w:rPr>
              <w:t>N/A</w:t>
            </w:r>
          </w:p>
        </w:tc>
        <w:tc>
          <w:tcPr>
            <w:tcW w:w="900" w:type="dxa"/>
            <w:vAlign w:val="bottom"/>
            <w:vMerge w:val="restart"/>
            <w:shd w:val="clear" w:color="auto" w:fill="F4F6F6"/>
          </w:tcPr>
          <w:p>
            <w:pPr>
              <w:jc w:val="center"/>
              <w:ind w:right="37"/>
              <w:spacing w:after="0"/>
              <w:rPr>
                <w:sz w:val="20"/>
                <w:szCs w:val="20"/>
                <w:color w:val="auto"/>
              </w:rPr>
            </w:pPr>
            <w:r>
              <w:rPr>
                <w:rFonts w:ascii="Arial" w:cs="Arial" w:eastAsia="Arial" w:hAnsi="Arial"/>
                <w:sz w:val="13"/>
                <w:szCs w:val="13"/>
                <w:color w:val="auto"/>
                <w:w w:val="92"/>
              </w:rPr>
              <w:t>N/A</w:t>
            </w:r>
          </w:p>
        </w:tc>
        <w:tc>
          <w:tcPr>
            <w:tcW w:w="7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2"/>
              </w:rPr>
              <w:t>N/A</w:t>
            </w:r>
          </w:p>
        </w:tc>
        <w:tc>
          <w:tcPr>
            <w:tcW w:w="9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10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980" w:type="dxa"/>
            <w:vAlign w:val="bottom"/>
            <w:vMerge w:val="restart"/>
            <w:shd w:val="clear" w:color="auto" w:fill="F4F6F6"/>
          </w:tcPr>
          <w:p>
            <w:pPr>
              <w:jc w:val="center"/>
              <w:ind w:left="77"/>
              <w:spacing w:after="0"/>
              <w:rPr>
                <w:sz w:val="20"/>
                <w:szCs w:val="20"/>
                <w:color w:val="auto"/>
              </w:rPr>
            </w:pPr>
            <w:r>
              <w:rPr>
                <w:rFonts w:ascii="Arial" w:cs="Arial" w:eastAsia="Arial" w:hAnsi="Arial"/>
                <w:sz w:val="13"/>
                <w:szCs w:val="13"/>
                <w:color w:val="auto"/>
                <w:w w:val="92"/>
              </w:rPr>
              <w:t>N/A</w:t>
            </w:r>
          </w:p>
        </w:tc>
        <w:tc>
          <w:tcPr>
            <w:tcW w:w="9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2"/>
              </w:rPr>
              <w:t>N/A</w:t>
            </w:r>
          </w:p>
        </w:tc>
        <w:tc>
          <w:tcPr>
            <w:tcW w:w="0" w:type="dxa"/>
            <w:vAlign w:val="bottom"/>
          </w:tcPr>
          <w:p>
            <w:pPr>
              <w:spacing w:after="0"/>
              <w:rPr>
                <w:sz w:val="1"/>
                <w:szCs w:val="1"/>
                <w:color w:val="auto"/>
              </w:rPr>
            </w:pPr>
          </w:p>
        </w:tc>
      </w:tr>
      <w:tr>
        <w:trPr>
          <w:trHeight w:val="89"/>
        </w:trPr>
        <w:tc>
          <w:tcPr>
            <w:tcW w:w="1440" w:type="dxa"/>
            <w:vAlign w:val="bottom"/>
            <w:tcBorders>
              <w:bottom w:val="single" w:sz="8" w:color="C8C9CB"/>
            </w:tcBorders>
            <w:shd w:val="clear" w:color="auto" w:fill="F4F6F6"/>
          </w:tcPr>
          <w:p>
            <w:pPr>
              <w:spacing w:after="0"/>
              <w:rPr>
                <w:sz w:val="7"/>
                <w:szCs w:val="7"/>
                <w:color w:val="auto"/>
              </w:rPr>
            </w:pPr>
          </w:p>
        </w:tc>
        <w:tc>
          <w:tcPr>
            <w:tcW w:w="440" w:type="dxa"/>
            <w:vAlign w:val="bottom"/>
            <w:tcBorders>
              <w:bottom w:val="single" w:sz="8" w:color="C8C9CB"/>
            </w:tcBorders>
            <w:vMerge w:val="continue"/>
            <w:shd w:val="clear" w:color="auto" w:fill="F4F6F6"/>
          </w:tcPr>
          <w:p>
            <w:pPr>
              <w:spacing w:after="0"/>
              <w:rPr>
                <w:sz w:val="7"/>
                <w:szCs w:val="7"/>
                <w:color w:val="auto"/>
              </w:rPr>
            </w:pPr>
          </w:p>
        </w:tc>
        <w:tc>
          <w:tcPr>
            <w:tcW w:w="740" w:type="dxa"/>
            <w:vAlign w:val="bottom"/>
            <w:tcBorders>
              <w:bottom w:val="single" w:sz="8" w:color="C8C9CB"/>
            </w:tcBorders>
            <w:vMerge w:val="continue"/>
            <w:shd w:val="clear" w:color="auto" w:fill="F4F6F6"/>
          </w:tcPr>
          <w:p>
            <w:pPr>
              <w:spacing w:after="0"/>
              <w:rPr>
                <w:sz w:val="7"/>
                <w:szCs w:val="7"/>
                <w:color w:val="auto"/>
              </w:rPr>
            </w:pPr>
          </w:p>
        </w:tc>
        <w:tc>
          <w:tcPr>
            <w:tcW w:w="460" w:type="dxa"/>
            <w:vAlign w:val="bottom"/>
            <w:tcBorders>
              <w:bottom w:val="single" w:sz="8" w:color="C8C9CB"/>
            </w:tcBorders>
            <w:vMerge w:val="continue"/>
            <w:shd w:val="clear" w:color="auto" w:fill="F4F6F6"/>
          </w:tcPr>
          <w:p>
            <w:pPr>
              <w:spacing w:after="0"/>
              <w:rPr>
                <w:sz w:val="7"/>
                <w:szCs w:val="7"/>
                <w:color w:val="auto"/>
              </w:rPr>
            </w:pPr>
          </w:p>
        </w:tc>
        <w:tc>
          <w:tcPr>
            <w:tcW w:w="900" w:type="dxa"/>
            <w:vAlign w:val="bottom"/>
            <w:tcBorders>
              <w:bottom w:val="single" w:sz="8" w:color="C8C9CB"/>
            </w:tcBorders>
            <w:vMerge w:val="continue"/>
            <w:shd w:val="clear" w:color="auto" w:fill="F4F6F6"/>
          </w:tcPr>
          <w:p>
            <w:pPr>
              <w:spacing w:after="0"/>
              <w:rPr>
                <w:sz w:val="7"/>
                <w:szCs w:val="7"/>
                <w:color w:val="auto"/>
              </w:rPr>
            </w:pPr>
          </w:p>
        </w:tc>
        <w:tc>
          <w:tcPr>
            <w:tcW w:w="720" w:type="dxa"/>
            <w:vAlign w:val="bottom"/>
            <w:tcBorders>
              <w:bottom w:val="single" w:sz="8" w:color="C8C9CB"/>
            </w:tcBorders>
            <w:vMerge w:val="continue"/>
            <w:shd w:val="clear" w:color="auto" w:fill="F4F6F6"/>
          </w:tcPr>
          <w:p>
            <w:pPr>
              <w:spacing w:after="0"/>
              <w:rPr>
                <w:sz w:val="7"/>
                <w:szCs w:val="7"/>
                <w:color w:val="auto"/>
              </w:rPr>
            </w:pPr>
          </w:p>
        </w:tc>
        <w:tc>
          <w:tcPr>
            <w:tcW w:w="960" w:type="dxa"/>
            <w:vAlign w:val="bottom"/>
            <w:tcBorders>
              <w:bottom w:val="single" w:sz="8" w:color="C8C9CB"/>
            </w:tcBorders>
            <w:vMerge w:val="continue"/>
            <w:shd w:val="clear" w:color="auto" w:fill="F4F6F6"/>
          </w:tcPr>
          <w:p>
            <w:pPr>
              <w:spacing w:after="0"/>
              <w:rPr>
                <w:sz w:val="7"/>
                <w:szCs w:val="7"/>
                <w:color w:val="auto"/>
              </w:rPr>
            </w:pPr>
          </w:p>
        </w:tc>
        <w:tc>
          <w:tcPr>
            <w:tcW w:w="1040" w:type="dxa"/>
            <w:vAlign w:val="bottom"/>
            <w:tcBorders>
              <w:bottom w:val="single" w:sz="8" w:color="C8C9CB"/>
            </w:tcBorders>
            <w:vMerge w:val="continue"/>
            <w:shd w:val="clear" w:color="auto" w:fill="F4F6F6"/>
          </w:tcPr>
          <w:p>
            <w:pPr>
              <w:spacing w:after="0"/>
              <w:rPr>
                <w:sz w:val="7"/>
                <w:szCs w:val="7"/>
                <w:color w:val="auto"/>
              </w:rPr>
            </w:pPr>
          </w:p>
        </w:tc>
        <w:tc>
          <w:tcPr>
            <w:tcW w:w="980" w:type="dxa"/>
            <w:vAlign w:val="bottom"/>
            <w:tcBorders>
              <w:bottom w:val="single" w:sz="8" w:color="C8C9CB"/>
            </w:tcBorders>
            <w:vMerge w:val="continue"/>
            <w:shd w:val="clear" w:color="auto" w:fill="F4F6F6"/>
          </w:tcPr>
          <w:p>
            <w:pPr>
              <w:spacing w:after="0"/>
              <w:rPr>
                <w:sz w:val="7"/>
                <w:szCs w:val="7"/>
                <w:color w:val="auto"/>
              </w:rPr>
            </w:pPr>
          </w:p>
        </w:tc>
        <w:tc>
          <w:tcPr>
            <w:tcW w:w="980" w:type="dxa"/>
            <w:vAlign w:val="bottom"/>
            <w:tcBorders>
              <w:bottom w:val="single" w:sz="8" w:color="C8C9CB"/>
            </w:tcBorders>
            <w:vMerge w:val="continue"/>
            <w:shd w:val="clear" w:color="auto" w:fill="F4F6F6"/>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440" w:type="dxa"/>
            <w:vAlign w:val="bottom"/>
          </w:tcPr>
          <w:p>
            <w:pPr>
              <w:ind w:left="40"/>
              <w:spacing w:after="0"/>
              <w:rPr>
                <w:sz w:val="20"/>
                <w:szCs w:val="20"/>
                <w:color w:val="auto"/>
              </w:rPr>
            </w:pPr>
            <w:r>
              <w:rPr>
                <w:rFonts w:ascii="Arial" w:cs="Arial" w:eastAsia="Arial" w:hAnsi="Arial"/>
                <w:sz w:val="14"/>
                <w:szCs w:val="14"/>
                <w:color w:val="auto"/>
              </w:rPr>
              <w:t>Michael J. Harrington</w:t>
            </w:r>
          </w:p>
        </w:tc>
        <w:tc>
          <w:tcPr>
            <w:tcW w:w="440" w:type="dxa"/>
            <w:vAlign w:val="bottom"/>
          </w:tcPr>
          <w:p>
            <w:pPr>
              <w:ind w:left="80"/>
              <w:spacing w:after="0"/>
              <w:rPr>
                <w:sz w:val="20"/>
                <w:szCs w:val="20"/>
                <w:color w:val="auto"/>
              </w:rPr>
            </w:pPr>
            <w:r>
              <w:rPr>
                <w:rFonts w:ascii="Arial" w:cs="Arial" w:eastAsia="Arial" w:hAnsi="Arial"/>
                <w:sz w:val="13"/>
                <w:szCs w:val="13"/>
                <w:color w:val="auto"/>
              </w:rPr>
              <w:t>2018</w:t>
            </w:r>
          </w:p>
        </w:tc>
        <w:tc>
          <w:tcPr>
            <w:tcW w:w="740" w:type="dxa"/>
            <w:vAlign w:val="bottom"/>
          </w:tcPr>
          <w:p>
            <w:pPr>
              <w:jc w:val="center"/>
              <w:spacing w:after="0"/>
              <w:rPr>
                <w:sz w:val="20"/>
                <w:szCs w:val="20"/>
                <w:color w:val="auto"/>
              </w:rPr>
            </w:pPr>
            <w:r>
              <w:rPr>
                <w:rFonts w:ascii="Arial" w:cs="Arial" w:eastAsia="Arial" w:hAnsi="Arial"/>
                <w:sz w:val="13"/>
                <w:szCs w:val="13"/>
                <w:color w:val="auto"/>
                <w:w w:val="99"/>
              </w:rPr>
              <w:t>$860,300</w:t>
            </w:r>
          </w:p>
        </w:tc>
        <w:tc>
          <w:tcPr>
            <w:tcW w:w="460" w:type="dxa"/>
            <w:vAlign w:val="bottom"/>
          </w:tcPr>
          <w:p>
            <w:pPr>
              <w:ind w:left="160"/>
              <w:spacing w:after="0"/>
              <w:rPr>
                <w:sz w:val="20"/>
                <w:szCs w:val="20"/>
                <w:color w:val="auto"/>
              </w:rPr>
            </w:pPr>
            <w:r>
              <w:rPr>
                <w:rFonts w:ascii="Arial" w:cs="Arial" w:eastAsia="Arial" w:hAnsi="Arial"/>
                <w:sz w:val="13"/>
                <w:szCs w:val="13"/>
                <w:color w:val="auto"/>
              </w:rPr>
              <w:t>$0</w:t>
            </w:r>
          </w:p>
        </w:tc>
        <w:tc>
          <w:tcPr>
            <w:tcW w:w="900" w:type="dxa"/>
            <w:vAlign w:val="bottom"/>
          </w:tcPr>
          <w:p>
            <w:pPr>
              <w:jc w:val="center"/>
              <w:ind w:right="37"/>
              <w:spacing w:after="0"/>
              <w:rPr>
                <w:sz w:val="20"/>
                <w:szCs w:val="20"/>
                <w:color w:val="auto"/>
              </w:rPr>
            </w:pPr>
            <w:r>
              <w:rPr>
                <w:rFonts w:ascii="Arial" w:cs="Arial" w:eastAsia="Arial" w:hAnsi="Arial"/>
                <w:sz w:val="13"/>
                <w:szCs w:val="13"/>
                <w:color w:val="auto"/>
                <w:w w:val="98"/>
              </w:rPr>
              <w:t>$2,998,800</w:t>
            </w: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$1,190,655</w:t>
            </w:r>
          </w:p>
        </w:tc>
        <w:tc>
          <w:tcPr>
            <w:tcW w:w="1040" w:type="dxa"/>
            <w:vAlign w:val="bottom"/>
          </w:tcPr>
          <w:p>
            <w:pPr>
              <w:jc w:val="center"/>
              <w:spacing w:after="0"/>
              <w:rPr>
                <w:sz w:val="20"/>
                <w:szCs w:val="20"/>
                <w:color w:val="auto"/>
              </w:rPr>
            </w:pPr>
            <w:r>
              <w:rPr>
                <w:rFonts w:ascii="Arial" w:cs="Arial" w:eastAsia="Arial" w:hAnsi="Arial"/>
                <w:sz w:val="13"/>
                <w:szCs w:val="13"/>
                <w:color w:val="auto"/>
                <w:w w:val="99"/>
              </w:rPr>
              <w:t>$338,947</w:t>
            </w:r>
          </w:p>
        </w:tc>
        <w:tc>
          <w:tcPr>
            <w:tcW w:w="980" w:type="dxa"/>
            <w:vAlign w:val="bottom"/>
          </w:tcPr>
          <w:p>
            <w:pPr>
              <w:jc w:val="center"/>
              <w:ind w:left="97"/>
              <w:spacing w:after="0"/>
              <w:rPr>
                <w:sz w:val="20"/>
                <w:szCs w:val="20"/>
                <w:color w:val="auto"/>
              </w:rPr>
            </w:pPr>
            <w:r>
              <w:rPr>
                <w:rFonts w:ascii="Arial" w:cs="Arial" w:eastAsia="Arial" w:hAnsi="Arial"/>
                <w:sz w:val="13"/>
                <w:szCs w:val="13"/>
                <w:color w:val="auto"/>
                <w:w w:val="97"/>
              </w:rPr>
              <w:t>$51,618</w:t>
            </w:r>
          </w:p>
        </w:tc>
        <w:tc>
          <w:tcPr>
            <w:tcW w:w="980" w:type="dxa"/>
            <w:vAlign w:val="bottom"/>
          </w:tcPr>
          <w:p>
            <w:pPr>
              <w:jc w:val="center"/>
              <w:spacing w:after="0"/>
              <w:rPr>
                <w:sz w:val="20"/>
                <w:szCs w:val="20"/>
                <w:color w:val="auto"/>
              </w:rPr>
            </w:pPr>
            <w:r>
              <w:rPr>
                <w:rFonts w:ascii="Arial" w:cs="Arial" w:eastAsia="Arial" w:hAnsi="Arial"/>
                <w:sz w:val="13"/>
                <w:szCs w:val="13"/>
                <w:color w:val="auto"/>
                <w:w w:val="98"/>
              </w:rPr>
              <w:t>$5,440,320</w:t>
            </w:r>
          </w:p>
        </w:tc>
        <w:tc>
          <w:tcPr>
            <w:tcW w:w="0" w:type="dxa"/>
            <w:vAlign w:val="bottom"/>
          </w:tcPr>
          <w:p>
            <w:pPr>
              <w:spacing w:after="0"/>
              <w:rPr>
                <w:sz w:val="1"/>
                <w:szCs w:val="1"/>
                <w:color w:val="auto"/>
              </w:rPr>
            </w:pPr>
          </w:p>
        </w:tc>
      </w:tr>
      <w:tr>
        <w:trPr>
          <w:trHeight w:val="148"/>
        </w:trPr>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Senior Vice President</w:t>
            </w:r>
          </w:p>
        </w:tc>
        <w:tc>
          <w:tcPr>
            <w:tcW w:w="440" w:type="dxa"/>
            <w:vAlign w:val="bottom"/>
            <w:vMerge w:val="restart"/>
          </w:tcPr>
          <w:p>
            <w:pPr>
              <w:ind w:left="80"/>
              <w:spacing w:after="0"/>
              <w:rPr>
                <w:sz w:val="20"/>
                <w:szCs w:val="20"/>
                <w:color w:val="auto"/>
              </w:rPr>
            </w:pPr>
            <w:r>
              <w:rPr>
                <w:rFonts w:ascii="Arial" w:cs="Arial" w:eastAsia="Arial" w:hAnsi="Arial"/>
                <w:sz w:val="13"/>
                <w:szCs w:val="13"/>
                <w:color w:val="auto"/>
              </w:rPr>
              <w:t>2017</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9"/>
              </w:rPr>
              <w:t>$856,130</w:t>
            </w:r>
          </w:p>
        </w:tc>
        <w:tc>
          <w:tcPr>
            <w:tcW w:w="460" w:type="dxa"/>
            <w:vAlign w:val="bottom"/>
            <w:vMerge w:val="restart"/>
          </w:tcPr>
          <w:p>
            <w:pPr>
              <w:ind w:left="160"/>
              <w:spacing w:after="0"/>
              <w:rPr>
                <w:sz w:val="20"/>
                <w:szCs w:val="20"/>
                <w:color w:val="auto"/>
              </w:rPr>
            </w:pPr>
            <w:r>
              <w:rPr>
                <w:rFonts w:ascii="Arial" w:cs="Arial" w:eastAsia="Arial" w:hAnsi="Arial"/>
                <w:sz w:val="13"/>
                <w:szCs w:val="13"/>
                <w:color w:val="auto"/>
              </w:rPr>
              <w:t>$0</w:t>
            </w:r>
          </w:p>
        </w:tc>
        <w:tc>
          <w:tcPr>
            <w:tcW w:w="900" w:type="dxa"/>
            <w:vAlign w:val="bottom"/>
            <w:vMerge w:val="restart"/>
          </w:tcPr>
          <w:p>
            <w:pPr>
              <w:jc w:val="center"/>
              <w:ind w:right="37"/>
              <w:spacing w:after="0"/>
              <w:rPr>
                <w:sz w:val="20"/>
                <w:szCs w:val="20"/>
                <w:color w:val="auto"/>
              </w:rPr>
            </w:pPr>
            <w:r>
              <w:rPr>
                <w:rFonts w:ascii="Arial" w:cs="Arial" w:eastAsia="Arial" w:hAnsi="Arial"/>
                <w:sz w:val="13"/>
                <w:szCs w:val="13"/>
                <w:color w:val="auto"/>
                <w:w w:val="98"/>
              </w:rPr>
              <w:t>$2,760,000</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6"/>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9"/>
              </w:rPr>
              <w:t>$917,771</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5"/>
              </w:rPr>
              <w:t>$1,657,718</w:t>
            </w:r>
          </w:p>
        </w:tc>
        <w:tc>
          <w:tcPr>
            <w:tcW w:w="980" w:type="dxa"/>
            <w:vAlign w:val="bottom"/>
            <w:vMerge w:val="restart"/>
          </w:tcPr>
          <w:p>
            <w:pPr>
              <w:jc w:val="center"/>
              <w:ind w:left="97"/>
              <w:spacing w:after="0"/>
              <w:rPr>
                <w:sz w:val="20"/>
                <w:szCs w:val="20"/>
                <w:color w:val="auto"/>
              </w:rPr>
            </w:pPr>
            <w:r>
              <w:rPr>
                <w:rFonts w:ascii="Arial" w:cs="Arial" w:eastAsia="Arial" w:hAnsi="Arial"/>
                <w:sz w:val="13"/>
                <w:szCs w:val="13"/>
                <w:color w:val="auto"/>
                <w:w w:val="97"/>
              </w:rPr>
              <w:t>$51,368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8"/>
              </w:rPr>
              <w:t>$6,242,987</w:t>
            </w:r>
          </w:p>
        </w:tc>
        <w:tc>
          <w:tcPr>
            <w:tcW w:w="0" w:type="dxa"/>
            <w:vAlign w:val="bottom"/>
          </w:tcPr>
          <w:p>
            <w:pPr>
              <w:spacing w:after="0"/>
              <w:rPr>
                <w:sz w:val="1"/>
                <w:szCs w:val="1"/>
                <w:color w:val="auto"/>
              </w:rPr>
            </w:pPr>
          </w:p>
        </w:tc>
      </w:tr>
      <w:tr>
        <w:trPr>
          <w:trHeight w:val="135"/>
        </w:trPr>
        <w:tc>
          <w:tcPr>
            <w:tcW w:w="1440" w:type="dxa"/>
            <w:vAlign w:val="bottom"/>
          </w:tcPr>
          <w:p>
            <w:pPr>
              <w:ind w:left="40"/>
              <w:spacing w:after="0" w:line="135" w:lineRule="exact"/>
              <w:rPr>
                <w:sz w:val="20"/>
                <w:szCs w:val="20"/>
                <w:color w:val="auto"/>
              </w:rPr>
            </w:pPr>
            <w:r>
              <w:rPr>
                <w:rFonts w:ascii="Arial" w:cs="Arial" w:eastAsia="Arial" w:hAnsi="Arial"/>
                <w:sz w:val="13"/>
                <w:szCs w:val="13"/>
                <w:color w:val="auto"/>
              </w:rPr>
              <w:t>and</w:t>
            </w:r>
          </w:p>
        </w:tc>
        <w:tc>
          <w:tcPr>
            <w:tcW w:w="4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440" w:type="dxa"/>
            <w:vAlign w:val="bottom"/>
          </w:tcPr>
          <w:p>
            <w:pPr>
              <w:ind w:left="40"/>
              <w:spacing w:after="0"/>
              <w:rPr>
                <w:sz w:val="20"/>
                <w:szCs w:val="20"/>
                <w:color w:val="auto"/>
              </w:rPr>
            </w:pPr>
            <w:r>
              <w:rPr>
                <w:rFonts w:ascii="Arial" w:cs="Arial" w:eastAsia="Arial" w:hAnsi="Arial"/>
                <w:sz w:val="13"/>
                <w:szCs w:val="13"/>
                <w:color w:val="auto"/>
              </w:rPr>
              <w:t>General Counsel</w:t>
            </w:r>
          </w:p>
        </w:tc>
        <w:tc>
          <w:tcPr>
            <w:tcW w:w="440" w:type="dxa"/>
            <w:vAlign w:val="bottom"/>
            <w:vMerge w:val="restart"/>
          </w:tcPr>
          <w:p>
            <w:pPr>
              <w:ind w:left="80"/>
              <w:spacing w:after="0"/>
              <w:rPr>
                <w:sz w:val="20"/>
                <w:szCs w:val="20"/>
                <w:color w:val="auto"/>
              </w:rPr>
            </w:pPr>
            <w:r>
              <w:rPr>
                <w:rFonts w:ascii="Arial" w:cs="Arial" w:eastAsia="Arial" w:hAnsi="Arial"/>
                <w:sz w:val="13"/>
                <w:szCs w:val="13"/>
                <w:color w:val="auto"/>
              </w:rPr>
              <w:t>2016</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9"/>
              </w:rPr>
              <w:t>$827,400</w:t>
            </w:r>
          </w:p>
        </w:tc>
        <w:tc>
          <w:tcPr>
            <w:tcW w:w="460" w:type="dxa"/>
            <w:vAlign w:val="bottom"/>
            <w:vMerge w:val="restart"/>
          </w:tcPr>
          <w:p>
            <w:pPr>
              <w:ind w:left="160"/>
              <w:spacing w:after="0"/>
              <w:rPr>
                <w:sz w:val="20"/>
                <w:szCs w:val="20"/>
                <w:color w:val="auto"/>
              </w:rPr>
            </w:pPr>
            <w:r>
              <w:rPr>
                <w:rFonts w:ascii="Arial" w:cs="Arial" w:eastAsia="Arial" w:hAnsi="Arial"/>
                <w:sz w:val="13"/>
                <w:szCs w:val="13"/>
                <w:color w:val="auto"/>
              </w:rPr>
              <w:t>$0</w:t>
            </w:r>
          </w:p>
        </w:tc>
        <w:tc>
          <w:tcPr>
            <w:tcW w:w="900" w:type="dxa"/>
            <w:vAlign w:val="bottom"/>
            <w:vMerge w:val="restart"/>
          </w:tcPr>
          <w:p>
            <w:pPr>
              <w:jc w:val="center"/>
              <w:ind w:right="37"/>
              <w:spacing w:after="0"/>
              <w:rPr>
                <w:sz w:val="20"/>
                <w:szCs w:val="20"/>
                <w:color w:val="auto"/>
              </w:rPr>
            </w:pPr>
            <w:r>
              <w:rPr>
                <w:rFonts w:ascii="Arial" w:cs="Arial" w:eastAsia="Arial" w:hAnsi="Arial"/>
                <w:sz w:val="13"/>
                <w:szCs w:val="13"/>
                <w:color w:val="auto"/>
                <w:w w:val="98"/>
              </w:rPr>
              <w:t>$2,300,000</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6"/>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9"/>
              </w:rPr>
              <w:t>$774,446</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5"/>
              </w:rPr>
              <w:t>$1,441,954</w:t>
            </w:r>
          </w:p>
        </w:tc>
        <w:tc>
          <w:tcPr>
            <w:tcW w:w="980" w:type="dxa"/>
            <w:vAlign w:val="bottom"/>
            <w:vMerge w:val="restart"/>
          </w:tcPr>
          <w:p>
            <w:pPr>
              <w:jc w:val="center"/>
              <w:ind w:left="97"/>
              <w:spacing w:after="0"/>
              <w:rPr>
                <w:sz w:val="20"/>
                <w:szCs w:val="20"/>
                <w:color w:val="auto"/>
              </w:rPr>
            </w:pPr>
            <w:r>
              <w:rPr>
                <w:rFonts w:ascii="Arial" w:cs="Arial" w:eastAsia="Arial" w:hAnsi="Arial"/>
                <w:sz w:val="13"/>
                <w:szCs w:val="13"/>
                <w:color w:val="auto"/>
                <w:w w:val="97"/>
              </w:rPr>
              <w:t>$49,644</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8"/>
              </w:rPr>
              <w:t>$5,393,444</w:t>
            </w:r>
          </w:p>
        </w:tc>
        <w:tc>
          <w:tcPr>
            <w:tcW w:w="0" w:type="dxa"/>
            <w:vAlign w:val="bottom"/>
          </w:tcPr>
          <w:p>
            <w:pPr>
              <w:spacing w:after="0"/>
              <w:rPr>
                <w:sz w:val="1"/>
                <w:szCs w:val="1"/>
                <w:color w:val="auto"/>
              </w:rPr>
            </w:pPr>
          </w:p>
        </w:tc>
      </w:tr>
      <w:tr>
        <w:trPr>
          <w:trHeight w:val="89"/>
        </w:trPr>
        <w:tc>
          <w:tcPr>
            <w:tcW w:w="1440" w:type="dxa"/>
            <w:vAlign w:val="bottom"/>
            <w:tcBorders>
              <w:bottom w:val="single" w:sz="8" w:color="C8C9CB"/>
            </w:tcBorders>
          </w:tcPr>
          <w:p>
            <w:pPr>
              <w:spacing w:after="0"/>
              <w:rPr>
                <w:sz w:val="7"/>
                <w:szCs w:val="7"/>
                <w:color w:val="auto"/>
              </w:rPr>
            </w:pPr>
          </w:p>
        </w:tc>
        <w:tc>
          <w:tcPr>
            <w:tcW w:w="440" w:type="dxa"/>
            <w:vAlign w:val="bottom"/>
            <w:tcBorders>
              <w:bottom w:val="single" w:sz="8" w:color="C8C9CB"/>
            </w:tcBorders>
            <w:vMerge w:val="continue"/>
          </w:tcPr>
          <w:p>
            <w:pPr>
              <w:spacing w:after="0"/>
              <w:rPr>
                <w:sz w:val="7"/>
                <w:szCs w:val="7"/>
                <w:color w:val="auto"/>
              </w:rPr>
            </w:pPr>
          </w:p>
        </w:tc>
        <w:tc>
          <w:tcPr>
            <w:tcW w:w="740" w:type="dxa"/>
            <w:vAlign w:val="bottom"/>
            <w:tcBorders>
              <w:bottom w:val="single" w:sz="8" w:color="C8C9CB"/>
            </w:tcBorders>
            <w:vMerge w:val="continue"/>
          </w:tcPr>
          <w:p>
            <w:pPr>
              <w:spacing w:after="0"/>
              <w:rPr>
                <w:sz w:val="7"/>
                <w:szCs w:val="7"/>
                <w:color w:val="auto"/>
              </w:rPr>
            </w:pPr>
          </w:p>
        </w:tc>
        <w:tc>
          <w:tcPr>
            <w:tcW w:w="460" w:type="dxa"/>
            <w:vAlign w:val="bottom"/>
            <w:tcBorders>
              <w:bottom w:val="single" w:sz="8" w:color="C8C9CB"/>
            </w:tcBorders>
            <w:vMerge w:val="continue"/>
          </w:tcPr>
          <w:p>
            <w:pPr>
              <w:spacing w:after="0"/>
              <w:rPr>
                <w:sz w:val="7"/>
                <w:szCs w:val="7"/>
                <w:color w:val="auto"/>
              </w:rPr>
            </w:pPr>
          </w:p>
        </w:tc>
        <w:tc>
          <w:tcPr>
            <w:tcW w:w="900" w:type="dxa"/>
            <w:vAlign w:val="bottom"/>
            <w:tcBorders>
              <w:bottom w:val="single" w:sz="8" w:color="C8C9CB"/>
            </w:tcBorders>
            <w:vMerge w:val="continue"/>
          </w:tcPr>
          <w:p>
            <w:pPr>
              <w:spacing w:after="0"/>
              <w:rPr>
                <w:sz w:val="7"/>
                <w:szCs w:val="7"/>
                <w:color w:val="auto"/>
              </w:rPr>
            </w:pPr>
          </w:p>
        </w:tc>
        <w:tc>
          <w:tcPr>
            <w:tcW w:w="720" w:type="dxa"/>
            <w:vAlign w:val="bottom"/>
            <w:tcBorders>
              <w:bottom w:val="single" w:sz="8" w:color="C8C9CB"/>
            </w:tcBorders>
            <w:vMerge w:val="continue"/>
          </w:tcPr>
          <w:p>
            <w:pPr>
              <w:spacing w:after="0"/>
              <w:rPr>
                <w:sz w:val="7"/>
                <w:szCs w:val="7"/>
                <w:color w:val="auto"/>
              </w:rPr>
            </w:pPr>
          </w:p>
        </w:tc>
        <w:tc>
          <w:tcPr>
            <w:tcW w:w="960" w:type="dxa"/>
            <w:vAlign w:val="bottom"/>
            <w:tcBorders>
              <w:bottom w:val="single" w:sz="8" w:color="C8C9CB"/>
            </w:tcBorders>
            <w:vMerge w:val="continue"/>
          </w:tcPr>
          <w:p>
            <w:pPr>
              <w:spacing w:after="0"/>
              <w:rPr>
                <w:sz w:val="7"/>
                <w:szCs w:val="7"/>
                <w:color w:val="auto"/>
              </w:rPr>
            </w:pPr>
          </w:p>
        </w:tc>
        <w:tc>
          <w:tcPr>
            <w:tcW w:w="1040" w:type="dxa"/>
            <w:vAlign w:val="bottom"/>
            <w:tcBorders>
              <w:bottom w:val="single" w:sz="8" w:color="C8C9CB"/>
            </w:tcBorders>
            <w:vMerge w:val="continue"/>
          </w:tcPr>
          <w:p>
            <w:pPr>
              <w:spacing w:after="0"/>
              <w:rPr>
                <w:sz w:val="7"/>
                <w:szCs w:val="7"/>
                <w:color w:val="auto"/>
              </w:rPr>
            </w:pPr>
          </w:p>
        </w:tc>
        <w:tc>
          <w:tcPr>
            <w:tcW w:w="980" w:type="dxa"/>
            <w:vAlign w:val="bottom"/>
            <w:tcBorders>
              <w:bottom w:val="single" w:sz="8" w:color="C8C9CB"/>
            </w:tcBorders>
            <w:vMerge w:val="continue"/>
          </w:tcPr>
          <w:p>
            <w:pPr>
              <w:spacing w:after="0"/>
              <w:rPr>
                <w:sz w:val="7"/>
                <w:szCs w:val="7"/>
                <w:color w:val="auto"/>
              </w:rPr>
            </w:pPr>
          </w:p>
        </w:tc>
        <w:tc>
          <w:tcPr>
            <w:tcW w:w="980" w:type="dxa"/>
            <w:vAlign w:val="bottom"/>
            <w:tcBorders>
              <w:bottom w:val="single" w:sz="8" w:color="C8C9CB"/>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440" w:type="dxa"/>
            <w:vAlign w:val="bottom"/>
            <w:shd w:val="clear" w:color="auto" w:fill="F4F6F6"/>
          </w:tcPr>
          <w:p>
            <w:pPr>
              <w:ind w:left="40"/>
              <w:spacing w:after="0"/>
              <w:rPr>
                <w:sz w:val="20"/>
                <w:szCs w:val="20"/>
                <w:color w:val="auto"/>
              </w:rPr>
            </w:pPr>
            <w:r>
              <w:rPr>
                <w:rFonts w:ascii="Arial" w:cs="Arial" w:eastAsia="Arial" w:hAnsi="Arial"/>
                <w:sz w:val="14"/>
                <w:szCs w:val="14"/>
                <w:color w:val="auto"/>
              </w:rPr>
              <w:t>Enrique A. Conterno</w:t>
            </w:r>
          </w:p>
        </w:tc>
        <w:tc>
          <w:tcPr>
            <w:tcW w:w="440" w:type="dxa"/>
            <w:vAlign w:val="bottom"/>
            <w:shd w:val="clear" w:color="auto" w:fill="F4F6F6"/>
          </w:tcPr>
          <w:p>
            <w:pPr>
              <w:ind w:left="80"/>
              <w:spacing w:after="0"/>
              <w:rPr>
                <w:sz w:val="20"/>
                <w:szCs w:val="20"/>
                <w:color w:val="auto"/>
              </w:rPr>
            </w:pPr>
            <w:r>
              <w:rPr>
                <w:rFonts w:ascii="Arial" w:cs="Arial" w:eastAsia="Arial" w:hAnsi="Arial"/>
                <w:sz w:val="13"/>
                <w:szCs w:val="13"/>
                <w:color w:val="auto"/>
              </w:rPr>
              <w:t>2018</w:t>
            </w:r>
          </w:p>
        </w:tc>
        <w:tc>
          <w:tcPr>
            <w:tcW w:w="7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9"/>
              </w:rPr>
              <w:t>$794,683</w:t>
            </w:r>
          </w:p>
        </w:tc>
        <w:tc>
          <w:tcPr>
            <w:tcW w:w="460" w:type="dxa"/>
            <w:vAlign w:val="bottom"/>
            <w:shd w:val="clear" w:color="auto" w:fill="F4F6F6"/>
          </w:tcPr>
          <w:p>
            <w:pPr>
              <w:ind w:left="160"/>
              <w:spacing w:after="0"/>
              <w:rPr>
                <w:sz w:val="20"/>
                <w:szCs w:val="20"/>
                <w:color w:val="auto"/>
              </w:rPr>
            </w:pPr>
            <w:r>
              <w:rPr>
                <w:rFonts w:ascii="Arial" w:cs="Arial" w:eastAsia="Arial" w:hAnsi="Arial"/>
                <w:sz w:val="13"/>
                <w:szCs w:val="13"/>
                <w:color w:val="auto"/>
              </w:rPr>
              <w:t>$0</w:t>
            </w:r>
          </w:p>
        </w:tc>
        <w:tc>
          <w:tcPr>
            <w:tcW w:w="900" w:type="dxa"/>
            <w:vAlign w:val="bottom"/>
            <w:shd w:val="clear" w:color="auto" w:fill="F4F6F6"/>
          </w:tcPr>
          <w:p>
            <w:pPr>
              <w:jc w:val="center"/>
              <w:ind w:right="37"/>
              <w:spacing w:after="0"/>
              <w:rPr>
                <w:sz w:val="20"/>
                <w:szCs w:val="20"/>
                <w:color w:val="auto"/>
              </w:rPr>
            </w:pPr>
            <w:r>
              <w:rPr>
                <w:rFonts w:ascii="Arial" w:cs="Arial" w:eastAsia="Arial" w:hAnsi="Arial"/>
                <w:sz w:val="13"/>
                <w:szCs w:val="13"/>
                <w:color w:val="auto"/>
                <w:w w:val="98"/>
              </w:rPr>
              <w:t>$3,057,600</w:t>
            </w:r>
          </w:p>
        </w:tc>
        <w:tc>
          <w:tcPr>
            <w:tcW w:w="72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9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5"/>
              </w:rPr>
              <w:t>$1,099,842</w:t>
            </w:r>
          </w:p>
        </w:tc>
        <w:tc>
          <w:tcPr>
            <w:tcW w:w="10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980" w:type="dxa"/>
            <w:vAlign w:val="bottom"/>
            <w:shd w:val="clear" w:color="auto" w:fill="F4F6F6"/>
          </w:tcPr>
          <w:p>
            <w:pPr>
              <w:jc w:val="center"/>
              <w:ind w:left="97"/>
              <w:spacing w:after="0"/>
              <w:rPr>
                <w:sz w:val="20"/>
                <w:szCs w:val="20"/>
                <w:color w:val="auto"/>
              </w:rPr>
            </w:pPr>
            <w:r>
              <w:rPr>
                <w:rFonts w:ascii="Arial" w:cs="Arial" w:eastAsia="Arial" w:hAnsi="Arial"/>
                <w:sz w:val="13"/>
                <w:szCs w:val="13"/>
                <w:color w:val="auto"/>
                <w:w w:val="97"/>
              </w:rPr>
              <w:t>$47,681</w:t>
            </w:r>
          </w:p>
        </w:tc>
        <w:tc>
          <w:tcPr>
            <w:tcW w:w="98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8"/>
              </w:rPr>
              <w:t>$4,999,806</w:t>
            </w:r>
          </w:p>
        </w:tc>
        <w:tc>
          <w:tcPr>
            <w:tcW w:w="0" w:type="dxa"/>
            <w:vAlign w:val="bottom"/>
          </w:tcPr>
          <w:p>
            <w:pPr>
              <w:spacing w:after="0"/>
              <w:rPr>
                <w:sz w:val="1"/>
                <w:szCs w:val="1"/>
                <w:color w:val="auto"/>
              </w:rPr>
            </w:pPr>
          </w:p>
        </w:tc>
      </w:tr>
      <w:tr>
        <w:trPr>
          <w:trHeight w:val="148"/>
        </w:trPr>
        <w:tc>
          <w:tcPr>
            <w:tcW w:w="1440" w:type="dxa"/>
            <w:vAlign w:val="bottom"/>
            <w:shd w:val="clear" w:color="auto" w:fill="F4F6F6"/>
          </w:tcPr>
          <w:p>
            <w:pPr>
              <w:ind w:left="40"/>
              <w:spacing w:after="0" w:line="148" w:lineRule="exact"/>
              <w:rPr>
                <w:sz w:val="20"/>
                <w:szCs w:val="20"/>
                <w:color w:val="auto"/>
              </w:rPr>
            </w:pPr>
            <w:r>
              <w:rPr>
                <w:rFonts w:ascii="Arial" w:cs="Arial" w:eastAsia="Arial" w:hAnsi="Arial"/>
                <w:sz w:val="13"/>
                <w:szCs w:val="13"/>
                <w:color w:val="auto"/>
              </w:rPr>
              <w:t>Senior Vice President</w:t>
            </w:r>
          </w:p>
        </w:tc>
        <w:tc>
          <w:tcPr>
            <w:tcW w:w="440" w:type="dxa"/>
            <w:vAlign w:val="bottom"/>
            <w:vMerge w:val="restart"/>
            <w:shd w:val="clear" w:color="auto" w:fill="F4F6F6"/>
          </w:tcPr>
          <w:p>
            <w:pPr>
              <w:ind w:left="80"/>
              <w:spacing w:after="0"/>
              <w:rPr>
                <w:sz w:val="20"/>
                <w:szCs w:val="20"/>
                <w:color w:val="auto"/>
              </w:rPr>
            </w:pPr>
            <w:r>
              <w:rPr>
                <w:rFonts w:ascii="Arial" w:cs="Arial" w:eastAsia="Arial" w:hAnsi="Arial"/>
                <w:sz w:val="13"/>
                <w:szCs w:val="13"/>
                <w:color w:val="auto"/>
              </w:rPr>
              <w:t>2017</w:t>
            </w:r>
          </w:p>
        </w:tc>
        <w:tc>
          <w:tcPr>
            <w:tcW w:w="7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9"/>
              </w:rPr>
              <w:t>$762,002</w:t>
            </w:r>
          </w:p>
        </w:tc>
        <w:tc>
          <w:tcPr>
            <w:tcW w:w="460" w:type="dxa"/>
            <w:vAlign w:val="bottom"/>
            <w:vMerge w:val="restart"/>
            <w:shd w:val="clear" w:color="auto" w:fill="F4F6F6"/>
          </w:tcPr>
          <w:p>
            <w:pPr>
              <w:ind w:left="160"/>
              <w:spacing w:after="0"/>
              <w:rPr>
                <w:sz w:val="20"/>
                <w:szCs w:val="20"/>
                <w:color w:val="auto"/>
              </w:rPr>
            </w:pPr>
            <w:r>
              <w:rPr>
                <w:rFonts w:ascii="Arial" w:cs="Arial" w:eastAsia="Arial" w:hAnsi="Arial"/>
                <w:sz w:val="13"/>
                <w:szCs w:val="13"/>
                <w:color w:val="auto"/>
              </w:rPr>
              <w:t>$0</w:t>
            </w:r>
          </w:p>
        </w:tc>
        <w:tc>
          <w:tcPr>
            <w:tcW w:w="900" w:type="dxa"/>
            <w:vAlign w:val="bottom"/>
            <w:vMerge w:val="restart"/>
            <w:shd w:val="clear" w:color="auto" w:fill="F4F6F6"/>
          </w:tcPr>
          <w:p>
            <w:pPr>
              <w:jc w:val="center"/>
              <w:ind w:right="37"/>
              <w:spacing w:after="0"/>
              <w:rPr>
                <w:sz w:val="20"/>
                <w:szCs w:val="20"/>
                <w:color w:val="auto"/>
              </w:rPr>
            </w:pPr>
            <w:r>
              <w:rPr>
                <w:rFonts w:ascii="Arial" w:cs="Arial" w:eastAsia="Arial" w:hAnsi="Arial"/>
                <w:sz w:val="13"/>
                <w:szCs w:val="13"/>
                <w:color w:val="auto"/>
                <w:w w:val="98"/>
              </w:rPr>
              <w:t>$6,000,000</w:t>
            </w:r>
          </w:p>
        </w:tc>
        <w:tc>
          <w:tcPr>
            <w:tcW w:w="7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9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9"/>
              </w:rPr>
              <w:t>$816,866</w:t>
            </w:r>
          </w:p>
        </w:tc>
        <w:tc>
          <w:tcPr>
            <w:tcW w:w="10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9"/>
              </w:rPr>
              <w:t>$999,426</w:t>
            </w:r>
          </w:p>
        </w:tc>
        <w:tc>
          <w:tcPr>
            <w:tcW w:w="980" w:type="dxa"/>
            <w:vAlign w:val="bottom"/>
            <w:vMerge w:val="restart"/>
            <w:shd w:val="clear" w:color="auto" w:fill="F4F6F6"/>
          </w:tcPr>
          <w:p>
            <w:pPr>
              <w:jc w:val="center"/>
              <w:ind w:left="97"/>
              <w:spacing w:after="0"/>
              <w:rPr>
                <w:sz w:val="20"/>
                <w:szCs w:val="20"/>
                <w:color w:val="auto"/>
              </w:rPr>
            </w:pPr>
            <w:r>
              <w:rPr>
                <w:rFonts w:ascii="Arial" w:cs="Arial" w:eastAsia="Arial" w:hAnsi="Arial"/>
                <w:sz w:val="13"/>
                <w:szCs w:val="13"/>
                <w:color w:val="auto"/>
                <w:w w:val="97"/>
              </w:rPr>
              <w:t>$45,720</w:t>
            </w:r>
          </w:p>
        </w:tc>
        <w:tc>
          <w:tcPr>
            <w:tcW w:w="9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$8,624,014</w:t>
            </w:r>
          </w:p>
        </w:tc>
        <w:tc>
          <w:tcPr>
            <w:tcW w:w="0" w:type="dxa"/>
            <w:vAlign w:val="bottom"/>
          </w:tcPr>
          <w:p>
            <w:pPr>
              <w:spacing w:after="0"/>
              <w:rPr>
                <w:sz w:val="1"/>
                <w:szCs w:val="1"/>
                <w:color w:val="auto"/>
              </w:rPr>
            </w:pPr>
          </w:p>
        </w:tc>
      </w:tr>
      <w:tr>
        <w:trPr>
          <w:trHeight w:val="135"/>
        </w:trPr>
        <w:tc>
          <w:tcPr>
            <w:tcW w:w="1440" w:type="dxa"/>
            <w:vAlign w:val="bottom"/>
            <w:shd w:val="clear" w:color="auto" w:fill="F4F6F6"/>
          </w:tcPr>
          <w:p>
            <w:pPr>
              <w:ind w:left="40"/>
              <w:spacing w:after="0" w:line="135" w:lineRule="exact"/>
              <w:rPr>
                <w:sz w:val="20"/>
                <w:szCs w:val="20"/>
                <w:color w:val="auto"/>
              </w:rPr>
            </w:pPr>
            <w:r>
              <w:rPr>
                <w:rFonts w:ascii="Arial" w:cs="Arial" w:eastAsia="Arial" w:hAnsi="Arial"/>
                <w:sz w:val="13"/>
                <w:szCs w:val="13"/>
                <w:color w:val="auto"/>
              </w:rPr>
              <w:t>and</w:t>
            </w:r>
          </w:p>
        </w:tc>
        <w:tc>
          <w:tcPr>
            <w:tcW w:w="440" w:type="dxa"/>
            <w:vAlign w:val="bottom"/>
            <w:vMerge w:val="continue"/>
            <w:shd w:val="clear" w:color="auto" w:fill="F4F6F6"/>
          </w:tcPr>
          <w:p>
            <w:pPr>
              <w:spacing w:after="0"/>
              <w:rPr>
                <w:sz w:val="11"/>
                <w:szCs w:val="11"/>
                <w:color w:val="auto"/>
              </w:rPr>
            </w:pPr>
          </w:p>
        </w:tc>
        <w:tc>
          <w:tcPr>
            <w:tcW w:w="740" w:type="dxa"/>
            <w:vAlign w:val="bottom"/>
            <w:vMerge w:val="continue"/>
            <w:shd w:val="clear" w:color="auto" w:fill="F4F6F6"/>
          </w:tcPr>
          <w:p>
            <w:pPr>
              <w:spacing w:after="0"/>
              <w:rPr>
                <w:sz w:val="11"/>
                <w:szCs w:val="11"/>
                <w:color w:val="auto"/>
              </w:rPr>
            </w:pPr>
          </w:p>
        </w:tc>
        <w:tc>
          <w:tcPr>
            <w:tcW w:w="460" w:type="dxa"/>
            <w:vAlign w:val="bottom"/>
            <w:vMerge w:val="continue"/>
            <w:shd w:val="clear" w:color="auto" w:fill="F4F6F6"/>
          </w:tcPr>
          <w:p>
            <w:pPr>
              <w:spacing w:after="0"/>
              <w:rPr>
                <w:sz w:val="11"/>
                <w:szCs w:val="11"/>
                <w:color w:val="auto"/>
              </w:rPr>
            </w:pPr>
          </w:p>
        </w:tc>
        <w:tc>
          <w:tcPr>
            <w:tcW w:w="900" w:type="dxa"/>
            <w:vAlign w:val="bottom"/>
            <w:vMerge w:val="continue"/>
            <w:shd w:val="clear" w:color="auto" w:fill="F4F6F6"/>
          </w:tcPr>
          <w:p>
            <w:pPr>
              <w:spacing w:after="0"/>
              <w:rPr>
                <w:sz w:val="11"/>
                <w:szCs w:val="11"/>
                <w:color w:val="auto"/>
              </w:rPr>
            </w:pPr>
          </w:p>
        </w:tc>
        <w:tc>
          <w:tcPr>
            <w:tcW w:w="720" w:type="dxa"/>
            <w:vAlign w:val="bottom"/>
            <w:vMerge w:val="continue"/>
            <w:shd w:val="clear" w:color="auto" w:fill="F4F6F6"/>
          </w:tcPr>
          <w:p>
            <w:pPr>
              <w:spacing w:after="0"/>
              <w:rPr>
                <w:sz w:val="11"/>
                <w:szCs w:val="11"/>
                <w:color w:val="auto"/>
              </w:rPr>
            </w:pPr>
          </w:p>
        </w:tc>
        <w:tc>
          <w:tcPr>
            <w:tcW w:w="960" w:type="dxa"/>
            <w:vAlign w:val="bottom"/>
            <w:vMerge w:val="continue"/>
            <w:shd w:val="clear" w:color="auto" w:fill="F4F6F6"/>
          </w:tcPr>
          <w:p>
            <w:pPr>
              <w:spacing w:after="0"/>
              <w:rPr>
                <w:sz w:val="11"/>
                <w:szCs w:val="11"/>
                <w:color w:val="auto"/>
              </w:rPr>
            </w:pPr>
          </w:p>
        </w:tc>
        <w:tc>
          <w:tcPr>
            <w:tcW w:w="1040" w:type="dxa"/>
            <w:vAlign w:val="bottom"/>
            <w:vMerge w:val="continue"/>
            <w:shd w:val="clear" w:color="auto" w:fill="F4F6F6"/>
          </w:tcPr>
          <w:p>
            <w:pPr>
              <w:spacing w:after="0"/>
              <w:rPr>
                <w:sz w:val="11"/>
                <w:szCs w:val="11"/>
                <w:color w:val="auto"/>
              </w:rPr>
            </w:pPr>
          </w:p>
        </w:tc>
        <w:tc>
          <w:tcPr>
            <w:tcW w:w="980" w:type="dxa"/>
            <w:vAlign w:val="bottom"/>
            <w:vMerge w:val="continue"/>
            <w:shd w:val="clear" w:color="auto" w:fill="F4F6F6"/>
          </w:tcPr>
          <w:p>
            <w:pPr>
              <w:spacing w:after="0"/>
              <w:rPr>
                <w:sz w:val="11"/>
                <w:szCs w:val="11"/>
                <w:color w:val="auto"/>
              </w:rPr>
            </w:pPr>
          </w:p>
        </w:tc>
        <w:tc>
          <w:tcPr>
            <w:tcW w:w="980" w:type="dxa"/>
            <w:vAlign w:val="bottom"/>
            <w:vMerge w:val="continue"/>
            <w:shd w:val="clear" w:color="auto" w:fill="F4F6F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F4F6F6"/>
          </w:tcPr>
          <w:p>
            <w:pPr>
              <w:ind w:left="40"/>
              <w:spacing w:after="0" w:line="135" w:lineRule="exact"/>
              <w:rPr>
                <w:sz w:val="20"/>
                <w:szCs w:val="20"/>
                <w:color w:val="auto"/>
              </w:rPr>
            </w:pPr>
            <w:r>
              <w:rPr>
                <w:rFonts w:ascii="Arial" w:cs="Arial" w:eastAsia="Arial" w:hAnsi="Arial"/>
                <w:sz w:val="13"/>
                <w:szCs w:val="13"/>
                <w:color w:val="auto"/>
                <w:w w:val="98"/>
              </w:rPr>
              <w:t>President, Lilly Diabetes</w:t>
            </w:r>
          </w:p>
        </w:tc>
        <w:tc>
          <w:tcPr>
            <w:tcW w:w="440" w:type="dxa"/>
            <w:vAlign w:val="bottom"/>
            <w:vMerge w:val="restart"/>
            <w:shd w:val="clear" w:color="auto" w:fill="F4F6F6"/>
          </w:tcPr>
          <w:p>
            <w:pPr>
              <w:ind w:left="80"/>
              <w:spacing w:after="0"/>
              <w:rPr>
                <w:sz w:val="20"/>
                <w:szCs w:val="20"/>
                <w:color w:val="auto"/>
              </w:rPr>
            </w:pPr>
            <w:r>
              <w:rPr>
                <w:rFonts w:ascii="Arial" w:cs="Arial" w:eastAsia="Arial" w:hAnsi="Arial"/>
                <w:sz w:val="13"/>
                <w:szCs w:val="13"/>
                <w:color w:val="auto"/>
              </w:rPr>
              <w:t>2016</w:t>
            </w:r>
          </w:p>
        </w:tc>
        <w:tc>
          <w:tcPr>
            <w:tcW w:w="7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9"/>
              </w:rPr>
              <w:t>$727,960</w:t>
            </w:r>
          </w:p>
        </w:tc>
        <w:tc>
          <w:tcPr>
            <w:tcW w:w="460" w:type="dxa"/>
            <w:vAlign w:val="bottom"/>
            <w:vMerge w:val="restart"/>
            <w:shd w:val="clear" w:color="auto" w:fill="F4F6F6"/>
          </w:tcPr>
          <w:p>
            <w:pPr>
              <w:ind w:left="160"/>
              <w:spacing w:after="0"/>
              <w:rPr>
                <w:sz w:val="20"/>
                <w:szCs w:val="20"/>
                <w:color w:val="auto"/>
              </w:rPr>
            </w:pPr>
            <w:r>
              <w:rPr>
                <w:rFonts w:ascii="Arial" w:cs="Arial" w:eastAsia="Arial" w:hAnsi="Arial"/>
                <w:sz w:val="13"/>
                <w:szCs w:val="13"/>
                <w:color w:val="auto"/>
              </w:rPr>
              <w:t>$0</w:t>
            </w:r>
          </w:p>
        </w:tc>
        <w:tc>
          <w:tcPr>
            <w:tcW w:w="900" w:type="dxa"/>
            <w:vAlign w:val="bottom"/>
            <w:vMerge w:val="restart"/>
            <w:shd w:val="clear" w:color="auto" w:fill="F4F6F6"/>
          </w:tcPr>
          <w:p>
            <w:pPr>
              <w:jc w:val="center"/>
              <w:ind w:right="37"/>
              <w:spacing w:after="0"/>
              <w:rPr>
                <w:sz w:val="20"/>
                <w:szCs w:val="20"/>
                <w:color w:val="auto"/>
              </w:rPr>
            </w:pPr>
            <w:r>
              <w:rPr>
                <w:rFonts w:ascii="Arial" w:cs="Arial" w:eastAsia="Arial" w:hAnsi="Arial"/>
                <w:sz w:val="13"/>
                <w:szCs w:val="13"/>
                <w:color w:val="auto"/>
                <w:w w:val="98"/>
              </w:rPr>
              <w:t>$2,200,000</w:t>
            </w:r>
          </w:p>
        </w:tc>
        <w:tc>
          <w:tcPr>
            <w:tcW w:w="7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9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9"/>
              </w:rPr>
              <w:t>$681,371</w:t>
            </w:r>
          </w:p>
        </w:tc>
        <w:tc>
          <w:tcPr>
            <w:tcW w:w="10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9"/>
              </w:rPr>
              <w:t>$935,408</w:t>
            </w:r>
          </w:p>
        </w:tc>
        <w:tc>
          <w:tcPr>
            <w:tcW w:w="980" w:type="dxa"/>
            <w:vAlign w:val="bottom"/>
            <w:vMerge w:val="restart"/>
            <w:shd w:val="clear" w:color="auto" w:fill="F4F6F6"/>
          </w:tcPr>
          <w:p>
            <w:pPr>
              <w:jc w:val="center"/>
              <w:ind w:left="97"/>
              <w:spacing w:after="0"/>
              <w:rPr>
                <w:sz w:val="20"/>
                <w:szCs w:val="20"/>
                <w:color w:val="auto"/>
              </w:rPr>
            </w:pPr>
            <w:r>
              <w:rPr>
                <w:rFonts w:ascii="Arial" w:cs="Arial" w:eastAsia="Arial" w:hAnsi="Arial"/>
                <w:sz w:val="13"/>
                <w:szCs w:val="13"/>
                <w:color w:val="auto"/>
                <w:w w:val="97"/>
              </w:rPr>
              <w:t>$43,678</w:t>
            </w:r>
          </w:p>
        </w:tc>
        <w:tc>
          <w:tcPr>
            <w:tcW w:w="9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$4,588,417</w:t>
            </w:r>
          </w:p>
        </w:tc>
        <w:tc>
          <w:tcPr>
            <w:tcW w:w="0" w:type="dxa"/>
            <w:vAlign w:val="bottom"/>
          </w:tcPr>
          <w:p>
            <w:pPr>
              <w:spacing w:after="0"/>
              <w:rPr>
                <w:sz w:val="1"/>
                <w:szCs w:val="1"/>
                <w:color w:val="auto"/>
              </w:rPr>
            </w:pPr>
          </w:p>
        </w:tc>
      </w:tr>
      <w:tr>
        <w:trPr>
          <w:trHeight w:val="178"/>
        </w:trPr>
        <w:tc>
          <w:tcPr>
            <w:tcW w:w="1440" w:type="dxa"/>
            <w:vAlign w:val="bottom"/>
            <w:tcBorders>
              <w:bottom w:val="single" w:sz="8" w:color="C8C9CB"/>
            </w:tcBorders>
            <w:shd w:val="clear" w:color="auto" w:fill="F4F6F6"/>
          </w:tcPr>
          <w:p>
            <w:pPr>
              <w:ind w:left="40"/>
              <w:spacing w:after="0"/>
              <w:rPr>
                <w:sz w:val="20"/>
                <w:szCs w:val="20"/>
                <w:color w:val="auto"/>
              </w:rPr>
            </w:pPr>
            <w:r>
              <w:rPr>
                <w:rFonts w:ascii="Arial" w:cs="Arial" w:eastAsia="Arial" w:hAnsi="Arial"/>
                <w:sz w:val="13"/>
                <w:szCs w:val="13"/>
                <w:color w:val="auto"/>
                <w:w w:val="98"/>
              </w:rPr>
              <w:t>and President, Lilly USA</w:t>
            </w:r>
          </w:p>
        </w:tc>
        <w:tc>
          <w:tcPr>
            <w:tcW w:w="440" w:type="dxa"/>
            <w:vAlign w:val="bottom"/>
            <w:tcBorders>
              <w:bottom w:val="single" w:sz="8" w:color="C8C9CB"/>
            </w:tcBorders>
            <w:vMerge w:val="continue"/>
            <w:shd w:val="clear" w:color="auto" w:fill="F4F6F6"/>
          </w:tcPr>
          <w:p>
            <w:pPr>
              <w:spacing w:after="0"/>
              <w:rPr>
                <w:sz w:val="15"/>
                <w:szCs w:val="15"/>
                <w:color w:val="auto"/>
              </w:rPr>
            </w:pPr>
          </w:p>
        </w:tc>
        <w:tc>
          <w:tcPr>
            <w:tcW w:w="740" w:type="dxa"/>
            <w:vAlign w:val="bottom"/>
            <w:tcBorders>
              <w:bottom w:val="single" w:sz="8" w:color="C8C9CB"/>
            </w:tcBorders>
            <w:vMerge w:val="continue"/>
            <w:shd w:val="clear" w:color="auto" w:fill="F4F6F6"/>
          </w:tcPr>
          <w:p>
            <w:pPr>
              <w:spacing w:after="0"/>
              <w:rPr>
                <w:sz w:val="15"/>
                <w:szCs w:val="15"/>
                <w:color w:val="auto"/>
              </w:rPr>
            </w:pPr>
          </w:p>
        </w:tc>
        <w:tc>
          <w:tcPr>
            <w:tcW w:w="460" w:type="dxa"/>
            <w:vAlign w:val="bottom"/>
            <w:tcBorders>
              <w:bottom w:val="single" w:sz="8" w:color="C8C9CB"/>
            </w:tcBorders>
            <w:vMerge w:val="continue"/>
            <w:shd w:val="clear" w:color="auto" w:fill="F4F6F6"/>
          </w:tcPr>
          <w:p>
            <w:pPr>
              <w:spacing w:after="0"/>
              <w:rPr>
                <w:sz w:val="15"/>
                <w:szCs w:val="15"/>
                <w:color w:val="auto"/>
              </w:rPr>
            </w:pPr>
          </w:p>
        </w:tc>
        <w:tc>
          <w:tcPr>
            <w:tcW w:w="900" w:type="dxa"/>
            <w:vAlign w:val="bottom"/>
            <w:tcBorders>
              <w:bottom w:val="single" w:sz="8" w:color="C8C9CB"/>
            </w:tcBorders>
            <w:vMerge w:val="continue"/>
            <w:shd w:val="clear" w:color="auto" w:fill="F4F6F6"/>
          </w:tcPr>
          <w:p>
            <w:pPr>
              <w:spacing w:after="0"/>
              <w:rPr>
                <w:sz w:val="15"/>
                <w:szCs w:val="15"/>
                <w:color w:val="auto"/>
              </w:rPr>
            </w:pPr>
          </w:p>
        </w:tc>
        <w:tc>
          <w:tcPr>
            <w:tcW w:w="720" w:type="dxa"/>
            <w:vAlign w:val="bottom"/>
            <w:tcBorders>
              <w:bottom w:val="single" w:sz="8" w:color="C8C9CB"/>
            </w:tcBorders>
            <w:vMerge w:val="continue"/>
            <w:shd w:val="clear" w:color="auto" w:fill="F4F6F6"/>
          </w:tcPr>
          <w:p>
            <w:pPr>
              <w:spacing w:after="0"/>
              <w:rPr>
                <w:sz w:val="15"/>
                <w:szCs w:val="15"/>
                <w:color w:val="auto"/>
              </w:rPr>
            </w:pPr>
          </w:p>
        </w:tc>
        <w:tc>
          <w:tcPr>
            <w:tcW w:w="960" w:type="dxa"/>
            <w:vAlign w:val="bottom"/>
            <w:tcBorders>
              <w:bottom w:val="single" w:sz="8" w:color="C8C9CB"/>
            </w:tcBorders>
            <w:vMerge w:val="continue"/>
            <w:shd w:val="clear" w:color="auto" w:fill="F4F6F6"/>
          </w:tcPr>
          <w:p>
            <w:pPr>
              <w:spacing w:after="0"/>
              <w:rPr>
                <w:sz w:val="15"/>
                <w:szCs w:val="15"/>
                <w:color w:val="auto"/>
              </w:rPr>
            </w:pPr>
          </w:p>
        </w:tc>
        <w:tc>
          <w:tcPr>
            <w:tcW w:w="1040" w:type="dxa"/>
            <w:vAlign w:val="bottom"/>
            <w:tcBorders>
              <w:bottom w:val="single" w:sz="8" w:color="C8C9CB"/>
            </w:tcBorders>
            <w:vMerge w:val="continue"/>
            <w:shd w:val="clear" w:color="auto" w:fill="F4F6F6"/>
          </w:tcPr>
          <w:p>
            <w:pPr>
              <w:spacing w:after="0"/>
              <w:rPr>
                <w:sz w:val="15"/>
                <w:szCs w:val="15"/>
                <w:color w:val="auto"/>
              </w:rPr>
            </w:pPr>
          </w:p>
        </w:tc>
        <w:tc>
          <w:tcPr>
            <w:tcW w:w="980" w:type="dxa"/>
            <w:vAlign w:val="bottom"/>
            <w:tcBorders>
              <w:bottom w:val="single" w:sz="8" w:color="C8C9CB"/>
            </w:tcBorders>
            <w:vMerge w:val="continue"/>
            <w:shd w:val="clear" w:color="auto" w:fill="F4F6F6"/>
          </w:tcPr>
          <w:p>
            <w:pPr>
              <w:spacing w:after="0"/>
              <w:rPr>
                <w:sz w:val="15"/>
                <w:szCs w:val="15"/>
                <w:color w:val="auto"/>
              </w:rPr>
            </w:pPr>
          </w:p>
        </w:tc>
        <w:tc>
          <w:tcPr>
            <w:tcW w:w="980" w:type="dxa"/>
            <w:vAlign w:val="bottom"/>
            <w:tcBorders>
              <w:bottom w:val="single" w:sz="8" w:color="C8C9CB"/>
            </w:tcBorders>
            <w:vMerge w:val="continue"/>
            <w:shd w:val="clear" w:color="auto" w:fill="F4F6F6"/>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40" w:type="dxa"/>
            <w:vAlign w:val="bottom"/>
          </w:tcPr>
          <w:p>
            <w:pPr>
              <w:ind w:left="40"/>
              <w:spacing w:after="0"/>
              <w:rPr>
                <w:sz w:val="20"/>
                <w:szCs w:val="20"/>
                <w:color w:val="auto"/>
              </w:rPr>
            </w:pPr>
            <w:r>
              <w:rPr>
                <w:rFonts w:ascii="Arial" w:cs="Arial" w:eastAsia="Arial" w:hAnsi="Arial"/>
                <w:sz w:val="14"/>
                <w:szCs w:val="14"/>
                <w:color w:val="auto"/>
              </w:rPr>
              <w:t>Daniel M.</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40" w:type="dxa"/>
            <w:vAlign w:val="bottom"/>
          </w:tcPr>
          <w:p>
            <w:pPr>
              <w:ind w:left="40"/>
              <w:spacing w:after="0"/>
              <w:rPr>
                <w:sz w:val="20"/>
                <w:szCs w:val="20"/>
                <w:color w:val="auto"/>
              </w:rPr>
            </w:pPr>
            <w:r>
              <w:rPr>
                <w:rFonts w:ascii="Arial" w:cs="Arial" w:eastAsia="Arial" w:hAnsi="Arial"/>
                <w:sz w:val="14"/>
                <w:szCs w:val="14"/>
                <w:color w:val="auto"/>
              </w:rPr>
              <w:t>Skovronsky, M.D.,</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tcPr>
          <w:p>
            <w:pPr>
              <w:ind w:left="40"/>
              <w:spacing w:after="0"/>
              <w:rPr>
                <w:sz w:val="20"/>
                <w:szCs w:val="20"/>
                <w:color w:val="auto"/>
              </w:rPr>
            </w:pPr>
            <w:r>
              <w:rPr>
                <w:rFonts w:ascii="Arial" w:cs="Arial" w:eastAsia="Arial" w:hAnsi="Arial"/>
                <w:sz w:val="14"/>
                <w:szCs w:val="14"/>
                <w:color w:val="auto"/>
              </w:rPr>
              <w:t>Ph.D.</w:t>
            </w:r>
          </w:p>
        </w:tc>
        <w:tc>
          <w:tcPr>
            <w:tcW w:w="440" w:type="dxa"/>
            <w:vAlign w:val="bottom"/>
          </w:tcPr>
          <w:p>
            <w:pPr>
              <w:ind w:left="80"/>
              <w:spacing w:after="0"/>
              <w:rPr>
                <w:sz w:val="20"/>
                <w:szCs w:val="20"/>
                <w:color w:val="auto"/>
              </w:rPr>
            </w:pPr>
            <w:r>
              <w:rPr>
                <w:rFonts w:ascii="Arial" w:cs="Arial" w:eastAsia="Arial" w:hAnsi="Arial"/>
                <w:sz w:val="13"/>
                <w:szCs w:val="13"/>
                <w:color w:val="auto"/>
              </w:rPr>
              <w:t>2018</w:t>
            </w:r>
          </w:p>
        </w:tc>
        <w:tc>
          <w:tcPr>
            <w:tcW w:w="740" w:type="dxa"/>
            <w:vAlign w:val="bottom"/>
          </w:tcPr>
          <w:p>
            <w:pPr>
              <w:jc w:val="center"/>
              <w:spacing w:after="0"/>
              <w:rPr>
                <w:sz w:val="20"/>
                <w:szCs w:val="20"/>
                <w:color w:val="auto"/>
              </w:rPr>
            </w:pPr>
            <w:r>
              <w:rPr>
                <w:rFonts w:ascii="Arial" w:cs="Arial" w:eastAsia="Arial" w:hAnsi="Arial"/>
                <w:sz w:val="13"/>
                <w:szCs w:val="13"/>
                <w:color w:val="auto"/>
                <w:w w:val="99"/>
              </w:rPr>
              <w:t>$837,500</w:t>
            </w:r>
          </w:p>
        </w:tc>
        <w:tc>
          <w:tcPr>
            <w:tcW w:w="460" w:type="dxa"/>
            <w:vAlign w:val="bottom"/>
          </w:tcPr>
          <w:p>
            <w:pPr>
              <w:ind w:left="160"/>
              <w:spacing w:after="0"/>
              <w:rPr>
                <w:sz w:val="20"/>
                <w:szCs w:val="20"/>
                <w:color w:val="auto"/>
              </w:rPr>
            </w:pPr>
            <w:r>
              <w:rPr>
                <w:rFonts w:ascii="Arial" w:cs="Arial" w:eastAsia="Arial" w:hAnsi="Arial"/>
                <w:sz w:val="13"/>
                <w:szCs w:val="13"/>
                <w:color w:val="auto"/>
              </w:rPr>
              <w:t>$0</w:t>
            </w:r>
          </w:p>
        </w:tc>
        <w:tc>
          <w:tcPr>
            <w:tcW w:w="900" w:type="dxa"/>
            <w:vAlign w:val="bottom"/>
          </w:tcPr>
          <w:p>
            <w:pPr>
              <w:jc w:val="center"/>
              <w:ind w:right="37"/>
              <w:spacing w:after="0"/>
              <w:rPr>
                <w:sz w:val="20"/>
                <w:szCs w:val="20"/>
                <w:color w:val="auto"/>
              </w:rPr>
            </w:pPr>
            <w:r>
              <w:rPr>
                <w:rFonts w:ascii="Arial" w:cs="Arial" w:eastAsia="Arial" w:hAnsi="Arial"/>
                <w:sz w:val="13"/>
                <w:szCs w:val="13"/>
                <w:color w:val="auto"/>
                <w:w w:val="98"/>
              </w:rPr>
              <w:t>$2,806,000</w:t>
            </w: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$1,376,431</w:t>
            </w:r>
          </w:p>
        </w:tc>
        <w:tc>
          <w:tcPr>
            <w:tcW w:w="1040" w:type="dxa"/>
            <w:vAlign w:val="bottom"/>
          </w:tcPr>
          <w:p>
            <w:pPr>
              <w:jc w:val="center"/>
              <w:spacing w:after="0"/>
              <w:rPr>
                <w:sz w:val="20"/>
                <w:szCs w:val="20"/>
                <w:color w:val="auto"/>
              </w:rPr>
            </w:pPr>
            <w:r>
              <w:rPr>
                <w:rFonts w:ascii="Arial" w:cs="Arial" w:eastAsia="Arial" w:hAnsi="Arial"/>
                <w:sz w:val="13"/>
                <w:szCs w:val="13"/>
                <w:color w:val="auto"/>
                <w:w w:val="97"/>
              </w:rPr>
              <w:t>$75,717</w:t>
            </w:r>
          </w:p>
        </w:tc>
        <w:tc>
          <w:tcPr>
            <w:tcW w:w="980" w:type="dxa"/>
            <w:vAlign w:val="bottom"/>
          </w:tcPr>
          <w:p>
            <w:pPr>
              <w:jc w:val="center"/>
              <w:ind w:left="97"/>
              <w:spacing w:after="0"/>
              <w:rPr>
                <w:sz w:val="20"/>
                <w:szCs w:val="20"/>
                <w:color w:val="auto"/>
              </w:rPr>
            </w:pPr>
            <w:r>
              <w:rPr>
                <w:rFonts w:ascii="Arial" w:cs="Arial" w:eastAsia="Arial" w:hAnsi="Arial"/>
                <w:sz w:val="13"/>
                <w:szCs w:val="13"/>
                <w:color w:val="auto"/>
                <w:w w:val="97"/>
              </w:rPr>
              <w:t>$50,250</w:t>
            </w:r>
          </w:p>
        </w:tc>
        <w:tc>
          <w:tcPr>
            <w:tcW w:w="980" w:type="dxa"/>
            <w:vAlign w:val="bottom"/>
          </w:tcPr>
          <w:p>
            <w:pPr>
              <w:jc w:val="center"/>
              <w:spacing w:after="0"/>
              <w:rPr>
                <w:sz w:val="20"/>
                <w:szCs w:val="20"/>
                <w:color w:val="auto"/>
              </w:rPr>
            </w:pPr>
            <w:r>
              <w:rPr>
                <w:rFonts w:ascii="Arial" w:cs="Arial" w:eastAsia="Arial" w:hAnsi="Arial"/>
                <w:sz w:val="13"/>
                <w:szCs w:val="13"/>
                <w:color w:val="auto"/>
                <w:w w:val="98"/>
              </w:rPr>
              <w:t>$5,145,898</w:t>
            </w:r>
          </w:p>
        </w:tc>
        <w:tc>
          <w:tcPr>
            <w:tcW w:w="0" w:type="dxa"/>
            <w:vAlign w:val="bottom"/>
          </w:tcPr>
          <w:p>
            <w:pPr>
              <w:spacing w:after="0"/>
              <w:rPr>
                <w:sz w:val="1"/>
                <w:szCs w:val="1"/>
                <w:color w:val="auto"/>
              </w:rPr>
            </w:pPr>
          </w:p>
        </w:tc>
      </w:tr>
      <w:tr>
        <w:trPr>
          <w:trHeight w:val="148"/>
        </w:trPr>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Senior Vice President</w:t>
            </w:r>
          </w:p>
        </w:tc>
        <w:tc>
          <w:tcPr>
            <w:tcW w:w="440" w:type="dxa"/>
            <w:vAlign w:val="bottom"/>
            <w:vMerge w:val="restart"/>
          </w:tcPr>
          <w:p>
            <w:pPr>
              <w:ind w:left="80"/>
              <w:spacing w:after="0"/>
              <w:rPr>
                <w:sz w:val="20"/>
                <w:szCs w:val="20"/>
                <w:color w:val="auto"/>
              </w:rPr>
            </w:pPr>
            <w:r>
              <w:rPr>
                <w:rFonts w:ascii="Arial" w:cs="Arial" w:eastAsia="Arial" w:hAnsi="Arial"/>
                <w:sz w:val="13"/>
                <w:szCs w:val="13"/>
                <w:color w:val="auto"/>
              </w:rPr>
              <w:t>2017</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460" w:type="dxa"/>
            <w:vAlign w:val="bottom"/>
            <w:vMerge w:val="restart"/>
          </w:tcPr>
          <w:p>
            <w:pPr>
              <w:ind w:left="140"/>
              <w:spacing w:after="0"/>
              <w:rPr>
                <w:sz w:val="20"/>
                <w:szCs w:val="20"/>
                <w:color w:val="auto"/>
              </w:rPr>
            </w:pPr>
            <w:r>
              <w:rPr>
                <w:rFonts w:ascii="Arial" w:cs="Arial" w:eastAsia="Arial" w:hAnsi="Arial"/>
                <w:sz w:val="13"/>
                <w:szCs w:val="13"/>
                <w:color w:val="auto"/>
              </w:rPr>
              <w:t>N/A</w:t>
            </w:r>
          </w:p>
        </w:tc>
        <w:tc>
          <w:tcPr>
            <w:tcW w:w="900" w:type="dxa"/>
            <w:vAlign w:val="bottom"/>
            <w:vMerge w:val="restart"/>
          </w:tcPr>
          <w:p>
            <w:pPr>
              <w:jc w:val="center"/>
              <w:ind w:right="37"/>
              <w:spacing w:after="0"/>
              <w:rPr>
                <w:sz w:val="20"/>
                <w:szCs w:val="20"/>
                <w:color w:val="auto"/>
              </w:rPr>
            </w:pPr>
            <w:r>
              <w:rPr>
                <w:rFonts w:ascii="Arial" w:cs="Arial" w:eastAsia="Arial" w:hAnsi="Arial"/>
                <w:sz w:val="13"/>
                <w:szCs w:val="13"/>
                <w:color w:val="auto"/>
                <w:w w:val="92"/>
              </w:rPr>
              <w:t>N/A</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2"/>
              </w:rPr>
              <w:t>N/A</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980" w:type="dxa"/>
            <w:vAlign w:val="bottom"/>
            <w:vMerge w:val="restart"/>
          </w:tcPr>
          <w:p>
            <w:pPr>
              <w:jc w:val="center"/>
              <w:ind w:left="77"/>
              <w:spacing w:after="0"/>
              <w:rPr>
                <w:sz w:val="20"/>
                <w:szCs w:val="20"/>
                <w:color w:val="auto"/>
              </w:rPr>
            </w:pPr>
            <w:r>
              <w:rPr>
                <w:rFonts w:ascii="Arial" w:cs="Arial" w:eastAsia="Arial" w:hAnsi="Arial"/>
                <w:sz w:val="13"/>
                <w:szCs w:val="13"/>
                <w:color w:val="auto"/>
                <w:w w:val="92"/>
              </w:rPr>
              <w:t>N/A</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2"/>
              </w:rPr>
              <w:t>N/A</w:t>
            </w:r>
          </w:p>
        </w:tc>
        <w:tc>
          <w:tcPr>
            <w:tcW w:w="0" w:type="dxa"/>
            <w:vAlign w:val="bottom"/>
          </w:tcPr>
          <w:p>
            <w:pPr>
              <w:spacing w:after="0"/>
              <w:rPr>
                <w:sz w:val="1"/>
                <w:szCs w:val="1"/>
                <w:color w:val="auto"/>
              </w:rPr>
            </w:pPr>
          </w:p>
        </w:tc>
      </w:tr>
      <w:tr>
        <w:trPr>
          <w:trHeight w:val="135"/>
        </w:trPr>
        <w:tc>
          <w:tcPr>
            <w:tcW w:w="1440" w:type="dxa"/>
            <w:vAlign w:val="bottom"/>
          </w:tcPr>
          <w:p>
            <w:pPr>
              <w:ind w:left="40"/>
              <w:spacing w:after="0" w:line="135" w:lineRule="exact"/>
              <w:rPr>
                <w:sz w:val="20"/>
                <w:szCs w:val="20"/>
                <w:color w:val="auto"/>
              </w:rPr>
            </w:pPr>
            <w:r>
              <w:rPr>
                <w:rFonts w:ascii="Arial" w:cs="Arial" w:eastAsia="Arial" w:hAnsi="Arial"/>
                <w:sz w:val="13"/>
                <w:szCs w:val="13"/>
                <w:color w:val="auto"/>
              </w:rPr>
              <w:t>and Chief Scientific</w:t>
            </w:r>
          </w:p>
        </w:tc>
        <w:tc>
          <w:tcPr>
            <w:tcW w:w="4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440" w:type="dxa"/>
            <w:vAlign w:val="bottom"/>
          </w:tcPr>
          <w:p>
            <w:pPr>
              <w:ind w:left="40"/>
              <w:spacing w:after="0"/>
              <w:rPr>
                <w:sz w:val="20"/>
                <w:szCs w:val="20"/>
                <w:color w:val="auto"/>
              </w:rPr>
            </w:pPr>
            <w:r>
              <w:rPr>
                <w:rFonts w:ascii="Arial" w:cs="Arial" w:eastAsia="Arial" w:hAnsi="Arial"/>
                <w:sz w:val="13"/>
                <w:szCs w:val="13"/>
                <w:color w:val="auto"/>
              </w:rPr>
              <w:t>Officer</w:t>
            </w:r>
          </w:p>
        </w:tc>
        <w:tc>
          <w:tcPr>
            <w:tcW w:w="440" w:type="dxa"/>
            <w:vAlign w:val="bottom"/>
            <w:vMerge w:val="restart"/>
          </w:tcPr>
          <w:p>
            <w:pPr>
              <w:ind w:left="80"/>
              <w:spacing w:after="0"/>
              <w:rPr>
                <w:sz w:val="20"/>
                <w:szCs w:val="20"/>
                <w:color w:val="auto"/>
              </w:rPr>
            </w:pPr>
            <w:r>
              <w:rPr>
                <w:rFonts w:ascii="Arial" w:cs="Arial" w:eastAsia="Arial" w:hAnsi="Arial"/>
                <w:sz w:val="13"/>
                <w:szCs w:val="13"/>
                <w:color w:val="auto"/>
              </w:rPr>
              <w:t>2016</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460" w:type="dxa"/>
            <w:vAlign w:val="bottom"/>
            <w:vMerge w:val="restart"/>
          </w:tcPr>
          <w:p>
            <w:pPr>
              <w:ind w:left="140"/>
              <w:spacing w:after="0"/>
              <w:rPr>
                <w:sz w:val="20"/>
                <w:szCs w:val="20"/>
                <w:color w:val="auto"/>
              </w:rPr>
            </w:pPr>
            <w:r>
              <w:rPr>
                <w:rFonts w:ascii="Arial" w:cs="Arial" w:eastAsia="Arial" w:hAnsi="Arial"/>
                <w:sz w:val="13"/>
                <w:szCs w:val="13"/>
                <w:color w:val="auto"/>
              </w:rPr>
              <w:t>N/A</w:t>
            </w:r>
          </w:p>
        </w:tc>
        <w:tc>
          <w:tcPr>
            <w:tcW w:w="900" w:type="dxa"/>
            <w:vAlign w:val="bottom"/>
            <w:vMerge w:val="restart"/>
          </w:tcPr>
          <w:p>
            <w:pPr>
              <w:jc w:val="center"/>
              <w:ind w:right="37"/>
              <w:spacing w:after="0"/>
              <w:rPr>
                <w:sz w:val="20"/>
                <w:szCs w:val="20"/>
                <w:color w:val="auto"/>
              </w:rPr>
            </w:pPr>
            <w:r>
              <w:rPr>
                <w:rFonts w:ascii="Arial" w:cs="Arial" w:eastAsia="Arial" w:hAnsi="Arial"/>
                <w:sz w:val="13"/>
                <w:szCs w:val="13"/>
                <w:color w:val="auto"/>
                <w:w w:val="92"/>
              </w:rPr>
              <w:t>N/A</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2"/>
              </w:rPr>
              <w:t>N/A</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980" w:type="dxa"/>
            <w:vAlign w:val="bottom"/>
            <w:vMerge w:val="restart"/>
          </w:tcPr>
          <w:p>
            <w:pPr>
              <w:jc w:val="center"/>
              <w:ind w:left="77"/>
              <w:spacing w:after="0"/>
              <w:rPr>
                <w:sz w:val="20"/>
                <w:szCs w:val="20"/>
                <w:color w:val="auto"/>
              </w:rPr>
            </w:pPr>
            <w:r>
              <w:rPr>
                <w:rFonts w:ascii="Arial" w:cs="Arial" w:eastAsia="Arial" w:hAnsi="Arial"/>
                <w:sz w:val="13"/>
                <w:szCs w:val="13"/>
                <w:color w:val="auto"/>
                <w:w w:val="92"/>
              </w:rPr>
              <w:t>N/A</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2"/>
              </w:rPr>
              <w:t>N/A</w:t>
            </w:r>
          </w:p>
        </w:tc>
        <w:tc>
          <w:tcPr>
            <w:tcW w:w="0" w:type="dxa"/>
            <w:vAlign w:val="bottom"/>
          </w:tcPr>
          <w:p>
            <w:pPr>
              <w:spacing w:after="0"/>
              <w:rPr>
                <w:sz w:val="1"/>
                <w:szCs w:val="1"/>
                <w:color w:val="auto"/>
              </w:rPr>
            </w:pPr>
          </w:p>
        </w:tc>
      </w:tr>
      <w:tr>
        <w:trPr>
          <w:trHeight w:val="89"/>
        </w:trPr>
        <w:tc>
          <w:tcPr>
            <w:tcW w:w="14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vMerge w:val="continue"/>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46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720" w:type="dxa"/>
            <w:vAlign w:val="bottom"/>
            <w:tcBorders>
              <w:bottom w:val="single" w:sz="8" w:color="auto"/>
            </w:tcBorders>
            <w:vMerge w:val="continue"/>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440" w:type="dxa"/>
            <w:vAlign w:val="bottom"/>
            <w:shd w:val="clear" w:color="auto" w:fill="F4F6F6"/>
          </w:tcPr>
          <w:p>
            <w:pPr>
              <w:ind w:left="40"/>
              <w:spacing w:after="0"/>
              <w:rPr>
                <w:sz w:val="20"/>
                <w:szCs w:val="20"/>
                <w:color w:val="auto"/>
              </w:rPr>
            </w:pPr>
            <w:r>
              <w:rPr>
                <w:rFonts w:ascii="Arial" w:cs="Arial" w:eastAsia="Arial" w:hAnsi="Arial"/>
                <w:sz w:val="14"/>
                <w:szCs w:val="14"/>
                <w:color w:val="auto"/>
              </w:rPr>
              <w:t>Jeffrey N. Simmons</w:t>
            </w:r>
          </w:p>
        </w:tc>
        <w:tc>
          <w:tcPr>
            <w:tcW w:w="440" w:type="dxa"/>
            <w:vAlign w:val="bottom"/>
            <w:shd w:val="clear" w:color="auto" w:fill="F4F6F6"/>
          </w:tcPr>
          <w:p>
            <w:pPr>
              <w:ind w:left="80"/>
              <w:spacing w:after="0"/>
              <w:rPr>
                <w:sz w:val="20"/>
                <w:szCs w:val="20"/>
                <w:color w:val="auto"/>
              </w:rPr>
            </w:pPr>
            <w:r>
              <w:rPr>
                <w:rFonts w:ascii="Arial" w:cs="Arial" w:eastAsia="Arial" w:hAnsi="Arial"/>
                <w:sz w:val="13"/>
                <w:szCs w:val="13"/>
                <w:color w:val="auto"/>
              </w:rPr>
              <w:t>2018</w:t>
            </w:r>
          </w:p>
        </w:tc>
        <w:tc>
          <w:tcPr>
            <w:tcW w:w="7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9"/>
              </w:rPr>
              <w:t>$775,185</w:t>
            </w:r>
          </w:p>
        </w:tc>
        <w:tc>
          <w:tcPr>
            <w:tcW w:w="460" w:type="dxa"/>
            <w:vAlign w:val="bottom"/>
            <w:shd w:val="clear" w:color="auto" w:fill="F4F6F6"/>
          </w:tcPr>
          <w:p>
            <w:pPr>
              <w:ind w:left="160"/>
              <w:spacing w:after="0"/>
              <w:rPr>
                <w:sz w:val="20"/>
                <w:szCs w:val="20"/>
                <w:color w:val="auto"/>
              </w:rPr>
            </w:pPr>
            <w:r>
              <w:rPr>
                <w:rFonts w:ascii="Arial" w:cs="Arial" w:eastAsia="Arial" w:hAnsi="Arial"/>
                <w:sz w:val="13"/>
                <w:szCs w:val="13"/>
                <w:color w:val="auto"/>
              </w:rPr>
              <w:t>$0</w:t>
            </w:r>
          </w:p>
        </w:tc>
        <w:tc>
          <w:tcPr>
            <w:tcW w:w="900" w:type="dxa"/>
            <w:vAlign w:val="bottom"/>
            <w:shd w:val="clear" w:color="auto" w:fill="F4F6F6"/>
          </w:tcPr>
          <w:p>
            <w:pPr>
              <w:jc w:val="right"/>
              <w:spacing w:after="0"/>
              <w:rPr>
                <w:sz w:val="20"/>
                <w:szCs w:val="20"/>
                <w:color w:val="auto"/>
              </w:rPr>
            </w:pPr>
            <w:r>
              <w:rPr>
                <w:rFonts w:ascii="Arial" w:cs="Arial" w:eastAsia="Arial" w:hAnsi="Arial"/>
                <w:sz w:val="13"/>
                <w:szCs w:val="13"/>
                <w:color w:val="auto"/>
              </w:rPr>
              <w:t xml:space="preserve">$2,530,654  </w:t>
            </w:r>
            <w:r>
              <w:rPr>
                <w:rFonts w:ascii="Arial" w:cs="Arial" w:eastAsia="Arial" w:hAnsi="Arial"/>
                <w:sz w:val="20"/>
                <w:szCs w:val="20"/>
                <w:color w:val="auto"/>
                <w:vertAlign w:val="superscript"/>
              </w:rPr>
              <w:t>2</w:t>
            </w:r>
          </w:p>
        </w:tc>
        <w:tc>
          <w:tcPr>
            <w:tcW w:w="72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5"/>
              </w:rPr>
              <w:t>$1,119,445</w:t>
            </w:r>
          </w:p>
        </w:tc>
        <w:tc>
          <w:tcPr>
            <w:tcW w:w="9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9"/>
              </w:rPr>
              <w:t>$907,450</w:t>
            </w:r>
          </w:p>
        </w:tc>
        <w:tc>
          <w:tcPr>
            <w:tcW w:w="10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980" w:type="dxa"/>
            <w:vAlign w:val="bottom"/>
            <w:shd w:val="clear" w:color="auto" w:fill="F4F6F6"/>
          </w:tcPr>
          <w:p>
            <w:pPr>
              <w:jc w:val="center"/>
              <w:ind w:left="77"/>
              <w:spacing w:after="0"/>
              <w:rPr>
                <w:sz w:val="20"/>
                <w:szCs w:val="20"/>
                <w:color w:val="auto"/>
              </w:rPr>
            </w:pPr>
            <w:r>
              <w:rPr>
                <w:rFonts w:ascii="Arial" w:cs="Arial" w:eastAsia="Arial" w:hAnsi="Arial"/>
                <w:sz w:val="13"/>
                <w:szCs w:val="13"/>
                <w:color w:val="auto"/>
                <w:w w:val="93"/>
              </w:rPr>
              <w:t>$46,511</w:t>
            </w:r>
          </w:p>
        </w:tc>
        <w:tc>
          <w:tcPr>
            <w:tcW w:w="98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8"/>
              </w:rPr>
              <w:t>$5,379,245</w:t>
            </w:r>
          </w:p>
        </w:tc>
        <w:tc>
          <w:tcPr>
            <w:tcW w:w="0" w:type="dxa"/>
            <w:vAlign w:val="bottom"/>
          </w:tcPr>
          <w:p>
            <w:pPr>
              <w:spacing w:after="0"/>
              <w:rPr>
                <w:sz w:val="1"/>
                <w:szCs w:val="1"/>
                <w:color w:val="auto"/>
              </w:rPr>
            </w:pPr>
          </w:p>
        </w:tc>
      </w:tr>
      <w:tr>
        <w:trPr>
          <w:trHeight w:val="140"/>
        </w:trPr>
        <w:tc>
          <w:tcPr>
            <w:tcW w:w="1440" w:type="dxa"/>
            <w:vAlign w:val="bottom"/>
            <w:shd w:val="clear" w:color="auto" w:fill="F4F6F6"/>
          </w:tcPr>
          <w:p>
            <w:pPr>
              <w:ind w:left="40"/>
              <w:spacing w:after="0" w:line="140" w:lineRule="exact"/>
              <w:rPr>
                <w:sz w:val="20"/>
                <w:szCs w:val="20"/>
                <w:color w:val="auto"/>
              </w:rPr>
            </w:pPr>
            <w:r>
              <w:rPr>
                <w:rFonts w:ascii="Arial" w:cs="Arial" w:eastAsia="Arial" w:hAnsi="Arial"/>
                <w:sz w:val="13"/>
                <w:szCs w:val="13"/>
                <w:color w:val="auto"/>
              </w:rPr>
              <w:t>President, Chief</w:t>
            </w:r>
          </w:p>
        </w:tc>
        <w:tc>
          <w:tcPr>
            <w:tcW w:w="440" w:type="dxa"/>
            <w:vAlign w:val="bottom"/>
            <w:vMerge w:val="restart"/>
            <w:shd w:val="clear" w:color="auto" w:fill="F4F6F6"/>
          </w:tcPr>
          <w:p>
            <w:pPr>
              <w:ind w:left="80"/>
              <w:spacing w:after="0"/>
              <w:rPr>
                <w:sz w:val="20"/>
                <w:szCs w:val="20"/>
                <w:color w:val="auto"/>
              </w:rPr>
            </w:pPr>
            <w:r>
              <w:rPr>
                <w:rFonts w:ascii="Arial" w:cs="Arial" w:eastAsia="Arial" w:hAnsi="Arial"/>
                <w:sz w:val="13"/>
                <w:szCs w:val="13"/>
                <w:color w:val="auto"/>
              </w:rPr>
              <w:t>2017</w:t>
            </w:r>
          </w:p>
        </w:tc>
        <w:tc>
          <w:tcPr>
            <w:tcW w:w="7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460" w:type="dxa"/>
            <w:vAlign w:val="bottom"/>
            <w:vMerge w:val="restart"/>
            <w:shd w:val="clear" w:color="auto" w:fill="F4F6F6"/>
          </w:tcPr>
          <w:p>
            <w:pPr>
              <w:ind w:left="140"/>
              <w:spacing w:after="0"/>
              <w:rPr>
                <w:sz w:val="20"/>
                <w:szCs w:val="20"/>
                <w:color w:val="auto"/>
              </w:rPr>
            </w:pPr>
            <w:r>
              <w:rPr>
                <w:rFonts w:ascii="Arial" w:cs="Arial" w:eastAsia="Arial" w:hAnsi="Arial"/>
                <w:sz w:val="13"/>
                <w:szCs w:val="13"/>
                <w:color w:val="auto"/>
              </w:rPr>
              <w:t>N/A</w:t>
            </w:r>
          </w:p>
        </w:tc>
        <w:tc>
          <w:tcPr>
            <w:tcW w:w="900" w:type="dxa"/>
            <w:vAlign w:val="bottom"/>
            <w:vMerge w:val="restart"/>
            <w:shd w:val="clear" w:color="auto" w:fill="F4F6F6"/>
          </w:tcPr>
          <w:p>
            <w:pPr>
              <w:jc w:val="center"/>
              <w:ind w:right="37"/>
              <w:spacing w:after="0"/>
              <w:rPr>
                <w:sz w:val="20"/>
                <w:szCs w:val="20"/>
                <w:color w:val="auto"/>
              </w:rPr>
            </w:pPr>
            <w:r>
              <w:rPr>
                <w:rFonts w:ascii="Arial" w:cs="Arial" w:eastAsia="Arial" w:hAnsi="Arial"/>
                <w:sz w:val="13"/>
                <w:szCs w:val="13"/>
                <w:color w:val="auto"/>
                <w:w w:val="92"/>
              </w:rPr>
              <w:t>N/A</w:t>
            </w:r>
          </w:p>
        </w:tc>
        <w:tc>
          <w:tcPr>
            <w:tcW w:w="7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2"/>
              </w:rPr>
              <w:t>N/A</w:t>
            </w:r>
          </w:p>
        </w:tc>
        <w:tc>
          <w:tcPr>
            <w:tcW w:w="9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10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980" w:type="dxa"/>
            <w:vAlign w:val="bottom"/>
            <w:vMerge w:val="restart"/>
            <w:shd w:val="clear" w:color="auto" w:fill="F4F6F6"/>
          </w:tcPr>
          <w:p>
            <w:pPr>
              <w:jc w:val="center"/>
              <w:ind w:left="77"/>
              <w:spacing w:after="0"/>
              <w:rPr>
                <w:sz w:val="20"/>
                <w:szCs w:val="20"/>
                <w:color w:val="auto"/>
              </w:rPr>
            </w:pPr>
            <w:r>
              <w:rPr>
                <w:rFonts w:ascii="Arial" w:cs="Arial" w:eastAsia="Arial" w:hAnsi="Arial"/>
                <w:sz w:val="13"/>
                <w:szCs w:val="13"/>
                <w:color w:val="auto"/>
                <w:w w:val="92"/>
              </w:rPr>
              <w:t>N/A</w:t>
            </w:r>
          </w:p>
        </w:tc>
        <w:tc>
          <w:tcPr>
            <w:tcW w:w="9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2"/>
              </w:rPr>
              <w:t>N/A</w:t>
            </w:r>
          </w:p>
        </w:tc>
        <w:tc>
          <w:tcPr>
            <w:tcW w:w="0" w:type="dxa"/>
            <w:vAlign w:val="bottom"/>
          </w:tcPr>
          <w:p>
            <w:pPr>
              <w:spacing w:after="0"/>
              <w:rPr>
                <w:sz w:val="1"/>
                <w:szCs w:val="1"/>
                <w:color w:val="auto"/>
              </w:rPr>
            </w:pPr>
          </w:p>
        </w:tc>
      </w:tr>
      <w:tr>
        <w:trPr>
          <w:trHeight w:val="135"/>
        </w:trPr>
        <w:tc>
          <w:tcPr>
            <w:tcW w:w="1440" w:type="dxa"/>
            <w:vAlign w:val="bottom"/>
            <w:shd w:val="clear" w:color="auto" w:fill="F4F6F6"/>
          </w:tcPr>
          <w:p>
            <w:pPr>
              <w:ind w:left="40"/>
              <w:spacing w:after="0" w:line="135" w:lineRule="exact"/>
              <w:rPr>
                <w:sz w:val="20"/>
                <w:szCs w:val="20"/>
                <w:color w:val="auto"/>
              </w:rPr>
            </w:pPr>
            <w:r>
              <w:rPr>
                <w:rFonts w:ascii="Arial" w:cs="Arial" w:eastAsia="Arial" w:hAnsi="Arial"/>
                <w:sz w:val="13"/>
                <w:szCs w:val="13"/>
                <w:color w:val="auto"/>
              </w:rPr>
              <w:t>Executive Officer and</w:t>
            </w:r>
          </w:p>
        </w:tc>
        <w:tc>
          <w:tcPr>
            <w:tcW w:w="440" w:type="dxa"/>
            <w:vAlign w:val="bottom"/>
            <w:vMerge w:val="continue"/>
            <w:shd w:val="clear" w:color="auto" w:fill="F4F6F6"/>
          </w:tcPr>
          <w:p>
            <w:pPr>
              <w:spacing w:after="0"/>
              <w:rPr>
                <w:sz w:val="11"/>
                <w:szCs w:val="11"/>
                <w:color w:val="auto"/>
              </w:rPr>
            </w:pPr>
          </w:p>
        </w:tc>
        <w:tc>
          <w:tcPr>
            <w:tcW w:w="740" w:type="dxa"/>
            <w:vAlign w:val="bottom"/>
            <w:vMerge w:val="continue"/>
            <w:shd w:val="clear" w:color="auto" w:fill="F4F6F6"/>
          </w:tcPr>
          <w:p>
            <w:pPr>
              <w:spacing w:after="0"/>
              <w:rPr>
                <w:sz w:val="11"/>
                <w:szCs w:val="11"/>
                <w:color w:val="auto"/>
              </w:rPr>
            </w:pPr>
          </w:p>
        </w:tc>
        <w:tc>
          <w:tcPr>
            <w:tcW w:w="460" w:type="dxa"/>
            <w:vAlign w:val="bottom"/>
            <w:vMerge w:val="continue"/>
            <w:shd w:val="clear" w:color="auto" w:fill="F4F6F6"/>
          </w:tcPr>
          <w:p>
            <w:pPr>
              <w:spacing w:after="0"/>
              <w:rPr>
                <w:sz w:val="11"/>
                <w:szCs w:val="11"/>
                <w:color w:val="auto"/>
              </w:rPr>
            </w:pPr>
          </w:p>
        </w:tc>
        <w:tc>
          <w:tcPr>
            <w:tcW w:w="900" w:type="dxa"/>
            <w:vAlign w:val="bottom"/>
            <w:vMerge w:val="continue"/>
            <w:shd w:val="clear" w:color="auto" w:fill="F4F6F6"/>
          </w:tcPr>
          <w:p>
            <w:pPr>
              <w:spacing w:after="0"/>
              <w:rPr>
                <w:sz w:val="11"/>
                <w:szCs w:val="11"/>
                <w:color w:val="auto"/>
              </w:rPr>
            </w:pPr>
          </w:p>
        </w:tc>
        <w:tc>
          <w:tcPr>
            <w:tcW w:w="720" w:type="dxa"/>
            <w:vAlign w:val="bottom"/>
            <w:vMerge w:val="continue"/>
            <w:shd w:val="clear" w:color="auto" w:fill="F4F6F6"/>
          </w:tcPr>
          <w:p>
            <w:pPr>
              <w:spacing w:after="0"/>
              <w:rPr>
                <w:sz w:val="11"/>
                <w:szCs w:val="11"/>
                <w:color w:val="auto"/>
              </w:rPr>
            </w:pPr>
          </w:p>
        </w:tc>
        <w:tc>
          <w:tcPr>
            <w:tcW w:w="960" w:type="dxa"/>
            <w:vAlign w:val="bottom"/>
            <w:vMerge w:val="continue"/>
            <w:shd w:val="clear" w:color="auto" w:fill="F4F6F6"/>
          </w:tcPr>
          <w:p>
            <w:pPr>
              <w:spacing w:after="0"/>
              <w:rPr>
                <w:sz w:val="11"/>
                <w:szCs w:val="11"/>
                <w:color w:val="auto"/>
              </w:rPr>
            </w:pPr>
          </w:p>
        </w:tc>
        <w:tc>
          <w:tcPr>
            <w:tcW w:w="1040" w:type="dxa"/>
            <w:vAlign w:val="bottom"/>
            <w:vMerge w:val="continue"/>
            <w:shd w:val="clear" w:color="auto" w:fill="F4F6F6"/>
          </w:tcPr>
          <w:p>
            <w:pPr>
              <w:spacing w:after="0"/>
              <w:rPr>
                <w:sz w:val="11"/>
                <w:szCs w:val="11"/>
                <w:color w:val="auto"/>
              </w:rPr>
            </w:pPr>
          </w:p>
        </w:tc>
        <w:tc>
          <w:tcPr>
            <w:tcW w:w="980" w:type="dxa"/>
            <w:vAlign w:val="bottom"/>
            <w:vMerge w:val="continue"/>
            <w:shd w:val="clear" w:color="auto" w:fill="F4F6F6"/>
          </w:tcPr>
          <w:p>
            <w:pPr>
              <w:spacing w:after="0"/>
              <w:rPr>
                <w:sz w:val="11"/>
                <w:szCs w:val="11"/>
                <w:color w:val="auto"/>
              </w:rPr>
            </w:pPr>
          </w:p>
        </w:tc>
        <w:tc>
          <w:tcPr>
            <w:tcW w:w="980" w:type="dxa"/>
            <w:vAlign w:val="bottom"/>
            <w:vMerge w:val="continue"/>
            <w:shd w:val="clear" w:color="auto" w:fill="F4F6F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F4F6F6"/>
          </w:tcPr>
          <w:p>
            <w:pPr>
              <w:ind w:left="40"/>
              <w:spacing w:after="0" w:line="135" w:lineRule="exact"/>
              <w:rPr>
                <w:sz w:val="20"/>
                <w:szCs w:val="20"/>
                <w:color w:val="auto"/>
              </w:rPr>
            </w:pPr>
            <w:r>
              <w:rPr>
                <w:rFonts w:ascii="Arial" w:cs="Arial" w:eastAsia="Arial" w:hAnsi="Arial"/>
                <w:sz w:val="13"/>
                <w:szCs w:val="13"/>
                <w:color w:val="auto"/>
              </w:rPr>
              <w:t>Director Elanco Animal</w:t>
            </w:r>
          </w:p>
        </w:tc>
        <w:tc>
          <w:tcPr>
            <w:tcW w:w="440" w:type="dxa"/>
            <w:vAlign w:val="bottom"/>
            <w:vMerge w:val="restart"/>
            <w:shd w:val="clear" w:color="auto" w:fill="F4F6F6"/>
          </w:tcPr>
          <w:p>
            <w:pPr>
              <w:ind w:left="80"/>
              <w:spacing w:after="0"/>
              <w:rPr>
                <w:sz w:val="20"/>
                <w:szCs w:val="20"/>
                <w:color w:val="auto"/>
              </w:rPr>
            </w:pPr>
            <w:r>
              <w:rPr>
                <w:rFonts w:ascii="Arial" w:cs="Arial" w:eastAsia="Arial" w:hAnsi="Arial"/>
                <w:sz w:val="13"/>
                <w:szCs w:val="13"/>
                <w:color w:val="auto"/>
              </w:rPr>
              <w:t>2016</w:t>
            </w:r>
          </w:p>
        </w:tc>
        <w:tc>
          <w:tcPr>
            <w:tcW w:w="7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460" w:type="dxa"/>
            <w:vAlign w:val="bottom"/>
            <w:vMerge w:val="restart"/>
            <w:shd w:val="clear" w:color="auto" w:fill="F4F6F6"/>
          </w:tcPr>
          <w:p>
            <w:pPr>
              <w:ind w:left="140"/>
              <w:spacing w:after="0"/>
              <w:rPr>
                <w:sz w:val="20"/>
                <w:szCs w:val="20"/>
                <w:color w:val="auto"/>
              </w:rPr>
            </w:pPr>
            <w:r>
              <w:rPr>
                <w:rFonts w:ascii="Arial" w:cs="Arial" w:eastAsia="Arial" w:hAnsi="Arial"/>
                <w:sz w:val="13"/>
                <w:szCs w:val="13"/>
                <w:color w:val="auto"/>
              </w:rPr>
              <w:t>N/A</w:t>
            </w:r>
          </w:p>
        </w:tc>
        <w:tc>
          <w:tcPr>
            <w:tcW w:w="900" w:type="dxa"/>
            <w:vAlign w:val="bottom"/>
            <w:vMerge w:val="restart"/>
            <w:shd w:val="clear" w:color="auto" w:fill="F4F6F6"/>
          </w:tcPr>
          <w:p>
            <w:pPr>
              <w:jc w:val="center"/>
              <w:ind w:right="37"/>
              <w:spacing w:after="0"/>
              <w:rPr>
                <w:sz w:val="20"/>
                <w:szCs w:val="20"/>
                <w:color w:val="auto"/>
              </w:rPr>
            </w:pPr>
            <w:r>
              <w:rPr>
                <w:rFonts w:ascii="Arial" w:cs="Arial" w:eastAsia="Arial" w:hAnsi="Arial"/>
                <w:sz w:val="13"/>
                <w:szCs w:val="13"/>
                <w:color w:val="auto"/>
                <w:w w:val="92"/>
              </w:rPr>
              <w:t>N/A</w:t>
            </w:r>
          </w:p>
        </w:tc>
        <w:tc>
          <w:tcPr>
            <w:tcW w:w="7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2"/>
              </w:rPr>
              <w:t>N/A</w:t>
            </w:r>
          </w:p>
        </w:tc>
        <w:tc>
          <w:tcPr>
            <w:tcW w:w="9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10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N/A</w:t>
            </w:r>
          </w:p>
        </w:tc>
        <w:tc>
          <w:tcPr>
            <w:tcW w:w="980" w:type="dxa"/>
            <w:vAlign w:val="bottom"/>
            <w:vMerge w:val="restart"/>
            <w:shd w:val="clear" w:color="auto" w:fill="F4F6F6"/>
          </w:tcPr>
          <w:p>
            <w:pPr>
              <w:jc w:val="center"/>
              <w:ind w:left="77"/>
              <w:spacing w:after="0"/>
              <w:rPr>
                <w:sz w:val="20"/>
                <w:szCs w:val="20"/>
                <w:color w:val="auto"/>
              </w:rPr>
            </w:pPr>
            <w:r>
              <w:rPr>
                <w:rFonts w:ascii="Arial" w:cs="Arial" w:eastAsia="Arial" w:hAnsi="Arial"/>
                <w:sz w:val="13"/>
                <w:szCs w:val="13"/>
                <w:color w:val="auto"/>
                <w:w w:val="92"/>
              </w:rPr>
              <w:t>N/A</w:t>
            </w:r>
          </w:p>
        </w:tc>
        <w:tc>
          <w:tcPr>
            <w:tcW w:w="9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2"/>
              </w:rPr>
              <w:t>N/A</w:t>
            </w:r>
          </w:p>
        </w:tc>
        <w:tc>
          <w:tcPr>
            <w:tcW w:w="0" w:type="dxa"/>
            <w:vAlign w:val="bottom"/>
          </w:tcPr>
          <w:p>
            <w:pPr>
              <w:spacing w:after="0"/>
              <w:rPr>
                <w:sz w:val="1"/>
                <w:szCs w:val="1"/>
                <w:color w:val="auto"/>
              </w:rPr>
            </w:pPr>
          </w:p>
        </w:tc>
      </w:tr>
      <w:tr>
        <w:trPr>
          <w:trHeight w:val="178"/>
        </w:trPr>
        <w:tc>
          <w:tcPr>
            <w:tcW w:w="1440" w:type="dxa"/>
            <w:vAlign w:val="bottom"/>
            <w:tcBorders>
              <w:bottom w:val="single" w:sz="8" w:color="C8C9CB"/>
            </w:tcBorders>
            <w:shd w:val="clear" w:color="auto" w:fill="F4F6F6"/>
          </w:tcPr>
          <w:p>
            <w:pPr>
              <w:ind w:left="40"/>
              <w:spacing w:after="0"/>
              <w:rPr>
                <w:sz w:val="20"/>
                <w:szCs w:val="20"/>
                <w:color w:val="auto"/>
              </w:rPr>
            </w:pPr>
            <w:r>
              <w:rPr>
                <w:rFonts w:ascii="Arial" w:cs="Arial" w:eastAsia="Arial" w:hAnsi="Arial"/>
                <w:sz w:val="13"/>
                <w:szCs w:val="13"/>
                <w:color w:val="auto"/>
              </w:rPr>
              <w:t>Health, Inc.</w:t>
            </w:r>
          </w:p>
        </w:tc>
        <w:tc>
          <w:tcPr>
            <w:tcW w:w="440" w:type="dxa"/>
            <w:vAlign w:val="bottom"/>
            <w:tcBorders>
              <w:bottom w:val="single" w:sz="8" w:color="C8C9CB"/>
            </w:tcBorders>
            <w:vMerge w:val="continue"/>
            <w:shd w:val="clear" w:color="auto" w:fill="F4F6F6"/>
          </w:tcPr>
          <w:p>
            <w:pPr>
              <w:spacing w:after="0"/>
              <w:rPr>
                <w:sz w:val="15"/>
                <w:szCs w:val="15"/>
                <w:color w:val="auto"/>
              </w:rPr>
            </w:pPr>
          </w:p>
        </w:tc>
        <w:tc>
          <w:tcPr>
            <w:tcW w:w="740" w:type="dxa"/>
            <w:vAlign w:val="bottom"/>
            <w:tcBorders>
              <w:bottom w:val="single" w:sz="8" w:color="C8C9CB"/>
            </w:tcBorders>
            <w:vMerge w:val="continue"/>
            <w:shd w:val="clear" w:color="auto" w:fill="F4F6F6"/>
          </w:tcPr>
          <w:p>
            <w:pPr>
              <w:spacing w:after="0"/>
              <w:rPr>
                <w:sz w:val="15"/>
                <w:szCs w:val="15"/>
                <w:color w:val="auto"/>
              </w:rPr>
            </w:pPr>
          </w:p>
        </w:tc>
        <w:tc>
          <w:tcPr>
            <w:tcW w:w="460" w:type="dxa"/>
            <w:vAlign w:val="bottom"/>
            <w:tcBorders>
              <w:bottom w:val="single" w:sz="8" w:color="C8C9CB"/>
            </w:tcBorders>
            <w:vMerge w:val="continue"/>
            <w:shd w:val="clear" w:color="auto" w:fill="F4F6F6"/>
          </w:tcPr>
          <w:p>
            <w:pPr>
              <w:spacing w:after="0"/>
              <w:rPr>
                <w:sz w:val="15"/>
                <w:szCs w:val="15"/>
                <w:color w:val="auto"/>
              </w:rPr>
            </w:pPr>
          </w:p>
        </w:tc>
        <w:tc>
          <w:tcPr>
            <w:tcW w:w="900" w:type="dxa"/>
            <w:vAlign w:val="bottom"/>
            <w:tcBorders>
              <w:bottom w:val="single" w:sz="8" w:color="C8C9CB"/>
            </w:tcBorders>
            <w:vMerge w:val="continue"/>
            <w:shd w:val="clear" w:color="auto" w:fill="F4F6F6"/>
          </w:tcPr>
          <w:p>
            <w:pPr>
              <w:spacing w:after="0"/>
              <w:rPr>
                <w:sz w:val="15"/>
                <w:szCs w:val="15"/>
                <w:color w:val="auto"/>
              </w:rPr>
            </w:pPr>
          </w:p>
        </w:tc>
        <w:tc>
          <w:tcPr>
            <w:tcW w:w="720" w:type="dxa"/>
            <w:vAlign w:val="bottom"/>
            <w:tcBorders>
              <w:bottom w:val="single" w:sz="8" w:color="C8C9CB"/>
            </w:tcBorders>
            <w:vMerge w:val="continue"/>
            <w:shd w:val="clear" w:color="auto" w:fill="F4F6F6"/>
          </w:tcPr>
          <w:p>
            <w:pPr>
              <w:spacing w:after="0"/>
              <w:rPr>
                <w:sz w:val="15"/>
                <w:szCs w:val="15"/>
                <w:color w:val="auto"/>
              </w:rPr>
            </w:pPr>
          </w:p>
        </w:tc>
        <w:tc>
          <w:tcPr>
            <w:tcW w:w="960" w:type="dxa"/>
            <w:vAlign w:val="bottom"/>
            <w:tcBorders>
              <w:bottom w:val="single" w:sz="8" w:color="C8C9CB"/>
            </w:tcBorders>
            <w:vMerge w:val="continue"/>
            <w:shd w:val="clear" w:color="auto" w:fill="F4F6F6"/>
          </w:tcPr>
          <w:p>
            <w:pPr>
              <w:spacing w:after="0"/>
              <w:rPr>
                <w:sz w:val="15"/>
                <w:szCs w:val="15"/>
                <w:color w:val="auto"/>
              </w:rPr>
            </w:pPr>
          </w:p>
        </w:tc>
        <w:tc>
          <w:tcPr>
            <w:tcW w:w="1040" w:type="dxa"/>
            <w:vAlign w:val="bottom"/>
            <w:tcBorders>
              <w:bottom w:val="single" w:sz="8" w:color="C8C9CB"/>
            </w:tcBorders>
            <w:vMerge w:val="continue"/>
            <w:shd w:val="clear" w:color="auto" w:fill="F4F6F6"/>
          </w:tcPr>
          <w:p>
            <w:pPr>
              <w:spacing w:after="0"/>
              <w:rPr>
                <w:sz w:val="15"/>
                <w:szCs w:val="15"/>
                <w:color w:val="auto"/>
              </w:rPr>
            </w:pPr>
          </w:p>
        </w:tc>
        <w:tc>
          <w:tcPr>
            <w:tcW w:w="980" w:type="dxa"/>
            <w:vAlign w:val="bottom"/>
            <w:tcBorders>
              <w:bottom w:val="single" w:sz="8" w:color="C8C9CB"/>
            </w:tcBorders>
            <w:vMerge w:val="continue"/>
            <w:shd w:val="clear" w:color="auto" w:fill="F4F6F6"/>
          </w:tcPr>
          <w:p>
            <w:pPr>
              <w:spacing w:after="0"/>
              <w:rPr>
                <w:sz w:val="15"/>
                <w:szCs w:val="15"/>
                <w:color w:val="auto"/>
              </w:rPr>
            </w:pPr>
          </w:p>
        </w:tc>
        <w:tc>
          <w:tcPr>
            <w:tcW w:w="980" w:type="dxa"/>
            <w:vAlign w:val="bottom"/>
            <w:tcBorders>
              <w:bottom w:val="single" w:sz="8" w:color="C8C9CB"/>
            </w:tcBorders>
            <w:vMerge w:val="continue"/>
            <w:shd w:val="clear" w:color="auto" w:fill="F4F6F6"/>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7"/>
          <w:szCs w:val="17"/>
          <w:color w:val="auto"/>
        </w:rPr>
        <w:t>This column shows the grant date fair value of performance awards and shareholder value awards computed in accordance with FASB ASC Topic</w:t>
      </w:r>
    </w:p>
    <w:p>
      <w:pPr>
        <w:spacing w:after="0" w:line="29" w:lineRule="exact"/>
        <w:rPr>
          <w:sz w:val="20"/>
          <w:szCs w:val="20"/>
          <w:color w:val="auto"/>
        </w:rPr>
      </w:pPr>
    </w:p>
    <w:p>
      <w:pPr>
        <w:ind w:left="460" w:hanging="371"/>
        <w:spacing w:after="0"/>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Note 11</w:t>
      </w:r>
      <w:r>
        <w:rPr>
          <w:rFonts w:ascii="Arial" w:cs="Arial" w:eastAsia="Arial" w:hAnsi="Arial"/>
          <w:sz w:val="17"/>
          <w:szCs w:val="17"/>
          <w:color w:val="auto"/>
        </w:rPr>
        <w:t xml:space="preserve"> of the consolidated financial statements in the company’s Annual Report on Form 10-K for the fiscal year ended December 31,</w:t>
      </w:r>
    </w:p>
    <w:p>
      <w:pPr>
        <w:spacing w:after="0" w:line="7" w:lineRule="exact"/>
        <w:rPr>
          <w:rFonts w:ascii="Arial" w:cs="Arial" w:eastAsia="Arial" w:hAnsi="Arial"/>
          <w:sz w:val="17"/>
          <w:szCs w:val="17"/>
          <w:color w:val="auto"/>
        </w:rPr>
      </w:pPr>
    </w:p>
    <w:p>
      <w:pPr>
        <w:ind w:left="80"/>
        <w:spacing w:after="0" w:line="265" w:lineRule="auto"/>
        <w:rPr>
          <w:rFonts w:ascii="Arial" w:cs="Arial" w:eastAsia="Arial" w:hAnsi="Arial"/>
          <w:sz w:val="17"/>
          <w:szCs w:val="17"/>
          <w:color w:val="auto"/>
        </w:rPr>
      </w:pPr>
      <w:r>
        <w:rPr>
          <w:rFonts w:ascii="Arial" w:cs="Arial" w:eastAsia="Arial" w:hAnsi="Arial"/>
          <w:sz w:val="17"/>
          <w:szCs w:val="17"/>
          <w:color w:val="auto"/>
        </w:rPr>
        <w:t>2018, for additional detail regarding assumptions underlying the valuation of equity awards. All values in the “Stock Awards” column were based upon the probable outcome of performance conditions as of the grant date, which vary year to year.</w:t>
      </w:r>
    </w:p>
    <w:p>
      <w:pPr>
        <w:spacing w:after="0" w:line="114" w:lineRule="exact"/>
        <w:rPr>
          <w:sz w:val="20"/>
          <w:szCs w:val="20"/>
          <w:color w:val="auto"/>
        </w:rPr>
      </w:pPr>
    </w:p>
    <w:p>
      <w:pPr>
        <w:ind w:left="80"/>
        <w:spacing w:after="0"/>
        <w:rPr>
          <w:sz w:val="20"/>
          <w:szCs w:val="20"/>
          <w:color w:val="auto"/>
        </w:rPr>
      </w:pPr>
      <w:r>
        <w:rPr>
          <w:rFonts w:ascii="Arial" w:cs="Arial" w:eastAsia="Arial" w:hAnsi="Arial"/>
          <w:sz w:val="17"/>
          <w:szCs w:val="17"/>
          <w:color w:val="auto"/>
        </w:rPr>
        <w:t>For purposes of comparison, the supplemental table below shows the total target grant values approved by the Compensation Committee:</w:t>
      </w:r>
    </w:p>
    <w:p>
      <w:pPr>
        <w:spacing w:after="0" w:line="170" w:lineRule="exact"/>
        <w:rPr>
          <w:sz w:val="20"/>
          <w:szCs w:val="20"/>
          <w:color w:val="auto"/>
        </w:rPr>
      </w:pPr>
    </w:p>
    <w:tbl>
      <w:tblPr>
        <w:tblLayout w:type="fixed"/>
        <w:tblInd w:w="2720" w:type="dxa"/>
        <w:tblCellMar>
          <w:top w:w="0" w:type="dxa"/>
          <w:left w:w="0" w:type="dxa"/>
          <w:bottom w:w="0" w:type="dxa"/>
          <w:right w:w="0" w:type="dxa"/>
        </w:tblCellMar>
      </w:tblPr>
      <w:tr>
        <w:trPr>
          <w:trHeight w:val="216"/>
        </w:trPr>
        <w:tc>
          <w:tcPr>
            <w:tcW w:w="122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Name</w:t>
            </w:r>
          </w:p>
        </w:tc>
        <w:tc>
          <w:tcPr>
            <w:tcW w:w="1480" w:type="dxa"/>
            <w:vAlign w:val="bottom"/>
            <w:shd w:val="clear" w:color="auto" w:fill="C8C9CB"/>
          </w:tcPr>
          <w:p>
            <w:pPr>
              <w:jc w:val="center"/>
              <w:ind w:left="28"/>
              <w:spacing w:after="0"/>
              <w:rPr>
                <w:sz w:val="20"/>
                <w:szCs w:val="20"/>
                <w:color w:val="auto"/>
              </w:rPr>
            </w:pPr>
            <w:r>
              <w:rPr>
                <w:rFonts w:ascii="Arial" w:cs="Arial" w:eastAsia="Arial" w:hAnsi="Arial"/>
                <w:sz w:val="14"/>
                <w:szCs w:val="14"/>
                <w:b w:val="1"/>
                <w:bCs w:val="1"/>
                <w:color w:val="00ABE8"/>
              </w:rPr>
              <w:t>2016 Total Equity</w:t>
            </w:r>
          </w:p>
        </w:tc>
        <w:tc>
          <w:tcPr>
            <w:tcW w:w="1540" w:type="dxa"/>
            <w:vAlign w:val="bottom"/>
            <w:shd w:val="clear" w:color="auto" w:fill="C8C9CB"/>
          </w:tcPr>
          <w:p>
            <w:pPr>
              <w:jc w:val="center"/>
              <w:ind w:right="88"/>
              <w:spacing w:after="0"/>
              <w:rPr>
                <w:sz w:val="20"/>
                <w:szCs w:val="20"/>
                <w:color w:val="auto"/>
              </w:rPr>
            </w:pPr>
            <w:r>
              <w:rPr>
                <w:rFonts w:ascii="Arial" w:cs="Arial" w:eastAsia="Arial" w:hAnsi="Arial"/>
                <w:sz w:val="14"/>
                <w:szCs w:val="14"/>
                <w:b w:val="1"/>
                <w:bCs w:val="1"/>
                <w:color w:val="00ABE8"/>
              </w:rPr>
              <w:t>2017 Total Equity</w:t>
            </w:r>
          </w:p>
        </w:tc>
        <w:tc>
          <w:tcPr>
            <w:tcW w:w="1820" w:type="dxa"/>
            <w:vAlign w:val="bottom"/>
            <w:shd w:val="clear" w:color="auto" w:fill="C8C9CB"/>
          </w:tcPr>
          <w:p>
            <w:pPr>
              <w:jc w:val="center"/>
              <w:ind w:right="48"/>
              <w:spacing w:after="0"/>
              <w:rPr>
                <w:sz w:val="20"/>
                <w:szCs w:val="20"/>
                <w:color w:val="auto"/>
              </w:rPr>
            </w:pPr>
            <w:r>
              <w:rPr>
                <w:rFonts w:ascii="Arial" w:cs="Arial" w:eastAsia="Arial" w:hAnsi="Arial"/>
                <w:sz w:val="14"/>
                <w:szCs w:val="14"/>
                <w:b w:val="1"/>
                <w:bCs w:val="1"/>
                <w:color w:val="00ABE8"/>
              </w:rPr>
              <w:t>2018 Total Equity</w:t>
            </w:r>
          </w:p>
        </w:tc>
      </w:tr>
      <w:tr>
        <w:trPr>
          <w:trHeight w:val="208"/>
        </w:trPr>
        <w:tc>
          <w:tcPr>
            <w:tcW w:w="1220" w:type="dxa"/>
            <w:vAlign w:val="bottom"/>
          </w:tcPr>
          <w:p>
            <w:pPr>
              <w:ind w:left="20"/>
              <w:spacing w:after="0"/>
              <w:rPr>
                <w:sz w:val="20"/>
                <w:szCs w:val="20"/>
                <w:color w:val="auto"/>
              </w:rPr>
            </w:pPr>
            <w:r>
              <w:rPr>
                <w:rFonts w:ascii="Arial" w:cs="Arial" w:eastAsia="Arial" w:hAnsi="Arial"/>
                <w:sz w:val="14"/>
                <w:szCs w:val="14"/>
                <w:color w:val="auto"/>
              </w:rPr>
              <w:t>Mr. Ricks</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N/A</w:t>
            </w:r>
          </w:p>
        </w:tc>
        <w:tc>
          <w:tcPr>
            <w:tcW w:w="1540" w:type="dxa"/>
            <w:vAlign w:val="bottom"/>
          </w:tcPr>
          <w:p>
            <w:pPr>
              <w:jc w:val="center"/>
              <w:ind w:right="68"/>
              <w:spacing w:after="0"/>
              <w:rPr>
                <w:sz w:val="20"/>
                <w:szCs w:val="20"/>
                <w:color w:val="auto"/>
              </w:rPr>
            </w:pPr>
            <w:r>
              <w:rPr>
                <w:rFonts w:ascii="Arial" w:cs="Arial" w:eastAsia="Arial" w:hAnsi="Arial"/>
                <w:sz w:val="14"/>
                <w:szCs w:val="14"/>
                <w:color w:val="auto"/>
              </w:rPr>
              <w:t>$8,500,000</w:t>
            </w:r>
          </w:p>
        </w:tc>
        <w:tc>
          <w:tcPr>
            <w:tcW w:w="1820" w:type="dxa"/>
            <w:vAlign w:val="bottom"/>
          </w:tcPr>
          <w:p>
            <w:pPr>
              <w:jc w:val="center"/>
              <w:ind w:right="28"/>
              <w:spacing w:after="0"/>
              <w:rPr>
                <w:sz w:val="20"/>
                <w:szCs w:val="20"/>
                <w:color w:val="auto"/>
              </w:rPr>
            </w:pPr>
            <w:r>
              <w:rPr>
                <w:rFonts w:ascii="Arial" w:cs="Arial" w:eastAsia="Arial" w:hAnsi="Arial"/>
                <w:sz w:val="14"/>
                <w:szCs w:val="14"/>
                <w:color w:val="auto"/>
              </w:rPr>
              <w:t>$9,000,000</w:t>
            </w:r>
          </w:p>
        </w:tc>
      </w:tr>
      <w:tr>
        <w:trPr>
          <w:trHeight w:val="216"/>
        </w:trPr>
        <w:tc>
          <w:tcPr>
            <w:tcW w:w="1220" w:type="dxa"/>
            <w:vAlign w:val="bottom"/>
          </w:tcPr>
          <w:p>
            <w:pPr>
              <w:ind w:left="20"/>
              <w:spacing w:after="0"/>
              <w:rPr>
                <w:sz w:val="20"/>
                <w:szCs w:val="20"/>
                <w:color w:val="auto"/>
              </w:rPr>
            </w:pPr>
            <w:r>
              <w:rPr>
                <w:rFonts w:ascii="Arial" w:cs="Arial" w:eastAsia="Arial" w:hAnsi="Arial"/>
                <w:sz w:val="14"/>
                <w:szCs w:val="14"/>
                <w:color w:val="auto"/>
              </w:rPr>
              <w:t>Mr. Smiley</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N/A</w:t>
            </w:r>
          </w:p>
        </w:tc>
        <w:tc>
          <w:tcPr>
            <w:tcW w:w="1540" w:type="dxa"/>
            <w:vAlign w:val="bottom"/>
          </w:tcPr>
          <w:p>
            <w:pPr>
              <w:jc w:val="center"/>
              <w:ind w:right="68"/>
              <w:spacing w:after="0"/>
              <w:rPr>
                <w:sz w:val="20"/>
                <w:szCs w:val="20"/>
                <w:color w:val="auto"/>
              </w:rPr>
            </w:pPr>
            <w:r>
              <w:rPr>
                <w:rFonts w:ascii="Arial" w:cs="Arial" w:eastAsia="Arial" w:hAnsi="Arial"/>
                <w:sz w:val="14"/>
                <w:szCs w:val="14"/>
                <w:color w:val="auto"/>
              </w:rPr>
              <w:t>N/A</w:t>
            </w:r>
          </w:p>
        </w:tc>
        <w:tc>
          <w:tcPr>
            <w:tcW w:w="1820" w:type="dxa"/>
            <w:vAlign w:val="bottom"/>
          </w:tcPr>
          <w:p>
            <w:pPr>
              <w:jc w:val="center"/>
              <w:ind w:right="28"/>
              <w:spacing w:after="0"/>
              <w:rPr>
                <w:sz w:val="20"/>
                <w:szCs w:val="20"/>
                <w:color w:val="auto"/>
              </w:rPr>
            </w:pPr>
            <w:r>
              <w:rPr>
                <w:rFonts w:ascii="Arial" w:cs="Arial" w:eastAsia="Arial" w:hAnsi="Arial"/>
                <w:sz w:val="14"/>
                <w:szCs w:val="14"/>
                <w:color w:val="auto"/>
              </w:rPr>
              <w:t>$2,300,000</w:t>
            </w:r>
          </w:p>
        </w:tc>
      </w:tr>
      <w:tr>
        <w:trPr>
          <w:trHeight w:val="216"/>
        </w:trPr>
        <w:tc>
          <w:tcPr>
            <w:tcW w:w="1220" w:type="dxa"/>
            <w:vAlign w:val="bottom"/>
          </w:tcPr>
          <w:p>
            <w:pPr>
              <w:ind w:left="20"/>
              <w:spacing w:after="0"/>
              <w:rPr>
                <w:sz w:val="20"/>
                <w:szCs w:val="20"/>
                <w:color w:val="auto"/>
              </w:rPr>
            </w:pPr>
            <w:r>
              <w:rPr>
                <w:rFonts w:ascii="Arial" w:cs="Arial" w:eastAsia="Arial" w:hAnsi="Arial"/>
                <w:sz w:val="14"/>
                <w:szCs w:val="14"/>
                <w:color w:val="auto"/>
              </w:rPr>
              <w:t>Mr. Harrington</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$2,300,000</w:t>
            </w:r>
          </w:p>
        </w:tc>
        <w:tc>
          <w:tcPr>
            <w:tcW w:w="1540" w:type="dxa"/>
            <w:vAlign w:val="bottom"/>
          </w:tcPr>
          <w:p>
            <w:pPr>
              <w:jc w:val="center"/>
              <w:ind w:right="68"/>
              <w:spacing w:after="0"/>
              <w:rPr>
                <w:sz w:val="20"/>
                <w:szCs w:val="20"/>
                <w:color w:val="auto"/>
              </w:rPr>
            </w:pPr>
            <w:r>
              <w:rPr>
                <w:rFonts w:ascii="Arial" w:cs="Arial" w:eastAsia="Arial" w:hAnsi="Arial"/>
                <w:sz w:val="14"/>
                <w:szCs w:val="14"/>
                <w:color w:val="auto"/>
              </w:rPr>
              <w:t>$2,300,000</w:t>
            </w:r>
          </w:p>
        </w:tc>
        <w:tc>
          <w:tcPr>
            <w:tcW w:w="1820" w:type="dxa"/>
            <w:vAlign w:val="bottom"/>
          </w:tcPr>
          <w:p>
            <w:pPr>
              <w:jc w:val="center"/>
              <w:ind w:right="28"/>
              <w:spacing w:after="0"/>
              <w:rPr>
                <w:sz w:val="20"/>
                <w:szCs w:val="20"/>
                <w:color w:val="auto"/>
              </w:rPr>
            </w:pPr>
            <w:r>
              <w:rPr>
                <w:rFonts w:ascii="Arial" w:cs="Arial" w:eastAsia="Arial" w:hAnsi="Arial"/>
                <w:sz w:val="14"/>
                <w:szCs w:val="14"/>
                <w:color w:val="auto"/>
              </w:rPr>
              <w:t>$2,550,000</w:t>
            </w:r>
          </w:p>
        </w:tc>
      </w:tr>
      <w:tr>
        <w:trPr>
          <w:trHeight w:val="216"/>
        </w:trPr>
        <w:tc>
          <w:tcPr>
            <w:tcW w:w="1220" w:type="dxa"/>
            <w:vAlign w:val="bottom"/>
          </w:tcPr>
          <w:p>
            <w:pPr>
              <w:ind w:left="20"/>
              <w:spacing w:after="0"/>
              <w:rPr>
                <w:sz w:val="20"/>
                <w:szCs w:val="20"/>
                <w:color w:val="auto"/>
              </w:rPr>
            </w:pPr>
            <w:r>
              <w:rPr>
                <w:rFonts w:ascii="Arial" w:cs="Arial" w:eastAsia="Arial" w:hAnsi="Arial"/>
                <w:sz w:val="14"/>
                <w:szCs w:val="14"/>
                <w:color w:val="auto"/>
              </w:rPr>
              <w:t>Mr. Conterno</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$2,200,000</w:t>
            </w:r>
          </w:p>
        </w:tc>
        <w:tc>
          <w:tcPr>
            <w:tcW w:w="1540" w:type="dxa"/>
            <w:vAlign w:val="bottom"/>
          </w:tcPr>
          <w:p>
            <w:pPr>
              <w:jc w:val="center"/>
              <w:ind w:right="68"/>
              <w:spacing w:after="0"/>
              <w:rPr>
                <w:sz w:val="20"/>
                <w:szCs w:val="20"/>
                <w:color w:val="auto"/>
              </w:rPr>
            </w:pPr>
            <w:r>
              <w:rPr>
                <w:rFonts w:ascii="Arial" w:cs="Arial" w:eastAsia="Arial" w:hAnsi="Arial"/>
                <w:sz w:val="14"/>
                <w:szCs w:val="14"/>
                <w:color w:val="auto"/>
              </w:rPr>
              <w:t>$2,500,000</w:t>
            </w:r>
          </w:p>
        </w:tc>
        <w:tc>
          <w:tcPr>
            <w:tcW w:w="1820" w:type="dxa"/>
            <w:vAlign w:val="bottom"/>
          </w:tcPr>
          <w:p>
            <w:pPr>
              <w:jc w:val="center"/>
              <w:ind w:right="28"/>
              <w:spacing w:after="0"/>
              <w:rPr>
                <w:sz w:val="20"/>
                <w:szCs w:val="20"/>
                <w:color w:val="auto"/>
              </w:rPr>
            </w:pPr>
            <w:r>
              <w:rPr>
                <w:rFonts w:ascii="Arial" w:cs="Arial" w:eastAsia="Arial" w:hAnsi="Arial"/>
                <w:sz w:val="14"/>
                <w:szCs w:val="14"/>
                <w:color w:val="auto"/>
              </w:rPr>
              <w:t>$2,600,000</w:t>
            </w:r>
          </w:p>
        </w:tc>
      </w:tr>
      <w:tr>
        <w:trPr>
          <w:trHeight w:val="216"/>
        </w:trPr>
        <w:tc>
          <w:tcPr>
            <w:tcW w:w="122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N/A</w:t>
            </w:r>
          </w:p>
        </w:tc>
        <w:tc>
          <w:tcPr>
            <w:tcW w:w="1540" w:type="dxa"/>
            <w:vAlign w:val="bottom"/>
          </w:tcPr>
          <w:p>
            <w:pPr>
              <w:jc w:val="center"/>
              <w:ind w:right="68"/>
              <w:spacing w:after="0"/>
              <w:rPr>
                <w:sz w:val="20"/>
                <w:szCs w:val="20"/>
                <w:color w:val="auto"/>
              </w:rPr>
            </w:pPr>
            <w:r>
              <w:rPr>
                <w:rFonts w:ascii="Arial" w:cs="Arial" w:eastAsia="Arial" w:hAnsi="Arial"/>
                <w:sz w:val="14"/>
                <w:szCs w:val="14"/>
                <w:color w:val="auto"/>
              </w:rPr>
              <w:t>N/A</w:t>
            </w:r>
          </w:p>
        </w:tc>
        <w:tc>
          <w:tcPr>
            <w:tcW w:w="1820" w:type="dxa"/>
            <w:vAlign w:val="bottom"/>
          </w:tcPr>
          <w:p>
            <w:pPr>
              <w:jc w:val="center"/>
              <w:ind w:right="28"/>
              <w:spacing w:after="0"/>
              <w:rPr>
                <w:sz w:val="20"/>
                <w:szCs w:val="20"/>
                <w:color w:val="auto"/>
              </w:rPr>
            </w:pPr>
            <w:r>
              <w:rPr>
                <w:rFonts w:ascii="Arial" w:cs="Arial" w:eastAsia="Arial" w:hAnsi="Arial"/>
                <w:sz w:val="14"/>
                <w:szCs w:val="14"/>
                <w:color w:val="auto"/>
              </w:rPr>
              <w:t>$2,300,000</w:t>
            </w:r>
          </w:p>
        </w:tc>
      </w:tr>
      <w:tr>
        <w:trPr>
          <w:trHeight w:val="216"/>
        </w:trPr>
        <w:tc>
          <w:tcPr>
            <w:tcW w:w="1220" w:type="dxa"/>
            <w:vAlign w:val="bottom"/>
          </w:tcPr>
          <w:p>
            <w:pPr>
              <w:ind w:left="20"/>
              <w:spacing w:after="0"/>
              <w:rPr>
                <w:sz w:val="20"/>
                <w:szCs w:val="20"/>
                <w:color w:val="auto"/>
              </w:rPr>
            </w:pPr>
            <w:r>
              <w:rPr>
                <w:rFonts w:ascii="Arial" w:cs="Arial" w:eastAsia="Arial" w:hAnsi="Arial"/>
                <w:sz w:val="14"/>
                <w:szCs w:val="14"/>
                <w:color w:val="auto"/>
              </w:rPr>
              <w:t>Mr. Simmons</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N/A</w:t>
            </w:r>
          </w:p>
        </w:tc>
        <w:tc>
          <w:tcPr>
            <w:tcW w:w="1540" w:type="dxa"/>
            <w:vAlign w:val="bottom"/>
          </w:tcPr>
          <w:p>
            <w:pPr>
              <w:jc w:val="center"/>
              <w:ind w:right="68"/>
              <w:spacing w:after="0"/>
              <w:rPr>
                <w:sz w:val="20"/>
                <w:szCs w:val="20"/>
                <w:color w:val="auto"/>
              </w:rPr>
            </w:pPr>
            <w:r>
              <w:rPr>
                <w:rFonts w:ascii="Arial" w:cs="Arial" w:eastAsia="Arial" w:hAnsi="Arial"/>
                <w:sz w:val="14"/>
                <w:szCs w:val="14"/>
                <w:color w:val="auto"/>
              </w:rPr>
              <w:t>N/A</w:t>
            </w:r>
          </w:p>
        </w:tc>
        <w:tc>
          <w:tcPr>
            <w:tcW w:w="1820" w:type="dxa"/>
            <w:vAlign w:val="bottom"/>
          </w:tcPr>
          <w:p>
            <w:pPr>
              <w:jc w:val="center"/>
              <w:ind w:right="28"/>
              <w:spacing w:after="0"/>
              <w:rPr>
                <w:sz w:val="20"/>
                <w:szCs w:val="20"/>
                <w:color w:val="auto"/>
              </w:rPr>
            </w:pPr>
            <w:r>
              <w:rPr>
                <w:rFonts w:ascii="Arial" w:cs="Arial" w:eastAsia="Arial" w:hAnsi="Arial"/>
                <w:sz w:val="14"/>
                <w:szCs w:val="14"/>
                <w:color w:val="auto"/>
              </w:rPr>
              <w:t>$1,200,000</w:t>
            </w:r>
          </w:p>
        </w:tc>
      </w:tr>
    </w:tbl>
    <w:p>
      <w:pPr>
        <w:spacing w:after="0" w:line="18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For Mr. Simmons, in addition to the Lilly grant values shown above, the “Stock Awards” column also includes a founders’ award for Elanco restricted stock unites for Mr. Simmons. This award was granted after the Elanco IPO on October 20, 2018, and it will vest on October 20, 2021. The grant date fair value was $1,119,454 for Mr. Simmons.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P52</w:t>
      </w:r>
    </w:p>
    <w:p>
      <w:pPr>
        <w:sectPr>
          <w:pgSz w:w="11900" w:h="16838" w:orient="portrait"/>
          <w:cols w:equalWidth="0" w:num="1">
            <w:col w:w="11380"/>
          </w:cols>
          <w:pgMar w:left="240" w:top="559" w:right="279" w:bottom="1440" w:gutter="0" w:footer="0" w:header="0"/>
        </w:sectPr>
      </w:pPr>
    </w:p>
    <w:bookmarkStart w:id="56" w:name="page57"/>
    <w:bookmarkEnd w:id="56"/>
    <w:p>
      <w:pPr>
        <w:ind w:right="300"/>
        <w:spacing w:after="0" w:line="292" w:lineRule="auto"/>
        <w:rPr>
          <w:sz w:val="20"/>
          <w:szCs w:val="20"/>
          <w:color w:val="auto"/>
        </w:rPr>
      </w:pPr>
      <w:r>
        <w:rPr>
          <w:rFonts w:ascii="Arial" w:cs="Arial" w:eastAsia="Arial" w:hAnsi="Arial"/>
          <w:sz w:val="17"/>
          <w:szCs w:val="17"/>
          <w:color w:val="auto"/>
        </w:rPr>
        <w:t>The table below shows the minimum, target, and maximum payouts (using the grant date fair value) for the 2018-2019 performance award and the 2018-2020 performance award included in the Summary Compensation Table.</w:t>
      </w:r>
    </w:p>
    <w:p>
      <w:pPr>
        <w:spacing w:after="0" w:line="255" w:lineRule="exact"/>
        <w:rPr>
          <w:sz w:val="20"/>
          <w:szCs w:val="20"/>
          <w:color w:val="auto"/>
        </w:rPr>
      </w:pPr>
    </w:p>
    <w:tbl>
      <w:tblPr>
        <w:tblLayout w:type="fixed"/>
        <w:tblInd w:w="2500" w:type="dxa"/>
        <w:tblCellMar>
          <w:top w:w="0" w:type="dxa"/>
          <w:left w:w="0" w:type="dxa"/>
          <w:bottom w:w="0" w:type="dxa"/>
          <w:right w:w="0" w:type="dxa"/>
        </w:tblCellMar>
      </w:tblPr>
      <w:tr>
        <w:trPr>
          <w:trHeight w:val="216"/>
        </w:trPr>
        <w:tc>
          <w:tcPr>
            <w:tcW w:w="124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Name</w:t>
            </w:r>
          </w:p>
        </w:tc>
        <w:tc>
          <w:tcPr>
            <w:tcW w:w="1220" w:type="dxa"/>
            <w:vAlign w:val="bottom"/>
            <w:shd w:val="clear" w:color="auto" w:fill="C8C9CB"/>
          </w:tcPr>
          <w:p>
            <w:pPr>
              <w:ind w:left="260"/>
              <w:spacing w:after="0"/>
              <w:rPr>
                <w:sz w:val="20"/>
                <w:szCs w:val="20"/>
                <w:color w:val="auto"/>
              </w:rPr>
            </w:pPr>
            <w:r>
              <w:rPr>
                <w:rFonts w:ascii="Arial" w:cs="Arial" w:eastAsia="Arial" w:hAnsi="Arial"/>
                <w:sz w:val="14"/>
                <w:szCs w:val="14"/>
                <w:b w:val="1"/>
                <w:bCs w:val="1"/>
                <w:color w:val="00ABE8"/>
              </w:rPr>
              <w:t>Payout Date</w:t>
            </w:r>
          </w:p>
        </w:tc>
        <w:tc>
          <w:tcPr>
            <w:tcW w:w="13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Minimum Payout</w:t>
            </w:r>
          </w:p>
        </w:tc>
        <w:tc>
          <w:tcPr>
            <w:tcW w:w="1180" w:type="dxa"/>
            <w:vAlign w:val="bottom"/>
            <w:shd w:val="clear" w:color="auto" w:fill="C8C9CB"/>
          </w:tcPr>
          <w:p>
            <w:pPr>
              <w:ind w:left="100"/>
              <w:spacing w:after="0"/>
              <w:rPr>
                <w:sz w:val="20"/>
                <w:szCs w:val="20"/>
                <w:color w:val="auto"/>
              </w:rPr>
            </w:pPr>
            <w:r>
              <w:rPr>
                <w:rFonts w:ascii="Arial" w:cs="Arial" w:eastAsia="Arial" w:hAnsi="Arial"/>
                <w:sz w:val="14"/>
                <w:szCs w:val="14"/>
                <w:b w:val="1"/>
                <w:bCs w:val="1"/>
                <w:color w:val="00ABE8"/>
              </w:rPr>
              <w:t>Target Payout</w:t>
            </w:r>
          </w:p>
        </w:tc>
        <w:tc>
          <w:tcPr>
            <w:tcW w:w="1420" w:type="dxa"/>
            <w:vAlign w:val="bottom"/>
            <w:shd w:val="clear" w:color="auto" w:fill="C8C9CB"/>
          </w:tcPr>
          <w:p>
            <w:pPr>
              <w:ind w:left="120"/>
              <w:spacing w:after="0"/>
              <w:rPr>
                <w:sz w:val="20"/>
                <w:szCs w:val="20"/>
                <w:color w:val="auto"/>
              </w:rPr>
            </w:pPr>
            <w:r>
              <w:rPr>
                <w:rFonts w:ascii="Arial" w:cs="Arial" w:eastAsia="Arial" w:hAnsi="Arial"/>
                <w:sz w:val="14"/>
                <w:szCs w:val="14"/>
                <w:b w:val="1"/>
                <w:bCs w:val="1"/>
                <w:color w:val="00ABE8"/>
              </w:rPr>
              <w:t>Maximum Payout</w:t>
            </w:r>
          </w:p>
        </w:tc>
      </w:tr>
      <w:tr>
        <w:trPr>
          <w:trHeight w:val="208"/>
        </w:trPr>
        <w:tc>
          <w:tcPr>
            <w:tcW w:w="1240" w:type="dxa"/>
            <w:vAlign w:val="bottom"/>
          </w:tcPr>
          <w:p>
            <w:pPr>
              <w:ind w:left="20"/>
              <w:spacing w:after="0"/>
              <w:rPr>
                <w:sz w:val="20"/>
                <w:szCs w:val="20"/>
                <w:color w:val="auto"/>
              </w:rPr>
            </w:pPr>
            <w:r>
              <w:rPr>
                <w:rFonts w:ascii="Arial" w:cs="Arial" w:eastAsia="Arial" w:hAnsi="Arial"/>
                <w:sz w:val="14"/>
                <w:szCs w:val="14"/>
                <w:color w:val="auto"/>
              </w:rPr>
              <w:t>Mr. Ricks</w:t>
            </w:r>
          </w:p>
        </w:tc>
        <w:tc>
          <w:tcPr>
            <w:tcW w:w="1220" w:type="dxa"/>
            <w:vAlign w:val="bottom"/>
          </w:tcPr>
          <w:p>
            <w:pPr>
              <w:ind w:left="240"/>
              <w:spacing w:after="0"/>
              <w:rPr>
                <w:sz w:val="20"/>
                <w:szCs w:val="20"/>
                <w:color w:val="auto"/>
              </w:rPr>
            </w:pPr>
            <w:r>
              <w:rPr>
                <w:rFonts w:ascii="Arial" w:cs="Arial" w:eastAsia="Arial" w:hAnsi="Arial"/>
                <w:sz w:val="14"/>
                <w:szCs w:val="14"/>
                <w:color w:val="auto"/>
              </w:rPr>
              <w:t>January 2021</w:t>
            </w: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Pr>
          <w:p>
            <w:pPr>
              <w:jc w:val="center"/>
              <w:spacing w:after="0"/>
              <w:rPr>
                <w:sz w:val="20"/>
                <w:szCs w:val="20"/>
                <w:color w:val="auto"/>
              </w:rPr>
            </w:pPr>
            <w:r>
              <w:rPr>
                <w:rFonts w:ascii="Arial" w:cs="Arial" w:eastAsia="Arial" w:hAnsi="Arial"/>
                <w:sz w:val="14"/>
                <w:szCs w:val="14"/>
                <w:color w:val="auto"/>
              </w:rPr>
              <w:t>$3,600,000</w:t>
            </w:r>
          </w:p>
        </w:tc>
        <w:tc>
          <w:tcPr>
            <w:tcW w:w="1420" w:type="dxa"/>
            <w:vAlign w:val="bottom"/>
          </w:tcPr>
          <w:p>
            <w:pPr>
              <w:jc w:val="center"/>
              <w:spacing w:after="0"/>
              <w:rPr>
                <w:sz w:val="20"/>
                <w:szCs w:val="20"/>
                <w:color w:val="auto"/>
              </w:rPr>
            </w:pPr>
            <w:r>
              <w:rPr>
                <w:rFonts w:ascii="Arial" w:cs="Arial" w:eastAsia="Arial" w:hAnsi="Arial"/>
                <w:sz w:val="14"/>
                <w:szCs w:val="14"/>
                <w:color w:val="auto"/>
              </w:rPr>
              <w:t>$5,400,000</w:t>
            </w:r>
          </w:p>
        </w:tc>
      </w:tr>
      <w:tr>
        <w:trPr>
          <w:trHeight w:val="216"/>
        </w:trPr>
        <w:tc>
          <w:tcPr>
            <w:tcW w:w="1240" w:type="dxa"/>
            <w:vAlign w:val="bottom"/>
          </w:tcPr>
          <w:p>
            <w:pPr>
              <w:ind w:left="20"/>
              <w:spacing w:after="0"/>
              <w:rPr>
                <w:sz w:val="20"/>
                <w:szCs w:val="20"/>
                <w:color w:val="auto"/>
              </w:rPr>
            </w:pPr>
            <w:r>
              <w:rPr>
                <w:rFonts w:ascii="Arial" w:cs="Arial" w:eastAsia="Arial" w:hAnsi="Arial"/>
                <w:sz w:val="14"/>
                <w:szCs w:val="14"/>
                <w:color w:val="auto"/>
              </w:rPr>
              <w:t>Mr. Smiley</w:t>
            </w:r>
          </w:p>
        </w:tc>
        <w:tc>
          <w:tcPr>
            <w:tcW w:w="1220" w:type="dxa"/>
            <w:vAlign w:val="bottom"/>
          </w:tcPr>
          <w:p>
            <w:pPr>
              <w:ind w:left="240"/>
              <w:spacing w:after="0"/>
              <w:rPr>
                <w:sz w:val="20"/>
                <w:szCs w:val="20"/>
                <w:color w:val="auto"/>
              </w:rPr>
            </w:pPr>
            <w:r>
              <w:rPr>
                <w:rFonts w:ascii="Arial" w:cs="Arial" w:eastAsia="Arial" w:hAnsi="Arial"/>
                <w:sz w:val="14"/>
                <w:szCs w:val="14"/>
                <w:color w:val="auto"/>
              </w:rPr>
              <w:t>January 2021</w:t>
            </w: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Pr>
          <w:p>
            <w:pPr>
              <w:jc w:val="center"/>
              <w:spacing w:after="0"/>
              <w:rPr>
                <w:sz w:val="20"/>
                <w:szCs w:val="20"/>
                <w:color w:val="auto"/>
              </w:rPr>
            </w:pPr>
            <w:r>
              <w:rPr>
                <w:rFonts w:ascii="Arial" w:cs="Arial" w:eastAsia="Arial" w:hAnsi="Arial"/>
                <w:sz w:val="14"/>
                <w:szCs w:val="14"/>
                <w:color w:val="auto"/>
              </w:rPr>
              <w:t>$920,000</w:t>
            </w:r>
          </w:p>
        </w:tc>
        <w:tc>
          <w:tcPr>
            <w:tcW w:w="1420" w:type="dxa"/>
            <w:vAlign w:val="bottom"/>
          </w:tcPr>
          <w:p>
            <w:pPr>
              <w:jc w:val="center"/>
              <w:spacing w:after="0"/>
              <w:rPr>
                <w:sz w:val="20"/>
                <w:szCs w:val="20"/>
                <w:color w:val="auto"/>
              </w:rPr>
            </w:pPr>
            <w:r>
              <w:rPr>
                <w:rFonts w:ascii="Arial" w:cs="Arial" w:eastAsia="Arial" w:hAnsi="Arial"/>
                <w:sz w:val="14"/>
                <w:szCs w:val="14"/>
                <w:color w:val="auto"/>
              </w:rPr>
              <w:t>$1,380,000</w:t>
            </w:r>
          </w:p>
        </w:tc>
      </w:tr>
      <w:tr>
        <w:trPr>
          <w:trHeight w:val="216"/>
        </w:trPr>
        <w:tc>
          <w:tcPr>
            <w:tcW w:w="1240" w:type="dxa"/>
            <w:vAlign w:val="bottom"/>
          </w:tcPr>
          <w:p>
            <w:pPr>
              <w:ind w:left="20"/>
              <w:spacing w:after="0"/>
              <w:rPr>
                <w:sz w:val="20"/>
                <w:szCs w:val="20"/>
                <w:color w:val="auto"/>
              </w:rPr>
            </w:pPr>
            <w:r>
              <w:rPr>
                <w:rFonts w:ascii="Arial" w:cs="Arial" w:eastAsia="Arial" w:hAnsi="Arial"/>
                <w:sz w:val="14"/>
                <w:szCs w:val="14"/>
                <w:color w:val="auto"/>
              </w:rPr>
              <w:t>Mr. Harrington</w:t>
            </w:r>
          </w:p>
        </w:tc>
        <w:tc>
          <w:tcPr>
            <w:tcW w:w="1220" w:type="dxa"/>
            <w:vAlign w:val="bottom"/>
          </w:tcPr>
          <w:p>
            <w:pPr>
              <w:ind w:left="240"/>
              <w:spacing w:after="0"/>
              <w:rPr>
                <w:sz w:val="20"/>
                <w:szCs w:val="20"/>
                <w:color w:val="auto"/>
              </w:rPr>
            </w:pPr>
            <w:r>
              <w:rPr>
                <w:rFonts w:ascii="Arial" w:cs="Arial" w:eastAsia="Arial" w:hAnsi="Arial"/>
                <w:sz w:val="14"/>
                <w:szCs w:val="14"/>
                <w:color w:val="auto"/>
              </w:rPr>
              <w:t>January 2021</w:t>
            </w: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Pr>
          <w:p>
            <w:pPr>
              <w:jc w:val="center"/>
              <w:spacing w:after="0"/>
              <w:rPr>
                <w:sz w:val="20"/>
                <w:szCs w:val="20"/>
                <w:color w:val="auto"/>
              </w:rPr>
            </w:pPr>
            <w:r>
              <w:rPr>
                <w:rFonts w:ascii="Arial" w:cs="Arial" w:eastAsia="Arial" w:hAnsi="Arial"/>
                <w:sz w:val="14"/>
                <w:szCs w:val="14"/>
                <w:color w:val="auto"/>
              </w:rPr>
              <w:t>$1,020,000</w:t>
            </w:r>
          </w:p>
        </w:tc>
        <w:tc>
          <w:tcPr>
            <w:tcW w:w="1420" w:type="dxa"/>
            <w:vAlign w:val="bottom"/>
          </w:tcPr>
          <w:p>
            <w:pPr>
              <w:jc w:val="center"/>
              <w:spacing w:after="0"/>
              <w:rPr>
                <w:sz w:val="20"/>
                <w:szCs w:val="20"/>
                <w:color w:val="auto"/>
              </w:rPr>
            </w:pPr>
            <w:r>
              <w:rPr>
                <w:rFonts w:ascii="Arial" w:cs="Arial" w:eastAsia="Arial" w:hAnsi="Arial"/>
                <w:sz w:val="14"/>
                <w:szCs w:val="14"/>
                <w:color w:val="auto"/>
              </w:rPr>
              <w:t>$1,530,000</w:t>
            </w:r>
          </w:p>
        </w:tc>
      </w:tr>
      <w:tr>
        <w:trPr>
          <w:trHeight w:val="216"/>
        </w:trPr>
        <w:tc>
          <w:tcPr>
            <w:tcW w:w="1240" w:type="dxa"/>
            <w:vAlign w:val="bottom"/>
          </w:tcPr>
          <w:p>
            <w:pPr>
              <w:ind w:left="20"/>
              <w:spacing w:after="0"/>
              <w:rPr>
                <w:sz w:val="20"/>
                <w:szCs w:val="20"/>
                <w:color w:val="auto"/>
              </w:rPr>
            </w:pPr>
            <w:r>
              <w:rPr>
                <w:rFonts w:ascii="Arial" w:cs="Arial" w:eastAsia="Arial" w:hAnsi="Arial"/>
                <w:sz w:val="14"/>
                <w:szCs w:val="14"/>
                <w:color w:val="auto"/>
              </w:rPr>
              <w:t>Mr. Conterno</w:t>
            </w:r>
          </w:p>
        </w:tc>
        <w:tc>
          <w:tcPr>
            <w:tcW w:w="1220" w:type="dxa"/>
            <w:vAlign w:val="bottom"/>
          </w:tcPr>
          <w:p>
            <w:pPr>
              <w:ind w:left="240"/>
              <w:spacing w:after="0"/>
              <w:rPr>
                <w:sz w:val="20"/>
                <w:szCs w:val="20"/>
                <w:color w:val="auto"/>
              </w:rPr>
            </w:pPr>
            <w:r>
              <w:rPr>
                <w:rFonts w:ascii="Arial" w:cs="Arial" w:eastAsia="Arial" w:hAnsi="Arial"/>
                <w:sz w:val="14"/>
                <w:szCs w:val="14"/>
                <w:color w:val="auto"/>
              </w:rPr>
              <w:t>January 2021</w:t>
            </w: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Pr>
          <w:p>
            <w:pPr>
              <w:jc w:val="center"/>
              <w:spacing w:after="0"/>
              <w:rPr>
                <w:sz w:val="20"/>
                <w:szCs w:val="20"/>
                <w:color w:val="auto"/>
              </w:rPr>
            </w:pPr>
            <w:r>
              <w:rPr>
                <w:rFonts w:ascii="Arial" w:cs="Arial" w:eastAsia="Arial" w:hAnsi="Arial"/>
                <w:sz w:val="14"/>
                <w:szCs w:val="14"/>
                <w:color w:val="auto"/>
              </w:rPr>
              <w:t>$1,040,000</w:t>
            </w:r>
          </w:p>
        </w:tc>
        <w:tc>
          <w:tcPr>
            <w:tcW w:w="1420" w:type="dxa"/>
            <w:vAlign w:val="bottom"/>
          </w:tcPr>
          <w:p>
            <w:pPr>
              <w:jc w:val="center"/>
              <w:spacing w:after="0"/>
              <w:rPr>
                <w:sz w:val="20"/>
                <w:szCs w:val="20"/>
                <w:color w:val="auto"/>
              </w:rPr>
            </w:pPr>
            <w:r>
              <w:rPr>
                <w:rFonts w:ascii="Arial" w:cs="Arial" w:eastAsia="Arial" w:hAnsi="Arial"/>
                <w:sz w:val="14"/>
                <w:szCs w:val="14"/>
                <w:color w:val="auto"/>
              </w:rPr>
              <w:t>$1,560,000</w:t>
            </w:r>
          </w:p>
        </w:tc>
      </w:tr>
      <w:tr>
        <w:trPr>
          <w:trHeight w:val="216"/>
        </w:trPr>
        <w:tc>
          <w:tcPr>
            <w:tcW w:w="124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1220" w:type="dxa"/>
            <w:vAlign w:val="bottom"/>
          </w:tcPr>
          <w:p>
            <w:pPr>
              <w:ind w:left="240"/>
              <w:spacing w:after="0"/>
              <w:rPr>
                <w:sz w:val="20"/>
                <w:szCs w:val="20"/>
                <w:color w:val="auto"/>
              </w:rPr>
            </w:pPr>
            <w:r>
              <w:rPr>
                <w:rFonts w:ascii="Arial" w:cs="Arial" w:eastAsia="Arial" w:hAnsi="Arial"/>
                <w:sz w:val="14"/>
                <w:szCs w:val="14"/>
                <w:color w:val="auto"/>
              </w:rPr>
              <w:t>January 2021</w:t>
            </w: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Pr>
          <w:p>
            <w:pPr>
              <w:jc w:val="center"/>
              <w:spacing w:after="0"/>
              <w:rPr>
                <w:sz w:val="20"/>
                <w:szCs w:val="20"/>
                <w:color w:val="auto"/>
              </w:rPr>
            </w:pPr>
            <w:r>
              <w:rPr>
                <w:rFonts w:ascii="Arial" w:cs="Arial" w:eastAsia="Arial" w:hAnsi="Arial"/>
                <w:sz w:val="14"/>
                <w:szCs w:val="14"/>
                <w:color w:val="auto"/>
              </w:rPr>
              <w:t>$1,150,000</w:t>
            </w:r>
          </w:p>
        </w:tc>
        <w:tc>
          <w:tcPr>
            <w:tcW w:w="1420" w:type="dxa"/>
            <w:vAlign w:val="bottom"/>
          </w:tcPr>
          <w:p>
            <w:pPr>
              <w:jc w:val="center"/>
              <w:spacing w:after="0"/>
              <w:rPr>
                <w:sz w:val="20"/>
                <w:szCs w:val="20"/>
                <w:color w:val="auto"/>
              </w:rPr>
            </w:pPr>
            <w:r>
              <w:rPr>
                <w:rFonts w:ascii="Arial" w:cs="Arial" w:eastAsia="Arial" w:hAnsi="Arial"/>
                <w:sz w:val="14"/>
                <w:szCs w:val="14"/>
                <w:color w:val="auto"/>
              </w:rPr>
              <w:t>$1,725,000</w:t>
            </w:r>
          </w:p>
        </w:tc>
      </w:tr>
      <w:tr>
        <w:trPr>
          <w:trHeight w:val="216"/>
        </w:trPr>
        <w:tc>
          <w:tcPr>
            <w:tcW w:w="1240" w:type="dxa"/>
            <w:vAlign w:val="bottom"/>
          </w:tcPr>
          <w:p>
            <w:pPr>
              <w:ind w:left="20"/>
              <w:spacing w:after="0"/>
              <w:rPr>
                <w:sz w:val="20"/>
                <w:szCs w:val="20"/>
                <w:color w:val="auto"/>
              </w:rPr>
            </w:pPr>
            <w:r>
              <w:rPr>
                <w:rFonts w:ascii="Arial" w:cs="Arial" w:eastAsia="Arial" w:hAnsi="Arial"/>
                <w:sz w:val="14"/>
                <w:szCs w:val="14"/>
                <w:color w:val="auto"/>
              </w:rPr>
              <w:t>Mr. Simmons</w:t>
            </w:r>
          </w:p>
        </w:tc>
        <w:tc>
          <w:tcPr>
            <w:tcW w:w="1220" w:type="dxa"/>
            <w:vAlign w:val="bottom"/>
          </w:tcPr>
          <w:p>
            <w:pPr>
              <w:ind w:left="240"/>
              <w:spacing w:after="0"/>
              <w:rPr>
                <w:sz w:val="20"/>
                <w:szCs w:val="20"/>
                <w:color w:val="auto"/>
              </w:rPr>
            </w:pPr>
            <w:r>
              <w:rPr>
                <w:rFonts w:ascii="Arial" w:cs="Arial" w:eastAsia="Arial" w:hAnsi="Arial"/>
                <w:sz w:val="14"/>
                <w:szCs w:val="14"/>
                <w:color w:val="auto"/>
              </w:rPr>
              <w:t>January 2021</w:t>
            </w: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Pr>
          <w:p>
            <w:pPr>
              <w:jc w:val="center"/>
              <w:spacing w:after="0"/>
              <w:rPr>
                <w:sz w:val="20"/>
                <w:szCs w:val="20"/>
                <w:color w:val="auto"/>
              </w:rPr>
            </w:pPr>
            <w:r>
              <w:rPr>
                <w:rFonts w:ascii="Arial" w:cs="Arial" w:eastAsia="Arial" w:hAnsi="Arial"/>
                <w:sz w:val="14"/>
                <w:szCs w:val="14"/>
                <w:color w:val="auto"/>
              </w:rPr>
              <w:t>$480,000</w:t>
            </w:r>
          </w:p>
        </w:tc>
        <w:tc>
          <w:tcPr>
            <w:tcW w:w="1420" w:type="dxa"/>
            <w:vAlign w:val="bottom"/>
          </w:tcPr>
          <w:p>
            <w:pPr>
              <w:jc w:val="center"/>
              <w:spacing w:after="0"/>
              <w:rPr>
                <w:sz w:val="20"/>
                <w:szCs w:val="20"/>
                <w:color w:val="auto"/>
              </w:rPr>
            </w:pPr>
            <w:r>
              <w:rPr>
                <w:rFonts w:ascii="Arial" w:cs="Arial" w:eastAsia="Arial" w:hAnsi="Arial"/>
                <w:sz w:val="14"/>
                <w:szCs w:val="14"/>
                <w:color w:val="auto"/>
              </w:rPr>
              <w:t>$720,000</w:t>
            </w:r>
          </w:p>
        </w:tc>
      </w:tr>
    </w:tbl>
    <w:p>
      <w:pPr>
        <w:spacing w:after="0" w:line="18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 xml:space="preserve">The table below shows the minimum, target, and maximum payouts (using the grant date fair value) for the 2018-2020 shareholder value award in the Summary Compensation Table. </w:t>
      </w:r>
      <w:r>
        <w:rPr>
          <w:rFonts w:ascii="Arial" w:cs="Arial" w:eastAsia="Arial" w:hAnsi="Arial"/>
          <w:sz w:val="16"/>
          <w:szCs w:val="16"/>
          <w:color w:val="auto"/>
        </w:rPr>
        <w:t>As described above in the “Performance Goals for 2018 Incentive Programs” section, since Dr. Skovronsky was not an</w:t>
      </w:r>
      <w:r>
        <w:rPr>
          <w:rFonts w:ascii="Arial" w:cs="Arial" w:eastAsia="Arial" w:hAnsi="Arial"/>
          <w:sz w:val="17"/>
          <w:szCs w:val="17"/>
          <w:color w:val="auto"/>
        </w:rPr>
        <w:t xml:space="preserve"> </w:t>
      </w:r>
      <w:r>
        <w:rPr>
          <w:rFonts w:ascii="Arial" w:cs="Arial" w:eastAsia="Arial" w:hAnsi="Arial"/>
          <w:sz w:val="16"/>
          <w:szCs w:val="16"/>
          <w:color w:val="auto"/>
        </w:rPr>
        <w:t>executive officer at the time of the annual grant, his maximum payout is 150 percent, while the other named executive officers’ maximum payouts are 180 percent.</w:t>
      </w:r>
    </w:p>
    <w:p>
      <w:pPr>
        <w:spacing w:after="0" w:line="319" w:lineRule="exact"/>
        <w:rPr>
          <w:sz w:val="20"/>
          <w:szCs w:val="20"/>
          <w:color w:val="auto"/>
        </w:rPr>
      </w:pPr>
    </w:p>
    <w:tbl>
      <w:tblPr>
        <w:tblLayout w:type="fixed"/>
        <w:tblInd w:w="2440" w:type="dxa"/>
        <w:tblCellMar>
          <w:top w:w="0" w:type="dxa"/>
          <w:left w:w="0" w:type="dxa"/>
          <w:bottom w:w="0" w:type="dxa"/>
          <w:right w:w="0" w:type="dxa"/>
        </w:tblCellMar>
      </w:tblPr>
      <w:tr>
        <w:trPr>
          <w:trHeight w:val="216"/>
        </w:trPr>
        <w:tc>
          <w:tcPr>
            <w:tcW w:w="138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Name</w:t>
            </w:r>
          </w:p>
        </w:tc>
        <w:tc>
          <w:tcPr>
            <w:tcW w:w="1400" w:type="dxa"/>
            <w:vAlign w:val="bottom"/>
            <w:shd w:val="clear" w:color="auto" w:fill="C8C9CB"/>
          </w:tcPr>
          <w:p>
            <w:pPr>
              <w:ind w:left="420"/>
              <w:spacing w:after="0"/>
              <w:rPr>
                <w:sz w:val="20"/>
                <w:szCs w:val="20"/>
                <w:color w:val="auto"/>
              </w:rPr>
            </w:pPr>
            <w:r>
              <w:rPr>
                <w:rFonts w:ascii="Arial" w:cs="Arial" w:eastAsia="Arial" w:hAnsi="Arial"/>
                <w:sz w:val="14"/>
                <w:szCs w:val="14"/>
                <w:b w:val="1"/>
                <w:bCs w:val="1"/>
                <w:color w:val="00ABE8"/>
              </w:rPr>
              <w:t>Payout Date</w:t>
            </w:r>
          </w:p>
        </w:tc>
        <w:tc>
          <w:tcPr>
            <w:tcW w:w="134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Minimum Payout</w:t>
            </w:r>
          </w:p>
        </w:tc>
        <w:tc>
          <w:tcPr>
            <w:tcW w:w="1080" w:type="dxa"/>
            <w:vAlign w:val="bottom"/>
            <w:shd w:val="clear" w:color="auto" w:fill="C8C9CB"/>
          </w:tcPr>
          <w:p>
            <w:pPr>
              <w:ind w:left="60"/>
              <w:spacing w:after="0"/>
              <w:rPr>
                <w:sz w:val="20"/>
                <w:szCs w:val="20"/>
                <w:color w:val="auto"/>
              </w:rPr>
            </w:pPr>
            <w:r>
              <w:rPr>
                <w:rFonts w:ascii="Arial" w:cs="Arial" w:eastAsia="Arial" w:hAnsi="Arial"/>
                <w:sz w:val="14"/>
                <w:szCs w:val="14"/>
                <w:b w:val="1"/>
                <w:bCs w:val="1"/>
                <w:color w:val="00ABE8"/>
              </w:rPr>
              <w:t>Target Payout</w:t>
            </w:r>
          </w:p>
        </w:tc>
        <w:tc>
          <w:tcPr>
            <w:tcW w:w="13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Maximum Payout</w:t>
            </w:r>
          </w:p>
        </w:tc>
      </w:tr>
      <w:tr>
        <w:trPr>
          <w:trHeight w:val="208"/>
        </w:trPr>
        <w:tc>
          <w:tcPr>
            <w:tcW w:w="1380" w:type="dxa"/>
            <w:vAlign w:val="bottom"/>
          </w:tcPr>
          <w:p>
            <w:pPr>
              <w:ind w:left="20"/>
              <w:spacing w:after="0"/>
              <w:rPr>
                <w:sz w:val="20"/>
                <w:szCs w:val="20"/>
                <w:color w:val="auto"/>
              </w:rPr>
            </w:pPr>
            <w:r>
              <w:rPr>
                <w:rFonts w:ascii="Arial" w:cs="Arial" w:eastAsia="Arial" w:hAnsi="Arial"/>
                <w:sz w:val="14"/>
                <w:szCs w:val="14"/>
                <w:color w:val="auto"/>
              </w:rPr>
              <w:t>Mr. Ricks</w:t>
            </w:r>
          </w:p>
        </w:tc>
        <w:tc>
          <w:tcPr>
            <w:tcW w:w="1400" w:type="dxa"/>
            <w:vAlign w:val="bottom"/>
          </w:tcPr>
          <w:p>
            <w:pPr>
              <w:ind w:left="400"/>
              <w:spacing w:after="0"/>
              <w:rPr>
                <w:sz w:val="20"/>
                <w:szCs w:val="20"/>
                <w:color w:val="auto"/>
              </w:rPr>
            </w:pPr>
            <w:r>
              <w:rPr>
                <w:rFonts w:ascii="Arial" w:cs="Arial" w:eastAsia="Arial" w:hAnsi="Arial"/>
                <w:sz w:val="14"/>
                <w:szCs w:val="14"/>
                <w:color w:val="auto"/>
              </w:rPr>
              <w:t>January 2021</w:t>
            </w:r>
          </w:p>
        </w:tc>
        <w:tc>
          <w:tcPr>
            <w:tcW w:w="1340" w:type="dxa"/>
            <w:vAlign w:val="bottom"/>
          </w:tcPr>
          <w:p>
            <w:pPr>
              <w:jc w:val="center"/>
              <w:spacing w:after="0"/>
              <w:rPr>
                <w:sz w:val="20"/>
                <w:szCs w:val="20"/>
                <w:color w:val="auto"/>
              </w:rPr>
            </w:pPr>
            <w:r>
              <w:rPr>
                <w:rFonts w:ascii="Arial" w:cs="Arial" w:eastAsia="Arial" w:hAnsi="Arial"/>
                <w:sz w:val="14"/>
                <w:szCs w:val="14"/>
                <w:color w:val="auto"/>
              </w:rPr>
              <w:t>$0</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$5,400,000</w:t>
            </w:r>
          </w:p>
        </w:tc>
        <w:tc>
          <w:tcPr>
            <w:tcW w:w="1360" w:type="dxa"/>
            <w:vAlign w:val="bottom"/>
          </w:tcPr>
          <w:p>
            <w:pPr>
              <w:jc w:val="center"/>
              <w:spacing w:after="0"/>
              <w:rPr>
                <w:sz w:val="20"/>
                <w:szCs w:val="20"/>
                <w:color w:val="auto"/>
              </w:rPr>
            </w:pPr>
            <w:r>
              <w:rPr>
                <w:rFonts w:ascii="Arial" w:cs="Arial" w:eastAsia="Arial" w:hAnsi="Arial"/>
                <w:sz w:val="14"/>
                <w:szCs w:val="14"/>
                <w:color w:val="auto"/>
                <w:w w:val="96"/>
              </w:rPr>
              <w:t>$9,720,000</w:t>
            </w:r>
          </w:p>
        </w:tc>
      </w:tr>
      <w:tr>
        <w:trPr>
          <w:trHeight w:val="216"/>
        </w:trPr>
        <w:tc>
          <w:tcPr>
            <w:tcW w:w="1380" w:type="dxa"/>
            <w:vAlign w:val="bottom"/>
          </w:tcPr>
          <w:p>
            <w:pPr>
              <w:ind w:left="20"/>
              <w:spacing w:after="0"/>
              <w:rPr>
                <w:sz w:val="20"/>
                <w:szCs w:val="20"/>
                <w:color w:val="auto"/>
              </w:rPr>
            </w:pPr>
            <w:r>
              <w:rPr>
                <w:rFonts w:ascii="Arial" w:cs="Arial" w:eastAsia="Arial" w:hAnsi="Arial"/>
                <w:sz w:val="14"/>
                <w:szCs w:val="14"/>
                <w:color w:val="auto"/>
              </w:rPr>
              <w:t>Mr. Smiley</w:t>
            </w:r>
          </w:p>
        </w:tc>
        <w:tc>
          <w:tcPr>
            <w:tcW w:w="1400" w:type="dxa"/>
            <w:vAlign w:val="bottom"/>
          </w:tcPr>
          <w:p>
            <w:pPr>
              <w:ind w:left="400"/>
              <w:spacing w:after="0"/>
              <w:rPr>
                <w:sz w:val="20"/>
                <w:szCs w:val="20"/>
                <w:color w:val="auto"/>
              </w:rPr>
            </w:pPr>
            <w:r>
              <w:rPr>
                <w:rFonts w:ascii="Arial" w:cs="Arial" w:eastAsia="Arial" w:hAnsi="Arial"/>
                <w:sz w:val="14"/>
                <w:szCs w:val="14"/>
                <w:color w:val="auto"/>
              </w:rPr>
              <w:t>January 2021</w:t>
            </w:r>
          </w:p>
        </w:tc>
        <w:tc>
          <w:tcPr>
            <w:tcW w:w="1340" w:type="dxa"/>
            <w:vAlign w:val="bottom"/>
          </w:tcPr>
          <w:p>
            <w:pPr>
              <w:jc w:val="center"/>
              <w:spacing w:after="0"/>
              <w:rPr>
                <w:sz w:val="20"/>
                <w:szCs w:val="20"/>
                <w:color w:val="auto"/>
              </w:rPr>
            </w:pPr>
            <w:r>
              <w:rPr>
                <w:rFonts w:ascii="Arial" w:cs="Arial" w:eastAsia="Arial" w:hAnsi="Arial"/>
                <w:sz w:val="14"/>
                <w:szCs w:val="14"/>
                <w:color w:val="auto"/>
              </w:rPr>
              <w:t>$0</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$1,380,000</w:t>
            </w:r>
          </w:p>
        </w:tc>
        <w:tc>
          <w:tcPr>
            <w:tcW w:w="1360" w:type="dxa"/>
            <w:vAlign w:val="bottom"/>
          </w:tcPr>
          <w:p>
            <w:pPr>
              <w:jc w:val="center"/>
              <w:spacing w:after="0"/>
              <w:rPr>
                <w:sz w:val="20"/>
                <w:szCs w:val="20"/>
                <w:color w:val="auto"/>
              </w:rPr>
            </w:pPr>
            <w:r>
              <w:rPr>
                <w:rFonts w:ascii="Arial" w:cs="Arial" w:eastAsia="Arial" w:hAnsi="Arial"/>
                <w:sz w:val="14"/>
                <w:szCs w:val="14"/>
                <w:color w:val="auto"/>
                <w:w w:val="96"/>
              </w:rPr>
              <w:t>$2,484,000</w:t>
            </w:r>
          </w:p>
        </w:tc>
      </w:tr>
      <w:tr>
        <w:trPr>
          <w:trHeight w:val="216"/>
        </w:trPr>
        <w:tc>
          <w:tcPr>
            <w:tcW w:w="1380" w:type="dxa"/>
            <w:vAlign w:val="bottom"/>
          </w:tcPr>
          <w:p>
            <w:pPr>
              <w:ind w:left="20"/>
              <w:spacing w:after="0"/>
              <w:rPr>
                <w:sz w:val="20"/>
                <w:szCs w:val="20"/>
                <w:color w:val="auto"/>
              </w:rPr>
            </w:pPr>
            <w:r>
              <w:rPr>
                <w:rFonts w:ascii="Arial" w:cs="Arial" w:eastAsia="Arial" w:hAnsi="Arial"/>
                <w:sz w:val="14"/>
                <w:szCs w:val="14"/>
                <w:color w:val="auto"/>
              </w:rPr>
              <w:t>Mr. Harrington</w:t>
            </w:r>
          </w:p>
        </w:tc>
        <w:tc>
          <w:tcPr>
            <w:tcW w:w="1400" w:type="dxa"/>
            <w:vAlign w:val="bottom"/>
          </w:tcPr>
          <w:p>
            <w:pPr>
              <w:ind w:left="400"/>
              <w:spacing w:after="0"/>
              <w:rPr>
                <w:sz w:val="20"/>
                <w:szCs w:val="20"/>
                <w:color w:val="auto"/>
              </w:rPr>
            </w:pPr>
            <w:r>
              <w:rPr>
                <w:rFonts w:ascii="Arial" w:cs="Arial" w:eastAsia="Arial" w:hAnsi="Arial"/>
                <w:sz w:val="14"/>
                <w:szCs w:val="14"/>
                <w:color w:val="auto"/>
              </w:rPr>
              <w:t>January 2021</w:t>
            </w:r>
          </w:p>
        </w:tc>
        <w:tc>
          <w:tcPr>
            <w:tcW w:w="1340" w:type="dxa"/>
            <w:vAlign w:val="bottom"/>
          </w:tcPr>
          <w:p>
            <w:pPr>
              <w:jc w:val="center"/>
              <w:spacing w:after="0"/>
              <w:rPr>
                <w:sz w:val="20"/>
                <w:szCs w:val="20"/>
                <w:color w:val="auto"/>
              </w:rPr>
            </w:pPr>
            <w:r>
              <w:rPr>
                <w:rFonts w:ascii="Arial" w:cs="Arial" w:eastAsia="Arial" w:hAnsi="Arial"/>
                <w:sz w:val="14"/>
                <w:szCs w:val="14"/>
                <w:color w:val="auto"/>
              </w:rPr>
              <w:t>$0</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$1,530,000</w:t>
            </w:r>
          </w:p>
        </w:tc>
        <w:tc>
          <w:tcPr>
            <w:tcW w:w="1360" w:type="dxa"/>
            <w:vAlign w:val="bottom"/>
          </w:tcPr>
          <w:p>
            <w:pPr>
              <w:jc w:val="center"/>
              <w:spacing w:after="0"/>
              <w:rPr>
                <w:sz w:val="20"/>
                <w:szCs w:val="20"/>
                <w:color w:val="auto"/>
              </w:rPr>
            </w:pPr>
            <w:r>
              <w:rPr>
                <w:rFonts w:ascii="Arial" w:cs="Arial" w:eastAsia="Arial" w:hAnsi="Arial"/>
                <w:sz w:val="14"/>
                <w:szCs w:val="14"/>
                <w:color w:val="auto"/>
                <w:w w:val="96"/>
              </w:rPr>
              <w:t>$2,754,000</w:t>
            </w:r>
          </w:p>
        </w:tc>
      </w:tr>
      <w:tr>
        <w:trPr>
          <w:trHeight w:val="216"/>
        </w:trPr>
        <w:tc>
          <w:tcPr>
            <w:tcW w:w="1380" w:type="dxa"/>
            <w:vAlign w:val="bottom"/>
          </w:tcPr>
          <w:p>
            <w:pPr>
              <w:ind w:left="20"/>
              <w:spacing w:after="0"/>
              <w:rPr>
                <w:sz w:val="20"/>
                <w:szCs w:val="20"/>
                <w:color w:val="auto"/>
              </w:rPr>
            </w:pPr>
            <w:r>
              <w:rPr>
                <w:rFonts w:ascii="Arial" w:cs="Arial" w:eastAsia="Arial" w:hAnsi="Arial"/>
                <w:sz w:val="14"/>
                <w:szCs w:val="14"/>
                <w:color w:val="auto"/>
              </w:rPr>
              <w:t>Mr. Conterno</w:t>
            </w:r>
          </w:p>
        </w:tc>
        <w:tc>
          <w:tcPr>
            <w:tcW w:w="1400" w:type="dxa"/>
            <w:vAlign w:val="bottom"/>
          </w:tcPr>
          <w:p>
            <w:pPr>
              <w:ind w:left="400"/>
              <w:spacing w:after="0"/>
              <w:rPr>
                <w:sz w:val="20"/>
                <w:szCs w:val="20"/>
                <w:color w:val="auto"/>
              </w:rPr>
            </w:pPr>
            <w:r>
              <w:rPr>
                <w:rFonts w:ascii="Arial" w:cs="Arial" w:eastAsia="Arial" w:hAnsi="Arial"/>
                <w:sz w:val="14"/>
                <w:szCs w:val="14"/>
                <w:color w:val="auto"/>
              </w:rPr>
              <w:t>January 2021</w:t>
            </w:r>
          </w:p>
        </w:tc>
        <w:tc>
          <w:tcPr>
            <w:tcW w:w="1340" w:type="dxa"/>
            <w:vAlign w:val="bottom"/>
          </w:tcPr>
          <w:p>
            <w:pPr>
              <w:jc w:val="center"/>
              <w:spacing w:after="0"/>
              <w:rPr>
                <w:sz w:val="20"/>
                <w:szCs w:val="20"/>
                <w:color w:val="auto"/>
              </w:rPr>
            </w:pPr>
            <w:r>
              <w:rPr>
                <w:rFonts w:ascii="Arial" w:cs="Arial" w:eastAsia="Arial" w:hAnsi="Arial"/>
                <w:sz w:val="14"/>
                <w:szCs w:val="14"/>
                <w:color w:val="auto"/>
              </w:rPr>
              <w:t>$0</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$1,560,000</w:t>
            </w:r>
          </w:p>
        </w:tc>
        <w:tc>
          <w:tcPr>
            <w:tcW w:w="1360" w:type="dxa"/>
            <w:vAlign w:val="bottom"/>
          </w:tcPr>
          <w:p>
            <w:pPr>
              <w:jc w:val="center"/>
              <w:spacing w:after="0"/>
              <w:rPr>
                <w:sz w:val="20"/>
                <w:szCs w:val="20"/>
                <w:color w:val="auto"/>
              </w:rPr>
            </w:pPr>
            <w:r>
              <w:rPr>
                <w:rFonts w:ascii="Arial" w:cs="Arial" w:eastAsia="Arial" w:hAnsi="Arial"/>
                <w:sz w:val="14"/>
                <w:szCs w:val="14"/>
                <w:color w:val="auto"/>
                <w:w w:val="96"/>
              </w:rPr>
              <w:t>$2,808,000</w:t>
            </w:r>
          </w:p>
        </w:tc>
      </w:tr>
      <w:tr>
        <w:trPr>
          <w:trHeight w:val="216"/>
        </w:trPr>
        <w:tc>
          <w:tcPr>
            <w:tcW w:w="138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1400" w:type="dxa"/>
            <w:vAlign w:val="bottom"/>
          </w:tcPr>
          <w:p>
            <w:pPr>
              <w:ind w:left="400"/>
              <w:spacing w:after="0"/>
              <w:rPr>
                <w:sz w:val="20"/>
                <w:szCs w:val="20"/>
                <w:color w:val="auto"/>
              </w:rPr>
            </w:pPr>
            <w:r>
              <w:rPr>
                <w:rFonts w:ascii="Arial" w:cs="Arial" w:eastAsia="Arial" w:hAnsi="Arial"/>
                <w:sz w:val="14"/>
                <w:szCs w:val="14"/>
                <w:color w:val="auto"/>
              </w:rPr>
              <w:t>January 2021</w:t>
            </w:r>
          </w:p>
        </w:tc>
        <w:tc>
          <w:tcPr>
            <w:tcW w:w="1340" w:type="dxa"/>
            <w:vAlign w:val="bottom"/>
          </w:tcPr>
          <w:p>
            <w:pPr>
              <w:jc w:val="center"/>
              <w:spacing w:after="0"/>
              <w:rPr>
                <w:sz w:val="20"/>
                <w:szCs w:val="20"/>
                <w:color w:val="auto"/>
              </w:rPr>
            </w:pPr>
            <w:r>
              <w:rPr>
                <w:rFonts w:ascii="Arial" w:cs="Arial" w:eastAsia="Arial" w:hAnsi="Arial"/>
                <w:sz w:val="14"/>
                <w:szCs w:val="14"/>
                <w:color w:val="auto"/>
              </w:rPr>
              <w:t>$0</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$1,150,000</w:t>
            </w:r>
          </w:p>
        </w:tc>
        <w:tc>
          <w:tcPr>
            <w:tcW w:w="1360" w:type="dxa"/>
            <w:vAlign w:val="bottom"/>
          </w:tcPr>
          <w:p>
            <w:pPr>
              <w:jc w:val="center"/>
              <w:spacing w:after="0"/>
              <w:rPr>
                <w:sz w:val="20"/>
                <w:szCs w:val="20"/>
                <w:color w:val="auto"/>
              </w:rPr>
            </w:pPr>
            <w:r>
              <w:rPr>
                <w:rFonts w:ascii="Arial" w:cs="Arial" w:eastAsia="Arial" w:hAnsi="Arial"/>
                <w:sz w:val="14"/>
                <w:szCs w:val="14"/>
                <w:color w:val="auto"/>
                <w:w w:val="96"/>
              </w:rPr>
              <w:t>$1,725,000</w:t>
            </w:r>
          </w:p>
        </w:tc>
      </w:tr>
      <w:tr>
        <w:trPr>
          <w:trHeight w:val="216"/>
        </w:trPr>
        <w:tc>
          <w:tcPr>
            <w:tcW w:w="1380" w:type="dxa"/>
            <w:vAlign w:val="bottom"/>
          </w:tcPr>
          <w:p>
            <w:pPr>
              <w:ind w:left="20"/>
              <w:spacing w:after="0"/>
              <w:rPr>
                <w:sz w:val="20"/>
                <w:szCs w:val="20"/>
                <w:color w:val="auto"/>
              </w:rPr>
            </w:pPr>
            <w:r>
              <w:rPr>
                <w:rFonts w:ascii="Arial" w:cs="Arial" w:eastAsia="Arial" w:hAnsi="Arial"/>
                <w:sz w:val="14"/>
                <w:szCs w:val="14"/>
                <w:color w:val="auto"/>
              </w:rPr>
              <w:t>Mr. Simmons</w:t>
            </w:r>
          </w:p>
        </w:tc>
        <w:tc>
          <w:tcPr>
            <w:tcW w:w="1400" w:type="dxa"/>
            <w:vAlign w:val="bottom"/>
          </w:tcPr>
          <w:p>
            <w:pPr>
              <w:ind w:left="400"/>
              <w:spacing w:after="0"/>
              <w:rPr>
                <w:sz w:val="20"/>
                <w:szCs w:val="20"/>
                <w:color w:val="auto"/>
              </w:rPr>
            </w:pPr>
            <w:r>
              <w:rPr>
                <w:rFonts w:ascii="Arial" w:cs="Arial" w:eastAsia="Arial" w:hAnsi="Arial"/>
                <w:sz w:val="14"/>
                <w:szCs w:val="14"/>
                <w:color w:val="auto"/>
              </w:rPr>
              <w:t>January 2021</w:t>
            </w:r>
          </w:p>
        </w:tc>
        <w:tc>
          <w:tcPr>
            <w:tcW w:w="1340" w:type="dxa"/>
            <w:vAlign w:val="bottom"/>
          </w:tcPr>
          <w:p>
            <w:pPr>
              <w:jc w:val="center"/>
              <w:spacing w:after="0"/>
              <w:rPr>
                <w:sz w:val="20"/>
                <w:szCs w:val="20"/>
                <w:color w:val="auto"/>
              </w:rPr>
            </w:pPr>
            <w:r>
              <w:rPr>
                <w:rFonts w:ascii="Arial" w:cs="Arial" w:eastAsia="Arial" w:hAnsi="Arial"/>
                <w:sz w:val="14"/>
                <w:szCs w:val="14"/>
                <w:color w:val="auto"/>
              </w:rPr>
              <w:t>$0</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$720,000</w:t>
            </w:r>
          </w:p>
        </w:tc>
        <w:tc>
          <w:tcPr>
            <w:tcW w:w="1360" w:type="dxa"/>
            <w:vAlign w:val="bottom"/>
          </w:tcPr>
          <w:p>
            <w:pPr>
              <w:jc w:val="center"/>
              <w:spacing w:after="0"/>
              <w:rPr>
                <w:sz w:val="20"/>
                <w:szCs w:val="20"/>
                <w:color w:val="auto"/>
              </w:rPr>
            </w:pPr>
            <w:r>
              <w:rPr>
                <w:rFonts w:ascii="Arial" w:cs="Arial" w:eastAsia="Arial" w:hAnsi="Arial"/>
                <w:sz w:val="14"/>
                <w:szCs w:val="14"/>
                <w:color w:val="auto"/>
                <w:w w:val="96"/>
              </w:rPr>
              <w:t>$1,296,000</w:t>
            </w:r>
          </w:p>
        </w:tc>
      </w:tr>
    </w:tbl>
    <w:p>
      <w:pPr>
        <w:spacing w:after="0" w:line="182" w:lineRule="exact"/>
        <w:rPr>
          <w:sz w:val="20"/>
          <w:szCs w:val="20"/>
          <w:color w:val="auto"/>
        </w:rPr>
      </w:pPr>
    </w:p>
    <w:p>
      <w:pPr>
        <w:ind w:left="80" w:right="480"/>
        <w:spacing w:after="0" w:line="292" w:lineRule="auto"/>
        <w:rPr>
          <w:sz w:val="20"/>
          <w:szCs w:val="20"/>
          <w:color w:val="auto"/>
        </w:rPr>
      </w:pPr>
      <w:r>
        <w:rPr>
          <w:rFonts w:ascii="Arial" w:cs="Arial" w:eastAsia="Arial" w:hAnsi="Arial"/>
          <w:sz w:val="14"/>
          <w:szCs w:val="14"/>
          <w:color w:val="auto"/>
        </w:rPr>
        <w:t xml:space="preserve">2 </w:t>
      </w:r>
      <w:r>
        <w:rPr>
          <w:rFonts w:ascii="Arial" w:cs="Arial" w:eastAsia="Arial" w:hAnsi="Arial"/>
          <w:sz w:val="17"/>
          <w:szCs w:val="17"/>
          <w:color w:val="auto"/>
        </w:rPr>
        <w:t>Following Elanco's initial public offering, Elanco leadership received founders' awards. Mr. Simmons received Elanco stock options, which are</w:t>
      </w:r>
      <w:r>
        <w:rPr>
          <w:rFonts w:ascii="Arial" w:cs="Arial" w:eastAsia="Arial" w:hAnsi="Arial"/>
          <w:sz w:val="14"/>
          <w:szCs w:val="14"/>
          <w:color w:val="auto"/>
        </w:rPr>
        <w:t xml:space="preserve"> </w:t>
      </w:r>
      <w:r>
        <w:rPr>
          <w:rFonts w:ascii="Arial" w:cs="Arial" w:eastAsia="Arial" w:hAnsi="Arial"/>
          <w:sz w:val="17"/>
          <w:szCs w:val="17"/>
          <w:color w:val="auto"/>
        </w:rPr>
        <w:t>Elanco nonqualified stock options with a three year vesting period followed by a seven year exercise period.</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7"/>
          <w:szCs w:val="17"/>
          <w:color w:val="auto"/>
        </w:rPr>
        <w:t>Payments under the Lilly bonus plan or, with respect to Mr. Simmons Elanco bonus plan, for performance in the years represented.</w:t>
      </w:r>
    </w:p>
    <w:p>
      <w:pPr>
        <w:spacing w:after="0" w:line="210" w:lineRule="exact"/>
        <w:rPr>
          <w:sz w:val="20"/>
          <w:szCs w:val="20"/>
          <w:color w:val="auto"/>
        </w:rPr>
      </w:pPr>
    </w:p>
    <w:p>
      <w:pPr>
        <w:ind w:left="80" w:right="60"/>
        <w:spacing w:after="0" w:line="255" w:lineRule="auto"/>
        <w:rPr>
          <w:sz w:val="20"/>
          <w:szCs w:val="20"/>
          <w:color w:val="auto"/>
        </w:rPr>
      </w:pPr>
      <w:r>
        <w:rPr>
          <w:rFonts w:ascii="Arial" w:cs="Arial" w:eastAsia="Arial" w:hAnsi="Arial"/>
          <w:sz w:val="14"/>
          <w:szCs w:val="14"/>
          <w:color w:val="auto"/>
        </w:rPr>
        <w:t xml:space="preserve">4 </w:t>
      </w:r>
      <w:r>
        <w:rPr>
          <w:rFonts w:ascii="Arial" w:cs="Arial" w:eastAsia="Arial" w:hAnsi="Arial"/>
          <w:sz w:val="17"/>
          <w:szCs w:val="17"/>
          <w:color w:val="auto"/>
        </w:rPr>
        <w:t>The amounts in this column reflect the change in pension value for each individual, calculated by our actuary, and are affected by additional service</w:t>
      </w:r>
      <w:r>
        <w:rPr>
          <w:rFonts w:ascii="Arial" w:cs="Arial" w:eastAsia="Arial" w:hAnsi="Arial"/>
          <w:sz w:val="14"/>
          <w:szCs w:val="14"/>
          <w:color w:val="auto"/>
        </w:rPr>
        <w:t xml:space="preserve"> </w:t>
      </w:r>
      <w:r>
        <w:rPr>
          <w:rFonts w:ascii="Arial" w:cs="Arial" w:eastAsia="Arial" w:hAnsi="Arial"/>
          <w:sz w:val="17"/>
          <w:szCs w:val="17"/>
          <w:color w:val="auto"/>
        </w:rPr>
        <w:t>accruals and pay earned, as well as actuarial assumption changes. The changes in pension values in 2018 were driven to a large extent by a higher discount rate which decreased the net present value of pensions. The design of the pension benefit plan did not change. See the Pension Benefits in 2018 table below for information about the standard actuarial assumptions used. No named executive officer received preferential or above-market earnings on deferred compensation. In 2018, the net present value of the pension benefits for Mr. Conterno and Mr. Simmons reflect no change from the previous year due to an increase in the discount rate over the prior year. For the other named executive officers, increases in pensionable earnings offset the impact of the 2018 increased discount rate.</w:t>
      </w:r>
    </w:p>
    <w:p>
      <w:pPr>
        <w:spacing w:after="0" w:line="167" w:lineRule="exact"/>
        <w:rPr>
          <w:sz w:val="20"/>
          <w:szCs w:val="20"/>
          <w:color w:val="auto"/>
        </w:rPr>
      </w:pPr>
    </w:p>
    <w:p>
      <w:pPr>
        <w:ind w:left="80" w:right="160"/>
        <w:spacing w:after="0" w:line="270" w:lineRule="auto"/>
        <w:rPr>
          <w:sz w:val="20"/>
          <w:szCs w:val="20"/>
          <w:color w:val="auto"/>
        </w:rPr>
      </w:pPr>
      <w:r>
        <w:rPr>
          <w:rFonts w:ascii="Arial" w:cs="Arial" w:eastAsia="Arial" w:hAnsi="Arial"/>
          <w:sz w:val="14"/>
          <w:szCs w:val="14"/>
          <w:color w:val="auto"/>
        </w:rPr>
        <w:t xml:space="preserve">5 </w:t>
      </w:r>
      <w:r>
        <w:rPr>
          <w:rFonts w:ascii="Arial" w:cs="Arial" w:eastAsia="Arial" w:hAnsi="Arial"/>
          <w:sz w:val="17"/>
          <w:szCs w:val="17"/>
          <w:color w:val="auto"/>
        </w:rPr>
        <w:t>The amounts in this column are company matching contributions into each individual's 401(k) and nonqualified savings plan contributions. The</w:t>
      </w:r>
      <w:r>
        <w:rPr>
          <w:rFonts w:ascii="Arial" w:cs="Arial" w:eastAsia="Arial" w:hAnsi="Arial"/>
          <w:sz w:val="14"/>
          <w:szCs w:val="14"/>
          <w:color w:val="auto"/>
        </w:rPr>
        <w:t xml:space="preserve"> </w:t>
      </w:r>
      <w:r>
        <w:rPr>
          <w:rFonts w:ascii="Arial" w:cs="Arial" w:eastAsia="Arial" w:hAnsi="Arial"/>
          <w:sz w:val="17"/>
          <w:szCs w:val="17"/>
          <w:color w:val="auto"/>
        </w:rPr>
        <w:t>company does not reimburse executives for taxes outside of the limited circumstance of taxes related to employee relocation or a prior international assignment. There were no reportable perquisites or personal benefits.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of Plan-Based Awards During 2018</w:t>
      </w:r>
    </w:p>
    <w:p>
      <w:pPr>
        <w:spacing w:after="0" w:line="2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compensation plans under which the grants in the following table were made are described in the CD&amp;A above and consist of the Lilly and Elanco bonus plans (each, a non-equity incentive plan), the Amended and Restated 2002 Lilly Stock Plan (which provides for performance awards, shareholder value awards, and restricted stock units), and the 2018 Elanco Stock Plan.</w:t>
      </w:r>
    </w:p>
    <w:p>
      <w:pPr>
        <w:spacing w:after="0" w:line="16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To receive a payout under the performance award or the shareholder value award, a participant must remain employed with the company through the end of the relevant award period (except in the case of death, disability, retirement, or plant closing or reduction in workforce). No dividends accrue on either performance awards or shareholder value awards during the performance period. For performance awards, non-preferential dividends accrue during the 13-month service-vesting period (following the two-year performance period) and are paid upon vesting.</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P53</w:t>
      </w:r>
    </w:p>
    <w:p>
      <w:pPr>
        <w:sectPr>
          <w:pgSz w:w="11900" w:h="16838" w:orient="portrait"/>
          <w:cols w:equalWidth="0" w:num="1">
            <w:col w:w="11360"/>
          </w:cols>
          <w:pgMar w:left="240" w:top="557" w:right="299" w:bottom="1440" w:gutter="0" w:footer="0" w:header="0"/>
        </w:sectPr>
      </w:pPr>
    </w:p>
    <w:bookmarkStart w:id="57" w:name="page58"/>
    <w:bookmarkEnd w:id="57"/>
    <w:tbl>
      <w:tblPr>
        <w:tblLayout w:type="fixed"/>
        <w:tblInd w:w="1044" w:type="dxa"/>
        <w:tblCellMar>
          <w:top w:w="0" w:type="dxa"/>
          <w:left w:w="0" w:type="dxa"/>
          <w:bottom w:w="0" w:type="dxa"/>
          <w:right w:w="0" w:type="dxa"/>
        </w:tblCellMar>
      </w:tblPr>
      <w:tr>
        <w:trPr>
          <w:trHeight w:val="131"/>
        </w:trPr>
        <w:tc>
          <w:tcPr>
            <w:tcW w:w="660" w:type="dxa"/>
            <w:vAlign w:val="bottom"/>
            <w:shd w:val="clear" w:color="auto" w:fill="C8C9CB"/>
          </w:tcPr>
          <w:p>
            <w:pPr>
              <w:spacing w:after="0"/>
              <w:rPr>
                <w:sz w:val="11"/>
                <w:szCs w:val="11"/>
                <w:color w:val="auto"/>
              </w:rPr>
            </w:pPr>
          </w:p>
        </w:tc>
        <w:tc>
          <w:tcPr>
            <w:tcW w:w="440" w:type="dxa"/>
            <w:vAlign w:val="bottom"/>
            <w:shd w:val="clear" w:color="auto" w:fill="C8C9CB"/>
          </w:tcPr>
          <w:p>
            <w:pPr>
              <w:spacing w:after="0"/>
              <w:rPr>
                <w:sz w:val="11"/>
                <w:szCs w:val="11"/>
                <w:color w:val="auto"/>
              </w:rPr>
            </w:pPr>
          </w:p>
        </w:tc>
        <w:tc>
          <w:tcPr>
            <w:tcW w:w="140" w:type="dxa"/>
            <w:vAlign w:val="bottom"/>
            <w:shd w:val="clear" w:color="auto" w:fill="C8C9CB"/>
          </w:tcPr>
          <w:p>
            <w:pPr>
              <w:spacing w:after="0"/>
              <w:rPr>
                <w:sz w:val="11"/>
                <w:szCs w:val="11"/>
                <w:color w:val="auto"/>
              </w:rPr>
            </w:pPr>
          </w:p>
        </w:tc>
        <w:tc>
          <w:tcPr>
            <w:tcW w:w="760" w:type="dxa"/>
            <w:vAlign w:val="bottom"/>
            <w:shd w:val="clear" w:color="auto" w:fill="C8C9CB"/>
          </w:tcPr>
          <w:p>
            <w:pPr>
              <w:spacing w:after="0"/>
              <w:rPr>
                <w:sz w:val="11"/>
                <w:szCs w:val="11"/>
                <w:color w:val="auto"/>
              </w:rPr>
            </w:pPr>
          </w:p>
        </w:tc>
        <w:tc>
          <w:tcPr>
            <w:tcW w:w="840" w:type="dxa"/>
            <w:vAlign w:val="bottom"/>
            <w:shd w:val="clear" w:color="auto" w:fill="C8C9CB"/>
          </w:tcPr>
          <w:p>
            <w:pPr>
              <w:spacing w:after="0"/>
              <w:rPr>
                <w:sz w:val="11"/>
                <w:szCs w:val="11"/>
                <w:color w:val="auto"/>
              </w:rPr>
            </w:pPr>
          </w:p>
        </w:tc>
        <w:tc>
          <w:tcPr>
            <w:tcW w:w="620" w:type="dxa"/>
            <w:vAlign w:val="bottom"/>
            <w:shd w:val="clear" w:color="auto" w:fill="C8C9CB"/>
          </w:tcPr>
          <w:p>
            <w:pPr>
              <w:spacing w:after="0"/>
              <w:rPr>
                <w:sz w:val="11"/>
                <w:szCs w:val="11"/>
                <w:color w:val="auto"/>
              </w:rPr>
            </w:pPr>
          </w:p>
        </w:tc>
        <w:tc>
          <w:tcPr>
            <w:tcW w:w="700" w:type="dxa"/>
            <w:vAlign w:val="bottom"/>
            <w:shd w:val="clear" w:color="auto" w:fill="C8C9CB"/>
          </w:tcPr>
          <w:p>
            <w:pPr>
              <w:spacing w:after="0"/>
              <w:rPr>
                <w:sz w:val="11"/>
                <w:szCs w:val="11"/>
                <w:color w:val="auto"/>
              </w:rPr>
            </w:pPr>
          </w:p>
        </w:tc>
        <w:tc>
          <w:tcPr>
            <w:tcW w:w="740" w:type="dxa"/>
            <w:vAlign w:val="bottom"/>
            <w:shd w:val="clear" w:color="auto" w:fill="C8C9CB"/>
          </w:tcPr>
          <w:p>
            <w:pPr>
              <w:spacing w:after="0"/>
              <w:rPr>
                <w:sz w:val="11"/>
                <w:szCs w:val="11"/>
                <w:color w:val="auto"/>
              </w:rPr>
            </w:pPr>
          </w:p>
        </w:tc>
        <w:tc>
          <w:tcPr>
            <w:tcW w:w="660" w:type="dxa"/>
            <w:vAlign w:val="bottom"/>
            <w:shd w:val="clear" w:color="auto" w:fill="C8C9CB"/>
          </w:tcPr>
          <w:p>
            <w:pPr>
              <w:spacing w:after="0"/>
              <w:rPr>
                <w:sz w:val="11"/>
                <w:szCs w:val="11"/>
                <w:color w:val="auto"/>
              </w:rPr>
            </w:pPr>
          </w:p>
        </w:tc>
        <w:tc>
          <w:tcPr>
            <w:tcW w:w="680" w:type="dxa"/>
            <w:vAlign w:val="bottom"/>
            <w:shd w:val="clear" w:color="auto" w:fill="C8C9CB"/>
          </w:tcPr>
          <w:p>
            <w:pPr>
              <w:spacing w:after="0"/>
              <w:rPr>
                <w:sz w:val="11"/>
                <w:szCs w:val="11"/>
                <w:color w:val="auto"/>
              </w:rPr>
            </w:pPr>
          </w:p>
        </w:tc>
        <w:tc>
          <w:tcPr>
            <w:tcW w:w="640" w:type="dxa"/>
            <w:vAlign w:val="bottom"/>
            <w:shd w:val="clear" w:color="auto" w:fill="C8C9CB"/>
          </w:tcPr>
          <w:p>
            <w:pPr>
              <w:spacing w:after="0"/>
              <w:rPr>
                <w:sz w:val="11"/>
                <w:szCs w:val="11"/>
                <w:color w:val="auto"/>
              </w:rPr>
            </w:pPr>
          </w:p>
        </w:tc>
        <w:tc>
          <w:tcPr>
            <w:tcW w:w="580" w:type="dxa"/>
            <w:vAlign w:val="bottom"/>
            <w:shd w:val="clear" w:color="auto" w:fill="C8C9CB"/>
          </w:tcPr>
          <w:p>
            <w:pPr>
              <w:jc w:val="center"/>
              <w:spacing w:after="0"/>
              <w:rPr>
                <w:sz w:val="20"/>
                <w:szCs w:val="20"/>
                <w:color w:val="auto"/>
              </w:rPr>
            </w:pPr>
            <w:r>
              <w:rPr>
                <w:rFonts w:ascii="Arial" w:cs="Arial" w:eastAsia="Arial" w:hAnsi="Arial"/>
                <w:sz w:val="11"/>
                <w:szCs w:val="11"/>
                <w:b w:val="1"/>
                <w:bCs w:val="1"/>
                <w:color w:val="00ABE8"/>
                <w:w w:val="98"/>
              </w:rPr>
              <w:t>All Other</w:t>
            </w:r>
          </w:p>
        </w:tc>
        <w:tc>
          <w:tcPr>
            <w:tcW w:w="940" w:type="dxa"/>
            <w:vAlign w:val="bottom"/>
            <w:shd w:val="clear" w:color="auto" w:fill="C8C9CB"/>
          </w:tcPr>
          <w:p>
            <w:pPr>
              <w:spacing w:after="0"/>
              <w:rPr>
                <w:sz w:val="11"/>
                <w:szCs w:val="11"/>
                <w:color w:val="auto"/>
              </w:rPr>
            </w:pPr>
          </w:p>
        </w:tc>
        <w:tc>
          <w:tcPr>
            <w:tcW w:w="720" w:type="dxa"/>
            <w:vAlign w:val="bottom"/>
            <w:shd w:val="clear" w:color="auto" w:fill="C8C9CB"/>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60" w:type="dxa"/>
            <w:vAlign w:val="bottom"/>
            <w:shd w:val="clear" w:color="auto" w:fill="C8C9CB"/>
          </w:tcPr>
          <w:p>
            <w:pPr>
              <w:spacing w:after="0"/>
              <w:rPr>
                <w:sz w:val="10"/>
                <w:szCs w:val="10"/>
                <w:color w:val="auto"/>
              </w:rPr>
            </w:pPr>
          </w:p>
        </w:tc>
        <w:tc>
          <w:tcPr>
            <w:tcW w:w="440" w:type="dxa"/>
            <w:vAlign w:val="bottom"/>
            <w:shd w:val="clear" w:color="auto" w:fill="C8C9CB"/>
          </w:tcPr>
          <w:p>
            <w:pPr>
              <w:spacing w:after="0"/>
              <w:rPr>
                <w:sz w:val="10"/>
                <w:szCs w:val="10"/>
                <w:color w:val="auto"/>
              </w:rPr>
            </w:pPr>
          </w:p>
        </w:tc>
        <w:tc>
          <w:tcPr>
            <w:tcW w:w="140" w:type="dxa"/>
            <w:vAlign w:val="bottom"/>
            <w:shd w:val="clear" w:color="auto" w:fill="C8C9CB"/>
          </w:tcPr>
          <w:p>
            <w:pPr>
              <w:spacing w:after="0"/>
              <w:rPr>
                <w:sz w:val="10"/>
                <w:szCs w:val="10"/>
                <w:color w:val="auto"/>
              </w:rPr>
            </w:pPr>
          </w:p>
        </w:tc>
        <w:tc>
          <w:tcPr>
            <w:tcW w:w="760" w:type="dxa"/>
            <w:vAlign w:val="bottom"/>
            <w:shd w:val="clear" w:color="auto" w:fill="C8C9CB"/>
          </w:tcPr>
          <w:p>
            <w:pPr>
              <w:spacing w:after="0"/>
              <w:rPr>
                <w:sz w:val="10"/>
                <w:szCs w:val="10"/>
                <w:color w:val="auto"/>
              </w:rPr>
            </w:pPr>
          </w:p>
        </w:tc>
        <w:tc>
          <w:tcPr>
            <w:tcW w:w="840" w:type="dxa"/>
            <w:vAlign w:val="bottom"/>
            <w:shd w:val="clear" w:color="auto" w:fill="C8C9CB"/>
          </w:tcPr>
          <w:p>
            <w:pPr>
              <w:spacing w:after="0"/>
              <w:rPr>
                <w:sz w:val="10"/>
                <w:szCs w:val="10"/>
                <w:color w:val="auto"/>
              </w:rPr>
            </w:pPr>
          </w:p>
        </w:tc>
        <w:tc>
          <w:tcPr>
            <w:tcW w:w="620" w:type="dxa"/>
            <w:vAlign w:val="bottom"/>
            <w:shd w:val="clear" w:color="auto" w:fill="C8C9CB"/>
          </w:tcPr>
          <w:p>
            <w:pPr>
              <w:spacing w:after="0"/>
              <w:rPr>
                <w:sz w:val="10"/>
                <w:szCs w:val="10"/>
                <w:color w:val="auto"/>
              </w:rPr>
            </w:pPr>
          </w:p>
        </w:tc>
        <w:tc>
          <w:tcPr>
            <w:tcW w:w="700" w:type="dxa"/>
            <w:vAlign w:val="bottom"/>
            <w:shd w:val="clear" w:color="auto" w:fill="C8C9CB"/>
          </w:tcPr>
          <w:p>
            <w:pPr>
              <w:spacing w:after="0"/>
              <w:rPr>
                <w:sz w:val="10"/>
                <w:szCs w:val="10"/>
                <w:color w:val="auto"/>
              </w:rPr>
            </w:pPr>
          </w:p>
        </w:tc>
        <w:tc>
          <w:tcPr>
            <w:tcW w:w="740" w:type="dxa"/>
            <w:vAlign w:val="bottom"/>
            <w:shd w:val="clear" w:color="auto" w:fill="C8C9CB"/>
          </w:tcPr>
          <w:p>
            <w:pPr>
              <w:spacing w:after="0"/>
              <w:rPr>
                <w:sz w:val="10"/>
                <w:szCs w:val="10"/>
                <w:color w:val="auto"/>
              </w:rPr>
            </w:pPr>
          </w:p>
        </w:tc>
        <w:tc>
          <w:tcPr>
            <w:tcW w:w="660" w:type="dxa"/>
            <w:vAlign w:val="bottom"/>
            <w:shd w:val="clear" w:color="auto" w:fill="C8C9CB"/>
          </w:tcPr>
          <w:p>
            <w:pPr>
              <w:spacing w:after="0"/>
              <w:rPr>
                <w:sz w:val="10"/>
                <w:szCs w:val="10"/>
                <w:color w:val="auto"/>
              </w:rPr>
            </w:pPr>
          </w:p>
        </w:tc>
        <w:tc>
          <w:tcPr>
            <w:tcW w:w="680" w:type="dxa"/>
            <w:vAlign w:val="bottom"/>
            <w:shd w:val="clear" w:color="auto" w:fill="C8C9CB"/>
          </w:tcPr>
          <w:p>
            <w:pPr>
              <w:spacing w:after="0"/>
              <w:rPr>
                <w:sz w:val="10"/>
                <w:szCs w:val="10"/>
                <w:color w:val="auto"/>
              </w:rPr>
            </w:pPr>
          </w:p>
        </w:tc>
        <w:tc>
          <w:tcPr>
            <w:tcW w:w="640" w:type="dxa"/>
            <w:vAlign w:val="bottom"/>
            <w:shd w:val="clear" w:color="auto" w:fill="C8C9CB"/>
          </w:tcPr>
          <w:p>
            <w:pPr>
              <w:spacing w:after="0"/>
              <w:rPr>
                <w:sz w:val="10"/>
                <w:szCs w:val="10"/>
                <w:color w:val="auto"/>
              </w:rPr>
            </w:pPr>
          </w:p>
        </w:tc>
        <w:tc>
          <w:tcPr>
            <w:tcW w:w="58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5"/>
              </w:rPr>
              <w:t>Stock or</w:t>
            </w:r>
          </w:p>
        </w:tc>
        <w:tc>
          <w:tcPr>
            <w:tcW w:w="940" w:type="dxa"/>
            <w:vAlign w:val="bottom"/>
            <w:shd w:val="clear" w:color="auto" w:fill="C8C9CB"/>
          </w:tcPr>
          <w:p>
            <w:pPr>
              <w:spacing w:after="0"/>
              <w:rPr>
                <w:sz w:val="10"/>
                <w:szCs w:val="10"/>
                <w:color w:val="auto"/>
              </w:rPr>
            </w:pPr>
          </w:p>
        </w:tc>
        <w:tc>
          <w:tcPr>
            <w:tcW w:w="720" w:type="dxa"/>
            <w:vAlign w:val="bottom"/>
            <w:shd w:val="clear" w:color="auto" w:fill="C8C9CB"/>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60" w:type="dxa"/>
            <w:vAlign w:val="bottom"/>
            <w:shd w:val="clear" w:color="auto" w:fill="C8C9CB"/>
          </w:tcPr>
          <w:p>
            <w:pPr>
              <w:spacing w:after="0"/>
              <w:rPr>
                <w:sz w:val="10"/>
                <w:szCs w:val="10"/>
                <w:color w:val="auto"/>
              </w:rPr>
            </w:pPr>
          </w:p>
        </w:tc>
        <w:tc>
          <w:tcPr>
            <w:tcW w:w="440" w:type="dxa"/>
            <w:vAlign w:val="bottom"/>
            <w:shd w:val="clear" w:color="auto" w:fill="C8C9CB"/>
          </w:tcPr>
          <w:p>
            <w:pPr>
              <w:spacing w:after="0"/>
              <w:rPr>
                <w:sz w:val="10"/>
                <w:szCs w:val="10"/>
                <w:color w:val="auto"/>
              </w:rPr>
            </w:pPr>
          </w:p>
        </w:tc>
        <w:tc>
          <w:tcPr>
            <w:tcW w:w="140" w:type="dxa"/>
            <w:vAlign w:val="bottom"/>
            <w:shd w:val="clear" w:color="auto" w:fill="C8C9CB"/>
          </w:tcPr>
          <w:p>
            <w:pPr>
              <w:spacing w:after="0"/>
              <w:rPr>
                <w:sz w:val="10"/>
                <w:szCs w:val="10"/>
                <w:color w:val="auto"/>
              </w:rPr>
            </w:pPr>
          </w:p>
        </w:tc>
        <w:tc>
          <w:tcPr>
            <w:tcW w:w="760" w:type="dxa"/>
            <w:vAlign w:val="bottom"/>
            <w:shd w:val="clear" w:color="auto" w:fill="C8C9CB"/>
          </w:tcPr>
          <w:p>
            <w:pPr>
              <w:spacing w:after="0"/>
              <w:rPr>
                <w:sz w:val="10"/>
                <w:szCs w:val="10"/>
                <w:color w:val="auto"/>
              </w:rPr>
            </w:pPr>
          </w:p>
        </w:tc>
        <w:tc>
          <w:tcPr>
            <w:tcW w:w="840" w:type="dxa"/>
            <w:vAlign w:val="bottom"/>
            <w:shd w:val="clear" w:color="auto" w:fill="C8C9CB"/>
          </w:tcPr>
          <w:p>
            <w:pPr>
              <w:spacing w:after="0"/>
              <w:rPr>
                <w:sz w:val="10"/>
                <w:szCs w:val="10"/>
                <w:color w:val="auto"/>
              </w:rPr>
            </w:pPr>
          </w:p>
        </w:tc>
        <w:tc>
          <w:tcPr>
            <w:tcW w:w="2060" w:type="dxa"/>
            <w:vAlign w:val="bottom"/>
            <w:gridSpan w:val="3"/>
            <w:vMerge w:val="restart"/>
            <w:shd w:val="clear" w:color="auto" w:fill="C8C9CB"/>
          </w:tcPr>
          <w:p>
            <w:pPr>
              <w:jc w:val="center"/>
              <w:spacing w:after="0"/>
              <w:rPr>
                <w:sz w:val="20"/>
                <w:szCs w:val="20"/>
                <w:color w:val="auto"/>
              </w:rPr>
            </w:pPr>
            <w:r>
              <w:rPr>
                <w:rFonts w:ascii="Arial" w:cs="Arial" w:eastAsia="Arial" w:hAnsi="Arial"/>
                <w:sz w:val="11"/>
                <w:szCs w:val="11"/>
                <w:b w:val="1"/>
                <w:bCs w:val="1"/>
                <w:color w:val="00ABE8"/>
                <w:w w:val="98"/>
              </w:rPr>
              <w:t>Estimated Possible Payouts</w:t>
            </w:r>
          </w:p>
        </w:tc>
        <w:tc>
          <w:tcPr>
            <w:tcW w:w="1980" w:type="dxa"/>
            <w:vAlign w:val="bottom"/>
            <w:gridSpan w:val="3"/>
            <w:vMerge w:val="restart"/>
            <w:shd w:val="clear" w:color="auto" w:fill="C8C9CB"/>
          </w:tcPr>
          <w:p>
            <w:pPr>
              <w:jc w:val="center"/>
              <w:spacing w:after="0"/>
              <w:rPr>
                <w:sz w:val="20"/>
                <w:szCs w:val="20"/>
                <w:color w:val="auto"/>
              </w:rPr>
            </w:pPr>
            <w:r>
              <w:rPr>
                <w:rFonts w:ascii="Arial" w:cs="Arial" w:eastAsia="Arial" w:hAnsi="Arial"/>
                <w:sz w:val="11"/>
                <w:szCs w:val="11"/>
                <w:b w:val="1"/>
                <w:bCs w:val="1"/>
                <w:color w:val="00ABE8"/>
                <w:w w:val="98"/>
              </w:rPr>
              <w:t>Estimated Possible and Future</w:t>
            </w:r>
          </w:p>
        </w:tc>
        <w:tc>
          <w:tcPr>
            <w:tcW w:w="58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5"/>
              </w:rPr>
              <w:t>Option</w:t>
            </w:r>
          </w:p>
        </w:tc>
        <w:tc>
          <w:tcPr>
            <w:tcW w:w="940" w:type="dxa"/>
            <w:vAlign w:val="bottom"/>
            <w:shd w:val="clear" w:color="auto" w:fill="C8C9CB"/>
          </w:tcPr>
          <w:p>
            <w:pPr>
              <w:spacing w:after="0"/>
              <w:rPr>
                <w:sz w:val="10"/>
                <w:szCs w:val="10"/>
                <w:color w:val="auto"/>
              </w:rPr>
            </w:pPr>
          </w:p>
        </w:tc>
        <w:tc>
          <w:tcPr>
            <w:tcW w:w="720" w:type="dxa"/>
            <w:vAlign w:val="bottom"/>
            <w:shd w:val="clear" w:color="auto" w:fill="C8C9CB"/>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60" w:type="dxa"/>
            <w:vAlign w:val="bottom"/>
            <w:shd w:val="clear" w:color="auto" w:fill="C8C9CB"/>
          </w:tcPr>
          <w:p>
            <w:pPr>
              <w:spacing w:after="0"/>
              <w:rPr>
                <w:sz w:val="5"/>
                <w:szCs w:val="5"/>
                <w:color w:val="auto"/>
              </w:rPr>
            </w:pPr>
          </w:p>
        </w:tc>
        <w:tc>
          <w:tcPr>
            <w:tcW w:w="440" w:type="dxa"/>
            <w:vAlign w:val="bottom"/>
            <w:shd w:val="clear" w:color="auto" w:fill="C8C9CB"/>
          </w:tcPr>
          <w:p>
            <w:pPr>
              <w:spacing w:after="0"/>
              <w:rPr>
                <w:sz w:val="5"/>
                <w:szCs w:val="5"/>
                <w:color w:val="auto"/>
              </w:rPr>
            </w:pPr>
          </w:p>
        </w:tc>
        <w:tc>
          <w:tcPr>
            <w:tcW w:w="140" w:type="dxa"/>
            <w:vAlign w:val="bottom"/>
            <w:shd w:val="clear" w:color="auto" w:fill="C8C9CB"/>
          </w:tcPr>
          <w:p>
            <w:pPr>
              <w:spacing w:after="0"/>
              <w:rPr>
                <w:sz w:val="5"/>
                <w:szCs w:val="5"/>
                <w:color w:val="auto"/>
              </w:rPr>
            </w:pPr>
          </w:p>
        </w:tc>
        <w:tc>
          <w:tcPr>
            <w:tcW w:w="760" w:type="dxa"/>
            <w:vAlign w:val="bottom"/>
            <w:shd w:val="clear" w:color="auto" w:fill="C8C9CB"/>
          </w:tcPr>
          <w:p>
            <w:pPr>
              <w:spacing w:after="0"/>
              <w:rPr>
                <w:sz w:val="5"/>
                <w:szCs w:val="5"/>
                <w:color w:val="auto"/>
              </w:rPr>
            </w:pPr>
          </w:p>
        </w:tc>
        <w:tc>
          <w:tcPr>
            <w:tcW w:w="840" w:type="dxa"/>
            <w:vAlign w:val="bottom"/>
            <w:shd w:val="clear" w:color="auto" w:fill="C8C9CB"/>
          </w:tcPr>
          <w:p>
            <w:pPr>
              <w:spacing w:after="0"/>
              <w:rPr>
                <w:sz w:val="5"/>
                <w:szCs w:val="5"/>
                <w:color w:val="auto"/>
              </w:rPr>
            </w:pPr>
          </w:p>
        </w:tc>
        <w:tc>
          <w:tcPr>
            <w:tcW w:w="2060" w:type="dxa"/>
            <w:vAlign w:val="bottom"/>
            <w:gridSpan w:val="3"/>
            <w:vMerge w:val="continue"/>
            <w:shd w:val="clear" w:color="auto" w:fill="C8C9CB"/>
          </w:tcPr>
          <w:p>
            <w:pPr>
              <w:spacing w:after="0"/>
              <w:rPr>
                <w:sz w:val="5"/>
                <w:szCs w:val="5"/>
                <w:color w:val="auto"/>
              </w:rPr>
            </w:pPr>
          </w:p>
        </w:tc>
        <w:tc>
          <w:tcPr>
            <w:tcW w:w="1980" w:type="dxa"/>
            <w:vAlign w:val="bottom"/>
            <w:gridSpan w:val="3"/>
            <w:vMerge w:val="continue"/>
            <w:shd w:val="clear" w:color="auto" w:fill="C8C9CB"/>
          </w:tcPr>
          <w:p>
            <w:pPr>
              <w:spacing w:after="0"/>
              <w:rPr>
                <w:sz w:val="5"/>
                <w:szCs w:val="5"/>
                <w:color w:val="auto"/>
              </w:rPr>
            </w:pPr>
          </w:p>
        </w:tc>
        <w:tc>
          <w:tcPr>
            <w:tcW w:w="580" w:type="dxa"/>
            <w:vAlign w:val="bottom"/>
            <w:vMerge w:val="restart"/>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6"/>
              </w:rPr>
              <w:t>Awards:</w:t>
            </w:r>
          </w:p>
        </w:tc>
        <w:tc>
          <w:tcPr>
            <w:tcW w:w="940" w:type="dxa"/>
            <w:vAlign w:val="bottom"/>
            <w:shd w:val="clear" w:color="auto" w:fill="C8C9CB"/>
          </w:tcPr>
          <w:p>
            <w:pPr>
              <w:spacing w:after="0"/>
              <w:rPr>
                <w:sz w:val="5"/>
                <w:szCs w:val="5"/>
                <w:color w:val="auto"/>
              </w:rPr>
            </w:pPr>
          </w:p>
        </w:tc>
        <w:tc>
          <w:tcPr>
            <w:tcW w:w="720" w:type="dxa"/>
            <w:vAlign w:val="bottom"/>
            <w:shd w:val="clear" w:color="auto" w:fill="C8C9CB"/>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660" w:type="dxa"/>
            <w:vAlign w:val="bottom"/>
            <w:shd w:val="clear" w:color="auto" w:fill="C8C9CB"/>
          </w:tcPr>
          <w:p>
            <w:pPr>
              <w:spacing w:after="0"/>
              <w:rPr>
                <w:sz w:val="4"/>
                <w:szCs w:val="4"/>
                <w:color w:val="auto"/>
              </w:rPr>
            </w:pPr>
          </w:p>
        </w:tc>
        <w:tc>
          <w:tcPr>
            <w:tcW w:w="440" w:type="dxa"/>
            <w:vAlign w:val="bottom"/>
            <w:shd w:val="clear" w:color="auto" w:fill="C8C9CB"/>
          </w:tcPr>
          <w:p>
            <w:pPr>
              <w:spacing w:after="0"/>
              <w:rPr>
                <w:sz w:val="4"/>
                <w:szCs w:val="4"/>
                <w:color w:val="auto"/>
              </w:rPr>
            </w:pPr>
          </w:p>
        </w:tc>
        <w:tc>
          <w:tcPr>
            <w:tcW w:w="140" w:type="dxa"/>
            <w:vAlign w:val="bottom"/>
            <w:shd w:val="clear" w:color="auto" w:fill="C8C9CB"/>
          </w:tcPr>
          <w:p>
            <w:pPr>
              <w:spacing w:after="0"/>
              <w:rPr>
                <w:sz w:val="4"/>
                <w:szCs w:val="4"/>
                <w:color w:val="auto"/>
              </w:rPr>
            </w:pPr>
          </w:p>
        </w:tc>
        <w:tc>
          <w:tcPr>
            <w:tcW w:w="760" w:type="dxa"/>
            <w:vAlign w:val="bottom"/>
            <w:shd w:val="clear" w:color="auto" w:fill="C8C9CB"/>
          </w:tcPr>
          <w:p>
            <w:pPr>
              <w:spacing w:after="0"/>
              <w:rPr>
                <w:sz w:val="4"/>
                <w:szCs w:val="4"/>
                <w:color w:val="auto"/>
              </w:rPr>
            </w:pPr>
          </w:p>
        </w:tc>
        <w:tc>
          <w:tcPr>
            <w:tcW w:w="840" w:type="dxa"/>
            <w:vAlign w:val="bottom"/>
            <w:shd w:val="clear" w:color="auto" w:fill="C8C9CB"/>
          </w:tcPr>
          <w:p>
            <w:pPr>
              <w:spacing w:after="0"/>
              <w:rPr>
                <w:sz w:val="4"/>
                <w:szCs w:val="4"/>
                <w:color w:val="auto"/>
              </w:rPr>
            </w:pPr>
          </w:p>
        </w:tc>
        <w:tc>
          <w:tcPr>
            <w:tcW w:w="2060" w:type="dxa"/>
            <w:vAlign w:val="bottom"/>
            <w:gridSpan w:val="3"/>
            <w:vMerge w:val="restart"/>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8"/>
              </w:rPr>
              <w:t>Under Non-Equity</w:t>
            </w:r>
          </w:p>
        </w:tc>
        <w:tc>
          <w:tcPr>
            <w:tcW w:w="1980" w:type="dxa"/>
            <w:vAlign w:val="bottom"/>
            <w:gridSpan w:val="3"/>
            <w:vMerge w:val="restart"/>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7"/>
              </w:rPr>
              <w:t>Payouts Under Equity</w:t>
            </w:r>
          </w:p>
        </w:tc>
        <w:tc>
          <w:tcPr>
            <w:tcW w:w="580" w:type="dxa"/>
            <w:vAlign w:val="bottom"/>
            <w:vMerge w:val="continue"/>
            <w:shd w:val="clear" w:color="auto" w:fill="C8C9CB"/>
          </w:tcPr>
          <w:p>
            <w:pPr>
              <w:spacing w:after="0"/>
              <w:rPr>
                <w:sz w:val="4"/>
                <w:szCs w:val="4"/>
                <w:color w:val="auto"/>
              </w:rPr>
            </w:pPr>
          </w:p>
        </w:tc>
        <w:tc>
          <w:tcPr>
            <w:tcW w:w="940" w:type="dxa"/>
            <w:vAlign w:val="bottom"/>
            <w:shd w:val="clear" w:color="auto" w:fill="C8C9CB"/>
          </w:tcPr>
          <w:p>
            <w:pPr>
              <w:spacing w:after="0"/>
              <w:rPr>
                <w:sz w:val="4"/>
                <w:szCs w:val="4"/>
                <w:color w:val="auto"/>
              </w:rPr>
            </w:pPr>
          </w:p>
        </w:tc>
        <w:tc>
          <w:tcPr>
            <w:tcW w:w="720" w:type="dxa"/>
            <w:vAlign w:val="bottom"/>
            <w:shd w:val="clear" w:color="auto" w:fill="C8C9CB"/>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660" w:type="dxa"/>
            <w:vAlign w:val="bottom"/>
            <w:shd w:val="clear" w:color="auto" w:fill="C8C9CB"/>
          </w:tcPr>
          <w:p>
            <w:pPr>
              <w:spacing w:after="0"/>
              <w:rPr>
                <w:sz w:val="5"/>
                <w:szCs w:val="5"/>
                <w:color w:val="auto"/>
              </w:rPr>
            </w:pPr>
          </w:p>
        </w:tc>
        <w:tc>
          <w:tcPr>
            <w:tcW w:w="440" w:type="dxa"/>
            <w:vAlign w:val="bottom"/>
            <w:shd w:val="clear" w:color="auto" w:fill="C8C9CB"/>
          </w:tcPr>
          <w:p>
            <w:pPr>
              <w:spacing w:after="0"/>
              <w:rPr>
                <w:sz w:val="5"/>
                <w:szCs w:val="5"/>
                <w:color w:val="auto"/>
              </w:rPr>
            </w:pPr>
          </w:p>
        </w:tc>
        <w:tc>
          <w:tcPr>
            <w:tcW w:w="140" w:type="dxa"/>
            <w:vAlign w:val="bottom"/>
            <w:shd w:val="clear" w:color="auto" w:fill="C8C9CB"/>
          </w:tcPr>
          <w:p>
            <w:pPr>
              <w:spacing w:after="0"/>
              <w:rPr>
                <w:sz w:val="5"/>
                <w:szCs w:val="5"/>
                <w:color w:val="auto"/>
              </w:rPr>
            </w:pPr>
          </w:p>
        </w:tc>
        <w:tc>
          <w:tcPr>
            <w:tcW w:w="760" w:type="dxa"/>
            <w:vAlign w:val="bottom"/>
            <w:shd w:val="clear" w:color="auto" w:fill="C8C9CB"/>
          </w:tcPr>
          <w:p>
            <w:pPr>
              <w:spacing w:after="0"/>
              <w:rPr>
                <w:sz w:val="5"/>
                <w:szCs w:val="5"/>
                <w:color w:val="auto"/>
              </w:rPr>
            </w:pPr>
          </w:p>
        </w:tc>
        <w:tc>
          <w:tcPr>
            <w:tcW w:w="840" w:type="dxa"/>
            <w:vAlign w:val="bottom"/>
            <w:shd w:val="clear" w:color="auto" w:fill="C8C9CB"/>
          </w:tcPr>
          <w:p>
            <w:pPr>
              <w:spacing w:after="0"/>
              <w:rPr>
                <w:sz w:val="5"/>
                <w:szCs w:val="5"/>
                <w:color w:val="auto"/>
              </w:rPr>
            </w:pPr>
          </w:p>
        </w:tc>
        <w:tc>
          <w:tcPr>
            <w:tcW w:w="2060" w:type="dxa"/>
            <w:vAlign w:val="bottom"/>
            <w:gridSpan w:val="3"/>
            <w:vMerge w:val="continue"/>
            <w:shd w:val="clear" w:color="auto" w:fill="C8C9CB"/>
          </w:tcPr>
          <w:p>
            <w:pPr>
              <w:spacing w:after="0"/>
              <w:rPr>
                <w:sz w:val="5"/>
                <w:szCs w:val="5"/>
                <w:color w:val="auto"/>
              </w:rPr>
            </w:pPr>
          </w:p>
        </w:tc>
        <w:tc>
          <w:tcPr>
            <w:tcW w:w="1980" w:type="dxa"/>
            <w:vAlign w:val="bottom"/>
            <w:gridSpan w:val="3"/>
            <w:vMerge w:val="continue"/>
            <w:shd w:val="clear" w:color="auto" w:fill="C8C9CB"/>
          </w:tcPr>
          <w:p>
            <w:pPr>
              <w:spacing w:after="0"/>
              <w:rPr>
                <w:sz w:val="5"/>
                <w:szCs w:val="5"/>
                <w:color w:val="auto"/>
              </w:rPr>
            </w:pPr>
          </w:p>
        </w:tc>
        <w:tc>
          <w:tcPr>
            <w:tcW w:w="580" w:type="dxa"/>
            <w:vAlign w:val="bottom"/>
            <w:vMerge w:val="restart"/>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rPr>
              <w:t>Number</w:t>
            </w:r>
          </w:p>
        </w:tc>
        <w:tc>
          <w:tcPr>
            <w:tcW w:w="940" w:type="dxa"/>
            <w:vAlign w:val="bottom"/>
            <w:shd w:val="clear" w:color="auto" w:fill="C8C9CB"/>
          </w:tcPr>
          <w:p>
            <w:pPr>
              <w:spacing w:after="0"/>
              <w:rPr>
                <w:sz w:val="5"/>
                <w:szCs w:val="5"/>
                <w:color w:val="auto"/>
              </w:rPr>
            </w:pPr>
          </w:p>
        </w:tc>
        <w:tc>
          <w:tcPr>
            <w:tcW w:w="720" w:type="dxa"/>
            <w:vAlign w:val="bottom"/>
            <w:shd w:val="clear" w:color="auto" w:fill="C8C9CB"/>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660" w:type="dxa"/>
            <w:vAlign w:val="bottom"/>
            <w:shd w:val="clear" w:color="auto" w:fill="C8C9CB"/>
          </w:tcPr>
          <w:p>
            <w:pPr>
              <w:spacing w:after="0"/>
              <w:rPr>
                <w:sz w:val="4"/>
                <w:szCs w:val="4"/>
                <w:color w:val="auto"/>
              </w:rPr>
            </w:pPr>
          </w:p>
        </w:tc>
        <w:tc>
          <w:tcPr>
            <w:tcW w:w="440" w:type="dxa"/>
            <w:vAlign w:val="bottom"/>
            <w:shd w:val="clear" w:color="auto" w:fill="C8C9CB"/>
          </w:tcPr>
          <w:p>
            <w:pPr>
              <w:spacing w:after="0"/>
              <w:rPr>
                <w:sz w:val="4"/>
                <w:szCs w:val="4"/>
                <w:color w:val="auto"/>
              </w:rPr>
            </w:pPr>
          </w:p>
        </w:tc>
        <w:tc>
          <w:tcPr>
            <w:tcW w:w="140" w:type="dxa"/>
            <w:vAlign w:val="bottom"/>
            <w:shd w:val="clear" w:color="auto" w:fill="C8C9CB"/>
          </w:tcPr>
          <w:p>
            <w:pPr>
              <w:spacing w:after="0"/>
              <w:rPr>
                <w:sz w:val="4"/>
                <w:szCs w:val="4"/>
                <w:color w:val="auto"/>
              </w:rPr>
            </w:pPr>
          </w:p>
        </w:tc>
        <w:tc>
          <w:tcPr>
            <w:tcW w:w="760" w:type="dxa"/>
            <w:vAlign w:val="bottom"/>
            <w:shd w:val="clear" w:color="auto" w:fill="C8C9CB"/>
          </w:tcPr>
          <w:p>
            <w:pPr>
              <w:spacing w:after="0"/>
              <w:rPr>
                <w:sz w:val="4"/>
                <w:szCs w:val="4"/>
                <w:color w:val="auto"/>
              </w:rPr>
            </w:pPr>
          </w:p>
        </w:tc>
        <w:tc>
          <w:tcPr>
            <w:tcW w:w="840" w:type="dxa"/>
            <w:vAlign w:val="bottom"/>
            <w:shd w:val="clear" w:color="auto" w:fill="C8C9CB"/>
          </w:tcPr>
          <w:p>
            <w:pPr>
              <w:spacing w:after="0"/>
              <w:rPr>
                <w:sz w:val="4"/>
                <w:szCs w:val="4"/>
                <w:color w:val="auto"/>
              </w:rPr>
            </w:pPr>
          </w:p>
        </w:tc>
        <w:tc>
          <w:tcPr>
            <w:tcW w:w="2060" w:type="dxa"/>
            <w:vAlign w:val="bottom"/>
            <w:gridSpan w:val="3"/>
            <w:vMerge w:val="restart"/>
            <w:shd w:val="clear" w:color="auto" w:fill="C8C9CB"/>
          </w:tcPr>
          <w:p>
            <w:pPr>
              <w:jc w:val="center"/>
              <w:spacing w:after="0"/>
              <w:rPr>
                <w:sz w:val="20"/>
                <w:szCs w:val="20"/>
                <w:color w:val="auto"/>
              </w:rPr>
            </w:pPr>
            <w:r>
              <w:rPr>
                <w:rFonts w:ascii="Arial" w:cs="Arial" w:eastAsia="Arial" w:hAnsi="Arial"/>
                <w:sz w:val="11"/>
                <w:szCs w:val="11"/>
                <w:b w:val="1"/>
                <w:bCs w:val="1"/>
                <w:color w:val="00ABE8"/>
                <w:w w:val="98"/>
              </w:rPr>
              <w:t xml:space="preserve">Incentive Plan Awards </w:t>
            </w:r>
            <w:r>
              <w:rPr>
                <w:rFonts w:ascii="Arial" w:cs="Arial" w:eastAsia="Arial" w:hAnsi="Arial"/>
                <w:sz w:val="8"/>
                <w:szCs w:val="8"/>
                <w:b w:val="1"/>
                <w:bCs w:val="1"/>
                <w:color w:val="00ABE8"/>
                <w:w w:val="98"/>
              </w:rPr>
              <w:t>1</w:t>
            </w:r>
          </w:p>
        </w:tc>
        <w:tc>
          <w:tcPr>
            <w:tcW w:w="1980" w:type="dxa"/>
            <w:vAlign w:val="bottom"/>
            <w:gridSpan w:val="3"/>
            <w:vMerge w:val="restart"/>
            <w:shd w:val="clear" w:color="auto" w:fill="C8C9CB"/>
          </w:tcPr>
          <w:p>
            <w:pPr>
              <w:jc w:val="center"/>
              <w:spacing w:after="0"/>
              <w:rPr>
                <w:sz w:val="20"/>
                <w:szCs w:val="20"/>
                <w:color w:val="auto"/>
              </w:rPr>
            </w:pPr>
            <w:r>
              <w:rPr>
                <w:rFonts w:ascii="Arial" w:cs="Arial" w:eastAsia="Arial" w:hAnsi="Arial"/>
                <w:sz w:val="11"/>
                <w:szCs w:val="11"/>
                <w:b w:val="1"/>
                <w:bCs w:val="1"/>
                <w:color w:val="00ABE8"/>
                <w:w w:val="99"/>
              </w:rPr>
              <w:t>Incentive Plan Awards</w:t>
            </w:r>
          </w:p>
        </w:tc>
        <w:tc>
          <w:tcPr>
            <w:tcW w:w="580" w:type="dxa"/>
            <w:vAlign w:val="bottom"/>
            <w:vMerge w:val="continue"/>
            <w:shd w:val="clear" w:color="auto" w:fill="C8C9CB"/>
          </w:tcPr>
          <w:p>
            <w:pPr>
              <w:spacing w:after="0"/>
              <w:rPr>
                <w:sz w:val="4"/>
                <w:szCs w:val="4"/>
                <w:color w:val="auto"/>
              </w:rPr>
            </w:pPr>
          </w:p>
        </w:tc>
        <w:tc>
          <w:tcPr>
            <w:tcW w:w="940" w:type="dxa"/>
            <w:vAlign w:val="bottom"/>
            <w:shd w:val="clear" w:color="auto" w:fill="C8C9CB"/>
          </w:tcPr>
          <w:p>
            <w:pPr>
              <w:spacing w:after="0"/>
              <w:rPr>
                <w:sz w:val="4"/>
                <w:szCs w:val="4"/>
                <w:color w:val="auto"/>
              </w:rPr>
            </w:pPr>
          </w:p>
        </w:tc>
        <w:tc>
          <w:tcPr>
            <w:tcW w:w="720" w:type="dxa"/>
            <w:vAlign w:val="bottom"/>
            <w:shd w:val="clear" w:color="auto" w:fill="C8C9CB"/>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660" w:type="dxa"/>
            <w:vAlign w:val="bottom"/>
            <w:shd w:val="clear" w:color="auto" w:fill="C8C9CB"/>
          </w:tcPr>
          <w:p>
            <w:pPr>
              <w:spacing w:after="0"/>
              <w:rPr>
                <w:sz w:val="8"/>
                <w:szCs w:val="8"/>
                <w:color w:val="auto"/>
              </w:rPr>
            </w:pPr>
          </w:p>
        </w:tc>
        <w:tc>
          <w:tcPr>
            <w:tcW w:w="440" w:type="dxa"/>
            <w:vAlign w:val="bottom"/>
            <w:shd w:val="clear" w:color="auto" w:fill="C8C9CB"/>
          </w:tcPr>
          <w:p>
            <w:pPr>
              <w:spacing w:after="0"/>
              <w:rPr>
                <w:sz w:val="8"/>
                <w:szCs w:val="8"/>
                <w:color w:val="auto"/>
              </w:rPr>
            </w:pPr>
          </w:p>
        </w:tc>
        <w:tc>
          <w:tcPr>
            <w:tcW w:w="140" w:type="dxa"/>
            <w:vAlign w:val="bottom"/>
            <w:shd w:val="clear" w:color="auto" w:fill="C8C9CB"/>
          </w:tcPr>
          <w:p>
            <w:pPr>
              <w:spacing w:after="0"/>
              <w:rPr>
                <w:sz w:val="8"/>
                <w:szCs w:val="8"/>
                <w:color w:val="auto"/>
              </w:rPr>
            </w:pPr>
          </w:p>
        </w:tc>
        <w:tc>
          <w:tcPr>
            <w:tcW w:w="760" w:type="dxa"/>
            <w:vAlign w:val="bottom"/>
            <w:shd w:val="clear" w:color="auto" w:fill="C8C9CB"/>
          </w:tcPr>
          <w:p>
            <w:pPr>
              <w:spacing w:after="0"/>
              <w:rPr>
                <w:sz w:val="8"/>
                <w:szCs w:val="8"/>
                <w:color w:val="auto"/>
              </w:rPr>
            </w:pPr>
          </w:p>
        </w:tc>
        <w:tc>
          <w:tcPr>
            <w:tcW w:w="840" w:type="dxa"/>
            <w:vAlign w:val="bottom"/>
            <w:shd w:val="clear" w:color="auto" w:fill="C8C9CB"/>
          </w:tcPr>
          <w:p>
            <w:pPr>
              <w:spacing w:after="0"/>
              <w:rPr>
                <w:sz w:val="8"/>
                <w:szCs w:val="8"/>
                <w:color w:val="auto"/>
              </w:rPr>
            </w:pPr>
          </w:p>
        </w:tc>
        <w:tc>
          <w:tcPr>
            <w:tcW w:w="2060" w:type="dxa"/>
            <w:vAlign w:val="bottom"/>
            <w:gridSpan w:val="3"/>
            <w:vMerge w:val="continue"/>
            <w:shd w:val="clear" w:color="auto" w:fill="C8C9CB"/>
          </w:tcPr>
          <w:p>
            <w:pPr>
              <w:spacing w:after="0"/>
              <w:rPr>
                <w:sz w:val="8"/>
                <w:szCs w:val="8"/>
                <w:color w:val="auto"/>
              </w:rPr>
            </w:pPr>
          </w:p>
        </w:tc>
        <w:tc>
          <w:tcPr>
            <w:tcW w:w="1980" w:type="dxa"/>
            <w:vAlign w:val="bottom"/>
            <w:gridSpan w:val="3"/>
            <w:vMerge w:val="continue"/>
            <w:shd w:val="clear" w:color="auto" w:fill="C8C9CB"/>
          </w:tcPr>
          <w:p>
            <w:pPr>
              <w:spacing w:after="0"/>
              <w:rPr>
                <w:sz w:val="8"/>
                <w:szCs w:val="8"/>
                <w:color w:val="auto"/>
              </w:rPr>
            </w:pPr>
          </w:p>
        </w:tc>
        <w:tc>
          <w:tcPr>
            <w:tcW w:w="580" w:type="dxa"/>
            <w:vAlign w:val="bottom"/>
            <w:vMerge w:val="restart"/>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5"/>
              </w:rPr>
              <w:t>of</w:t>
            </w:r>
          </w:p>
        </w:tc>
        <w:tc>
          <w:tcPr>
            <w:tcW w:w="940" w:type="dxa"/>
            <w:vAlign w:val="bottom"/>
            <w:shd w:val="clear" w:color="auto" w:fill="C8C9CB"/>
          </w:tcPr>
          <w:p>
            <w:pPr>
              <w:spacing w:after="0"/>
              <w:rPr>
                <w:sz w:val="8"/>
                <w:szCs w:val="8"/>
                <w:color w:val="auto"/>
              </w:rPr>
            </w:pPr>
          </w:p>
        </w:tc>
        <w:tc>
          <w:tcPr>
            <w:tcW w:w="720" w:type="dxa"/>
            <w:vAlign w:val="bottom"/>
            <w:shd w:val="clear" w:color="auto" w:fill="C8C9CB"/>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660" w:type="dxa"/>
            <w:vAlign w:val="bottom"/>
            <w:shd w:val="clear" w:color="auto" w:fill="C8C9CB"/>
          </w:tcPr>
          <w:p>
            <w:pPr>
              <w:spacing w:after="0"/>
              <w:rPr>
                <w:sz w:val="2"/>
                <w:szCs w:val="2"/>
                <w:color w:val="auto"/>
              </w:rPr>
            </w:pPr>
          </w:p>
        </w:tc>
        <w:tc>
          <w:tcPr>
            <w:tcW w:w="440" w:type="dxa"/>
            <w:vAlign w:val="bottom"/>
            <w:shd w:val="clear" w:color="auto" w:fill="C8C9CB"/>
          </w:tcPr>
          <w:p>
            <w:pPr>
              <w:spacing w:after="0"/>
              <w:rPr>
                <w:sz w:val="2"/>
                <w:szCs w:val="2"/>
                <w:color w:val="auto"/>
              </w:rPr>
            </w:pPr>
          </w:p>
        </w:tc>
        <w:tc>
          <w:tcPr>
            <w:tcW w:w="140" w:type="dxa"/>
            <w:vAlign w:val="bottom"/>
            <w:shd w:val="clear" w:color="auto" w:fill="C8C9CB"/>
          </w:tcPr>
          <w:p>
            <w:pPr>
              <w:spacing w:after="0"/>
              <w:rPr>
                <w:sz w:val="2"/>
                <w:szCs w:val="2"/>
                <w:color w:val="auto"/>
              </w:rPr>
            </w:pPr>
          </w:p>
        </w:tc>
        <w:tc>
          <w:tcPr>
            <w:tcW w:w="760" w:type="dxa"/>
            <w:vAlign w:val="bottom"/>
            <w:shd w:val="clear" w:color="auto" w:fill="C8C9CB"/>
          </w:tcPr>
          <w:p>
            <w:pPr>
              <w:spacing w:after="0"/>
              <w:rPr>
                <w:sz w:val="2"/>
                <w:szCs w:val="2"/>
                <w:color w:val="auto"/>
              </w:rPr>
            </w:pPr>
          </w:p>
        </w:tc>
        <w:tc>
          <w:tcPr>
            <w:tcW w:w="840" w:type="dxa"/>
            <w:vAlign w:val="bottom"/>
            <w:shd w:val="clear" w:color="auto" w:fill="C8C9CB"/>
          </w:tcPr>
          <w:p>
            <w:pPr>
              <w:spacing w:after="0"/>
              <w:rPr>
                <w:sz w:val="2"/>
                <w:szCs w:val="2"/>
                <w:color w:val="auto"/>
              </w:rPr>
            </w:pPr>
          </w:p>
        </w:tc>
        <w:tc>
          <w:tcPr>
            <w:tcW w:w="620" w:type="dxa"/>
            <w:vAlign w:val="bottom"/>
            <w:shd w:val="clear" w:color="auto" w:fill="C8C9CB"/>
          </w:tcPr>
          <w:p>
            <w:pPr>
              <w:spacing w:after="0"/>
              <w:rPr>
                <w:sz w:val="2"/>
                <w:szCs w:val="2"/>
                <w:color w:val="auto"/>
              </w:rPr>
            </w:pPr>
          </w:p>
        </w:tc>
        <w:tc>
          <w:tcPr>
            <w:tcW w:w="700" w:type="dxa"/>
            <w:vAlign w:val="bottom"/>
            <w:shd w:val="clear" w:color="auto" w:fill="C8C9CB"/>
          </w:tcPr>
          <w:p>
            <w:pPr>
              <w:spacing w:after="0"/>
              <w:rPr>
                <w:sz w:val="2"/>
                <w:szCs w:val="2"/>
                <w:color w:val="auto"/>
              </w:rPr>
            </w:pPr>
          </w:p>
        </w:tc>
        <w:tc>
          <w:tcPr>
            <w:tcW w:w="740" w:type="dxa"/>
            <w:vAlign w:val="bottom"/>
            <w:shd w:val="clear" w:color="auto" w:fill="C8C9CB"/>
          </w:tcPr>
          <w:p>
            <w:pPr>
              <w:spacing w:after="0"/>
              <w:rPr>
                <w:sz w:val="2"/>
                <w:szCs w:val="2"/>
                <w:color w:val="auto"/>
              </w:rPr>
            </w:pPr>
          </w:p>
        </w:tc>
        <w:tc>
          <w:tcPr>
            <w:tcW w:w="660" w:type="dxa"/>
            <w:vAlign w:val="bottom"/>
            <w:shd w:val="clear" w:color="auto" w:fill="C8C9CB"/>
          </w:tcPr>
          <w:p>
            <w:pPr>
              <w:spacing w:after="0"/>
              <w:rPr>
                <w:sz w:val="2"/>
                <w:szCs w:val="2"/>
                <w:color w:val="auto"/>
              </w:rPr>
            </w:pPr>
          </w:p>
        </w:tc>
        <w:tc>
          <w:tcPr>
            <w:tcW w:w="680" w:type="dxa"/>
            <w:vAlign w:val="bottom"/>
            <w:shd w:val="clear" w:color="auto" w:fill="C8C9CB"/>
          </w:tcPr>
          <w:p>
            <w:pPr>
              <w:spacing w:after="0"/>
              <w:rPr>
                <w:sz w:val="2"/>
                <w:szCs w:val="2"/>
                <w:color w:val="auto"/>
              </w:rPr>
            </w:pPr>
          </w:p>
        </w:tc>
        <w:tc>
          <w:tcPr>
            <w:tcW w:w="640" w:type="dxa"/>
            <w:vAlign w:val="bottom"/>
            <w:shd w:val="clear" w:color="auto" w:fill="C8C9CB"/>
          </w:tcPr>
          <w:p>
            <w:pPr>
              <w:spacing w:after="0"/>
              <w:rPr>
                <w:sz w:val="2"/>
                <w:szCs w:val="2"/>
                <w:color w:val="auto"/>
              </w:rPr>
            </w:pPr>
          </w:p>
        </w:tc>
        <w:tc>
          <w:tcPr>
            <w:tcW w:w="580" w:type="dxa"/>
            <w:vAlign w:val="bottom"/>
            <w:vMerge w:val="continue"/>
            <w:shd w:val="clear" w:color="auto" w:fill="C8C9CB"/>
          </w:tcPr>
          <w:p>
            <w:pPr>
              <w:spacing w:after="0"/>
              <w:rPr>
                <w:sz w:val="2"/>
                <w:szCs w:val="2"/>
                <w:color w:val="auto"/>
              </w:rPr>
            </w:pPr>
          </w:p>
        </w:tc>
        <w:tc>
          <w:tcPr>
            <w:tcW w:w="940" w:type="dxa"/>
            <w:vAlign w:val="bottom"/>
            <w:shd w:val="clear" w:color="auto" w:fill="C8C9CB"/>
          </w:tcPr>
          <w:p>
            <w:pPr>
              <w:spacing w:after="0"/>
              <w:rPr>
                <w:sz w:val="2"/>
                <w:szCs w:val="2"/>
                <w:color w:val="auto"/>
              </w:rPr>
            </w:pPr>
          </w:p>
        </w:tc>
        <w:tc>
          <w:tcPr>
            <w:tcW w:w="720" w:type="dxa"/>
            <w:vAlign w:val="bottom"/>
            <w:shd w:val="clear" w:color="auto" w:fill="C8C9C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660" w:type="dxa"/>
            <w:vAlign w:val="bottom"/>
            <w:shd w:val="clear" w:color="auto" w:fill="C8C9CB"/>
          </w:tcPr>
          <w:p>
            <w:pPr>
              <w:spacing w:after="0"/>
              <w:rPr>
                <w:sz w:val="10"/>
                <w:szCs w:val="10"/>
                <w:color w:val="auto"/>
              </w:rPr>
            </w:pPr>
          </w:p>
        </w:tc>
        <w:tc>
          <w:tcPr>
            <w:tcW w:w="440" w:type="dxa"/>
            <w:vAlign w:val="bottom"/>
            <w:shd w:val="clear" w:color="auto" w:fill="C8C9CB"/>
          </w:tcPr>
          <w:p>
            <w:pPr>
              <w:spacing w:after="0"/>
              <w:rPr>
                <w:sz w:val="10"/>
                <w:szCs w:val="10"/>
                <w:color w:val="auto"/>
              </w:rPr>
            </w:pPr>
          </w:p>
        </w:tc>
        <w:tc>
          <w:tcPr>
            <w:tcW w:w="140" w:type="dxa"/>
            <w:vAlign w:val="bottom"/>
            <w:shd w:val="clear" w:color="auto" w:fill="C8C9CB"/>
          </w:tcPr>
          <w:p>
            <w:pPr>
              <w:spacing w:after="0"/>
              <w:rPr>
                <w:sz w:val="10"/>
                <w:szCs w:val="10"/>
                <w:color w:val="auto"/>
              </w:rPr>
            </w:pPr>
          </w:p>
        </w:tc>
        <w:tc>
          <w:tcPr>
            <w:tcW w:w="760" w:type="dxa"/>
            <w:vAlign w:val="bottom"/>
            <w:shd w:val="clear" w:color="auto" w:fill="C8C9CB"/>
          </w:tcPr>
          <w:p>
            <w:pPr>
              <w:spacing w:after="0"/>
              <w:rPr>
                <w:sz w:val="10"/>
                <w:szCs w:val="10"/>
                <w:color w:val="auto"/>
              </w:rPr>
            </w:pPr>
          </w:p>
        </w:tc>
        <w:tc>
          <w:tcPr>
            <w:tcW w:w="840" w:type="dxa"/>
            <w:vAlign w:val="bottom"/>
            <w:shd w:val="clear" w:color="auto" w:fill="C8C9CB"/>
          </w:tcPr>
          <w:p>
            <w:pPr>
              <w:spacing w:after="0"/>
              <w:rPr>
                <w:sz w:val="10"/>
                <w:szCs w:val="10"/>
                <w:color w:val="auto"/>
              </w:rPr>
            </w:pPr>
          </w:p>
        </w:tc>
        <w:tc>
          <w:tcPr>
            <w:tcW w:w="620" w:type="dxa"/>
            <w:vAlign w:val="bottom"/>
            <w:shd w:val="clear" w:color="auto" w:fill="C8C9CB"/>
          </w:tcPr>
          <w:p>
            <w:pPr>
              <w:spacing w:after="0"/>
              <w:rPr>
                <w:sz w:val="10"/>
                <w:szCs w:val="10"/>
                <w:color w:val="auto"/>
              </w:rPr>
            </w:pPr>
          </w:p>
        </w:tc>
        <w:tc>
          <w:tcPr>
            <w:tcW w:w="700" w:type="dxa"/>
            <w:vAlign w:val="bottom"/>
            <w:shd w:val="clear" w:color="auto" w:fill="C8C9CB"/>
          </w:tcPr>
          <w:p>
            <w:pPr>
              <w:spacing w:after="0"/>
              <w:rPr>
                <w:sz w:val="10"/>
                <w:szCs w:val="10"/>
                <w:color w:val="auto"/>
              </w:rPr>
            </w:pPr>
          </w:p>
        </w:tc>
        <w:tc>
          <w:tcPr>
            <w:tcW w:w="740" w:type="dxa"/>
            <w:vAlign w:val="bottom"/>
            <w:shd w:val="clear" w:color="auto" w:fill="C8C9CB"/>
          </w:tcPr>
          <w:p>
            <w:pPr>
              <w:spacing w:after="0"/>
              <w:rPr>
                <w:sz w:val="10"/>
                <w:szCs w:val="10"/>
                <w:color w:val="auto"/>
              </w:rPr>
            </w:pPr>
          </w:p>
        </w:tc>
        <w:tc>
          <w:tcPr>
            <w:tcW w:w="660" w:type="dxa"/>
            <w:vAlign w:val="bottom"/>
            <w:shd w:val="clear" w:color="auto" w:fill="C8C9CB"/>
          </w:tcPr>
          <w:p>
            <w:pPr>
              <w:spacing w:after="0"/>
              <w:rPr>
                <w:sz w:val="10"/>
                <w:szCs w:val="10"/>
                <w:color w:val="auto"/>
              </w:rPr>
            </w:pPr>
          </w:p>
        </w:tc>
        <w:tc>
          <w:tcPr>
            <w:tcW w:w="680" w:type="dxa"/>
            <w:vAlign w:val="bottom"/>
            <w:shd w:val="clear" w:color="auto" w:fill="C8C9CB"/>
          </w:tcPr>
          <w:p>
            <w:pPr>
              <w:spacing w:after="0"/>
              <w:rPr>
                <w:sz w:val="10"/>
                <w:szCs w:val="10"/>
                <w:color w:val="auto"/>
              </w:rPr>
            </w:pPr>
          </w:p>
        </w:tc>
        <w:tc>
          <w:tcPr>
            <w:tcW w:w="640" w:type="dxa"/>
            <w:vAlign w:val="bottom"/>
            <w:shd w:val="clear" w:color="auto" w:fill="C8C9CB"/>
          </w:tcPr>
          <w:p>
            <w:pPr>
              <w:spacing w:after="0"/>
              <w:rPr>
                <w:sz w:val="10"/>
                <w:szCs w:val="10"/>
                <w:color w:val="auto"/>
              </w:rPr>
            </w:pPr>
          </w:p>
        </w:tc>
        <w:tc>
          <w:tcPr>
            <w:tcW w:w="58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9"/>
              </w:rPr>
              <w:t>Shares of</w:t>
            </w:r>
          </w:p>
        </w:tc>
        <w:tc>
          <w:tcPr>
            <w:tcW w:w="940" w:type="dxa"/>
            <w:vAlign w:val="bottom"/>
            <w:shd w:val="clear" w:color="auto" w:fill="C8C9CB"/>
          </w:tcPr>
          <w:p>
            <w:pPr>
              <w:spacing w:after="0"/>
              <w:rPr>
                <w:sz w:val="10"/>
                <w:szCs w:val="10"/>
                <w:color w:val="auto"/>
              </w:rPr>
            </w:pPr>
          </w:p>
        </w:tc>
        <w:tc>
          <w:tcPr>
            <w:tcW w:w="72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9"/>
              </w:rPr>
              <w:t>Grant Date</w:t>
            </w:r>
          </w:p>
        </w:tc>
        <w:tc>
          <w:tcPr>
            <w:tcW w:w="0" w:type="dxa"/>
            <w:vAlign w:val="bottom"/>
          </w:tcPr>
          <w:p>
            <w:pPr>
              <w:spacing w:after="0"/>
              <w:rPr>
                <w:sz w:val="1"/>
                <w:szCs w:val="1"/>
                <w:color w:val="auto"/>
              </w:rPr>
            </w:pPr>
          </w:p>
        </w:tc>
      </w:tr>
      <w:tr>
        <w:trPr>
          <w:trHeight w:val="122"/>
        </w:trPr>
        <w:tc>
          <w:tcPr>
            <w:tcW w:w="660" w:type="dxa"/>
            <w:vAlign w:val="bottom"/>
            <w:shd w:val="clear" w:color="auto" w:fill="C8C9CB"/>
          </w:tcPr>
          <w:p>
            <w:pPr>
              <w:spacing w:after="0"/>
              <w:rPr>
                <w:sz w:val="10"/>
                <w:szCs w:val="10"/>
                <w:color w:val="auto"/>
              </w:rPr>
            </w:pPr>
          </w:p>
        </w:tc>
        <w:tc>
          <w:tcPr>
            <w:tcW w:w="440" w:type="dxa"/>
            <w:vAlign w:val="bottom"/>
            <w:shd w:val="clear" w:color="auto" w:fill="C8C9CB"/>
          </w:tcPr>
          <w:p>
            <w:pPr>
              <w:spacing w:after="0"/>
              <w:rPr>
                <w:sz w:val="10"/>
                <w:szCs w:val="10"/>
                <w:color w:val="auto"/>
              </w:rPr>
            </w:pPr>
          </w:p>
        </w:tc>
        <w:tc>
          <w:tcPr>
            <w:tcW w:w="140" w:type="dxa"/>
            <w:vAlign w:val="bottom"/>
            <w:shd w:val="clear" w:color="auto" w:fill="C8C9CB"/>
          </w:tcPr>
          <w:p>
            <w:pPr>
              <w:spacing w:after="0"/>
              <w:rPr>
                <w:sz w:val="10"/>
                <w:szCs w:val="10"/>
                <w:color w:val="auto"/>
              </w:rPr>
            </w:pPr>
          </w:p>
        </w:tc>
        <w:tc>
          <w:tcPr>
            <w:tcW w:w="760" w:type="dxa"/>
            <w:vAlign w:val="bottom"/>
            <w:shd w:val="clear" w:color="auto" w:fill="C8C9CB"/>
          </w:tcPr>
          <w:p>
            <w:pPr>
              <w:spacing w:after="0"/>
              <w:rPr>
                <w:sz w:val="10"/>
                <w:szCs w:val="10"/>
                <w:color w:val="auto"/>
              </w:rPr>
            </w:pPr>
          </w:p>
        </w:tc>
        <w:tc>
          <w:tcPr>
            <w:tcW w:w="84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9"/>
              </w:rPr>
              <w:t>Compensation</w:t>
            </w:r>
          </w:p>
        </w:tc>
        <w:tc>
          <w:tcPr>
            <w:tcW w:w="620" w:type="dxa"/>
            <w:vAlign w:val="bottom"/>
            <w:shd w:val="clear" w:color="auto" w:fill="C8C9CB"/>
          </w:tcPr>
          <w:p>
            <w:pPr>
              <w:spacing w:after="0"/>
              <w:rPr>
                <w:sz w:val="10"/>
                <w:szCs w:val="10"/>
                <w:color w:val="auto"/>
              </w:rPr>
            </w:pPr>
          </w:p>
        </w:tc>
        <w:tc>
          <w:tcPr>
            <w:tcW w:w="700" w:type="dxa"/>
            <w:vAlign w:val="bottom"/>
            <w:shd w:val="clear" w:color="auto" w:fill="C8C9CB"/>
          </w:tcPr>
          <w:p>
            <w:pPr>
              <w:spacing w:after="0"/>
              <w:rPr>
                <w:sz w:val="10"/>
                <w:szCs w:val="10"/>
                <w:color w:val="auto"/>
              </w:rPr>
            </w:pPr>
          </w:p>
        </w:tc>
        <w:tc>
          <w:tcPr>
            <w:tcW w:w="740" w:type="dxa"/>
            <w:vAlign w:val="bottom"/>
            <w:shd w:val="clear" w:color="auto" w:fill="C8C9CB"/>
          </w:tcPr>
          <w:p>
            <w:pPr>
              <w:spacing w:after="0"/>
              <w:rPr>
                <w:sz w:val="10"/>
                <w:szCs w:val="10"/>
                <w:color w:val="auto"/>
              </w:rPr>
            </w:pPr>
          </w:p>
        </w:tc>
        <w:tc>
          <w:tcPr>
            <w:tcW w:w="660" w:type="dxa"/>
            <w:vAlign w:val="bottom"/>
            <w:shd w:val="clear" w:color="auto" w:fill="C8C9CB"/>
          </w:tcPr>
          <w:p>
            <w:pPr>
              <w:spacing w:after="0"/>
              <w:rPr>
                <w:sz w:val="10"/>
                <w:szCs w:val="10"/>
                <w:color w:val="auto"/>
              </w:rPr>
            </w:pPr>
          </w:p>
        </w:tc>
        <w:tc>
          <w:tcPr>
            <w:tcW w:w="680" w:type="dxa"/>
            <w:vAlign w:val="bottom"/>
            <w:shd w:val="clear" w:color="auto" w:fill="C8C9CB"/>
          </w:tcPr>
          <w:p>
            <w:pPr>
              <w:spacing w:after="0"/>
              <w:rPr>
                <w:sz w:val="10"/>
                <w:szCs w:val="10"/>
                <w:color w:val="auto"/>
              </w:rPr>
            </w:pPr>
          </w:p>
        </w:tc>
        <w:tc>
          <w:tcPr>
            <w:tcW w:w="640" w:type="dxa"/>
            <w:vAlign w:val="bottom"/>
            <w:shd w:val="clear" w:color="auto" w:fill="C8C9CB"/>
          </w:tcPr>
          <w:p>
            <w:pPr>
              <w:spacing w:after="0"/>
              <w:rPr>
                <w:sz w:val="10"/>
                <w:szCs w:val="10"/>
                <w:color w:val="auto"/>
              </w:rPr>
            </w:pPr>
          </w:p>
        </w:tc>
        <w:tc>
          <w:tcPr>
            <w:tcW w:w="58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6"/>
              </w:rPr>
              <w:t>Stock,</w:t>
            </w:r>
          </w:p>
        </w:tc>
        <w:tc>
          <w:tcPr>
            <w:tcW w:w="94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6"/>
              </w:rPr>
              <w:t>Exercise or Base</w:t>
            </w:r>
          </w:p>
        </w:tc>
        <w:tc>
          <w:tcPr>
            <w:tcW w:w="72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4"/>
              </w:rPr>
              <w:t>Fair Value</w:t>
            </w:r>
          </w:p>
        </w:tc>
        <w:tc>
          <w:tcPr>
            <w:tcW w:w="0" w:type="dxa"/>
            <w:vAlign w:val="bottom"/>
          </w:tcPr>
          <w:p>
            <w:pPr>
              <w:spacing w:after="0"/>
              <w:rPr>
                <w:sz w:val="1"/>
                <w:szCs w:val="1"/>
                <w:color w:val="auto"/>
              </w:rPr>
            </w:pPr>
          </w:p>
        </w:tc>
      </w:tr>
      <w:tr>
        <w:trPr>
          <w:trHeight w:val="122"/>
        </w:trPr>
        <w:tc>
          <w:tcPr>
            <w:tcW w:w="660" w:type="dxa"/>
            <w:vAlign w:val="bottom"/>
            <w:shd w:val="clear" w:color="auto" w:fill="C8C9CB"/>
          </w:tcPr>
          <w:p>
            <w:pPr>
              <w:spacing w:after="0"/>
              <w:rPr>
                <w:sz w:val="10"/>
                <w:szCs w:val="10"/>
                <w:color w:val="auto"/>
              </w:rPr>
            </w:pPr>
          </w:p>
        </w:tc>
        <w:tc>
          <w:tcPr>
            <w:tcW w:w="440" w:type="dxa"/>
            <w:vAlign w:val="bottom"/>
            <w:shd w:val="clear" w:color="auto" w:fill="C8C9CB"/>
          </w:tcPr>
          <w:p>
            <w:pPr>
              <w:spacing w:after="0"/>
              <w:rPr>
                <w:sz w:val="10"/>
                <w:szCs w:val="10"/>
                <w:color w:val="auto"/>
              </w:rPr>
            </w:pPr>
          </w:p>
        </w:tc>
        <w:tc>
          <w:tcPr>
            <w:tcW w:w="140" w:type="dxa"/>
            <w:vAlign w:val="bottom"/>
            <w:shd w:val="clear" w:color="auto" w:fill="C8C9CB"/>
          </w:tcPr>
          <w:p>
            <w:pPr>
              <w:spacing w:after="0"/>
              <w:rPr>
                <w:sz w:val="10"/>
                <w:szCs w:val="10"/>
                <w:color w:val="auto"/>
              </w:rPr>
            </w:pPr>
          </w:p>
        </w:tc>
        <w:tc>
          <w:tcPr>
            <w:tcW w:w="760" w:type="dxa"/>
            <w:vAlign w:val="bottom"/>
            <w:shd w:val="clear" w:color="auto" w:fill="C8C9CB"/>
          </w:tcPr>
          <w:p>
            <w:pPr>
              <w:spacing w:after="0"/>
              <w:rPr>
                <w:sz w:val="10"/>
                <w:szCs w:val="10"/>
                <w:color w:val="auto"/>
              </w:rPr>
            </w:pPr>
          </w:p>
        </w:tc>
        <w:tc>
          <w:tcPr>
            <w:tcW w:w="84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8"/>
              </w:rPr>
              <w:t>Committee</w:t>
            </w:r>
          </w:p>
        </w:tc>
        <w:tc>
          <w:tcPr>
            <w:tcW w:w="620" w:type="dxa"/>
            <w:vAlign w:val="bottom"/>
            <w:shd w:val="clear" w:color="auto" w:fill="C8C9CB"/>
          </w:tcPr>
          <w:p>
            <w:pPr>
              <w:ind w:left="40"/>
              <w:spacing w:after="0" w:line="122" w:lineRule="exact"/>
              <w:rPr>
                <w:sz w:val="20"/>
                <w:szCs w:val="20"/>
                <w:color w:val="auto"/>
              </w:rPr>
            </w:pPr>
            <w:r>
              <w:rPr>
                <w:rFonts w:ascii="Arial" w:cs="Arial" w:eastAsia="Arial" w:hAnsi="Arial"/>
                <w:sz w:val="11"/>
                <w:szCs w:val="11"/>
                <w:b w:val="1"/>
                <w:bCs w:val="1"/>
                <w:color w:val="00ABE8"/>
              </w:rPr>
              <w:t>Threshold</w:t>
            </w:r>
          </w:p>
        </w:tc>
        <w:tc>
          <w:tcPr>
            <w:tcW w:w="700" w:type="dxa"/>
            <w:vAlign w:val="bottom"/>
            <w:shd w:val="clear" w:color="auto" w:fill="C8C9CB"/>
          </w:tcPr>
          <w:p>
            <w:pPr>
              <w:ind w:left="200"/>
              <w:spacing w:after="0" w:line="122" w:lineRule="exact"/>
              <w:rPr>
                <w:sz w:val="20"/>
                <w:szCs w:val="20"/>
                <w:color w:val="auto"/>
              </w:rPr>
            </w:pPr>
            <w:r>
              <w:rPr>
                <w:rFonts w:ascii="Arial" w:cs="Arial" w:eastAsia="Arial" w:hAnsi="Arial"/>
                <w:sz w:val="11"/>
                <w:szCs w:val="11"/>
                <w:b w:val="1"/>
                <w:bCs w:val="1"/>
                <w:color w:val="00ABE8"/>
              </w:rPr>
              <w:t>Target</w:t>
            </w:r>
          </w:p>
        </w:tc>
        <w:tc>
          <w:tcPr>
            <w:tcW w:w="740" w:type="dxa"/>
            <w:vAlign w:val="bottom"/>
            <w:shd w:val="clear" w:color="auto" w:fill="C8C9CB"/>
          </w:tcPr>
          <w:p>
            <w:pPr>
              <w:ind w:left="120"/>
              <w:spacing w:after="0" w:line="122" w:lineRule="exact"/>
              <w:rPr>
                <w:sz w:val="20"/>
                <w:szCs w:val="20"/>
                <w:color w:val="auto"/>
              </w:rPr>
            </w:pPr>
            <w:r>
              <w:rPr>
                <w:rFonts w:ascii="Arial" w:cs="Arial" w:eastAsia="Arial" w:hAnsi="Arial"/>
                <w:sz w:val="11"/>
                <w:szCs w:val="11"/>
                <w:b w:val="1"/>
                <w:bCs w:val="1"/>
                <w:color w:val="00ABE8"/>
              </w:rPr>
              <w:t>Maximum</w:t>
            </w:r>
          </w:p>
        </w:tc>
        <w:tc>
          <w:tcPr>
            <w:tcW w:w="660" w:type="dxa"/>
            <w:vAlign w:val="bottom"/>
            <w:shd w:val="clear" w:color="auto" w:fill="C8C9CB"/>
          </w:tcPr>
          <w:p>
            <w:pPr>
              <w:ind w:left="60"/>
              <w:spacing w:after="0" w:line="122" w:lineRule="exact"/>
              <w:rPr>
                <w:sz w:val="20"/>
                <w:szCs w:val="20"/>
                <w:color w:val="auto"/>
              </w:rPr>
            </w:pPr>
            <w:r>
              <w:rPr>
                <w:rFonts w:ascii="Arial" w:cs="Arial" w:eastAsia="Arial" w:hAnsi="Arial"/>
                <w:sz w:val="11"/>
                <w:szCs w:val="11"/>
                <w:b w:val="1"/>
                <w:bCs w:val="1"/>
                <w:color w:val="00ABE8"/>
              </w:rPr>
              <w:t>Threshold</w:t>
            </w:r>
          </w:p>
        </w:tc>
        <w:tc>
          <w:tcPr>
            <w:tcW w:w="68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5"/>
              </w:rPr>
              <w:t>Target</w:t>
            </w:r>
          </w:p>
        </w:tc>
        <w:tc>
          <w:tcPr>
            <w:tcW w:w="640" w:type="dxa"/>
            <w:vAlign w:val="bottom"/>
            <w:shd w:val="clear" w:color="auto" w:fill="C8C9CB"/>
          </w:tcPr>
          <w:p>
            <w:pPr>
              <w:ind w:left="100"/>
              <w:spacing w:after="0" w:line="122" w:lineRule="exact"/>
              <w:rPr>
                <w:sz w:val="20"/>
                <w:szCs w:val="20"/>
                <w:color w:val="auto"/>
              </w:rPr>
            </w:pPr>
            <w:r>
              <w:rPr>
                <w:rFonts w:ascii="Arial" w:cs="Arial" w:eastAsia="Arial" w:hAnsi="Arial"/>
                <w:sz w:val="11"/>
                <w:szCs w:val="11"/>
                <w:b w:val="1"/>
                <w:bCs w:val="1"/>
                <w:color w:val="00ABE8"/>
              </w:rPr>
              <w:t>Maximum</w:t>
            </w:r>
          </w:p>
        </w:tc>
        <w:tc>
          <w:tcPr>
            <w:tcW w:w="58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8"/>
              </w:rPr>
              <w:t>Options,</w:t>
            </w:r>
          </w:p>
        </w:tc>
        <w:tc>
          <w:tcPr>
            <w:tcW w:w="94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8"/>
              </w:rPr>
              <w:t>Price of Option</w:t>
            </w:r>
          </w:p>
        </w:tc>
        <w:tc>
          <w:tcPr>
            <w:tcW w:w="720" w:type="dxa"/>
            <w:vAlign w:val="bottom"/>
            <w:shd w:val="clear" w:color="auto" w:fill="C8C9CB"/>
          </w:tcPr>
          <w:p>
            <w:pPr>
              <w:jc w:val="center"/>
              <w:spacing w:after="0" w:line="122" w:lineRule="exact"/>
              <w:rPr>
                <w:sz w:val="20"/>
                <w:szCs w:val="20"/>
                <w:color w:val="auto"/>
              </w:rPr>
            </w:pPr>
            <w:r>
              <w:rPr>
                <w:rFonts w:ascii="Arial" w:cs="Arial" w:eastAsia="Arial" w:hAnsi="Arial"/>
                <w:sz w:val="11"/>
                <w:szCs w:val="11"/>
                <w:b w:val="1"/>
                <w:bCs w:val="1"/>
                <w:color w:val="00ABE8"/>
                <w:w w:val="97"/>
              </w:rPr>
              <w:t>of Equity</w:t>
            </w:r>
          </w:p>
        </w:tc>
        <w:tc>
          <w:tcPr>
            <w:tcW w:w="0" w:type="dxa"/>
            <w:vAlign w:val="bottom"/>
          </w:tcPr>
          <w:p>
            <w:pPr>
              <w:spacing w:after="0"/>
              <w:rPr>
                <w:sz w:val="1"/>
                <w:szCs w:val="1"/>
                <w:color w:val="auto"/>
              </w:rPr>
            </w:pPr>
          </w:p>
        </w:tc>
      </w:tr>
      <w:tr>
        <w:trPr>
          <w:trHeight w:val="166"/>
        </w:trPr>
        <w:tc>
          <w:tcPr>
            <w:tcW w:w="660" w:type="dxa"/>
            <w:vAlign w:val="bottom"/>
            <w:shd w:val="clear" w:color="auto" w:fill="C8C9CB"/>
          </w:tcPr>
          <w:p>
            <w:pPr>
              <w:ind w:left="180"/>
              <w:spacing w:after="0"/>
              <w:rPr>
                <w:sz w:val="20"/>
                <w:szCs w:val="20"/>
                <w:color w:val="auto"/>
              </w:rPr>
            </w:pPr>
            <w:r>
              <w:rPr>
                <w:rFonts w:ascii="Arial" w:cs="Arial" w:eastAsia="Arial" w:hAnsi="Arial"/>
                <w:sz w:val="11"/>
                <w:szCs w:val="11"/>
                <w:b w:val="1"/>
                <w:bCs w:val="1"/>
                <w:color w:val="00ABE8"/>
              </w:rPr>
              <w:t>Name</w:t>
            </w:r>
          </w:p>
        </w:tc>
        <w:tc>
          <w:tcPr>
            <w:tcW w:w="440" w:type="dxa"/>
            <w:vAlign w:val="bottom"/>
            <w:shd w:val="clear" w:color="auto" w:fill="C8C9CB"/>
          </w:tcPr>
          <w:p>
            <w:pPr>
              <w:jc w:val="center"/>
              <w:spacing w:after="0"/>
              <w:rPr>
                <w:sz w:val="20"/>
                <w:szCs w:val="20"/>
                <w:color w:val="auto"/>
              </w:rPr>
            </w:pPr>
            <w:r>
              <w:rPr>
                <w:rFonts w:ascii="Arial" w:cs="Arial" w:eastAsia="Arial" w:hAnsi="Arial"/>
                <w:sz w:val="11"/>
                <w:szCs w:val="11"/>
                <w:b w:val="1"/>
                <w:bCs w:val="1"/>
                <w:color w:val="00ABE8"/>
                <w:w w:val="95"/>
              </w:rPr>
              <w:t>Award</w:t>
            </w:r>
          </w:p>
        </w:tc>
        <w:tc>
          <w:tcPr>
            <w:tcW w:w="140" w:type="dxa"/>
            <w:vAlign w:val="bottom"/>
            <w:shd w:val="clear" w:color="auto" w:fill="C8C9CB"/>
          </w:tcPr>
          <w:p>
            <w:pPr>
              <w:spacing w:after="0"/>
              <w:rPr>
                <w:sz w:val="14"/>
                <w:szCs w:val="14"/>
                <w:color w:val="auto"/>
              </w:rPr>
            </w:pPr>
          </w:p>
        </w:tc>
        <w:tc>
          <w:tcPr>
            <w:tcW w:w="760" w:type="dxa"/>
            <w:vAlign w:val="bottom"/>
            <w:shd w:val="clear" w:color="auto" w:fill="C8C9CB"/>
          </w:tcPr>
          <w:p>
            <w:pPr>
              <w:jc w:val="right"/>
              <w:ind w:right="19"/>
              <w:spacing w:after="0"/>
              <w:rPr>
                <w:sz w:val="20"/>
                <w:szCs w:val="20"/>
                <w:color w:val="auto"/>
              </w:rPr>
            </w:pPr>
            <w:r>
              <w:rPr>
                <w:rFonts w:ascii="Arial" w:cs="Arial" w:eastAsia="Arial" w:hAnsi="Arial"/>
                <w:sz w:val="11"/>
                <w:szCs w:val="11"/>
                <w:b w:val="1"/>
                <w:bCs w:val="1"/>
                <w:color w:val="00ABE8"/>
              </w:rPr>
              <w:t>Grant Date</w:t>
            </w:r>
            <w:r>
              <w:rPr>
                <w:rFonts w:ascii="Arial" w:cs="Arial" w:eastAsia="Arial" w:hAnsi="Arial"/>
                <w:sz w:val="8"/>
                <w:szCs w:val="8"/>
                <w:b w:val="1"/>
                <w:bCs w:val="1"/>
                <w:color w:val="00ABE8"/>
              </w:rPr>
              <w:t>2</w:t>
            </w:r>
          </w:p>
        </w:tc>
        <w:tc>
          <w:tcPr>
            <w:tcW w:w="840" w:type="dxa"/>
            <w:vAlign w:val="bottom"/>
            <w:shd w:val="clear" w:color="auto" w:fill="C8C9CB"/>
          </w:tcPr>
          <w:p>
            <w:pPr>
              <w:jc w:val="center"/>
              <w:spacing w:after="0"/>
              <w:rPr>
                <w:sz w:val="20"/>
                <w:szCs w:val="20"/>
                <w:color w:val="auto"/>
              </w:rPr>
            </w:pPr>
            <w:r>
              <w:rPr>
                <w:rFonts w:ascii="Arial" w:cs="Arial" w:eastAsia="Arial" w:hAnsi="Arial"/>
                <w:sz w:val="11"/>
                <w:szCs w:val="11"/>
                <w:b w:val="1"/>
                <w:bCs w:val="1"/>
                <w:color w:val="00ABE8"/>
                <w:w w:val="98"/>
              </w:rPr>
              <w:t>Action Date</w:t>
            </w:r>
          </w:p>
        </w:tc>
        <w:tc>
          <w:tcPr>
            <w:tcW w:w="620" w:type="dxa"/>
            <w:vAlign w:val="bottom"/>
            <w:shd w:val="clear" w:color="auto" w:fill="C8C9CB"/>
          </w:tcPr>
          <w:p>
            <w:pPr>
              <w:jc w:val="center"/>
              <w:spacing w:after="0"/>
              <w:rPr>
                <w:sz w:val="20"/>
                <w:szCs w:val="20"/>
                <w:color w:val="auto"/>
              </w:rPr>
            </w:pPr>
            <w:r>
              <w:rPr>
                <w:rFonts w:ascii="Arial" w:cs="Arial" w:eastAsia="Arial" w:hAnsi="Arial"/>
                <w:sz w:val="11"/>
                <w:szCs w:val="11"/>
                <w:b w:val="1"/>
                <w:bCs w:val="1"/>
                <w:color w:val="00ABE8"/>
              </w:rPr>
              <w:t>($)</w:t>
            </w:r>
          </w:p>
        </w:tc>
        <w:tc>
          <w:tcPr>
            <w:tcW w:w="700" w:type="dxa"/>
            <w:vAlign w:val="bottom"/>
            <w:shd w:val="clear" w:color="auto" w:fill="C8C9CB"/>
          </w:tcPr>
          <w:p>
            <w:pPr>
              <w:jc w:val="center"/>
              <w:spacing w:after="0"/>
              <w:rPr>
                <w:sz w:val="20"/>
                <w:szCs w:val="20"/>
                <w:color w:val="auto"/>
              </w:rPr>
            </w:pPr>
            <w:r>
              <w:rPr>
                <w:rFonts w:ascii="Arial" w:cs="Arial" w:eastAsia="Arial" w:hAnsi="Arial"/>
                <w:sz w:val="11"/>
                <w:szCs w:val="11"/>
                <w:b w:val="1"/>
                <w:bCs w:val="1"/>
                <w:color w:val="00ABE8"/>
              </w:rPr>
              <w:t>($)</w:t>
            </w:r>
          </w:p>
        </w:tc>
        <w:tc>
          <w:tcPr>
            <w:tcW w:w="740" w:type="dxa"/>
            <w:vAlign w:val="bottom"/>
            <w:shd w:val="clear" w:color="auto" w:fill="C8C9CB"/>
          </w:tcPr>
          <w:p>
            <w:pPr>
              <w:jc w:val="center"/>
              <w:spacing w:after="0"/>
              <w:rPr>
                <w:sz w:val="20"/>
                <w:szCs w:val="20"/>
                <w:color w:val="auto"/>
              </w:rPr>
            </w:pPr>
            <w:r>
              <w:rPr>
                <w:rFonts w:ascii="Arial" w:cs="Arial" w:eastAsia="Arial" w:hAnsi="Arial"/>
                <w:sz w:val="11"/>
                <w:szCs w:val="11"/>
                <w:b w:val="1"/>
                <w:bCs w:val="1"/>
                <w:color w:val="00ABE8"/>
              </w:rPr>
              <w:t>($)</w:t>
            </w:r>
          </w:p>
        </w:tc>
        <w:tc>
          <w:tcPr>
            <w:tcW w:w="660" w:type="dxa"/>
            <w:vAlign w:val="bottom"/>
            <w:shd w:val="clear" w:color="auto" w:fill="C8C9CB"/>
          </w:tcPr>
          <w:p>
            <w:pPr>
              <w:ind w:left="60"/>
              <w:spacing w:after="0"/>
              <w:rPr>
                <w:sz w:val="20"/>
                <w:szCs w:val="20"/>
                <w:color w:val="auto"/>
              </w:rPr>
            </w:pPr>
            <w:r>
              <w:rPr>
                <w:rFonts w:ascii="Arial" w:cs="Arial" w:eastAsia="Arial" w:hAnsi="Arial"/>
                <w:sz w:val="11"/>
                <w:szCs w:val="11"/>
                <w:b w:val="1"/>
                <w:bCs w:val="1"/>
                <w:color w:val="00ABE8"/>
              </w:rPr>
              <w:t>(# shares)</w:t>
            </w:r>
          </w:p>
        </w:tc>
        <w:tc>
          <w:tcPr>
            <w:tcW w:w="680" w:type="dxa"/>
            <w:vAlign w:val="bottom"/>
            <w:shd w:val="clear" w:color="auto" w:fill="C8C9CB"/>
          </w:tcPr>
          <w:p>
            <w:pPr>
              <w:jc w:val="center"/>
              <w:spacing w:after="0"/>
              <w:rPr>
                <w:sz w:val="20"/>
                <w:szCs w:val="20"/>
                <w:color w:val="auto"/>
              </w:rPr>
            </w:pPr>
            <w:r>
              <w:rPr>
                <w:rFonts w:ascii="Arial" w:cs="Arial" w:eastAsia="Arial" w:hAnsi="Arial"/>
                <w:sz w:val="11"/>
                <w:szCs w:val="11"/>
                <w:b w:val="1"/>
                <w:bCs w:val="1"/>
                <w:color w:val="00ABE8"/>
                <w:w w:val="99"/>
              </w:rPr>
              <w:t>(# shares)</w:t>
            </w:r>
          </w:p>
        </w:tc>
        <w:tc>
          <w:tcPr>
            <w:tcW w:w="640" w:type="dxa"/>
            <w:vAlign w:val="bottom"/>
            <w:shd w:val="clear" w:color="auto" w:fill="C8C9CB"/>
          </w:tcPr>
          <w:p>
            <w:pPr>
              <w:ind w:left="80"/>
              <w:spacing w:after="0"/>
              <w:rPr>
                <w:sz w:val="20"/>
                <w:szCs w:val="20"/>
                <w:color w:val="auto"/>
              </w:rPr>
            </w:pPr>
            <w:r>
              <w:rPr>
                <w:rFonts w:ascii="Arial" w:cs="Arial" w:eastAsia="Arial" w:hAnsi="Arial"/>
                <w:sz w:val="11"/>
                <w:szCs w:val="11"/>
                <w:b w:val="1"/>
                <w:bCs w:val="1"/>
                <w:color w:val="00ABE8"/>
              </w:rPr>
              <w:t>(# shares)</w:t>
            </w:r>
          </w:p>
        </w:tc>
        <w:tc>
          <w:tcPr>
            <w:tcW w:w="580" w:type="dxa"/>
            <w:vAlign w:val="bottom"/>
            <w:shd w:val="clear" w:color="auto" w:fill="C8C9CB"/>
          </w:tcPr>
          <w:p>
            <w:pPr>
              <w:jc w:val="center"/>
              <w:spacing w:after="0"/>
              <w:rPr>
                <w:sz w:val="20"/>
                <w:szCs w:val="20"/>
                <w:color w:val="auto"/>
              </w:rPr>
            </w:pPr>
            <w:r>
              <w:rPr>
                <w:rFonts w:ascii="Arial" w:cs="Arial" w:eastAsia="Arial" w:hAnsi="Arial"/>
                <w:sz w:val="11"/>
                <w:szCs w:val="11"/>
                <w:b w:val="1"/>
                <w:bCs w:val="1"/>
                <w:color w:val="00ABE8"/>
              </w:rPr>
              <w:t>or Units</w:t>
            </w:r>
          </w:p>
        </w:tc>
        <w:tc>
          <w:tcPr>
            <w:tcW w:w="940" w:type="dxa"/>
            <w:vAlign w:val="bottom"/>
            <w:shd w:val="clear" w:color="auto" w:fill="C8C9CB"/>
          </w:tcPr>
          <w:p>
            <w:pPr>
              <w:jc w:val="center"/>
              <w:spacing w:after="0"/>
              <w:rPr>
                <w:sz w:val="20"/>
                <w:szCs w:val="20"/>
                <w:color w:val="auto"/>
              </w:rPr>
            </w:pPr>
            <w:r>
              <w:rPr>
                <w:rFonts w:ascii="Arial" w:cs="Arial" w:eastAsia="Arial" w:hAnsi="Arial"/>
                <w:sz w:val="11"/>
                <w:szCs w:val="11"/>
                <w:b w:val="1"/>
                <w:bCs w:val="1"/>
                <w:color w:val="00ABE8"/>
                <w:w w:val="95"/>
              </w:rPr>
              <w:t>Awards</w:t>
            </w:r>
          </w:p>
        </w:tc>
        <w:tc>
          <w:tcPr>
            <w:tcW w:w="720" w:type="dxa"/>
            <w:vAlign w:val="bottom"/>
            <w:shd w:val="clear" w:color="auto" w:fill="C8C9CB"/>
          </w:tcPr>
          <w:p>
            <w:pPr>
              <w:jc w:val="center"/>
              <w:spacing w:after="0"/>
              <w:rPr>
                <w:sz w:val="20"/>
                <w:szCs w:val="20"/>
                <w:color w:val="auto"/>
              </w:rPr>
            </w:pPr>
            <w:r>
              <w:rPr>
                <w:rFonts w:ascii="Arial" w:cs="Arial" w:eastAsia="Arial" w:hAnsi="Arial"/>
                <w:sz w:val="11"/>
                <w:szCs w:val="11"/>
                <w:b w:val="1"/>
                <w:bCs w:val="1"/>
                <w:color w:val="00ABE8"/>
                <w:w w:val="95"/>
              </w:rPr>
              <w:t>Awards</w:t>
            </w:r>
          </w:p>
        </w:tc>
        <w:tc>
          <w:tcPr>
            <w:tcW w:w="0" w:type="dxa"/>
            <w:vAlign w:val="bottom"/>
          </w:tcPr>
          <w:p>
            <w:pPr>
              <w:spacing w:after="0"/>
              <w:rPr>
                <w:sz w:val="1"/>
                <w:szCs w:val="1"/>
                <w:color w:val="auto"/>
              </w:rPr>
            </w:pPr>
          </w:p>
        </w:tc>
      </w:tr>
      <w:tr>
        <w:trPr>
          <w:trHeight w:val="150"/>
        </w:trPr>
        <w:tc>
          <w:tcPr>
            <w:tcW w:w="660" w:type="dxa"/>
            <w:vAlign w:val="bottom"/>
          </w:tcPr>
          <w:p>
            <w:pPr>
              <w:ind w:left="20"/>
              <w:spacing w:after="0"/>
              <w:rPr>
                <w:sz w:val="20"/>
                <w:szCs w:val="20"/>
                <w:color w:val="auto"/>
              </w:rPr>
            </w:pPr>
            <w:r>
              <w:rPr>
                <w:rFonts w:ascii="Arial" w:cs="Arial" w:eastAsia="Arial" w:hAnsi="Arial"/>
                <w:sz w:val="12"/>
                <w:szCs w:val="12"/>
                <w:color w:val="auto"/>
              </w:rPr>
              <w:t>Mr.</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279"/>
              <w:spacing w:after="0"/>
              <w:rPr>
                <w:sz w:val="20"/>
                <w:szCs w:val="20"/>
                <w:color w:val="auto"/>
              </w:rPr>
            </w:pPr>
            <w:r>
              <w:rPr>
                <w:rFonts w:ascii="Arial" w:cs="Arial" w:eastAsia="Arial" w:hAnsi="Arial"/>
                <w:sz w:val="12"/>
                <w:szCs w:val="12"/>
                <w:color w:val="auto"/>
              </w:rPr>
              <w:t>__</w:t>
            </w:r>
          </w:p>
        </w:tc>
        <w:tc>
          <w:tcPr>
            <w:tcW w:w="840" w:type="dxa"/>
            <w:vAlign w:val="bottom"/>
            <w:vMerge w:val="restart"/>
          </w:tcPr>
          <w:p>
            <w:pPr>
              <w:jc w:val="right"/>
              <w:ind w:right="319"/>
              <w:spacing w:after="0"/>
              <w:rPr>
                <w:sz w:val="20"/>
                <w:szCs w:val="20"/>
                <w:color w:val="auto"/>
              </w:rPr>
            </w:pPr>
            <w:r>
              <w:rPr>
                <w:rFonts w:ascii="Arial" w:cs="Arial" w:eastAsia="Arial" w:hAnsi="Arial"/>
                <w:sz w:val="12"/>
                <w:szCs w:val="12"/>
                <w:color w:val="auto"/>
              </w:rPr>
              <w:t>__</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99"/>
              </w:rPr>
              <w:t>$525,000</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95"/>
              </w:rPr>
              <w:t>$2,100,000</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5"/>
              </w:rPr>
              <w:t>$4,200,000</w:t>
            </w: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0" w:type="dxa"/>
            <w:vAlign w:val="bottom"/>
          </w:tcPr>
          <w:p>
            <w:pPr>
              <w:ind w:left="20"/>
              <w:spacing w:after="0"/>
              <w:rPr>
                <w:sz w:val="20"/>
                <w:szCs w:val="20"/>
                <w:color w:val="auto"/>
              </w:rPr>
            </w:pPr>
            <w:r>
              <w:rPr>
                <w:rFonts w:ascii="Arial" w:cs="Arial" w:eastAsia="Arial" w:hAnsi="Arial"/>
                <w:sz w:val="12"/>
                <w:szCs w:val="12"/>
                <w:color w:val="auto"/>
              </w:rPr>
              <w:t>Ricks</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2018-</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3"/>
                <w:szCs w:val="13"/>
                <w:color w:val="auto"/>
                <w:w w:val="96"/>
              </w:rPr>
              <w:t>2020</w:t>
            </w:r>
          </w:p>
        </w:tc>
        <w:tc>
          <w:tcPr>
            <w:tcW w:w="14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4"/>
              </w:rPr>
              <w:t>2/9/2018</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8"/>
              </w:rPr>
              <w:t>12/11/2017</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25,129</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50,258</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75,387</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5"/>
              </w:rPr>
              <w:t>$5,184,000</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PA</w:t>
            </w:r>
          </w:p>
        </w:tc>
        <w:tc>
          <w:tcPr>
            <w:tcW w:w="140" w:type="dxa"/>
            <w:vAlign w:val="bottom"/>
          </w:tcPr>
          <w:p>
            <w:pPr>
              <w:jc w:val="right"/>
              <w:ind w:right="15"/>
              <w:spacing w:after="0"/>
              <w:rPr>
                <w:sz w:val="20"/>
                <w:szCs w:val="20"/>
                <w:color w:val="auto"/>
              </w:rPr>
            </w:pPr>
            <w:r>
              <w:rPr>
                <w:rFonts w:ascii="Arial" w:cs="Arial" w:eastAsia="Arial" w:hAnsi="Arial"/>
                <w:sz w:val="9"/>
                <w:szCs w:val="9"/>
                <w:color w:val="auto"/>
              </w:rPr>
              <w:t>3</w:t>
            </w: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2018-</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3"/>
                <w:szCs w:val="13"/>
                <w:color w:val="auto"/>
                <w:w w:val="96"/>
              </w:rPr>
              <w:t>2020</w:t>
            </w:r>
          </w:p>
        </w:tc>
        <w:tc>
          <w:tcPr>
            <w:tcW w:w="14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4"/>
              </w:rPr>
              <w:t>2/9/2018</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8"/>
              </w:rPr>
              <w:t>12/11/2017</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52,414</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3"/>
              </w:rPr>
              <w:t>131,036</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3"/>
              </w:rPr>
              <w:t>235,865</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5"/>
              </w:rPr>
              <w:t>$5,400,000</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92"/>
              </w:rPr>
              <w:t>SVA</w:t>
            </w:r>
          </w:p>
        </w:tc>
        <w:tc>
          <w:tcPr>
            <w:tcW w:w="140" w:type="dxa"/>
            <w:vAlign w:val="bottom"/>
          </w:tcPr>
          <w:p>
            <w:pPr>
              <w:jc w:val="right"/>
              <w:ind w:right="15"/>
              <w:spacing w:after="0"/>
              <w:rPr>
                <w:sz w:val="20"/>
                <w:szCs w:val="20"/>
                <w:color w:val="auto"/>
              </w:rPr>
            </w:pPr>
            <w:r>
              <w:rPr>
                <w:rFonts w:ascii="Arial" w:cs="Arial" w:eastAsia="Arial" w:hAnsi="Arial"/>
                <w:sz w:val="9"/>
                <w:szCs w:val="9"/>
                <w:color w:val="auto"/>
              </w:rPr>
              <w:t>4</w:t>
            </w: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60" w:type="dxa"/>
            <w:vAlign w:val="bottom"/>
            <w:tcBorders>
              <w:bottom w:val="single" w:sz="8" w:color="C8C9CB"/>
            </w:tcBorders>
          </w:tcPr>
          <w:p>
            <w:pPr>
              <w:spacing w:after="0"/>
              <w:rPr>
                <w:sz w:val="24"/>
                <w:szCs w:val="24"/>
                <w:color w:val="auto"/>
              </w:rPr>
            </w:pPr>
          </w:p>
        </w:tc>
        <w:tc>
          <w:tcPr>
            <w:tcW w:w="440" w:type="dxa"/>
            <w:vAlign w:val="bottom"/>
            <w:tcBorders>
              <w:bottom w:val="single" w:sz="8" w:color="C8C9CB"/>
            </w:tcBorders>
          </w:tcPr>
          <w:p>
            <w:pPr>
              <w:spacing w:after="0"/>
              <w:rPr>
                <w:sz w:val="24"/>
                <w:szCs w:val="24"/>
                <w:color w:val="auto"/>
              </w:rPr>
            </w:pPr>
          </w:p>
        </w:tc>
        <w:tc>
          <w:tcPr>
            <w:tcW w:w="140" w:type="dxa"/>
            <w:vAlign w:val="bottom"/>
            <w:tcBorders>
              <w:bottom w:val="single" w:sz="8" w:color="C8C9CB"/>
            </w:tcBorders>
          </w:tcPr>
          <w:p>
            <w:pPr>
              <w:spacing w:after="0"/>
              <w:rPr>
                <w:sz w:val="24"/>
                <w:szCs w:val="24"/>
                <w:color w:val="auto"/>
              </w:rPr>
            </w:pPr>
          </w:p>
        </w:tc>
        <w:tc>
          <w:tcPr>
            <w:tcW w:w="760" w:type="dxa"/>
            <w:vAlign w:val="bottom"/>
            <w:tcBorders>
              <w:bottom w:val="single" w:sz="8" w:color="C8C9CB"/>
            </w:tcBorders>
          </w:tcPr>
          <w:p>
            <w:pPr>
              <w:spacing w:after="0"/>
              <w:rPr>
                <w:sz w:val="24"/>
                <w:szCs w:val="24"/>
                <w:color w:val="auto"/>
              </w:rPr>
            </w:pPr>
          </w:p>
        </w:tc>
        <w:tc>
          <w:tcPr>
            <w:tcW w:w="840" w:type="dxa"/>
            <w:vAlign w:val="bottom"/>
            <w:tcBorders>
              <w:bottom w:val="single" w:sz="8" w:color="C8C9CB"/>
            </w:tcBorders>
          </w:tcPr>
          <w:p>
            <w:pPr>
              <w:spacing w:after="0"/>
              <w:rPr>
                <w:sz w:val="24"/>
                <w:szCs w:val="24"/>
                <w:color w:val="auto"/>
              </w:rPr>
            </w:pPr>
          </w:p>
        </w:tc>
        <w:tc>
          <w:tcPr>
            <w:tcW w:w="620" w:type="dxa"/>
            <w:vAlign w:val="bottom"/>
            <w:tcBorders>
              <w:bottom w:val="single" w:sz="8" w:color="C8C9CB"/>
            </w:tcBorders>
          </w:tcPr>
          <w:p>
            <w:pPr>
              <w:spacing w:after="0"/>
              <w:rPr>
                <w:sz w:val="24"/>
                <w:szCs w:val="24"/>
                <w:color w:val="auto"/>
              </w:rPr>
            </w:pPr>
          </w:p>
        </w:tc>
        <w:tc>
          <w:tcPr>
            <w:tcW w:w="700" w:type="dxa"/>
            <w:vAlign w:val="bottom"/>
            <w:tcBorders>
              <w:bottom w:val="single" w:sz="8" w:color="C8C9CB"/>
            </w:tcBorders>
          </w:tcPr>
          <w:p>
            <w:pPr>
              <w:spacing w:after="0"/>
              <w:rPr>
                <w:sz w:val="24"/>
                <w:szCs w:val="24"/>
                <w:color w:val="auto"/>
              </w:rPr>
            </w:pPr>
          </w:p>
        </w:tc>
        <w:tc>
          <w:tcPr>
            <w:tcW w:w="740" w:type="dxa"/>
            <w:vAlign w:val="bottom"/>
            <w:tcBorders>
              <w:bottom w:val="single" w:sz="8" w:color="C8C9CB"/>
            </w:tcBorders>
          </w:tcPr>
          <w:p>
            <w:pPr>
              <w:spacing w:after="0"/>
              <w:rPr>
                <w:sz w:val="24"/>
                <w:szCs w:val="24"/>
                <w:color w:val="auto"/>
              </w:rPr>
            </w:pPr>
          </w:p>
        </w:tc>
        <w:tc>
          <w:tcPr>
            <w:tcW w:w="660" w:type="dxa"/>
            <w:vAlign w:val="bottom"/>
            <w:tcBorders>
              <w:bottom w:val="single" w:sz="8" w:color="C8C9CB"/>
            </w:tcBorders>
          </w:tcPr>
          <w:p>
            <w:pPr>
              <w:spacing w:after="0"/>
              <w:rPr>
                <w:sz w:val="24"/>
                <w:szCs w:val="24"/>
                <w:color w:val="auto"/>
              </w:rPr>
            </w:pPr>
          </w:p>
        </w:tc>
        <w:tc>
          <w:tcPr>
            <w:tcW w:w="680" w:type="dxa"/>
            <w:vAlign w:val="bottom"/>
            <w:tcBorders>
              <w:bottom w:val="single" w:sz="8" w:color="C8C9CB"/>
            </w:tcBorders>
          </w:tcPr>
          <w:p>
            <w:pPr>
              <w:spacing w:after="0"/>
              <w:rPr>
                <w:sz w:val="24"/>
                <w:szCs w:val="24"/>
                <w:color w:val="auto"/>
              </w:rPr>
            </w:pPr>
          </w:p>
        </w:tc>
        <w:tc>
          <w:tcPr>
            <w:tcW w:w="640" w:type="dxa"/>
            <w:vAlign w:val="bottom"/>
            <w:tcBorders>
              <w:bottom w:val="single" w:sz="8" w:color="C8C9CB"/>
            </w:tcBorders>
          </w:tcPr>
          <w:p>
            <w:pPr>
              <w:spacing w:after="0"/>
              <w:rPr>
                <w:sz w:val="24"/>
                <w:szCs w:val="24"/>
                <w:color w:val="auto"/>
              </w:rPr>
            </w:pPr>
          </w:p>
        </w:tc>
        <w:tc>
          <w:tcPr>
            <w:tcW w:w="58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tcBorders>
              <w:bottom w:val="single" w:sz="8" w:color="C8C9CB"/>
            </w:tcBorders>
          </w:tcPr>
          <w:p>
            <w:pPr>
              <w:spacing w:after="0"/>
              <w:rPr>
                <w:sz w:val="24"/>
                <w:szCs w:val="24"/>
                <w:color w:val="auto"/>
              </w:rPr>
            </w:pPr>
          </w:p>
        </w:tc>
        <w:tc>
          <w:tcPr>
            <w:tcW w:w="720" w:type="dxa"/>
            <w:vAlign w:val="bottom"/>
            <w:tcBorders>
              <w:bottom w:val="single" w:sz="8" w:color="C8C9CB"/>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60" w:type="dxa"/>
            <w:vAlign w:val="bottom"/>
            <w:shd w:val="clear" w:color="auto" w:fill="F4F6F6"/>
          </w:tcPr>
          <w:p>
            <w:pPr>
              <w:ind w:left="20"/>
              <w:spacing w:after="0"/>
              <w:rPr>
                <w:sz w:val="20"/>
                <w:szCs w:val="20"/>
                <w:color w:val="auto"/>
              </w:rPr>
            </w:pPr>
            <w:r>
              <w:rPr>
                <w:rFonts w:ascii="Arial" w:cs="Arial" w:eastAsia="Arial" w:hAnsi="Arial"/>
                <w:sz w:val="12"/>
                <w:szCs w:val="12"/>
                <w:color w:val="auto"/>
              </w:rPr>
              <w:t>Mr.</w:t>
            </w:r>
          </w:p>
        </w:tc>
        <w:tc>
          <w:tcPr>
            <w:tcW w:w="440" w:type="dxa"/>
            <w:vAlign w:val="bottom"/>
            <w:shd w:val="clear" w:color="auto" w:fill="F4F6F6"/>
          </w:tcPr>
          <w:p>
            <w:pPr>
              <w:spacing w:after="0"/>
              <w:rPr>
                <w:sz w:val="13"/>
                <w:szCs w:val="13"/>
                <w:color w:val="auto"/>
              </w:rPr>
            </w:pPr>
          </w:p>
        </w:tc>
        <w:tc>
          <w:tcPr>
            <w:tcW w:w="140" w:type="dxa"/>
            <w:vAlign w:val="bottom"/>
            <w:shd w:val="clear" w:color="auto" w:fill="F4F6F6"/>
          </w:tcPr>
          <w:p>
            <w:pPr>
              <w:spacing w:after="0"/>
              <w:rPr>
                <w:sz w:val="13"/>
                <w:szCs w:val="13"/>
                <w:color w:val="auto"/>
              </w:rPr>
            </w:pPr>
          </w:p>
        </w:tc>
        <w:tc>
          <w:tcPr>
            <w:tcW w:w="760" w:type="dxa"/>
            <w:vAlign w:val="bottom"/>
            <w:vMerge w:val="restart"/>
            <w:shd w:val="clear" w:color="auto" w:fill="F4F6F6"/>
          </w:tcPr>
          <w:p>
            <w:pPr>
              <w:jc w:val="right"/>
              <w:ind w:right="279"/>
              <w:spacing w:after="0"/>
              <w:rPr>
                <w:sz w:val="20"/>
                <w:szCs w:val="20"/>
                <w:color w:val="auto"/>
              </w:rPr>
            </w:pPr>
            <w:r>
              <w:rPr>
                <w:rFonts w:ascii="Arial" w:cs="Arial" w:eastAsia="Arial" w:hAnsi="Arial"/>
                <w:sz w:val="12"/>
                <w:szCs w:val="12"/>
                <w:color w:val="auto"/>
              </w:rPr>
              <w:t>__</w:t>
            </w:r>
          </w:p>
        </w:tc>
        <w:tc>
          <w:tcPr>
            <w:tcW w:w="840" w:type="dxa"/>
            <w:vAlign w:val="bottom"/>
            <w:vMerge w:val="restart"/>
            <w:shd w:val="clear" w:color="auto" w:fill="F4F6F6"/>
          </w:tcPr>
          <w:p>
            <w:pPr>
              <w:jc w:val="right"/>
              <w:ind w:right="319"/>
              <w:spacing w:after="0"/>
              <w:rPr>
                <w:sz w:val="20"/>
                <w:szCs w:val="20"/>
                <w:color w:val="auto"/>
              </w:rPr>
            </w:pPr>
            <w:r>
              <w:rPr>
                <w:rFonts w:ascii="Arial" w:cs="Arial" w:eastAsia="Arial" w:hAnsi="Arial"/>
                <w:sz w:val="12"/>
                <w:szCs w:val="12"/>
                <w:color w:val="auto"/>
              </w:rPr>
              <w:t>__</w:t>
            </w:r>
          </w:p>
        </w:tc>
        <w:tc>
          <w:tcPr>
            <w:tcW w:w="6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9"/>
              </w:rPr>
              <w:t>$207,813</w:t>
            </w:r>
          </w:p>
        </w:tc>
        <w:tc>
          <w:tcPr>
            <w:tcW w:w="70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9"/>
              </w:rPr>
              <w:t>$831,250</w:t>
            </w:r>
          </w:p>
        </w:tc>
        <w:tc>
          <w:tcPr>
            <w:tcW w:w="7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$1,662,500</w:t>
            </w:r>
          </w:p>
        </w:tc>
        <w:tc>
          <w:tcPr>
            <w:tcW w:w="660" w:type="dxa"/>
            <w:vAlign w:val="bottom"/>
            <w:shd w:val="clear" w:color="auto" w:fill="F4F6F6"/>
          </w:tcPr>
          <w:p>
            <w:pPr>
              <w:spacing w:after="0"/>
              <w:rPr>
                <w:sz w:val="13"/>
                <w:szCs w:val="13"/>
                <w:color w:val="auto"/>
              </w:rPr>
            </w:pPr>
          </w:p>
        </w:tc>
        <w:tc>
          <w:tcPr>
            <w:tcW w:w="680" w:type="dxa"/>
            <w:vAlign w:val="bottom"/>
            <w:shd w:val="clear" w:color="auto" w:fill="F4F6F6"/>
          </w:tcPr>
          <w:p>
            <w:pPr>
              <w:spacing w:after="0"/>
              <w:rPr>
                <w:sz w:val="13"/>
                <w:szCs w:val="13"/>
                <w:color w:val="auto"/>
              </w:rPr>
            </w:pPr>
          </w:p>
        </w:tc>
        <w:tc>
          <w:tcPr>
            <w:tcW w:w="640" w:type="dxa"/>
            <w:vAlign w:val="bottom"/>
            <w:shd w:val="clear" w:color="auto" w:fill="F4F6F6"/>
          </w:tcPr>
          <w:p>
            <w:pPr>
              <w:spacing w:after="0"/>
              <w:rPr>
                <w:sz w:val="13"/>
                <w:szCs w:val="13"/>
                <w:color w:val="auto"/>
              </w:rPr>
            </w:pPr>
          </w:p>
        </w:tc>
        <w:tc>
          <w:tcPr>
            <w:tcW w:w="580" w:type="dxa"/>
            <w:vAlign w:val="bottom"/>
            <w:shd w:val="clear" w:color="auto" w:fill="F4F6F6"/>
          </w:tcPr>
          <w:p>
            <w:pPr>
              <w:spacing w:after="0"/>
              <w:rPr>
                <w:sz w:val="13"/>
                <w:szCs w:val="13"/>
                <w:color w:val="auto"/>
              </w:rPr>
            </w:pPr>
          </w:p>
        </w:tc>
        <w:tc>
          <w:tcPr>
            <w:tcW w:w="940" w:type="dxa"/>
            <w:vAlign w:val="bottom"/>
            <w:shd w:val="clear" w:color="auto" w:fill="F4F6F6"/>
          </w:tcPr>
          <w:p>
            <w:pPr>
              <w:spacing w:after="0"/>
              <w:rPr>
                <w:sz w:val="13"/>
                <w:szCs w:val="13"/>
                <w:color w:val="auto"/>
              </w:rPr>
            </w:pPr>
          </w:p>
        </w:tc>
        <w:tc>
          <w:tcPr>
            <w:tcW w:w="72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0" w:type="dxa"/>
            <w:vAlign w:val="bottom"/>
            <w:shd w:val="clear" w:color="auto" w:fill="F4F6F6"/>
          </w:tcPr>
          <w:p>
            <w:pPr>
              <w:ind w:left="20"/>
              <w:spacing w:after="0"/>
              <w:rPr>
                <w:sz w:val="20"/>
                <w:szCs w:val="20"/>
                <w:color w:val="auto"/>
              </w:rPr>
            </w:pPr>
            <w:r>
              <w:rPr>
                <w:rFonts w:ascii="Arial" w:cs="Arial" w:eastAsia="Arial" w:hAnsi="Arial"/>
                <w:sz w:val="12"/>
                <w:szCs w:val="12"/>
                <w:color w:val="auto"/>
              </w:rPr>
              <w:t>Smiley</w:t>
            </w:r>
          </w:p>
        </w:tc>
        <w:tc>
          <w:tcPr>
            <w:tcW w:w="440" w:type="dxa"/>
            <w:vAlign w:val="bottom"/>
            <w:shd w:val="clear" w:color="auto" w:fill="F4F6F6"/>
          </w:tcPr>
          <w:p>
            <w:pPr>
              <w:spacing w:after="0"/>
              <w:rPr>
                <w:sz w:val="13"/>
                <w:szCs w:val="13"/>
                <w:color w:val="auto"/>
              </w:rPr>
            </w:pPr>
          </w:p>
        </w:tc>
        <w:tc>
          <w:tcPr>
            <w:tcW w:w="140" w:type="dxa"/>
            <w:vAlign w:val="bottom"/>
            <w:shd w:val="clear" w:color="auto" w:fill="F4F6F6"/>
          </w:tcPr>
          <w:p>
            <w:pPr>
              <w:spacing w:after="0"/>
              <w:rPr>
                <w:sz w:val="13"/>
                <w:szCs w:val="13"/>
                <w:color w:val="auto"/>
              </w:rPr>
            </w:pPr>
          </w:p>
        </w:tc>
        <w:tc>
          <w:tcPr>
            <w:tcW w:w="760" w:type="dxa"/>
            <w:vAlign w:val="bottom"/>
            <w:vMerge w:val="continue"/>
            <w:shd w:val="clear" w:color="auto" w:fill="F4F6F6"/>
          </w:tcPr>
          <w:p>
            <w:pPr>
              <w:spacing w:after="0"/>
              <w:rPr>
                <w:sz w:val="13"/>
                <w:szCs w:val="13"/>
                <w:color w:val="auto"/>
              </w:rPr>
            </w:pPr>
          </w:p>
        </w:tc>
        <w:tc>
          <w:tcPr>
            <w:tcW w:w="840" w:type="dxa"/>
            <w:vAlign w:val="bottom"/>
            <w:vMerge w:val="continue"/>
            <w:shd w:val="clear" w:color="auto" w:fill="F4F6F6"/>
          </w:tcPr>
          <w:p>
            <w:pPr>
              <w:spacing w:after="0"/>
              <w:rPr>
                <w:sz w:val="13"/>
                <w:szCs w:val="13"/>
                <w:color w:val="auto"/>
              </w:rPr>
            </w:pPr>
          </w:p>
        </w:tc>
        <w:tc>
          <w:tcPr>
            <w:tcW w:w="620" w:type="dxa"/>
            <w:vAlign w:val="bottom"/>
            <w:vMerge w:val="continue"/>
            <w:shd w:val="clear" w:color="auto" w:fill="F4F6F6"/>
          </w:tcPr>
          <w:p>
            <w:pPr>
              <w:spacing w:after="0"/>
              <w:rPr>
                <w:sz w:val="13"/>
                <w:szCs w:val="13"/>
                <w:color w:val="auto"/>
              </w:rPr>
            </w:pPr>
          </w:p>
        </w:tc>
        <w:tc>
          <w:tcPr>
            <w:tcW w:w="700" w:type="dxa"/>
            <w:vAlign w:val="bottom"/>
            <w:vMerge w:val="continue"/>
            <w:shd w:val="clear" w:color="auto" w:fill="F4F6F6"/>
          </w:tcPr>
          <w:p>
            <w:pPr>
              <w:spacing w:after="0"/>
              <w:rPr>
                <w:sz w:val="13"/>
                <w:szCs w:val="13"/>
                <w:color w:val="auto"/>
              </w:rPr>
            </w:pPr>
          </w:p>
        </w:tc>
        <w:tc>
          <w:tcPr>
            <w:tcW w:w="740" w:type="dxa"/>
            <w:vAlign w:val="bottom"/>
            <w:vMerge w:val="continue"/>
            <w:shd w:val="clear" w:color="auto" w:fill="F4F6F6"/>
          </w:tcPr>
          <w:p>
            <w:pPr>
              <w:spacing w:after="0"/>
              <w:rPr>
                <w:sz w:val="13"/>
                <w:szCs w:val="13"/>
                <w:color w:val="auto"/>
              </w:rPr>
            </w:pPr>
          </w:p>
        </w:tc>
        <w:tc>
          <w:tcPr>
            <w:tcW w:w="660" w:type="dxa"/>
            <w:vAlign w:val="bottom"/>
            <w:shd w:val="clear" w:color="auto" w:fill="F4F6F6"/>
          </w:tcPr>
          <w:p>
            <w:pPr>
              <w:spacing w:after="0"/>
              <w:rPr>
                <w:sz w:val="13"/>
                <w:szCs w:val="13"/>
                <w:color w:val="auto"/>
              </w:rPr>
            </w:pPr>
          </w:p>
        </w:tc>
        <w:tc>
          <w:tcPr>
            <w:tcW w:w="680" w:type="dxa"/>
            <w:vAlign w:val="bottom"/>
            <w:shd w:val="clear" w:color="auto" w:fill="F4F6F6"/>
          </w:tcPr>
          <w:p>
            <w:pPr>
              <w:spacing w:after="0"/>
              <w:rPr>
                <w:sz w:val="13"/>
                <w:szCs w:val="13"/>
                <w:color w:val="auto"/>
              </w:rPr>
            </w:pPr>
          </w:p>
        </w:tc>
        <w:tc>
          <w:tcPr>
            <w:tcW w:w="640" w:type="dxa"/>
            <w:vAlign w:val="bottom"/>
            <w:shd w:val="clear" w:color="auto" w:fill="F4F6F6"/>
          </w:tcPr>
          <w:p>
            <w:pPr>
              <w:spacing w:after="0"/>
              <w:rPr>
                <w:sz w:val="13"/>
                <w:szCs w:val="13"/>
                <w:color w:val="auto"/>
              </w:rPr>
            </w:pPr>
          </w:p>
        </w:tc>
        <w:tc>
          <w:tcPr>
            <w:tcW w:w="580" w:type="dxa"/>
            <w:vAlign w:val="bottom"/>
            <w:shd w:val="clear" w:color="auto" w:fill="F4F6F6"/>
          </w:tcPr>
          <w:p>
            <w:pPr>
              <w:spacing w:after="0"/>
              <w:rPr>
                <w:sz w:val="13"/>
                <w:szCs w:val="13"/>
                <w:color w:val="auto"/>
              </w:rPr>
            </w:pPr>
          </w:p>
        </w:tc>
        <w:tc>
          <w:tcPr>
            <w:tcW w:w="940" w:type="dxa"/>
            <w:vAlign w:val="bottom"/>
            <w:shd w:val="clear" w:color="auto" w:fill="F4F6F6"/>
          </w:tcPr>
          <w:p>
            <w:pPr>
              <w:spacing w:after="0"/>
              <w:rPr>
                <w:sz w:val="13"/>
                <w:szCs w:val="13"/>
                <w:color w:val="auto"/>
              </w:rPr>
            </w:pPr>
          </w:p>
        </w:tc>
        <w:tc>
          <w:tcPr>
            <w:tcW w:w="72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0" w:type="dxa"/>
            <w:vAlign w:val="bottom"/>
            <w:shd w:val="clear" w:color="auto" w:fill="F4F6F6"/>
          </w:tcPr>
          <w:p>
            <w:pPr>
              <w:spacing w:after="0"/>
              <w:rPr>
                <w:sz w:val="13"/>
                <w:szCs w:val="13"/>
                <w:color w:val="auto"/>
              </w:rPr>
            </w:pPr>
          </w:p>
        </w:tc>
        <w:tc>
          <w:tcPr>
            <w:tcW w:w="4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2018-</w:t>
            </w:r>
          </w:p>
        </w:tc>
        <w:tc>
          <w:tcPr>
            <w:tcW w:w="140" w:type="dxa"/>
            <w:vAlign w:val="bottom"/>
            <w:shd w:val="clear" w:color="auto" w:fill="F4F6F6"/>
          </w:tcPr>
          <w:p>
            <w:pPr>
              <w:spacing w:after="0"/>
              <w:rPr>
                <w:sz w:val="13"/>
                <w:szCs w:val="13"/>
                <w:color w:val="auto"/>
              </w:rPr>
            </w:pPr>
          </w:p>
        </w:tc>
        <w:tc>
          <w:tcPr>
            <w:tcW w:w="760" w:type="dxa"/>
            <w:vAlign w:val="bottom"/>
            <w:shd w:val="clear" w:color="auto" w:fill="F4F6F6"/>
          </w:tcPr>
          <w:p>
            <w:pPr>
              <w:spacing w:after="0"/>
              <w:rPr>
                <w:sz w:val="13"/>
                <w:szCs w:val="13"/>
                <w:color w:val="auto"/>
              </w:rPr>
            </w:pPr>
          </w:p>
        </w:tc>
        <w:tc>
          <w:tcPr>
            <w:tcW w:w="840" w:type="dxa"/>
            <w:vAlign w:val="bottom"/>
            <w:shd w:val="clear" w:color="auto" w:fill="F4F6F6"/>
          </w:tcPr>
          <w:p>
            <w:pPr>
              <w:spacing w:after="0"/>
              <w:rPr>
                <w:sz w:val="13"/>
                <w:szCs w:val="13"/>
                <w:color w:val="auto"/>
              </w:rPr>
            </w:pPr>
          </w:p>
        </w:tc>
        <w:tc>
          <w:tcPr>
            <w:tcW w:w="620" w:type="dxa"/>
            <w:vAlign w:val="bottom"/>
            <w:shd w:val="clear" w:color="auto" w:fill="F4F6F6"/>
          </w:tcPr>
          <w:p>
            <w:pPr>
              <w:spacing w:after="0"/>
              <w:rPr>
                <w:sz w:val="13"/>
                <w:szCs w:val="13"/>
                <w:color w:val="auto"/>
              </w:rPr>
            </w:pPr>
          </w:p>
        </w:tc>
        <w:tc>
          <w:tcPr>
            <w:tcW w:w="700" w:type="dxa"/>
            <w:vAlign w:val="bottom"/>
            <w:shd w:val="clear" w:color="auto" w:fill="F4F6F6"/>
          </w:tcPr>
          <w:p>
            <w:pPr>
              <w:spacing w:after="0"/>
              <w:rPr>
                <w:sz w:val="13"/>
                <w:szCs w:val="13"/>
                <w:color w:val="auto"/>
              </w:rPr>
            </w:pPr>
          </w:p>
        </w:tc>
        <w:tc>
          <w:tcPr>
            <w:tcW w:w="740" w:type="dxa"/>
            <w:vAlign w:val="bottom"/>
            <w:shd w:val="clear" w:color="auto" w:fill="F4F6F6"/>
          </w:tcPr>
          <w:p>
            <w:pPr>
              <w:spacing w:after="0"/>
              <w:rPr>
                <w:sz w:val="13"/>
                <w:szCs w:val="13"/>
                <w:color w:val="auto"/>
              </w:rPr>
            </w:pPr>
          </w:p>
        </w:tc>
        <w:tc>
          <w:tcPr>
            <w:tcW w:w="660" w:type="dxa"/>
            <w:vAlign w:val="bottom"/>
            <w:shd w:val="clear" w:color="auto" w:fill="F4F6F6"/>
          </w:tcPr>
          <w:p>
            <w:pPr>
              <w:spacing w:after="0"/>
              <w:rPr>
                <w:sz w:val="13"/>
                <w:szCs w:val="13"/>
                <w:color w:val="auto"/>
              </w:rPr>
            </w:pPr>
          </w:p>
        </w:tc>
        <w:tc>
          <w:tcPr>
            <w:tcW w:w="680" w:type="dxa"/>
            <w:vAlign w:val="bottom"/>
            <w:shd w:val="clear" w:color="auto" w:fill="F4F6F6"/>
          </w:tcPr>
          <w:p>
            <w:pPr>
              <w:spacing w:after="0"/>
              <w:rPr>
                <w:sz w:val="13"/>
                <w:szCs w:val="13"/>
                <w:color w:val="auto"/>
              </w:rPr>
            </w:pPr>
          </w:p>
        </w:tc>
        <w:tc>
          <w:tcPr>
            <w:tcW w:w="640" w:type="dxa"/>
            <w:vAlign w:val="bottom"/>
            <w:shd w:val="clear" w:color="auto" w:fill="F4F6F6"/>
          </w:tcPr>
          <w:p>
            <w:pPr>
              <w:spacing w:after="0"/>
              <w:rPr>
                <w:sz w:val="13"/>
                <w:szCs w:val="13"/>
                <w:color w:val="auto"/>
              </w:rPr>
            </w:pPr>
          </w:p>
        </w:tc>
        <w:tc>
          <w:tcPr>
            <w:tcW w:w="580" w:type="dxa"/>
            <w:vAlign w:val="bottom"/>
            <w:shd w:val="clear" w:color="auto" w:fill="F4F6F6"/>
          </w:tcPr>
          <w:p>
            <w:pPr>
              <w:spacing w:after="0"/>
              <w:rPr>
                <w:sz w:val="13"/>
                <w:szCs w:val="13"/>
                <w:color w:val="auto"/>
              </w:rPr>
            </w:pPr>
          </w:p>
        </w:tc>
        <w:tc>
          <w:tcPr>
            <w:tcW w:w="940" w:type="dxa"/>
            <w:vAlign w:val="bottom"/>
            <w:shd w:val="clear" w:color="auto" w:fill="F4F6F6"/>
          </w:tcPr>
          <w:p>
            <w:pPr>
              <w:spacing w:after="0"/>
              <w:rPr>
                <w:sz w:val="13"/>
                <w:szCs w:val="13"/>
                <w:color w:val="auto"/>
              </w:rPr>
            </w:pPr>
          </w:p>
        </w:tc>
        <w:tc>
          <w:tcPr>
            <w:tcW w:w="72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60" w:type="dxa"/>
            <w:vAlign w:val="bottom"/>
            <w:shd w:val="clear" w:color="auto" w:fill="F4F6F6"/>
          </w:tcPr>
          <w:p>
            <w:pPr>
              <w:spacing w:after="0"/>
              <w:rPr>
                <w:sz w:val="11"/>
                <w:szCs w:val="11"/>
                <w:color w:val="auto"/>
              </w:rPr>
            </w:pPr>
          </w:p>
        </w:tc>
        <w:tc>
          <w:tcPr>
            <w:tcW w:w="440" w:type="dxa"/>
            <w:vAlign w:val="bottom"/>
            <w:shd w:val="clear" w:color="auto" w:fill="F4F6F6"/>
          </w:tcPr>
          <w:p>
            <w:pPr>
              <w:jc w:val="center"/>
              <w:spacing w:after="0" w:line="135" w:lineRule="exact"/>
              <w:rPr>
                <w:sz w:val="20"/>
                <w:szCs w:val="20"/>
                <w:color w:val="auto"/>
              </w:rPr>
            </w:pPr>
            <w:r>
              <w:rPr>
                <w:rFonts w:ascii="Arial" w:cs="Arial" w:eastAsia="Arial" w:hAnsi="Arial"/>
                <w:sz w:val="13"/>
                <w:szCs w:val="13"/>
                <w:color w:val="auto"/>
                <w:w w:val="96"/>
              </w:rPr>
              <w:t>2020</w:t>
            </w:r>
          </w:p>
        </w:tc>
        <w:tc>
          <w:tcPr>
            <w:tcW w:w="140" w:type="dxa"/>
            <w:vAlign w:val="bottom"/>
            <w:shd w:val="clear" w:color="auto" w:fill="F4F6F6"/>
          </w:tcPr>
          <w:p>
            <w:pPr>
              <w:spacing w:after="0"/>
              <w:rPr>
                <w:sz w:val="11"/>
                <w:szCs w:val="11"/>
                <w:color w:val="auto"/>
              </w:rPr>
            </w:pPr>
          </w:p>
        </w:tc>
        <w:tc>
          <w:tcPr>
            <w:tcW w:w="7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4"/>
              </w:rPr>
              <w:t>2/9/2018</w:t>
            </w:r>
          </w:p>
        </w:tc>
        <w:tc>
          <w:tcPr>
            <w:tcW w:w="8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12/11/2017</w:t>
            </w:r>
          </w:p>
        </w:tc>
        <w:tc>
          <w:tcPr>
            <w:tcW w:w="620" w:type="dxa"/>
            <w:vAlign w:val="bottom"/>
            <w:shd w:val="clear" w:color="auto" w:fill="F4F6F6"/>
          </w:tcPr>
          <w:p>
            <w:pPr>
              <w:spacing w:after="0"/>
              <w:rPr>
                <w:sz w:val="11"/>
                <w:szCs w:val="11"/>
                <w:color w:val="auto"/>
              </w:rPr>
            </w:pPr>
          </w:p>
        </w:tc>
        <w:tc>
          <w:tcPr>
            <w:tcW w:w="700" w:type="dxa"/>
            <w:vAlign w:val="bottom"/>
            <w:shd w:val="clear" w:color="auto" w:fill="F4F6F6"/>
          </w:tcPr>
          <w:p>
            <w:pPr>
              <w:spacing w:after="0"/>
              <w:rPr>
                <w:sz w:val="11"/>
                <w:szCs w:val="11"/>
                <w:color w:val="auto"/>
              </w:rPr>
            </w:pPr>
          </w:p>
        </w:tc>
        <w:tc>
          <w:tcPr>
            <w:tcW w:w="740" w:type="dxa"/>
            <w:vAlign w:val="bottom"/>
            <w:shd w:val="clear" w:color="auto" w:fill="F4F6F6"/>
          </w:tcPr>
          <w:p>
            <w:pPr>
              <w:spacing w:after="0"/>
              <w:rPr>
                <w:sz w:val="11"/>
                <w:szCs w:val="11"/>
                <w:color w:val="auto"/>
              </w:rPr>
            </w:pPr>
          </w:p>
        </w:tc>
        <w:tc>
          <w:tcPr>
            <w:tcW w:w="6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6,422</w:t>
            </w:r>
          </w:p>
        </w:tc>
        <w:tc>
          <w:tcPr>
            <w:tcW w:w="6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12,844</w:t>
            </w:r>
          </w:p>
        </w:tc>
        <w:tc>
          <w:tcPr>
            <w:tcW w:w="6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19,266</w:t>
            </w:r>
          </w:p>
        </w:tc>
        <w:tc>
          <w:tcPr>
            <w:tcW w:w="580" w:type="dxa"/>
            <w:vAlign w:val="bottom"/>
            <w:shd w:val="clear" w:color="auto" w:fill="F4F6F6"/>
          </w:tcPr>
          <w:p>
            <w:pPr>
              <w:spacing w:after="0"/>
              <w:rPr>
                <w:sz w:val="11"/>
                <w:szCs w:val="11"/>
                <w:color w:val="auto"/>
              </w:rPr>
            </w:pPr>
          </w:p>
        </w:tc>
        <w:tc>
          <w:tcPr>
            <w:tcW w:w="940" w:type="dxa"/>
            <w:vAlign w:val="bottom"/>
            <w:shd w:val="clear" w:color="auto" w:fill="F4F6F6"/>
          </w:tcPr>
          <w:p>
            <w:pPr>
              <w:spacing w:after="0"/>
              <w:rPr>
                <w:sz w:val="11"/>
                <w:szCs w:val="11"/>
                <w:color w:val="auto"/>
              </w:rPr>
            </w:pPr>
          </w:p>
        </w:tc>
        <w:tc>
          <w:tcPr>
            <w:tcW w:w="7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$1,324,800</w:t>
            </w:r>
          </w:p>
        </w:tc>
        <w:tc>
          <w:tcPr>
            <w:tcW w:w="0" w:type="dxa"/>
            <w:vAlign w:val="bottom"/>
          </w:tcPr>
          <w:p>
            <w:pPr>
              <w:spacing w:after="0"/>
              <w:rPr>
                <w:sz w:val="1"/>
                <w:szCs w:val="1"/>
                <w:color w:val="auto"/>
              </w:rPr>
            </w:pPr>
          </w:p>
        </w:tc>
      </w:tr>
      <w:tr>
        <w:trPr>
          <w:trHeight w:val="170"/>
        </w:trPr>
        <w:tc>
          <w:tcPr>
            <w:tcW w:w="660" w:type="dxa"/>
            <w:vAlign w:val="bottom"/>
            <w:shd w:val="clear" w:color="auto" w:fill="F4F6F6"/>
          </w:tcPr>
          <w:p>
            <w:pPr>
              <w:spacing w:after="0"/>
              <w:rPr>
                <w:sz w:val="14"/>
                <w:szCs w:val="14"/>
                <w:color w:val="auto"/>
              </w:rPr>
            </w:pPr>
          </w:p>
        </w:tc>
        <w:tc>
          <w:tcPr>
            <w:tcW w:w="4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1"/>
              </w:rPr>
              <w:t>PA</w:t>
            </w:r>
          </w:p>
        </w:tc>
        <w:tc>
          <w:tcPr>
            <w:tcW w:w="140" w:type="dxa"/>
            <w:vAlign w:val="bottom"/>
            <w:shd w:val="clear" w:color="auto" w:fill="F4F6F6"/>
          </w:tcPr>
          <w:p>
            <w:pPr>
              <w:jc w:val="right"/>
              <w:ind w:right="15"/>
              <w:spacing w:after="0"/>
              <w:rPr>
                <w:sz w:val="20"/>
                <w:szCs w:val="20"/>
                <w:color w:val="auto"/>
              </w:rPr>
            </w:pPr>
            <w:r>
              <w:rPr>
                <w:rFonts w:ascii="Arial" w:cs="Arial" w:eastAsia="Arial" w:hAnsi="Arial"/>
                <w:sz w:val="9"/>
                <w:szCs w:val="9"/>
                <w:color w:val="auto"/>
              </w:rPr>
              <w:t>3</w:t>
            </w:r>
          </w:p>
        </w:tc>
        <w:tc>
          <w:tcPr>
            <w:tcW w:w="760" w:type="dxa"/>
            <w:vAlign w:val="bottom"/>
            <w:vMerge w:val="continue"/>
            <w:shd w:val="clear" w:color="auto" w:fill="F4F6F6"/>
          </w:tcPr>
          <w:p>
            <w:pPr>
              <w:spacing w:after="0"/>
              <w:rPr>
                <w:sz w:val="14"/>
                <w:szCs w:val="14"/>
                <w:color w:val="auto"/>
              </w:rPr>
            </w:pPr>
          </w:p>
        </w:tc>
        <w:tc>
          <w:tcPr>
            <w:tcW w:w="840" w:type="dxa"/>
            <w:vAlign w:val="bottom"/>
            <w:vMerge w:val="continue"/>
            <w:shd w:val="clear" w:color="auto" w:fill="F4F6F6"/>
          </w:tcPr>
          <w:p>
            <w:pPr>
              <w:spacing w:after="0"/>
              <w:rPr>
                <w:sz w:val="14"/>
                <w:szCs w:val="14"/>
                <w:color w:val="auto"/>
              </w:rPr>
            </w:pPr>
          </w:p>
        </w:tc>
        <w:tc>
          <w:tcPr>
            <w:tcW w:w="620" w:type="dxa"/>
            <w:vAlign w:val="bottom"/>
            <w:shd w:val="clear" w:color="auto" w:fill="F4F6F6"/>
          </w:tcPr>
          <w:p>
            <w:pPr>
              <w:spacing w:after="0"/>
              <w:rPr>
                <w:sz w:val="14"/>
                <w:szCs w:val="14"/>
                <w:color w:val="auto"/>
              </w:rPr>
            </w:pPr>
          </w:p>
        </w:tc>
        <w:tc>
          <w:tcPr>
            <w:tcW w:w="700" w:type="dxa"/>
            <w:vAlign w:val="bottom"/>
            <w:shd w:val="clear" w:color="auto" w:fill="F4F6F6"/>
          </w:tcPr>
          <w:p>
            <w:pPr>
              <w:spacing w:after="0"/>
              <w:rPr>
                <w:sz w:val="14"/>
                <w:szCs w:val="14"/>
                <w:color w:val="auto"/>
              </w:rPr>
            </w:pPr>
          </w:p>
        </w:tc>
        <w:tc>
          <w:tcPr>
            <w:tcW w:w="740" w:type="dxa"/>
            <w:vAlign w:val="bottom"/>
            <w:shd w:val="clear" w:color="auto" w:fill="F4F6F6"/>
          </w:tcPr>
          <w:p>
            <w:pPr>
              <w:spacing w:after="0"/>
              <w:rPr>
                <w:sz w:val="14"/>
                <w:szCs w:val="14"/>
                <w:color w:val="auto"/>
              </w:rPr>
            </w:pPr>
          </w:p>
        </w:tc>
        <w:tc>
          <w:tcPr>
            <w:tcW w:w="660" w:type="dxa"/>
            <w:vAlign w:val="bottom"/>
            <w:vMerge w:val="continue"/>
            <w:shd w:val="clear" w:color="auto" w:fill="F4F6F6"/>
          </w:tcPr>
          <w:p>
            <w:pPr>
              <w:spacing w:after="0"/>
              <w:rPr>
                <w:sz w:val="14"/>
                <w:szCs w:val="14"/>
                <w:color w:val="auto"/>
              </w:rPr>
            </w:pPr>
          </w:p>
        </w:tc>
        <w:tc>
          <w:tcPr>
            <w:tcW w:w="680" w:type="dxa"/>
            <w:vAlign w:val="bottom"/>
            <w:vMerge w:val="continue"/>
            <w:shd w:val="clear" w:color="auto" w:fill="F4F6F6"/>
          </w:tcPr>
          <w:p>
            <w:pPr>
              <w:spacing w:after="0"/>
              <w:rPr>
                <w:sz w:val="14"/>
                <w:szCs w:val="14"/>
                <w:color w:val="auto"/>
              </w:rPr>
            </w:pPr>
          </w:p>
        </w:tc>
        <w:tc>
          <w:tcPr>
            <w:tcW w:w="640" w:type="dxa"/>
            <w:vAlign w:val="bottom"/>
            <w:vMerge w:val="continue"/>
            <w:shd w:val="clear" w:color="auto" w:fill="F4F6F6"/>
          </w:tcPr>
          <w:p>
            <w:pPr>
              <w:spacing w:after="0"/>
              <w:rPr>
                <w:sz w:val="14"/>
                <w:szCs w:val="14"/>
                <w:color w:val="auto"/>
              </w:rPr>
            </w:pPr>
          </w:p>
        </w:tc>
        <w:tc>
          <w:tcPr>
            <w:tcW w:w="580" w:type="dxa"/>
            <w:vAlign w:val="bottom"/>
            <w:shd w:val="clear" w:color="auto" w:fill="F4F6F6"/>
          </w:tcPr>
          <w:p>
            <w:pPr>
              <w:spacing w:after="0"/>
              <w:rPr>
                <w:sz w:val="14"/>
                <w:szCs w:val="14"/>
                <w:color w:val="auto"/>
              </w:rPr>
            </w:pPr>
          </w:p>
        </w:tc>
        <w:tc>
          <w:tcPr>
            <w:tcW w:w="940" w:type="dxa"/>
            <w:vAlign w:val="bottom"/>
            <w:shd w:val="clear" w:color="auto" w:fill="F4F6F6"/>
          </w:tcPr>
          <w:p>
            <w:pPr>
              <w:spacing w:after="0"/>
              <w:rPr>
                <w:sz w:val="14"/>
                <w:szCs w:val="14"/>
                <w:color w:val="auto"/>
              </w:rPr>
            </w:pPr>
          </w:p>
        </w:tc>
        <w:tc>
          <w:tcPr>
            <w:tcW w:w="720" w:type="dxa"/>
            <w:vAlign w:val="bottom"/>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60" w:type="dxa"/>
            <w:vAlign w:val="bottom"/>
            <w:shd w:val="clear" w:color="auto" w:fill="F4F6F6"/>
          </w:tcPr>
          <w:p>
            <w:pPr>
              <w:spacing w:after="0"/>
              <w:rPr>
                <w:sz w:val="13"/>
                <w:szCs w:val="13"/>
                <w:color w:val="auto"/>
              </w:rPr>
            </w:pPr>
          </w:p>
        </w:tc>
        <w:tc>
          <w:tcPr>
            <w:tcW w:w="4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2018-</w:t>
            </w:r>
          </w:p>
        </w:tc>
        <w:tc>
          <w:tcPr>
            <w:tcW w:w="140" w:type="dxa"/>
            <w:vAlign w:val="bottom"/>
            <w:shd w:val="clear" w:color="auto" w:fill="F4F6F6"/>
          </w:tcPr>
          <w:p>
            <w:pPr>
              <w:spacing w:after="0"/>
              <w:rPr>
                <w:sz w:val="13"/>
                <w:szCs w:val="13"/>
                <w:color w:val="auto"/>
              </w:rPr>
            </w:pPr>
          </w:p>
        </w:tc>
        <w:tc>
          <w:tcPr>
            <w:tcW w:w="760" w:type="dxa"/>
            <w:vAlign w:val="bottom"/>
            <w:shd w:val="clear" w:color="auto" w:fill="F4F6F6"/>
          </w:tcPr>
          <w:p>
            <w:pPr>
              <w:spacing w:after="0"/>
              <w:rPr>
                <w:sz w:val="13"/>
                <w:szCs w:val="13"/>
                <w:color w:val="auto"/>
              </w:rPr>
            </w:pPr>
          </w:p>
        </w:tc>
        <w:tc>
          <w:tcPr>
            <w:tcW w:w="840" w:type="dxa"/>
            <w:vAlign w:val="bottom"/>
            <w:shd w:val="clear" w:color="auto" w:fill="F4F6F6"/>
          </w:tcPr>
          <w:p>
            <w:pPr>
              <w:spacing w:after="0"/>
              <w:rPr>
                <w:sz w:val="13"/>
                <w:szCs w:val="13"/>
                <w:color w:val="auto"/>
              </w:rPr>
            </w:pPr>
          </w:p>
        </w:tc>
        <w:tc>
          <w:tcPr>
            <w:tcW w:w="620" w:type="dxa"/>
            <w:vAlign w:val="bottom"/>
            <w:shd w:val="clear" w:color="auto" w:fill="F4F6F6"/>
          </w:tcPr>
          <w:p>
            <w:pPr>
              <w:spacing w:after="0"/>
              <w:rPr>
                <w:sz w:val="13"/>
                <w:szCs w:val="13"/>
                <w:color w:val="auto"/>
              </w:rPr>
            </w:pPr>
          </w:p>
        </w:tc>
        <w:tc>
          <w:tcPr>
            <w:tcW w:w="700" w:type="dxa"/>
            <w:vAlign w:val="bottom"/>
            <w:shd w:val="clear" w:color="auto" w:fill="F4F6F6"/>
          </w:tcPr>
          <w:p>
            <w:pPr>
              <w:spacing w:after="0"/>
              <w:rPr>
                <w:sz w:val="13"/>
                <w:szCs w:val="13"/>
                <w:color w:val="auto"/>
              </w:rPr>
            </w:pPr>
          </w:p>
        </w:tc>
        <w:tc>
          <w:tcPr>
            <w:tcW w:w="740" w:type="dxa"/>
            <w:vAlign w:val="bottom"/>
            <w:shd w:val="clear" w:color="auto" w:fill="F4F6F6"/>
          </w:tcPr>
          <w:p>
            <w:pPr>
              <w:spacing w:after="0"/>
              <w:rPr>
                <w:sz w:val="13"/>
                <w:szCs w:val="13"/>
                <w:color w:val="auto"/>
              </w:rPr>
            </w:pPr>
          </w:p>
        </w:tc>
        <w:tc>
          <w:tcPr>
            <w:tcW w:w="660" w:type="dxa"/>
            <w:vAlign w:val="bottom"/>
            <w:shd w:val="clear" w:color="auto" w:fill="F4F6F6"/>
          </w:tcPr>
          <w:p>
            <w:pPr>
              <w:spacing w:after="0"/>
              <w:rPr>
                <w:sz w:val="13"/>
                <w:szCs w:val="13"/>
                <w:color w:val="auto"/>
              </w:rPr>
            </w:pPr>
          </w:p>
        </w:tc>
        <w:tc>
          <w:tcPr>
            <w:tcW w:w="680" w:type="dxa"/>
            <w:vAlign w:val="bottom"/>
            <w:shd w:val="clear" w:color="auto" w:fill="F4F6F6"/>
          </w:tcPr>
          <w:p>
            <w:pPr>
              <w:spacing w:after="0"/>
              <w:rPr>
                <w:sz w:val="13"/>
                <w:szCs w:val="13"/>
                <w:color w:val="auto"/>
              </w:rPr>
            </w:pPr>
          </w:p>
        </w:tc>
        <w:tc>
          <w:tcPr>
            <w:tcW w:w="640" w:type="dxa"/>
            <w:vAlign w:val="bottom"/>
            <w:shd w:val="clear" w:color="auto" w:fill="F4F6F6"/>
          </w:tcPr>
          <w:p>
            <w:pPr>
              <w:spacing w:after="0"/>
              <w:rPr>
                <w:sz w:val="13"/>
                <w:szCs w:val="13"/>
                <w:color w:val="auto"/>
              </w:rPr>
            </w:pPr>
          </w:p>
        </w:tc>
        <w:tc>
          <w:tcPr>
            <w:tcW w:w="580" w:type="dxa"/>
            <w:vAlign w:val="bottom"/>
            <w:shd w:val="clear" w:color="auto" w:fill="F4F6F6"/>
          </w:tcPr>
          <w:p>
            <w:pPr>
              <w:spacing w:after="0"/>
              <w:rPr>
                <w:sz w:val="13"/>
                <w:szCs w:val="13"/>
                <w:color w:val="auto"/>
              </w:rPr>
            </w:pPr>
          </w:p>
        </w:tc>
        <w:tc>
          <w:tcPr>
            <w:tcW w:w="940" w:type="dxa"/>
            <w:vAlign w:val="bottom"/>
            <w:shd w:val="clear" w:color="auto" w:fill="F4F6F6"/>
          </w:tcPr>
          <w:p>
            <w:pPr>
              <w:spacing w:after="0"/>
              <w:rPr>
                <w:sz w:val="13"/>
                <w:szCs w:val="13"/>
                <w:color w:val="auto"/>
              </w:rPr>
            </w:pPr>
          </w:p>
        </w:tc>
        <w:tc>
          <w:tcPr>
            <w:tcW w:w="72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60" w:type="dxa"/>
            <w:vAlign w:val="bottom"/>
            <w:shd w:val="clear" w:color="auto" w:fill="F4F6F6"/>
          </w:tcPr>
          <w:p>
            <w:pPr>
              <w:spacing w:after="0"/>
              <w:rPr>
                <w:sz w:val="11"/>
                <w:szCs w:val="11"/>
                <w:color w:val="auto"/>
              </w:rPr>
            </w:pPr>
          </w:p>
        </w:tc>
        <w:tc>
          <w:tcPr>
            <w:tcW w:w="440" w:type="dxa"/>
            <w:vAlign w:val="bottom"/>
            <w:shd w:val="clear" w:color="auto" w:fill="F4F6F6"/>
          </w:tcPr>
          <w:p>
            <w:pPr>
              <w:jc w:val="center"/>
              <w:spacing w:after="0" w:line="135" w:lineRule="exact"/>
              <w:rPr>
                <w:sz w:val="20"/>
                <w:szCs w:val="20"/>
                <w:color w:val="auto"/>
              </w:rPr>
            </w:pPr>
            <w:r>
              <w:rPr>
                <w:rFonts w:ascii="Arial" w:cs="Arial" w:eastAsia="Arial" w:hAnsi="Arial"/>
                <w:sz w:val="13"/>
                <w:szCs w:val="13"/>
                <w:color w:val="auto"/>
                <w:w w:val="96"/>
              </w:rPr>
              <w:t>2020</w:t>
            </w:r>
          </w:p>
        </w:tc>
        <w:tc>
          <w:tcPr>
            <w:tcW w:w="140" w:type="dxa"/>
            <w:vAlign w:val="bottom"/>
            <w:shd w:val="clear" w:color="auto" w:fill="F4F6F6"/>
          </w:tcPr>
          <w:p>
            <w:pPr>
              <w:spacing w:after="0"/>
              <w:rPr>
                <w:sz w:val="11"/>
                <w:szCs w:val="11"/>
                <w:color w:val="auto"/>
              </w:rPr>
            </w:pPr>
          </w:p>
        </w:tc>
        <w:tc>
          <w:tcPr>
            <w:tcW w:w="7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4"/>
              </w:rPr>
              <w:t>2/9/2018</w:t>
            </w:r>
          </w:p>
        </w:tc>
        <w:tc>
          <w:tcPr>
            <w:tcW w:w="8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12/11/2017</w:t>
            </w:r>
          </w:p>
        </w:tc>
        <w:tc>
          <w:tcPr>
            <w:tcW w:w="620" w:type="dxa"/>
            <w:vAlign w:val="bottom"/>
            <w:shd w:val="clear" w:color="auto" w:fill="F4F6F6"/>
          </w:tcPr>
          <w:p>
            <w:pPr>
              <w:spacing w:after="0"/>
              <w:rPr>
                <w:sz w:val="11"/>
                <w:szCs w:val="11"/>
                <w:color w:val="auto"/>
              </w:rPr>
            </w:pPr>
          </w:p>
        </w:tc>
        <w:tc>
          <w:tcPr>
            <w:tcW w:w="700" w:type="dxa"/>
            <w:vAlign w:val="bottom"/>
            <w:shd w:val="clear" w:color="auto" w:fill="F4F6F6"/>
          </w:tcPr>
          <w:p>
            <w:pPr>
              <w:spacing w:after="0"/>
              <w:rPr>
                <w:sz w:val="11"/>
                <w:szCs w:val="11"/>
                <w:color w:val="auto"/>
              </w:rPr>
            </w:pPr>
          </w:p>
        </w:tc>
        <w:tc>
          <w:tcPr>
            <w:tcW w:w="740" w:type="dxa"/>
            <w:vAlign w:val="bottom"/>
            <w:shd w:val="clear" w:color="auto" w:fill="F4F6F6"/>
          </w:tcPr>
          <w:p>
            <w:pPr>
              <w:spacing w:after="0"/>
              <w:rPr>
                <w:sz w:val="11"/>
                <w:szCs w:val="11"/>
                <w:color w:val="auto"/>
              </w:rPr>
            </w:pPr>
          </w:p>
        </w:tc>
        <w:tc>
          <w:tcPr>
            <w:tcW w:w="6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13,395</w:t>
            </w:r>
          </w:p>
        </w:tc>
        <w:tc>
          <w:tcPr>
            <w:tcW w:w="6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33,487</w:t>
            </w:r>
          </w:p>
        </w:tc>
        <w:tc>
          <w:tcPr>
            <w:tcW w:w="6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60,277</w:t>
            </w:r>
          </w:p>
        </w:tc>
        <w:tc>
          <w:tcPr>
            <w:tcW w:w="580" w:type="dxa"/>
            <w:vAlign w:val="bottom"/>
            <w:shd w:val="clear" w:color="auto" w:fill="F4F6F6"/>
          </w:tcPr>
          <w:p>
            <w:pPr>
              <w:spacing w:after="0"/>
              <w:rPr>
                <w:sz w:val="11"/>
                <w:szCs w:val="11"/>
                <w:color w:val="auto"/>
              </w:rPr>
            </w:pPr>
          </w:p>
        </w:tc>
        <w:tc>
          <w:tcPr>
            <w:tcW w:w="940" w:type="dxa"/>
            <w:vAlign w:val="bottom"/>
            <w:shd w:val="clear" w:color="auto" w:fill="F4F6F6"/>
          </w:tcPr>
          <w:p>
            <w:pPr>
              <w:spacing w:after="0"/>
              <w:rPr>
                <w:sz w:val="11"/>
                <w:szCs w:val="11"/>
                <w:color w:val="auto"/>
              </w:rPr>
            </w:pPr>
          </w:p>
        </w:tc>
        <w:tc>
          <w:tcPr>
            <w:tcW w:w="7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$1,380,000</w:t>
            </w:r>
          </w:p>
        </w:tc>
        <w:tc>
          <w:tcPr>
            <w:tcW w:w="0" w:type="dxa"/>
            <w:vAlign w:val="bottom"/>
          </w:tcPr>
          <w:p>
            <w:pPr>
              <w:spacing w:after="0"/>
              <w:rPr>
                <w:sz w:val="1"/>
                <w:szCs w:val="1"/>
                <w:color w:val="auto"/>
              </w:rPr>
            </w:pPr>
          </w:p>
        </w:tc>
      </w:tr>
      <w:tr>
        <w:trPr>
          <w:trHeight w:val="170"/>
        </w:trPr>
        <w:tc>
          <w:tcPr>
            <w:tcW w:w="660" w:type="dxa"/>
            <w:vAlign w:val="bottom"/>
            <w:shd w:val="clear" w:color="auto" w:fill="F4F6F6"/>
          </w:tcPr>
          <w:p>
            <w:pPr>
              <w:spacing w:after="0"/>
              <w:rPr>
                <w:sz w:val="14"/>
                <w:szCs w:val="14"/>
                <w:color w:val="auto"/>
              </w:rPr>
            </w:pPr>
          </w:p>
        </w:tc>
        <w:tc>
          <w:tcPr>
            <w:tcW w:w="4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2"/>
              </w:rPr>
              <w:t>SVA</w:t>
            </w:r>
          </w:p>
        </w:tc>
        <w:tc>
          <w:tcPr>
            <w:tcW w:w="140" w:type="dxa"/>
            <w:vAlign w:val="bottom"/>
            <w:shd w:val="clear" w:color="auto" w:fill="F4F6F6"/>
          </w:tcPr>
          <w:p>
            <w:pPr>
              <w:jc w:val="right"/>
              <w:ind w:right="15"/>
              <w:spacing w:after="0"/>
              <w:rPr>
                <w:sz w:val="20"/>
                <w:szCs w:val="20"/>
                <w:color w:val="auto"/>
              </w:rPr>
            </w:pPr>
            <w:r>
              <w:rPr>
                <w:rFonts w:ascii="Arial" w:cs="Arial" w:eastAsia="Arial" w:hAnsi="Arial"/>
                <w:sz w:val="9"/>
                <w:szCs w:val="9"/>
                <w:color w:val="auto"/>
              </w:rPr>
              <w:t>4</w:t>
            </w:r>
          </w:p>
        </w:tc>
        <w:tc>
          <w:tcPr>
            <w:tcW w:w="760" w:type="dxa"/>
            <w:vAlign w:val="bottom"/>
            <w:vMerge w:val="continue"/>
            <w:shd w:val="clear" w:color="auto" w:fill="F4F6F6"/>
          </w:tcPr>
          <w:p>
            <w:pPr>
              <w:spacing w:after="0"/>
              <w:rPr>
                <w:sz w:val="14"/>
                <w:szCs w:val="14"/>
                <w:color w:val="auto"/>
              </w:rPr>
            </w:pPr>
          </w:p>
        </w:tc>
        <w:tc>
          <w:tcPr>
            <w:tcW w:w="840" w:type="dxa"/>
            <w:vAlign w:val="bottom"/>
            <w:vMerge w:val="continue"/>
            <w:shd w:val="clear" w:color="auto" w:fill="F4F6F6"/>
          </w:tcPr>
          <w:p>
            <w:pPr>
              <w:spacing w:after="0"/>
              <w:rPr>
                <w:sz w:val="14"/>
                <w:szCs w:val="14"/>
                <w:color w:val="auto"/>
              </w:rPr>
            </w:pPr>
          </w:p>
        </w:tc>
        <w:tc>
          <w:tcPr>
            <w:tcW w:w="620" w:type="dxa"/>
            <w:vAlign w:val="bottom"/>
            <w:shd w:val="clear" w:color="auto" w:fill="F4F6F6"/>
          </w:tcPr>
          <w:p>
            <w:pPr>
              <w:spacing w:after="0"/>
              <w:rPr>
                <w:sz w:val="14"/>
                <w:szCs w:val="14"/>
                <w:color w:val="auto"/>
              </w:rPr>
            </w:pPr>
          </w:p>
        </w:tc>
        <w:tc>
          <w:tcPr>
            <w:tcW w:w="700" w:type="dxa"/>
            <w:vAlign w:val="bottom"/>
            <w:shd w:val="clear" w:color="auto" w:fill="F4F6F6"/>
          </w:tcPr>
          <w:p>
            <w:pPr>
              <w:spacing w:after="0"/>
              <w:rPr>
                <w:sz w:val="14"/>
                <w:szCs w:val="14"/>
                <w:color w:val="auto"/>
              </w:rPr>
            </w:pPr>
          </w:p>
        </w:tc>
        <w:tc>
          <w:tcPr>
            <w:tcW w:w="740" w:type="dxa"/>
            <w:vAlign w:val="bottom"/>
            <w:shd w:val="clear" w:color="auto" w:fill="F4F6F6"/>
          </w:tcPr>
          <w:p>
            <w:pPr>
              <w:spacing w:after="0"/>
              <w:rPr>
                <w:sz w:val="14"/>
                <w:szCs w:val="14"/>
                <w:color w:val="auto"/>
              </w:rPr>
            </w:pPr>
          </w:p>
        </w:tc>
        <w:tc>
          <w:tcPr>
            <w:tcW w:w="660" w:type="dxa"/>
            <w:vAlign w:val="bottom"/>
            <w:vMerge w:val="continue"/>
            <w:shd w:val="clear" w:color="auto" w:fill="F4F6F6"/>
          </w:tcPr>
          <w:p>
            <w:pPr>
              <w:spacing w:after="0"/>
              <w:rPr>
                <w:sz w:val="14"/>
                <w:szCs w:val="14"/>
                <w:color w:val="auto"/>
              </w:rPr>
            </w:pPr>
          </w:p>
        </w:tc>
        <w:tc>
          <w:tcPr>
            <w:tcW w:w="680" w:type="dxa"/>
            <w:vAlign w:val="bottom"/>
            <w:vMerge w:val="continue"/>
            <w:shd w:val="clear" w:color="auto" w:fill="F4F6F6"/>
          </w:tcPr>
          <w:p>
            <w:pPr>
              <w:spacing w:after="0"/>
              <w:rPr>
                <w:sz w:val="14"/>
                <w:szCs w:val="14"/>
                <w:color w:val="auto"/>
              </w:rPr>
            </w:pPr>
          </w:p>
        </w:tc>
        <w:tc>
          <w:tcPr>
            <w:tcW w:w="640" w:type="dxa"/>
            <w:vAlign w:val="bottom"/>
            <w:vMerge w:val="continue"/>
            <w:shd w:val="clear" w:color="auto" w:fill="F4F6F6"/>
          </w:tcPr>
          <w:p>
            <w:pPr>
              <w:spacing w:after="0"/>
              <w:rPr>
                <w:sz w:val="14"/>
                <w:szCs w:val="14"/>
                <w:color w:val="auto"/>
              </w:rPr>
            </w:pPr>
          </w:p>
        </w:tc>
        <w:tc>
          <w:tcPr>
            <w:tcW w:w="580" w:type="dxa"/>
            <w:vAlign w:val="bottom"/>
            <w:shd w:val="clear" w:color="auto" w:fill="F4F6F6"/>
          </w:tcPr>
          <w:p>
            <w:pPr>
              <w:spacing w:after="0"/>
              <w:rPr>
                <w:sz w:val="14"/>
                <w:szCs w:val="14"/>
                <w:color w:val="auto"/>
              </w:rPr>
            </w:pPr>
          </w:p>
        </w:tc>
        <w:tc>
          <w:tcPr>
            <w:tcW w:w="940" w:type="dxa"/>
            <w:vAlign w:val="bottom"/>
            <w:shd w:val="clear" w:color="auto" w:fill="F4F6F6"/>
          </w:tcPr>
          <w:p>
            <w:pPr>
              <w:spacing w:after="0"/>
              <w:rPr>
                <w:sz w:val="14"/>
                <w:szCs w:val="14"/>
                <w:color w:val="auto"/>
              </w:rPr>
            </w:pPr>
          </w:p>
        </w:tc>
        <w:tc>
          <w:tcPr>
            <w:tcW w:w="720" w:type="dxa"/>
            <w:vAlign w:val="bottom"/>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60" w:type="dxa"/>
            <w:vAlign w:val="bottom"/>
            <w:tcBorders>
              <w:bottom w:val="single" w:sz="8" w:color="C8C9CB"/>
            </w:tcBorders>
            <w:shd w:val="clear" w:color="auto" w:fill="F4F6F6"/>
          </w:tcPr>
          <w:p>
            <w:pPr>
              <w:spacing w:after="0"/>
              <w:rPr>
                <w:sz w:val="24"/>
                <w:szCs w:val="24"/>
                <w:color w:val="auto"/>
              </w:rPr>
            </w:pPr>
          </w:p>
        </w:tc>
        <w:tc>
          <w:tcPr>
            <w:tcW w:w="440" w:type="dxa"/>
            <w:vAlign w:val="bottom"/>
            <w:tcBorders>
              <w:bottom w:val="single" w:sz="8" w:color="C8C9CB"/>
            </w:tcBorders>
            <w:shd w:val="clear" w:color="auto" w:fill="F4F6F6"/>
          </w:tcPr>
          <w:p>
            <w:pPr>
              <w:spacing w:after="0"/>
              <w:rPr>
                <w:sz w:val="24"/>
                <w:szCs w:val="24"/>
                <w:color w:val="auto"/>
              </w:rPr>
            </w:pPr>
          </w:p>
        </w:tc>
        <w:tc>
          <w:tcPr>
            <w:tcW w:w="140" w:type="dxa"/>
            <w:vAlign w:val="bottom"/>
            <w:tcBorders>
              <w:bottom w:val="single" w:sz="8" w:color="C8C9CB"/>
            </w:tcBorders>
            <w:shd w:val="clear" w:color="auto" w:fill="F4F6F6"/>
          </w:tcPr>
          <w:p>
            <w:pPr>
              <w:spacing w:after="0"/>
              <w:rPr>
                <w:sz w:val="24"/>
                <w:szCs w:val="24"/>
                <w:color w:val="auto"/>
              </w:rPr>
            </w:pPr>
          </w:p>
        </w:tc>
        <w:tc>
          <w:tcPr>
            <w:tcW w:w="760" w:type="dxa"/>
            <w:vAlign w:val="bottom"/>
            <w:tcBorders>
              <w:bottom w:val="single" w:sz="8" w:color="C8C9CB"/>
            </w:tcBorders>
            <w:shd w:val="clear" w:color="auto" w:fill="F4F6F6"/>
          </w:tcPr>
          <w:p>
            <w:pPr>
              <w:spacing w:after="0"/>
              <w:rPr>
                <w:sz w:val="24"/>
                <w:szCs w:val="24"/>
                <w:color w:val="auto"/>
              </w:rPr>
            </w:pPr>
          </w:p>
        </w:tc>
        <w:tc>
          <w:tcPr>
            <w:tcW w:w="840" w:type="dxa"/>
            <w:vAlign w:val="bottom"/>
            <w:tcBorders>
              <w:bottom w:val="single" w:sz="8" w:color="C8C9CB"/>
            </w:tcBorders>
            <w:shd w:val="clear" w:color="auto" w:fill="F4F6F6"/>
          </w:tcPr>
          <w:p>
            <w:pPr>
              <w:spacing w:after="0"/>
              <w:rPr>
                <w:sz w:val="24"/>
                <w:szCs w:val="24"/>
                <w:color w:val="auto"/>
              </w:rPr>
            </w:pPr>
          </w:p>
        </w:tc>
        <w:tc>
          <w:tcPr>
            <w:tcW w:w="620" w:type="dxa"/>
            <w:vAlign w:val="bottom"/>
            <w:tcBorders>
              <w:bottom w:val="single" w:sz="8" w:color="C8C9CB"/>
            </w:tcBorders>
            <w:shd w:val="clear" w:color="auto" w:fill="F4F6F6"/>
          </w:tcPr>
          <w:p>
            <w:pPr>
              <w:spacing w:after="0"/>
              <w:rPr>
                <w:sz w:val="24"/>
                <w:szCs w:val="24"/>
                <w:color w:val="auto"/>
              </w:rPr>
            </w:pPr>
          </w:p>
        </w:tc>
        <w:tc>
          <w:tcPr>
            <w:tcW w:w="700" w:type="dxa"/>
            <w:vAlign w:val="bottom"/>
            <w:tcBorders>
              <w:bottom w:val="single" w:sz="8" w:color="C8C9CB"/>
            </w:tcBorders>
            <w:shd w:val="clear" w:color="auto" w:fill="F4F6F6"/>
          </w:tcPr>
          <w:p>
            <w:pPr>
              <w:spacing w:after="0"/>
              <w:rPr>
                <w:sz w:val="24"/>
                <w:szCs w:val="24"/>
                <w:color w:val="auto"/>
              </w:rPr>
            </w:pPr>
          </w:p>
        </w:tc>
        <w:tc>
          <w:tcPr>
            <w:tcW w:w="740" w:type="dxa"/>
            <w:vAlign w:val="bottom"/>
            <w:tcBorders>
              <w:bottom w:val="single" w:sz="8" w:color="C8C9CB"/>
            </w:tcBorders>
            <w:shd w:val="clear" w:color="auto" w:fill="F4F6F6"/>
          </w:tcPr>
          <w:p>
            <w:pPr>
              <w:spacing w:after="0"/>
              <w:rPr>
                <w:sz w:val="24"/>
                <w:szCs w:val="24"/>
                <w:color w:val="auto"/>
              </w:rPr>
            </w:pPr>
          </w:p>
        </w:tc>
        <w:tc>
          <w:tcPr>
            <w:tcW w:w="660" w:type="dxa"/>
            <w:vAlign w:val="bottom"/>
            <w:tcBorders>
              <w:bottom w:val="single" w:sz="8" w:color="C8C9CB"/>
            </w:tcBorders>
            <w:shd w:val="clear" w:color="auto" w:fill="F4F6F6"/>
          </w:tcPr>
          <w:p>
            <w:pPr>
              <w:spacing w:after="0"/>
              <w:rPr>
                <w:sz w:val="24"/>
                <w:szCs w:val="24"/>
                <w:color w:val="auto"/>
              </w:rPr>
            </w:pPr>
          </w:p>
        </w:tc>
        <w:tc>
          <w:tcPr>
            <w:tcW w:w="680" w:type="dxa"/>
            <w:vAlign w:val="bottom"/>
            <w:tcBorders>
              <w:bottom w:val="single" w:sz="8" w:color="C8C9CB"/>
            </w:tcBorders>
            <w:shd w:val="clear" w:color="auto" w:fill="F4F6F6"/>
          </w:tcPr>
          <w:p>
            <w:pPr>
              <w:spacing w:after="0"/>
              <w:rPr>
                <w:sz w:val="24"/>
                <w:szCs w:val="24"/>
                <w:color w:val="auto"/>
              </w:rPr>
            </w:pPr>
          </w:p>
        </w:tc>
        <w:tc>
          <w:tcPr>
            <w:tcW w:w="640" w:type="dxa"/>
            <w:vAlign w:val="bottom"/>
            <w:tcBorders>
              <w:bottom w:val="single" w:sz="8" w:color="C8C9CB"/>
            </w:tcBorders>
            <w:shd w:val="clear" w:color="auto" w:fill="F4F6F6"/>
          </w:tcPr>
          <w:p>
            <w:pPr>
              <w:spacing w:after="0"/>
              <w:rPr>
                <w:sz w:val="24"/>
                <w:szCs w:val="24"/>
                <w:color w:val="auto"/>
              </w:rPr>
            </w:pPr>
          </w:p>
        </w:tc>
        <w:tc>
          <w:tcPr>
            <w:tcW w:w="58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tcBorders>
              <w:bottom w:val="single" w:sz="8" w:color="C8C9CB"/>
            </w:tcBorders>
            <w:shd w:val="clear" w:color="auto" w:fill="F4F6F6"/>
          </w:tcPr>
          <w:p>
            <w:pPr>
              <w:spacing w:after="0"/>
              <w:rPr>
                <w:sz w:val="24"/>
                <w:szCs w:val="24"/>
                <w:color w:val="auto"/>
              </w:rPr>
            </w:pPr>
          </w:p>
        </w:tc>
        <w:tc>
          <w:tcPr>
            <w:tcW w:w="720" w:type="dxa"/>
            <w:vAlign w:val="bottom"/>
            <w:tcBorders>
              <w:bottom w:val="single" w:sz="8" w:color="C8C9CB"/>
            </w:tcBorders>
            <w:shd w:val="clear" w:color="auto" w:fill="F4F6F6"/>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60" w:type="dxa"/>
            <w:vAlign w:val="bottom"/>
          </w:tcPr>
          <w:p>
            <w:pPr>
              <w:ind w:left="20"/>
              <w:spacing w:after="0"/>
              <w:rPr>
                <w:sz w:val="20"/>
                <w:szCs w:val="20"/>
                <w:color w:val="auto"/>
              </w:rPr>
            </w:pPr>
            <w:r>
              <w:rPr>
                <w:rFonts w:ascii="Arial" w:cs="Arial" w:eastAsia="Arial" w:hAnsi="Arial"/>
                <w:sz w:val="12"/>
                <w:szCs w:val="12"/>
                <w:color w:val="auto"/>
              </w:rPr>
              <w:t>Mr.</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279"/>
              <w:spacing w:after="0"/>
              <w:rPr>
                <w:sz w:val="20"/>
                <w:szCs w:val="20"/>
                <w:color w:val="auto"/>
              </w:rPr>
            </w:pPr>
            <w:r>
              <w:rPr>
                <w:rFonts w:ascii="Arial" w:cs="Arial" w:eastAsia="Arial" w:hAnsi="Arial"/>
                <w:sz w:val="10"/>
                <w:szCs w:val="10"/>
                <w:color w:val="auto"/>
              </w:rPr>
              <w:t>__</w:t>
            </w:r>
          </w:p>
        </w:tc>
        <w:tc>
          <w:tcPr>
            <w:tcW w:w="840" w:type="dxa"/>
            <w:vAlign w:val="bottom"/>
            <w:vMerge w:val="restart"/>
          </w:tcPr>
          <w:p>
            <w:pPr>
              <w:jc w:val="right"/>
              <w:ind w:right="319"/>
              <w:spacing w:after="0"/>
              <w:rPr>
                <w:sz w:val="20"/>
                <w:szCs w:val="20"/>
                <w:color w:val="auto"/>
              </w:rPr>
            </w:pPr>
            <w:r>
              <w:rPr>
                <w:rFonts w:ascii="Arial" w:cs="Arial" w:eastAsia="Arial" w:hAnsi="Arial"/>
                <w:sz w:val="12"/>
                <w:szCs w:val="12"/>
                <w:color w:val="auto"/>
              </w:rPr>
              <w:t>__</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99"/>
              </w:rPr>
              <w:t>$172,060</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99"/>
              </w:rPr>
              <w:t>$688,240</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5"/>
              </w:rPr>
              <w:t>$1,376,480</w:t>
            </w: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0" w:type="dxa"/>
            <w:vAlign w:val="bottom"/>
          </w:tcPr>
          <w:p>
            <w:pPr>
              <w:ind w:left="20"/>
              <w:spacing w:after="0"/>
              <w:rPr>
                <w:sz w:val="20"/>
                <w:szCs w:val="20"/>
                <w:color w:val="auto"/>
              </w:rPr>
            </w:pPr>
            <w:r>
              <w:rPr>
                <w:rFonts w:ascii="Arial" w:cs="Arial" w:eastAsia="Arial" w:hAnsi="Arial"/>
                <w:sz w:val="12"/>
                <w:szCs w:val="12"/>
                <w:color w:val="auto"/>
              </w:rPr>
              <w:t>Harrington</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2018-</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3"/>
                <w:szCs w:val="13"/>
                <w:color w:val="auto"/>
                <w:w w:val="96"/>
              </w:rPr>
              <w:t>2020</w:t>
            </w:r>
          </w:p>
        </w:tc>
        <w:tc>
          <w:tcPr>
            <w:tcW w:w="14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4"/>
              </w:rPr>
              <w:t>2/9/2018</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8"/>
              </w:rPr>
              <w:t>12/11/2017</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8"/>
              </w:rPr>
              <w:t>7,120</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14,240</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21,360</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5"/>
              </w:rPr>
              <w:t>$1,468,800</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PA</w:t>
            </w:r>
          </w:p>
        </w:tc>
        <w:tc>
          <w:tcPr>
            <w:tcW w:w="140" w:type="dxa"/>
            <w:vAlign w:val="bottom"/>
          </w:tcPr>
          <w:p>
            <w:pPr>
              <w:jc w:val="right"/>
              <w:ind w:right="15"/>
              <w:spacing w:after="0"/>
              <w:rPr>
                <w:sz w:val="20"/>
                <w:szCs w:val="20"/>
                <w:color w:val="auto"/>
              </w:rPr>
            </w:pPr>
            <w:r>
              <w:rPr>
                <w:rFonts w:ascii="Arial" w:cs="Arial" w:eastAsia="Arial" w:hAnsi="Arial"/>
                <w:sz w:val="9"/>
                <w:szCs w:val="9"/>
                <w:color w:val="auto"/>
              </w:rPr>
              <w:t>3</w:t>
            </w: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2018-</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3"/>
                <w:szCs w:val="13"/>
                <w:color w:val="auto"/>
                <w:w w:val="96"/>
              </w:rPr>
              <w:t>2020</w:t>
            </w:r>
          </w:p>
        </w:tc>
        <w:tc>
          <w:tcPr>
            <w:tcW w:w="14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4"/>
              </w:rPr>
              <w:t>2/9/2018</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8"/>
              </w:rPr>
              <w:t>12/11/2017</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14,851</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37,127</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66,829</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5"/>
              </w:rPr>
              <w:t>$1,530,000</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92"/>
              </w:rPr>
              <w:t>SVA</w:t>
            </w:r>
          </w:p>
        </w:tc>
        <w:tc>
          <w:tcPr>
            <w:tcW w:w="140" w:type="dxa"/>
            <w:vAlign w:val="bottom"/>
          </w:tcPr>
          <w:p>
            <w:pPr>
              <w:jc w:val="right"/>
              <w:ind w:right="15"/>
              <w:spacing w:after="0"/>
              <w:rPr>
                <w:sz w:val="20"/>
                <w:szCs w:val="20"/>
                <w:color w:val="auto"/>
              </w:rPr>
            </w:pPr>
            <w:r>
              <w:rPr>
                <w:rFonts w:ascii="Arial" w:cs="Arial" w:eastAsia="Arial" w:hAnsi="Arial"/>
                <w:sz w:val="9"/>
                <w:szCs w:val="9"/>
                <w:color w:val="auto"/>
              </w:rPr>
              <w:t>4</w:t>
            </w: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60" w:type="dxa"/>
            <w:vAlign w:val="bottom"/>
            <w:tcBorders>
              <w:bottom w:val="single" w:sz="8" w:color="C8C9CB"/>
            </w:tcBorders>
          </w:tcPr>
          <w:p>
            <w:pPr>
              <w:spacing w:after="0"/>
              <w:rPr>
                <w:sz w:val="24"/>
                <w:szCs w:val="24"/>
                <w:color w:val="auto"/>
              </w:rPr>
            </w:pPr>
          </w:p>
        </w:tc>
        <w:tc>
          <w:tcPr>
            <w:tcW w:w="440" w:type="dxa"/>
            <w:vAlign w:val="bottom"/>
            <w:tcBorders>
              <w:bottom w:val="single" w:sz="8" w:color="C8C9CB"/>
            </w:tcBorders>
          </w:tcPr>
          <w:p>
            <w:pPr>
              <w:spacing w:after="0"/>
              <w:rPr>
                <w:sz w:val="24"/>
                <w:szCs w:val="24"/>
                <w:color w:val="auto"/>
              </w:rPr>
            </w:pPr>
          </w:p>
        </w:tc>
        <w:tc>
          <w:tcPr>
            <w:tcW w:w="140" w:type="dxa"/>
            <w:vAlign w:val="bottom"/>
            <w:tcBorders>
              <w:bottom w:val="single" w:sz="8" w:color="C8C9CB"/>
            </w:tcBorders>
          </w:tcPr>
          <w:p>
            <w:pPr>
              <w:spacing w:after="0"/>
              <w:rPr>
                <w:sz w:val="24"/>
                <w:szCs w:val="24"/>
                <w:color w:val="auto"/>
              </w:rPr>
            </w:pPr>
          </w:p>
        </w:tc>
        <w:tc>
          <w:tcPr>
            <w:tcW w:w="760" w:type="dxa"/>
            <w:vAlign w:val="bottom"/>
            <w:tcBorders>
              <w:bottom w:val="single" w:sz="8" w:color="C8C9CB"/>
            </w:tcBorders>
          </w:tcPr>
          <w:p>
            <w:pPr>
              <w:spacing w:after="0"/>
              <w:rPr>
                <w:sz w:val="24"/>
                <w:szCs w:val="24"/>
                <w:color w:val="auto"/>
              </w:rPr>
            </w:pPr>
          </w:p>
        </w:tc>
        <w:tc>
          <w:tcPr>
            <w:tcW w:w="840" w:type="dxa"/>
            <w:vAlign w:val="bottom"/>
            <w:tcBorders>
              <w:bottom w:val="single" w:sz="8" w:color="C8C9CB"/>
            </w:tcBorders>
          </w:tcPr>
          <w:p>
            <w:pPr>
              <w:spacing w:after="0"/>
              <w:rPr>
                <w:sz w:val="24"/>
                <w:szCs w:val="24"/>
                <w:color w:val="auto"/>
              </w:rPr>
            </w:pPr>
          </w:p>
        </w:tc>
        <w:tc>
          <w:tcPr>
            <w:tcW w:w="620" w:type="dxa"/>
            <w:vAlign w:val="bottom"/>
            <w:tcBorders>
              <w:bottom w:val="single" w:sz="8" w:color="C8C9CB"/>
            </w:tcBorders>
          </w:tcPr>
          <w:p>
            <w:pPr>
              <w:spacing w:after="0"/>
              <w:rPr>
                <w:sz w:val="24"/>
                <w:szCs w:val="24"/>
                <w:color w:val="auto"/>
              </w:rPr>
            </w:pPr>
          </w:p>
        </w:tc>
        <w:tc>
          <w:tcPr>
            <w:tcW w:w="700" w:type="dxa"/>
            <w:vAlign w:val="bottom"/>
            <w:tcBorders>
              <w:bottom w:val="single" w:sz="8" w:color="C8C9CB"/>
            </w:tcBorders>
          </w:tcPr>
          <w:p>
            <w:pPr>
              <w:spacing w:after="0"/>
              <w:rPr>
                <w:sz w:val="24"/>
                <w:szCs w:val="24"/>
                <w:color w:val="auto"/>
              </w:rPr>
            </w:pPr>
          </w:p>
        </w:tc>
        <w:tc>
          <w:tcPr>
            <w:tcW w:w="740" w:type="dxa"/>
            <w:vAlign w:val="bottom"/>
            <w:tcBorders>
              <w:bottom w:val="single" w:sz="8" w:color="C8C9CB"/>
            </w:tcBorders>
          </w:tcPr>
          <w:p>
            <w:pPr>
              <w:spacing w:after="0"/>
              <w:rPr>
                <w:sz w:val="24"/>
                <w:szCs w:val="24"/>
                <w:color w:val="auto"/>
              </w:rPr>
            </w:pPr>
          </w:p>
        </w:tc>
        <w:tc>
          <w:tcPr>
            <w:tcW w:w="660" w:type="dxa"/>
            <w:vAlign w:val="bottom"/>
            <w:tcBorders>
              <w:bottom w:val="single" w:sz="8" w:color="C8C9CB"/>
            </w:tcBorders>
          </w:tcPr>
          <w:p>
            <w:pPr>
              <w:spacing w:after="0"/>
              <w:rPr>
                <w:sz w:val="24"/>
                <w:szCs w:val="24"/>
                <w:color w:val="auto"/>
              </w:rPr>
            </w:pPr>
          </w:p>
        </w:tc>
        <w:tc>
          <w:tcPr>
            <w:tcW w:w="680" w:type="dxa"/>
            <w:vAlign w:val="bottom"/>
            <w:tcBorders>
              <w:bottom w:val="single" w:sz="8" w:color="C8C9CB"/>
            </w:tcBorders>
          </w:tcPr>
          <w:p>
            <w:pPr>
              <w:spacing w:after="0"/>
              <w:rPr>
                <w:sz w:val="24"/>
                <w:szCs w:val="24"/>
                <w:color w:val="auto"/>
              </w:rPr>
            </w:pPr>
          </w:p>
        </w:tc>
        <w:tc>
          <w:tcPr>
            <w:tcW w:w="640" w:type="dxa"/>
            <w:vAlign w:val="bottom"/>
            <w:tcBorders>
              <w:bottom w:val="single" w:sz="8" w:color="C8C9CB"/>
            </w:tcBorders>
          </w:tcPr>
          <w:p>
            <w:pPr>
              <w:spacing w:after="0"/>
              <w:rPr>
                <w:sz w:val="24"/>
                <w:szCs w:val="24"/>
                <w:color w:val="auto"/>
              </w:rPr>
            </w:pPr>
          </w:p>
        </w:tc>
        <w:tc>
          <w:tcPr>
            <w:tcW w:w="58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tcBorders>
              <w:bottom w:val="single" w:sz="8" w:color="C8C9CB"/>
            </w:tcBorders>
          </w:tcPr>
          <w:p>
            <w:pPr>
              <w:spacing w:after="0"/>
              <w:rPr>
                <w:sz w:val="24"/>
                <w:szCs w:val="24"/>
                <w:color w:val="auto"/>
              </w:rPr>
            </w:pPr>
          </w:p>
        </w:tc>
        <w:tc>
          <w:tcPr>
            <w:tcW w:w="720" w:type="dxa"/>
            <w:vAlign w:val="bottom"/>
            <w:tcBorders>
              <w:bottom w:val="single" w:sz="8" w:color="C8C9CB"/>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60" w:type="dxa"/>
            <w:vAlign w:val="bottom"/>
            <w:shd w:val="clear" w:color="auto" w:fill="F4F6F6"/>
          </w:tcPr>
          <w:p>
            <w:pPr>
              <w:ind w:left="20"/>
              <w:spacing w:after="0"/>
              <w:rPr>
                <w:sz w:val="20"/>
                <w:szCs w:val="20"/>
                <w:color w:val="auto"/>
              </w:rPr>
            </w:pPr>
            <w:r>
              <w:rPr>
                <w:rFonts w:ascii="Arial" w:cs="Arial" w:eastAsia="Arial" w:hAnsi="Arial"/>
                <w:sz w:val="12"/>
                <w:szCs w:val="12"/>
                <w:color w:val="auto"/>
              </w:rPr>
              <w:t>Mr.</w:t>
            </w:r>
          </w:p>
        </w:tc>
        <w:tc>
          <w:tcPr>
            <w:tcW w:w="440" w:type="dxa"/>
            <w:vAlign w:val="bottom"/>
            <w:shd w:val="clear" w:color="auto" w:fill="F4F6F6"/>
          </w:tcPr>
          <w:p>
            <w:pPr>
              <w:spacing w:after="0"/>
              <w:rPr>
                <w:sz w:val="13"/>
                <w:szCs w:val="13"/>
                <w:color w:val="auto"/>
              </w:rPr>
            </w:pPr>
          </w:p>
        </w:tc>
        <w:tc>
          <w:tcPr>
            <w:tcW w:w="140" w:type="dxa"/>
            <w:vAlign w:val="bottom"/>
            <w:shd w:val="clear" w:color="auto" w:fill="F4F6F6"/>
          </w:tcPr>
          <w:p>
            <w:pPr>
              <w:spacing w:after="0"/>
              <w:rPr>
                <w:sz w:val="13"/>
                <w:szCs w:val="13"/>
                <w:color w:val="auto"/>
              </w:rPr>
            </w:pPr>
          </w:p>
        </w:tc>
        <w:tc>
          <w:tcPr>
            <w:tcW w:w="760" w:type="dxa"/>
            <w:vAlign w:val="bottom"/>
            <w:vMerge w:val="restart"/>
            <w:shd w:val="clear" w:color="auto" w:fill="F4F6F6"/>
          </w:tcPr>
          <w:p>
            <w:pPr>
              <w:jc w:val="right"/>
              <w:ind w:right="279"/>
              <w:spacing w:after="0"/>
              <w:rPr>
                <w:sz w:val="20"/>
                <w:szCs w:val="20"/>
                <w:color w:val="auto"/>
              </w:rPr>
            </w:pPr>
            <w:r>
              <w:rPr>
                <w:rFonts w:ascii="Arial" w:cs="Arial" w:eastAsia="Arial" w:hAnsi="Arial"/>
                <w:sz w:val="12"/>
                <w:szCs w:val="12"/>
                <w:color w:val="auto"/>
              </w:rPr>
              <w:t>__</w:t>
            </w:r>
          </w:p>
        </w:tc>
        <w:tc>
          <w:tcPr>
            <w:tcW w:w="840" w:type="dxa"/>
            <w:vAlign w:val="bottom"/>
            <w:vMerge w:val="restart"/>
            <w:shd w:val="clear" w:color="auto" w:fill="F4F6F6"/>
          </w:tcPr>
          <w:p>
            <w:pPr>
              <w:jc w:val="right"/>
              <w:ind w:right="319"/>
              <w:spacing w:after="0"/>
              <w:rPr>
                <w:sz w:val="20"/>
                <w:szCs w:val="20"/>
                <w:color w:val="auto"/>
              </w:rPr>
            </w:pPr>
            <w:r>
              <w:rPr>
                <w:rFonts w:ascii="Arial" w:cs="Arial" w:eastAsia="Arial" w:hAnsi="Arial"/>
                <w:sz w:val="12"/>
                <w:szCs w:val="12"/>
                <w:color w:val="auto"/>
              </w:rPr>
              <w:t>__</w:t>
            </w:r>
          </w:p>
        </w:tc>
        <w:tc>
          <w:tcPr>
            <w:tcW w:w="6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9"/>
              </w:rPr>
              <w:t>$158,937</w:t>
            </w:r>
          </w:p>
        </w:tc>
        <w:tc>
          <w:tcPr>
            <w:tcW w:w="70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9"/>
              </w:rPr>
              <w:t>$635,747</w:t>
            </w:r>
          </w:p>
        </w:tc>
        <w:tc>
          <w:tcPr>
            <w:tcW w:w="7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$1,271,493</w:t>
            </w:r>
          </w:p>
        </w:tc>
        <w:tc>
          <w:tcPr>
            <w:tcW w:w="660" w:type="dxa"/>
            <w:vAlign w:val="bottom"/>
            <w:shd w:val="clear" w:color="auto" w:fill="F4F6F6"/>
          </w:tcPr>
          <w:p>
            <w:pPr>
              <w:spacing w:after="0"/>
              <w:rPr>
                <w:sz w:val="13"/>
                <w:szCs w:val="13"/>
                <w:color w:val="auto"/>
              </w:rPr>
            </w:pPr>
          </w:p>
        </w:tc>
        <w:tc>
          <w:tcPr>
            <w:tcW w:w="680" w:type="dxa"/>
            <w:vAlign w:val="bottom"/>
            <w:shd w:val="clear" w:color="auto" w:fill="F4F6F6"/>
          </w:tcPr>
          <w:p>
            <w:pPr>
              <w:spacing w:after="0"/>
              <w:rPr>
                <w:sz w:val="13"/>
                <w:szCs w:val="13"/>
                <w:color w:val="auto"/>
              </w:rPr>
            </w:pPr>
          </w:p>
        </w:tc>
        <w:tc>
          <w:tcPr>
            <w:tcW w:w="640" w:type="dxa"/>
            <w:vAlign w:val="bottom"/>
            <w:shd w:val="clear" w:color="auto" w:fill="F4F6F6"/>
          </w:tcPr>
          <w:p>
            <w:pPr>
              <w:spacing w:after="0"/>
              <w:rPr>
                <w:sz w:val="13"/>
                <w:szCs w:val="13"/>
                <w:color w:val="auto"/>
              </w:rPr>
            </w:pPr>
          </w:p>
        </w:tc>
        <w:tc>
          <w:tcPr>
            <w:tcW w:w="580" w:type="dxa"/>
            <w:vAlign w:val="bottom"/>
            <w:shd w:val="clear" w:color="auto" w:fill="F4F6F6"/>
          </w:tcPr>
          <w:p>
            <w:pPr>
              <w:spacing w:after="0"/>
              <w:rPr>
                <w:sz w:val="13"/>
                <w:szCs w:val="13"/>
                <w:color w:val="auto"/>
              </w:rPr>
            </w:pPr>
          </w:p>
        </w:tc>
        <w:tc>
          <w:tcPr>
            <w:tcW w:w="940" w:type="dxa"/>
            <w:vAlign w:val="bottom"/>
            <w:shd w:val="clear" w:color="auto" w:fill="F4F6F6"/>
          </w:tcPr>
          <w:p>
            <w:pPr>
              <w:spacing w:after="0"/>
              <w:rPr>
                <w:sz w:val="13"/>
                <w:szCs w:val="13"/>
                <w:color w:val="auto"/>
              </w:rPr>
            </w:pPr>
          </w:p>
        </w:tc>
        <w:tc>
          <w:tcPr>
            <w:tcW w:w="72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0" w:type="dxa"/>
            <w:vAlign w:val="bottom"/>
            <w:shd w:val="clear" w:color="auto" w:fill="F4F6F6"/>
          </w:tcPr>
          <w:p>
            <w:pPr>
              <w:ind w:left="20"/>
              <w:spacing w:after="0"/>
              <w:rPr>
                <w:sz w:val="20"/>
                <w:szCs w:val="20"/>
                <w:color w:val="auto"/>
              </w:rPr>
            </w:pPr>
            <w:r>
              <w:rPr>
                <w:rFonts w:ascii="Arial" w:cs="Arial" w:eastAsia="Arial" w:hAnsi="Arial"/>
                <w:sz w:val="12"/>
                <w:szCs w:val="12"/>
                <w:color w:val="auto"/>
              </w:rPr>
              <w:t>Conterno</w:t>
            </w:r>
          </w:p>
        </w:tc>
        <w:tc>
          <w:tcPr>
            <w:tcW w:w="440" w:type="dxa"/>
            <w:vAlign w:val="bottom"/>
            <w:shd w:val="clear" w:color="auto" w:fill="F4F6F6"/>
          </w:tcPr>
          <w:p>
            <w:pPr>
              <w:spacing w:after="0"/>
              <w:rPr>
                <w:sz w:val="13"/>
                <w:szCs w:val="13"/>
                <w:color w:val="auto"/>
              </w:rPr>
            </w:pPr>
          </w:p>
        </w:tc>
        <w:tc>
          <w:tcPr>
            <w:tcW w:w="140" w:type="dxa"/>
            <w:vAlign w:val="bottom"/>
            <w:shd w:val="clear" w:color="auto" w:fill="F4F6F6"/>
          </w:tcPr>
          <w:p>
            <w:pPr>
              <w:spacing w:after="0"/>
              <w:rPr>
                <w:sz w:val="13"/>
                <w:szCs w:val="13"/>
                <w:color w:val="auto"/>
              </w:rPr>
            </w:pPr>
          </w:p>
        </w:tc>
        <w:tc>
          <w:tcPr>
            <w:tcW w:w="760" w:type="dxa"/>
            <w:vAlign w:val="bottom"/>
            <w:vMerge w:val="continue"/>
            <w:shd w:val="clear" w:color="auto" w:fill="F4F6F6"/>
          </w:tcPr>
          <w:p>
            <w:pPr>
              <w:spacing w:after="0"/>
              <w:rPr>
                <w:sz w:val="13"/>
                <w:szCs w:val="13"/>
                <w:color w:val="auto"/>
              </w:rPr>
            </w:pPr>
          </w:p>
        </w:tc>
        <w:tc>
          <w:tcPr>
            <w:tcW w:w="840" w:type="dxa"/>
            <w:vAlign w:val="bottom"/>
            <w:vMerge w:val="continue"/>
            <w:shd w:val="clear" w:color="auto" w:fill="F4F6F6"/>
          </w:tcPr>
          <w:p>
            <w:pPr>
              <w:spacing w:after="0"/>
              <w:rPr>
                <w:sz w:val="13"/>
                <w:szCs w:val="13"/>
                <w:color w:val="auto"/>
              </w:rPr>
            </w:pPr>
          </w:p>
        </w:tc>
        <w:tc>
          <w:tcPr>
            <w:tcW w:w="620" w:type="dxa"/>
            <w:vAlign w:val="bottom"/>
            <w:vMerge w:val="continue"/>
            <w:shd w:val="clear" w:color="auto" w:fill="F4F6F6"/>
          </w:tcPr>
          <w:p>
            <w:pPr>
              <w:spacing w:after="0"/>
              <w:rPr>
                <w:sz w:val="13"/>
                <w:szCs w:val="13"/>
                <w:color w:val="auto"/>
              </w:rPr>
            </w:pPr>
          </w:p>
        </w:tc>
        <w:tc>
          <w:tcPr>
            <w:tcW w:w="700" w:type="dxa"/>
            <w:vAlign w:val="bottom"/>
            <w:vMerge w:val="continue"/>
            <w:shd w:val="clear" w:color="auto" w:fill="F4F6F6"/>
          </w:tcPr>
          <w:p>
            <w:pPr>
              <w:spacing w:after="0"/>
              <w:rPr>
                <w:sz w:val="13"/>
                <w:szCs w:val="13"/>
                <w:color w:val="auto"/>
              </w:rPr>
            </w:pPr>
          </w:p>
        </w:tc>
        <w:tc>
          <w:tcPr>
            <w:tcW w:w="740" w:type="dxa"/>
            <w:vAlign w:val="bottom"/>
            <w:vMerge w:val="continue"/>
            <w:shd w:val="clear" w:color="auto" w:fill="F4F6F6"/>
          </w:tcPr>
          <w:p>
            <w:pPr>
              <w:spacing w:after="0"/>
              <w:rPr>
                <w:sz w:val="13"/>
                <w:szCs w:val="13"/>
                <w:color w:val="auto"/>
              </w:rPr>
            </w:pPr>
          </w:p>
        </w:tc>
        <w:tc>
          <w:tcPr>
            <w:tcW w:w="660" w:type="dxa"/>
            <w:vAlign w:val="bottom"/>
            <w:shd w:val="clear" w:color="auto" w:fill="F4F6F6"/>
          </w:tcPr>
          <w:p>
            <w:pPr>
              <w:spacing w:after="0"/>
              <w:rPr>
                <w:sz w:val="13"/>
                <w:szCs w:val="13"/>
                <w:color w:val="auto"/>
              </w:rPr>
            </w:pPr>
          </w:p>
        </w:tc>
        <w:tc>
          <w:tcPr>
            <w:tcW w:w="680" w:type="dxa"/>
            <w:vAlign w:val="bottom"/>
            <w:shd w:val="clear" w:color="auto" w:fill="F4F6F6"/>
          </w:tcPr>
          <w:p>
            <w:pPr>
              <w:spacing w:after="0"/>
              <w:rPr>
                <w:sz w:val="13"/>
                <w:szCs w:val="13"/>
                <w:color w:val="auto"/>
              </w:rPr>
            </w:pPr>
          </w:p>
        </w:tc>
        <w:tc>
          <w:tcPr>
            <w:tcW w:w="640" w:type="dxa"/>
            <w:vAlign w:val="bottom"/>
            <w:shd w:val="clear" w:color="auto" w:fill="F4F6F6"/>
          </w:tcPr>
          <w:p>
            <w:pPr>
              <w:spacing w:after="0"/>
              <w:rPr>
                <w:sz w:val="13"/>
                <w:szCs w:val="13"/>
                <w:color w:val="auto"/>
              </w:rPr>
            </w:pPr>
          </w:p>
        </w:tc>
        <w:tc>
          <w:tcPr>
            <w:tcW w:w="580" w:type="dxa"/>
            <w:vAlign w:val="bottom"/>
            <w:shd w:val="clear" w:color="auto" w:fill="F4F6F6"/>
          </w:tcPr>
          <w:p>
            <w:pPr>
              <w:spacing w:after="0"/>
              <w:rPr>
                <w:sz w:val="13"/>
                <w:szCs w:val="13"/>
                <w:color w:val="auto"/>
              </w:rPr>
            </w:pPr>
          </w:p>
        </w:tc>
        <w:tc>
          <w:tcPr>
            <w:tcW w:w="940" w:type="dxa"/>
            <w:vAlign w:val="bottom"/>
            <w:shd w:val="clear" w:color="auto" w:fill="F4F6F6"/>
          </w:tcPr>
          <w:p>
            <w:pPr>
              <w:spacing w:after="0"/>
              <w:rPr>
                <w:sz w:val="13"/>
                <w:szCs w:val="13"/>
                <w:color w:val="auto"/>
              </w:rPr>
            </w:pPr>
          </w:p>
        </w:tc>
        <w:tc>
          <w:tcPr>
            <w:tcW w:w="72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0" w:type="dxa"/>
            <w:vAlign w:val="bottom"/>
            <w:shd w:val="clear" w:color="auto" w:fill="F4F6F6"/>
          </w:tcPr>
          <w:p>
            <w:pPr>
              <w:spacing w:after="0"/>
              <w:rPr>
                <w:sz w:val="13"/>
                <w:szCs w:val="13"/>
                <w:color w:val="auto"/>
              </w:rPr>
            </w:pPr>
          </w:p>
        </w:tc>
        <w:tc>
          <w:tcPr>
            <w:tcW w:w="4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2018-</w:t>
            </w:r>
          </w:p>
        </w:tc>
        <w:tc>
          <w:tcPr>
            <w:tcW w:w="140" w:type="dxa"/>
            <w:vAlign w:val="bottom"/>
            <w:shd w:val="clear" w:color="auto" w:fill="F4F6F6"/>
          </w:tcPr>
          <w:p>
            <w:pPr>
              <w:spacing w:after="0"/>
              <w:rPr>
                <w:sz w:val="13"/>
                <w:szCs w:val="13"/>
                <w:color w:val="auto"/>
              </w:rPr>
            </w:pPr>
          </w:p>
        </w:tc>
        <w:tc>
          <w:tcPr>
            <w:tcW w:w="760" w:type="dxa"/>
            <w:vAlign w:val="bottom"/>
            <w:shd w:val="clear" w:color="auto" w:fill="F4F6F6"/>
          </w:tcPr>
          <w:p>
            <w:pPr>
              <w:spacing w:after="0"/>
              <w:rPr>
                <w:sz w:val="13"/>
                <w:szCs w:val="13"/>
                <w:color w:val="auto"/>
              </w:rPr>
            </w:pPr>
          </w:p>
        </w:tc>
        <w:tc>
          <w:tcPr>
            <w:tcW w:w="840" w:type="dxa"/>
            <w:vAlign w:val="bottom"/>
            <w:shd w:val="clear" w:color="auto" w:fill="F4F6F6"/>
          </w:tcPr>
          <w:p>
            <w:pPr>
              <w:spacing w:after="0"/>
              <w:rPr>
                <w:sz w:val="13"/>
                <w:szCs w:val="13"/>
                <w:color w:val="auto"/>
              </w:rPr>
            </w:pPr>
          </w:p>
        </w:tc>
        <w:tc>
          <w:tcPr>
            <w:tcW w:w="620" w:type="dxa"/>
            <w:vAlign w:val="bottom"/>
            <w:shd w:val="clear" w:color="auto" w:fill="F4F6F6"/>
          </w:tcPr>
          <w:p>
            <w:pPr>
              <w:spacing w:after="0"/>
              <w:rPr>
                <w:sz w:val="13"/>
                <w:szCs w:val="13"/>
                <w:color w:val="auto"/>
              </w:rPr>
            </w:pPr>
          </w:p>
        </w:tc>
        <w:tc>
          <w:tcPr>
            <w:tcW w:w="700" w:type="dxa"/>
            <w:vAlign w:val="bottom"/>
            <w:shd w:val="clear" w:color="auto" w:fill="F4F6F6"/>
          </w:tcPr>
          <w:p>
            <w:pPr>
              <w:spacing w:after="0"/>
              <w:rPr>
                <w:sz w:val="13"/>
                <w:szCs w:val="13"/>
                <w:color w:val="auto"/>
              </w:rPr>
            </w:pPr>
          </w:p>
        </w:tc>
        <w:tc>
          <w:tcPr>
            <w:tcW w:w="740" w:type="dxa"/>
            <w:vAlign w:val="bottom"/>
            <w:shd w:val="clear" w:color="auto" w:fill="F4F6F6"/>
          </w:tcPr>
          <w:p>
            <w:pPr>
              <w:spacing w:after="0"/>
              <w:rPr>
                <w:sz w:val="13"/>
                <w:szCs w:val="13"/>
                <w:color w:val="auto"/>
              </w:rPr>
            </w:pPr>
          </w:p>
        </w:tc>
        <w:tc>
          <w:tcPr>
            <w:tcW w:w="660" w:type="dxa"/>
            <w:vAlign w:val="bottom"/>
            <w:shd w:val="clear" w:color="auto" w:fill="F4F6F6"/>
          </w:tcPr>
          <w:p>
            <w:pPr>
              <w:spacing w:after="0"/>
              <w:rPr>
                <w:sz w:val="13"/>
                <w:szCs w:val="13"/>
                <w:color w:val="auto"/>
              </w:rPr>
            </w:pPr>
          </w:p>
        </w:tc>
        <w:tc>
          <w:tcPr>
            <w:tcW w:w="680" w:type="dxa"/>
            <w:vAlign w:val="bottom"/>
            <w:shd w:val="clear" w:color="auto" w:fill="F4F6F6"/>
          </w:tcPr>
          <w:p>
            <w:pPr>
              <w:spacing w:after="0"/>
              <w:rPr>
                <w:sz w:val="13"/>
                <w:szCs w:val="13"/>
                <w:color w:val="auto"/>
              </w:rPr>
            </w:pPr>
          </w:p>
        </w:tc>
        <w:tc>
          <w:tcPr>
            <w:tcW w:w="640" w:type="dxa"/>
            <w:vAlign w:val="bottom"/>
            <w:shd w:val="clear" w:color="auto" w:fill="F4F6F6"/>
          </w:tcPr>
          <w:p>
            <w:pPr>
              <w:spacing w:after="0"/>
              <w:rPr>
                <w:sz w:val="13"/>
                <w:szCs w:val="13"/>
                <w:color w:val="auto"/>
              </w:rPr>
            </w:pPr>
          </w:p>
        </w:tc>
        <w:tc>
          <w:tcPr>
            <w:tcW w:w="580" w:type="dxa"/>
            <w:vAlign w:val="bottom"/>
            <w:shd w:val="clear" w:color="auto" w:fill="F4F6F6"/>
          </w:tcPr>
          <w:p>
            <w:pPr>
              <w:spacing w:after="0"/>
              <w:rPr>
                <w:sz w:val="13"/>
                <w:szCs w:val="13"/>
                <w:color w:val="auto"/>
              </w:rPr>
            </w:pPr>
          </w:p>
        </w:tc>
        <w:tc>
          <w:tcPr>
            <w:tcW w:w="940" w:type="dxa"/>
            <w:vAlign w:val="bottom"/>
            <w:shd w:val="clear" w:color="auto" w:fill="F4F6F6"/>
          </w:tcPr>
          <w:p>
            <w:pPr>
              <w:spacing w:after="0"/>
              <w:rPr>
                <w:sz w:val="13"/>
                <w:szCs w:val="13"/>
                <w:color w:val="auto"/>
              </w:rPr>
            </w:pPr>
          </w:p>
        </w:tc>
        <w:tc>
          <w:tcPr>
            <w:tcW w:w="72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60" w:type="dxa"/>
            <w:vAlign w:val="bottom"/>
            <w:shd w:val="clear" w:color="auto" w:fill="F4F6F6"/>
          </w:tcPr>
          <w:p>
            <w:pPr>
              <w:spacing w:after="0"/>
              <w:rPr>
                <w:sz w:val="11"/>
                <w:szCs w:val="11"/>
                <w:color w:val="auto"/>
              </w:rPr>
            </w:pPr>
          </w:p>
        </w:tc>
        <w:tc>
          <w:tcPr>
            <w:tcW w:w="440" w:type="dxa"/>
            <w:vAlign w:val="bottom"/>
            <w:shd w:val="clear" w:color="auto" w:fill="F4F6F6"/>
          </w:tcPr>
          <w:p>
            <w:pPr>
              <w:jc w:val="center"/>
              <w:spacing w:after="0" w:line="135" w:lineRule="exact"/>
              <w:rPr>
                <w:sz w:val="20"/>
                <w:szCs w:val="20"/>
                <w:color w:val="auto"/>
              </w:rPr>
            </w:pPr>
            <w:r>
              <w:rPr>
                <w:rFonts w:ascii="Arial" w:cs="Arial" w:eastAsia="Arial" w:hAnsi="Arial"/>
                <w:sz w:val="13"/>
                <w:szCs w:val="13"/>
                <w:color w:val="auto"/>
                <w:w w:val="96"/>
              </w:rPr>
              <w:t>2020</w:t>
            </w:r>
          </w:p>
        </w:tc>
        <w:tc>
          <w:tcPr>
            <w:tcW w:w="140" w:type="dxa"/>
            <w:vAlign w:val="bottom"/>
            <w:shd w:val="clear" w:color="auto" w:fill="F4F6F6"/>
          </w:tcPr>
          <w:p>
            <w:pPr>
              <w:spacing w:after="0"/>
              <w:rPr>
                <w:sz w:val="11"/>
                <w:szCs w:val="11"/>
                <w:color w:val="auto"/>
              </w:rPr>
            </w:pPr>
          </w:p>
        </w:tc>
        <w:tc>
          <w:tcPr>
            <w:tcW w:w="7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4"/>
              </w:rPr>
              <w:t>2/9/2018</w:t>
            </w:r>
          </w:p>
        </w:tc>
        <w:tc>
          <w:tcPr>
            <w:tcW w:w="8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12/11/2017</w:t>
            </w:r>
          </w:p>
        </w:tc>
        <w:tc>
          <w:tcPr>
            <w:tcW w:w="620" w:type="dxa"/>
            <w:vAlign w:val="bottom"/>
            <w:shd w:val="clear" w:color="auto" w:fill="F4F6F6"/>
          </w:tcPr>
          <w:p>
            <w:pPr>
              <w:spacing w:after="0"/>
              <w:rPr>
                <w:sz w:val="11"/>
                <w:szCs w:val="11"/>
                <w:color w:val="auto"/>
              </w:rPr>
            </w:pPr>
          </w:p>
        </w:tc>
        <w:tc>
          <w:tcPr>
            <w:tcW w:w="700" w:type="dxa"/>
            <w:vAlign w:val="bottom"/>
            <w:shd w:val="clear" w:color="auto" w:fill="F4F6F6"/>
          </w:tcPr>
          <w:p>
            <w:pPr>
              <w:spacing w:after="0"/>
              <w:rPr>
                <w:sz w:val="11"/>
                <w:szCs w:val="11"/>
                <w:color w:val="auto"/>
              </w:rPr>
            </w:pPr>
          </w:p>
        </w:tc>
        <w:tc>
          <w:tcPr>
            <w:tcW w:w="740" w:type="dxa"/>
            <w:vAlign w:val="bottom"/>
            <w:shd w:val="clear" w:color="auto" w:fill="F4F6F6"/>
          </w:tcPr>
          <w:p>
            <w:pPr>
              <w:spacing w:after="0"/>
              <w:rPr>
                <w:sz w:val="11"/>
                <w:szCs w:val="11"/>
                <w:color w:val="auto"/>
              </w:rPr>
            </w:pPr>
          </w:p>
        </w:tc>
        <w:tc>
          <w:tcPr>
            <w:tcW w:w="6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7,260</w:t>
            </w:r>
          </w:p>
        </w:tc>
        <w:tc>
          <w:tcPr>
            <w:tcW w:w="6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14,519</w:t>
            </w:r>
          </w:p>
        </w:tc>
        <w:tc>
          <w:tcPr>
            <w:tcW w:w="6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21,779</w:t>
            </w:r>
          </w:p>
        </w:tc>
        <w:tc>
          <w:tcPr>
            <w:tcW w:w="580" w:type="dxa"/>
            <w:vAlign w:val="bottom"/>
            <w:shd w:val="clear" w:color="auto" w:fill="F4F6F6"/>
          </w:tcPr>
          <w:p>
            <w:pPr>
              <w:spacing w:after="0"/>
              <w:rPr>
                <w:sz w:val="11"/>
                <w:szCs w:val="11"/>
                <w:color w:val="auto"/>
              </w:rPr>
            </w:pPr>
          </w:p>
        </w:tc>
        <w:tc>
          <w:tcPr>
            <w:tcW w:w="940" w:type="dxa"/>
            <w:vAlign w:val="bottom"/>
            <w:shd w:val="clear" w:color="auto" w:fill="F4F6F6"/>
          </w:tcPr>
          <w:p>
            <w:pPr>
              <w:spacing w:after="0"/>
              <w:rPr>
                <w:sz w:val="11"/>
                <w:szCs w:val="11"/>
                <w:color w:val="auto"/>
              </w:rPr>
            </w:pPr>
          </w:p>
        </w:tc>
        <w:tc>
          <w:tcPr>
            <w:tcW w:w="7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$1,497,600</w:t>
            </w:r>
          </w:p>
        </w:tc>
        <w:tc>
          <w:tcPr>
            <w:tcW w:w="0" w:type="dxa"/>
            <w:vAlign w:val="bottom"/>
          </w:tcPr>
          <w:p>
            <w:pPr>
              <w:spacing w:after="0"/>
              <w:rPr>
                <w:sz w:val="1"/>
                <w:szCs w:val="1"/>
                <w:color w:val="auto"/>
              </w:rPr>
            </w:pPr>
          </w:p>
        </w:tc>
      </w:tr>
      <w:tr>
        <w:trPr>
          <w:trHeight w:val="178"/>
        </w:trPr>
        <w:tc>
          <w:tcPr>
            <w:tcW w:w="660" w:type="dxa"/>
            <w:vAlign w:val="bottom"/>
            <w:tcBorders>
              <w:bottom w:val="single" w:sz="8" w:color="F4F6F6"/>
            </w:tcBorders>
            <w:shd w:val="clear" w:color="auto" w:fill="F4F6F6"/>
          </w:tcPr>
          <w:p>
            <w:pPr>
              <w:spacing w:after="0"/>
              <w:rPr>
                <w:sz w:val="15"/>
                <w:szCs w:val="15"/>
                <w:color w:val="auto"/>
              </w:rPr>
            </w:pPr>
          </w:p>
        </w:tc>
        <w:tc>
          <w:tcPr>
            <w:tcW w:w="44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91"/>
              </w:rPr>
              <w:t>PA</w:t>
            </w:r>
          </w:p>
        </w:tc>
        <w:tc>
          <w:tcPr>
            <w:tcW w:w="140" w:type="dxa"/>
            <w:vAlign w:val="bottom"/>
            <w:tcBorders>
              <w:bottom w:val="single" w:sz="8" w:color="F4F6F6"/>
            </w:tcBorders>
            <w:shd w:val="clear" w:color="auto" w:fill="F4F6F6"/>
          </w:tcPr>
          <w:p>
            <w:pPr>
              <w:jc w:val="right"/>
              <w:ind w:right="15"/>
              <w:spacing w:after="0"/>
              <w:rPr>
                <w:sz w:val="20"/>
                <w:szCs w:val="20"/>
                <w:color w:val="auto"/>
              </w:rPr>
            </w:pPr>
            <w:r>
              <w:rPr>
                <w:rFonts w:ascii="Arial" w:cs="Arial" w:eastAsia="Arial" w:hAnsi="Arial"/>
                <w:sz w:val="9"/>
                <w:szCs w:val="9"/>
                <w:color w:val="auto"/>
              </w:rPr>
              <w:t>3</w:t>
            </w:r>
          </w:p>
        </w:tc>
        <w:tc>
          <w:tcPr>
            <w:tcW w:w="760" w:type="dxa"/>
            <w:vAlign w:val="bottom"/>
            <w:tcBorders>
              <w:bottom w:val="single" w:sz="8" w:color="F4F6F6"/>
            </w:tcBorders>
            <w:vMerge w:val="continue"/>
            <w:shd w:val="clear" w:color="auto" w:fill="F4F6F6"/>
          </w:tcPr>
          <w:p>
            <w:pPr>
              <w:spacing w:after="0"/>
              <w:rPr>
                <w:sz w:val="15"/>
                <w:szCs w:val="15"/>
                <w:color w:val="auto"/>
              </w:rPr>
            </w:pPr>
          </w:p>
        </w:tc>
        <w:tc>
          <w:tcPr>
            <w:tcW w:w="840" w:type="dxa"/>
            <w:vAlign w:val="bottom"/>
            <w:tcBorders>
              <w:bottom w:val="single" w:sz="8" w:color="F4F6F6"/>
            </w:tcBorders>
            <w:vMerge w:val="continue"/>
            <w:shd w:val="clear" w:color="auto" w:fill="F4F6F6"/>
          </w:tcPr>
          <w:p>
            <w:pPr>
              <w:spacing w:after="0"/>
              <w:rPr>
                <w:sz w:val="15"/>
                <w:szCs w:val="15"/>
                <w:color w:val="auto"/>
              </w:rPr>
            </w:pPr>
          </w:p>
        </w:tc>
        <w:tc>
          <w:tcPr>
            <w:tcW w:w="620" w:type="dxa"/>
            <w:vAlign w:val="bottom"/>
            <w:tcBorders>
              <w:bottom w:val="single" w:sz="8" w:color="F4F6F6"/>
            </w:tcBorders>
            <w:shd w:val="clear" w:color="auto" w:fill="F4F6F6"/>
          </w:tcPr>
          <w:p>
            <w:pPr>
              <w:spacing w:after="0"/>
              <w:rPr>
                <w:sz w:val="15"/>
                <w:szCs w:val="15"/>
                <w:color w:val="auto"/>
              </w:rPr>
            </w:pPr>
          </w:p>
        </w:tc>
        <w:tc>
          <w:tcPr>
            <w:tcW w:w="700" w:type="dxa"/>
            <w:vAlign w:val="bottom"/>
            <w:tcBorders>
              <w:bottom w:val="single" w:sz="8" w:color="F4F6F6"/>
            </w:tcBorders>
            <w:shd w:val="clear" w:color="auto" w:fill="F4F6F6"/>
          </w:tcPr>
          <w:p>
            <w:pPr>
              <w:spacing w:after="0"/>
              <w:rPr>
                <w:sz w:val="15"/>
                <w:szCs w:val="15"/>
                <w:color w:val="auto"/>
              </w:rPr>
            </w:pPr>
          </w:p>
        </w:tc>
        <w:tc>
          <w:tcPr>
            <w:tcW w:w="740" w:type="dxa"/>
            <w:vAlign w:val="bottom"/>
            <w:tcBorders>
              <w:bottom w:val="single" w:sz="8" w:color="F4F6F6"/>
            </w:tcBorders>
            <w:shd w:val="clear" w:color="auto" w:fill="F4F6F6"/>
          </w:tcPr>
          <w:p>
            <w:pPr>
              <w:spacing w:after="0"/>
              <w:rPr>
                <w:sz w:val="15"/>
                <w:szCs w:val="15"/>
                <w:color w:val="auto"/>
              </w:rPr>
            </w:pPr>
          </w:p>
        </w:tc>
        <w:tc>
          <w:tcPr>
            <w:tcW w:w="660" w:type="dxa"/>
            <w:vAlign w:val="bottom"/>
            <w:tcBorders>
              <w:bottom w:val="single" w:sz="8" w:color="F4F6F6"/>
            </w:tcBorders>
            <w:vMerge w:val="continue"/>
            <w:shd w:val="clear" w:color="auto" w:fill="F4F6F6"/>
          </w:tcPr>
          <w:p>
            <w:pPr>
              <w:spacing w:after="0"/>
              <w:rPr>
                <w:sz w:val="15"/>
                <w:szCs w:val="15"/>
                <w:color w:val="auto"/>
              </w:rPr>
            </w:pPr>
          </w:p>
        </w:tc>
        <w:tc>
          <w:tcPr>
            <w:tcW w:w="680" w:type="dxa"/>
            <w:vAlign w:val="bottom"/>
            <w:tcBorders>
              <w:bottom w:val="single" w:sz="8" w:color="F4F6F6"/>
            </w:tcBorders>
            <w:vMerge w:val="continue"/>
            <w:shd w:val="clear" w:color="auto" w:fill="F4F6F6"/>
          </w:tcPr>
          <w:p>
            <w:pPr>
              <w:spacing w:after="0"/>
              <w:rPr>
                <w:sz w:val="15"/>
                <w:szCs w:val="15"/>
                <w:color w:val="auto"/>
              </w:rPr>
            </w:pPr>
          </w:p>
        </w:tc>
        <w:tc>
          <w:tcPr>
            <w:tcW w:w="640" w:type="dxa"/>
            <w:vAlign w:val="bottom"/>
            <w:tcBorders>
              <w:bottom w:val="single" w:sz="8" w:color="F4F6F6"/>
            </w:tcBorders>
            <w:vMerge w:val="continue"/>
            <w:shd w:val="clear" w:color="auto" w:fill="F4F6F6"/>
          </w:tcPr>
          <w:p>
            <w:pPr>
              <w:spacing w:after="0"/>
              <w:rPr>
                <w:sz w:val="15"/>
                <w:szCs w:val="15"/>
                <w:color w:val="auto"/>
              </w:rPr>
            </w:pPr>
          </w:p>
        </w:tc>
        <w:tc>
          <w:tcPr>
            <w:tcW w:w="580" w:type="dxa"/>
            <w:vAlign w:val="bottom"/>
            <w:tcBorders>
              <w:bottom w:val="single" w:sz="8" w:color="F4F6F6"/>
            </w:tcBorders>
            <w:shd w:val="clear" w:color="auto" w:fill="F4F6F6"/>
          </w:tcPr>
          <w:p>
            <w:pPr>
              <w:spacing w:after="0"/>
              <w:rPr>
                <w:sz w:val="15"/>
                <w:szCs w:val="15"/>
                <w:color w:val="auto"/>
              </w:rPr>
            </w:pPr>
          </w:p>
        </w:tc>
        <w:tc>
          <w:tcPr>
            <w:tcW w:w="940" w:type="dxa"/>
            <w:vAlign w:val="bottom"/>
            <w:tcBorders>
              <w:bottom w:val="single" w:sz="8" w:color="F4F6F6"/>
            </w:tcBorders>
            <w:shd w:val="clear" w:color="auto" w:fill="F4F6F6"/>
          </w:tcPr>
          <w:p>
            <w:pPr>
              <w:spacing w:after="0"/>
              <w:rPr>
                <w:sz w:val="15"/>
                <w:szCs w:val="15"/>
                <w:color w:val="auto"/>
              </w:rPr>
            </w:pPr>
          </w:p>
        </w:tc>
        <w:tc>
          <w:tcPr>
            <w:tcW w:w="720" w:type="dxa"/>
            <w:vAlign w:val="bottom"/>
            <w:tcBorders>
              <w:bottom w:val="single" w:sz="8" w:color="F4F6F6"/>
            </w:tcBorders>
            <w:vMerge w:val="continue"/>
            <w:shd w:val="clear" w:color="auto" w:fill="F4F6F6"/>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60" w:type="dxa"/>
            <w:vAlign w:val="bottom"/>
            <w:shd w:val="clear" w:color="auto" w:fill="F4F6F6"/>
          </w:tcPr>
          <w:p>
            <w:pPr>
              <w:spacing w:after="0"/>
              <w:rPr>
                <w:sz w:val="12"/>
                <w:szCs w:val="12"/>
                <w:color w:val="auto"/>
              </w:rPr>
            </w:pPr>
          </w:p>
        </w:tc>
        <w:tc>
          <w:tcPr>
            <w:tcW w:w="440" w:type="dxa"/>
            <w:vAlign w:val="bottom"/>
            <w:shd w:val="clear" w:color="auto" w:fill="F4F6F6"/>
          </w:tcPr>
          <w:p>
            <w:pPr>
              <w:jc w:val="center"/>
              <w:spacing w:after="0" w:line="140" w:lineRule="exact"/>
              <w:rPr>
                <w:sz w:val="20"/>
                <w:szCs w:val="20"/>
                <w:color w:val="auto"/>
              </w:rPr>
            </w:pPr>
            <w:r>
              <w:rPr>
                <w:rFonts w:ascii="Arial" w:cs="Arial" w:eastAsia="Arial" w:hAnsi="Arial"/>
                <w:sz w:val="13"/>
                <w:szCs w:val="13"/>
                <w:color w:val="auto"/>
                <w:w w:val="96"/>
              </w:rPr>
              <w:t>2018-</w:t>
            </w:r>
          </w:p>
        </w:tc>
        <w:tc>
          <w:tcPr>
            <w:tcW w:w="140" w:type="dxa"/>
            <w:vAlign w:val="bottom"/>
            <w:shd w:val="clear" w:color="auto" w:fill="F4F6F6"/>
          </w:tcPr>
          <w:p>
            <w:pPr>
              <w:spacing w:after="0"/>
              <w:rPr>
                <w:sz w:val="12"/>
                <w:szCs w:val="12"/>
                <w:color w:val="auto"/>
              </w:rPr>
            </w:pPr>
          </w:p>
        </w:tc>
        <w:tc>
          <w:tcPr>
            <w:tcW w:w="760" w:type="dxa"/>
            <w:vAlign w:val="bottom"/>
            <w:shd w:val="clear" w:color="auto" w:fill="F4F6F6"/>
          </w:tcPr>
          <w:p>
            <w:pPr>
              <w:spacing w:after="0"/>
              <w:rPr>
                <w:sz w:val="12"/>
                <w:szCs w:val="12"/>
                <w:color w:val="auto"/>
              </w:rPr>
            </w:pPr>
          </w:p>
        </w:tc>
        <w:tc>
          <w:tcPr>
            <w:tcW w:w="840" w:type="dxa"/>
            <w:vAlign w:val="bottom"/>
            <w:shd w:val="clear" w:color="auto" w:fill="F4F6F6"/>
          </w:tcPr>
          <w:p>
            <w:pPr>
              <w:spacing w:after="0"/>
              <w:rPr>
                <w:sz w:val="12"/>
                <w:szCs w:val="12"/>
                <w:color w:val="auto"/>
              </w:rPr>
            </w:pPr>
          </w:p>
        </w:tc>
        <w:tc>
          <w:tcPr>
            <w:tcW w:w="620" w:type="dxa"/>
            <w:vAlign w:val="bottom"/>
            <w:shd w:val="clear" w:color="auto" w:fill="F4F6F6"/>
          </w:tcPr>
          <w:p>
            <w:pPr>
              <w:spacing w:after="0"/>
              <w:rPr>
                <w:sz w:val="12"/>
                <w:szCs w:val="12"/>
                <w:color w:val="auto"/>
              </w:rPr>
            </w:pPr>
          </w:p>
        </w:tc>
        <w:tc>
          <w:tcPr>
            <w:tcW w:w="700" w:type="dxa"/>
            <w:vAlign w:val="bottom"/>
            <w:shd w:val="clear" w:color="auto" w:fill="F4F6F6"/>
          </w:tcPr>
          <w:p>
            <w:pPr>
              <w:spacing w:after="0"/>
              <w:rPr>
                <w:sz w:val="12"/>
                <w:szCs w:val="12"/>
                <w:color w:val="auto"/>
              </w:rPr>
            </w:pPr>
          </w:p>
        </w:tc>
        <w:tc>
          <w:tcPr>
            <w:tcW w:w="740" w:type="dxa"/>
            <w:vAlign w:val="bottom"/>
            <w:shd w:val="clear" w:color="auto" w:fill="F4F6F6"/>
          </w:tcPr>
          <w:p>
            <w:pPr>
              <w:spacing w:after="0"/>
              <w:rPr>
                <w:sz w:val="12"/>
                <w:szCs w:val="12"/>
                <w:color w:val="auto"/>
              </w:rPr>
            </w:pPr>
          </w:p>
        </w:tc>
        <w:tc>
          <w:tcPr>
            <w:tcW w:w="660" w:type="dxa"/>
            <w:vAlign w:val="bottom"/>
            <w:shd w:val="clear" w:color="auto" w:fill="F4F6F6"/>
          </w:tcPr>
          <w:p>
            <w:pPr>
              <w:spacing w:after="0"/>
              <w:rPr>
                <w:sz w:val="12"/>
                <w:szCs w:val="12"/>
                <w:color w:val="auto"/>
              </w:rPr>
            </w:pPr>
          </w:p>
        </w:tc>
        <w:tc>
          <w:tcPr>
            <w:tcW w:w="680" w:type="dxa"/>
            <w:vAlign w:val="bottom"/>
            <w:shd w:val="clear" w:color="auto" w:fill="F4F6F6"/>
          </w:tcPr>
          <w:p>
            <w:pPr>
              <w:spacing w:after="0"/>
              <w:rPr>
                <w:sz w:val="12"/>
                <w:szCs w:val="12"/>
                <w:color w:val="auto"/>
              </w:rPr>
            </w:pPr>
          </w:p>
        </w:tc>
        <w:tc>
          <w:tcPr>
            <w:tcW w:w="640" w:type="dxa"/>
            <w:vAlign w:val="bottom"/>
            <w:shd w:val="clear" w:color="auto" w:fill="F4F6F6"/>
          </w:tcPr>
          <w:p>
            <w:pPr>
              <w:spacing w:after="0"/>
              <w:rPr>
                <w:sz w:val="12"/>
                <w:szCs w:val="12"/>
                <w:color w:val="auto"/>
              </w:rPr>
            </w:pPr>
          </w:p>
        </w:tc>
        <w:tc>
          <w:tcPr>
            <w:tcW w:w="580" w:type="dxa"/>
            <w:vAlign w:val="bottom"/>
            <w:shd w:val="clear" w:color="auto" w:fill="F4F6F6"/>
          </w:tcPr>
          <w:p>
            <w:pPr>
              <w:spacing w:after="0"/>
              <w:rPr>
                <w:sz w:val="12"/>
                <w:szCs w:val="12"/>
                <w:color w:val="auto"/>
              </w:rPr>
            </w:pPr>
          </w:p>
        </w:tc>
        <w:tc>
          <w:tcPr>
            <w:tcW w:w="940" w:type="dxa"/>
            <w:vAlign w:val="bottom"/>
            <w:shd w:val="clear" w:color="auto" w:fill="F4F6F6"/>
          </w:tcPr>
          <w:p>
            <w:pPr>
              <w:spacing w:after="0"/>
              <w:rPr>
                <w:sz w:val="12"/>
                <w:szCs w:val="12"/>
                <w:color w:val="auto"/>
              </w:rPr>
            </w:pPr>
          </w:p>
        </w:tc>
        <w:tc>
          <w:tcPr>
            <w:tcW w:w="720" w:type="dxa"/>
            <w:vAlign w:val="bottom"/>
            <w:shd w:val="clear" w:color="auto" w:fill="F4F6F6"/>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60" w:type="dxa"/>
            <w:vAlign w:val="bottom"/>
            <w:shd w:val="clear" w:color="auto" w:fill="F4F6F6"/>
          </w:tcPr>
          <w:p>
            <w:pPr>
              <w:spacing w:after="0"/>
              <w:rPr>
                <w:sz w:val="11"/>
                <w:szCs w:val="11"/>
                <w:color w:val="auto"/>
              </w:rPr>
            </w:pPr>
          </w:p>
        </w:tc>
        <w:tc>
          <w:tcPr>
            <w:tcW w:w="440" w:type="dxa"/>
            <w:vAlign w:val="bottom"/>
            <w:shd w:val="clear" w:color="auto" w:fill="F4F6F6"/>
          </w:tcPr>
          <w:p>
            <w:pPr>
              <w:jc w:val="center"/>
              <w:spacing w:after="0" w:line="135" w:lineRule="exact"/>
              <w:rPr>
                <w:sz w:val="20"/>
                <w:szCs w:val="20"/>
                <w:color w:val="auto"/>
              </w:rPr>
            </w:pPr>
            <w:r>
              <w:rPr>
                <w:rFonts w:ascii="Arial" w:cs="Arial" w:eastAsia="Arial" w:hAnsi="Arial"/>
                <w:sz w:val="13"/>
                <w:szCs w:val="13"/>
                <w:color w:val="auto"/>
                <w:w w:val="96"/>
              </w:rPr>
              <w:t>2020</w:t>
            </w:r>
          </w:p>
        </w:tc>
        <w:tc>
          <w:tcPr>
            <w:tcW w:w="140" w:type="dxa"/>
            <w:vAlign w:val="bottom"/>
            <w:shd w:val="clear" w:color="auto" w:fill="F4F6F6"/>
          </w:tcPr>
          <w:p>
            <w:pPr>
              <w:spacing w:after="0"/>
              <w:rPr>
                <w:sz w:val="11"/>
                <w:szCs w:val="11"/>
                <w:color w:val="auto"/>
              </w:rPr>
            </w:pPr>
          </w:p>
        </w:tc>
        <w:tc>
          <w:tcPr>
            <w:tcW w:w="7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4"/>
              </w:rPr>
              <w:t>2/9/2018</w:t>
            </w:r>
          </w:p>
        </w:tc>
        <w:tc>
          <w:tcPr>
            <w:tcW w:w="8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12/11/2017</w:t>
            </w:r>
          </w:p>
        </w:tc>
        <w:tc>
          <w:tcPr>
            <w:tcW w:w="620" w:type="dxa"/>
            <w:vAlign w:val="bottom"/>
            <w:shd w:val="clear" w:color="auto" w:fill="F4F6F6"/>
          </w:tcPr>
          <w:p>
            <w:pPr>
              <w:spacing w:after="0"/>
              <w:rPr>
                <w:sz w:val="11"/>
                <w:szCs w:val="11"/>
                <w:color w:val="auto"/>
              </w:rPr>
            </w:pPr>
          </w:p>
        </w:tc>
        <w:tc>
          <w:tcPr>
            <w:tcW w:w="700" w:type="dxa"/>
            <w:vAlign w:val="bottom"/>
            <w:shd w:val="clear" w:color="auto" w:fill="F4F6F6"/>
          </w:tcPr>
          <w:p>
            <w:pPr>
              <w:spacing w:after="0"/>
              <w:rPr>
                <w:sz w:val="11"/>
                <w:szCs w:val="11"/>
                <w:color w:val="auto"/>
              </w:rPr>
            </w:pPr>
          </w:p>
        </w:tc>
        <w:tc>
          <w:tcPr>
            <w:tcW w:w="740" w:type="dxa"/>
            <w:vAlign w:val="bottom"/>
            <w:shd w:val="clear" w:color="auto" w:fill="F4F6F6"/>
          </w:tcPr>
          <w:p>
            <w:pPr>
              <w:spacing w:after="0"/>
              <w:rPr>
                <w:sz w:val="11"/>
                <w:szCs w:val="11"/>
                <w:color w:val="auto"/>
              </w:rPr>
            </w:pPr>
          </w:p>
        </w:tc>
        <w:tc>
          <w:tcPr>
            <w:tcW w:w="6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15,142</w:t>
            </w:r>
          </w:p>
        </w:tc>
        <w:tc>
          <w:tcPr>
            <w:tcW w:w="6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37,855</w:t>
            </w:r>
          </w:p>
        </w:tc>
        <w:tc>
          <w:tcPr>
            <w:tcW w:w="6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68,139</w:t>
            </w:r>
          </w:p>
        </w:tc>
        <w:tc>
          <w:tcPr>
            <w:tcW w:w="580" w:type="dxa"/>
            <w:vAlign w:val="bottom"/>
            <w:shd w:val="clear" w:color="auto" w:fill="F4F6F6"/>
          </w:tcPr>
          <w:p>
            <w:pPr>
              <w:spacing w:after="0"/>
              <w:rPr>
                <w:sz w:val="11"/>
                <w:szCs w:val="11"/>
                <w:color w:val="auto"/>
              </w:rPr>
            </w:pPr>
          </w:p>
        </w:tc>
        <w:tc>
          <w:tcPr>
            <w:tcW w:w="940" w:type="dxa"/>
            <w:vAlign w:val="bottom"/>
            <w:shd w:val="clear" w:color="auto" w:fill="F4F6F6"/>
          </w:tcPr>
          <w:p>
            <w:pPr>
              <w:spacing w:after="0"/>
              <w:rPr>
                <w:sz w:val="11"/>
                <w:szCs w:val="11"/>
                <w:color w:val="auto"/>
              </w:rPr>
            </w:pPr>
          </w:p>
        </w:tc>
        <w:tc>
          <w:tcPr>
            <w:tcW w:w="7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$1,560,000</w:t>
            </w:r>
          </w:p>
        </w:tc>
        <w:tc>
          <w:tcPr>
            <w:tcW w:w="0" w:type="dxa"/>
            <w:vAlign w:val="bottom"/>
          </w:tcPr>
          <w:p>
            <w:pPr>
              <w:spacing w:after="0"/>
              <w:rPr>
                <w:sz w:val="1"/>
                <w:szCs w:val="1"/>
                <w:color w:val="auto"/>
              </w:rPr>
            </w:pPr>
          </w:p>
        </w:tc>
      </w:tr>
      <w:tr>
        <w:trPr>
          <w:trHeight w:val="178"/>
        </w:trPr>
        <w:tc>
          <w:tcPr>
            <w:tcW w:w="660" w:type="dxa"/>
            <w:vAlign w:val="bottom"/>
            <w:tcBorders>
              <w:bottom w:val="single" w:sz="8" w:color="F4F6F6"/>
            </w:tcBorders>
            <w:shd w:val="clear" w:color="auto" w:fill="F4F6F6"/>
          </w:tcPr>
          <w:p>
            <w:pPr>
              <w:spacing w:after="0"/>
              <w:rPr>
                <w:sz w:val="15"/>
                <w:szCs w:val="15"/>
                <w:color w:val="auto"/>
              </w:rPr>
            </w:pPr>
          </w:p>
        </w:tc>
        <w:tc>
          <w:tcPr>
            <w:tcW w:w="44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92"/>
              </w:rPr>
              <w:t>SVA</w:t>
            </w:r>
          </w:p>
        </w:tc>
        <w:tc>
          <w:tcPr>
            <w:tcW w:w="140" w:type="dxa"/>
            <w:vAlign w:val="bottom"/>
            <w:tcBorders>
              <w:bottom w:val="single" w:sz="8" w:color="F4F6F6"/>
            </w:tcBorders>
            <w:shd w:val="clear" w:color="auto" w:fill="F4F6F6"/>
          </w:tcPr>
          <w:p>
            <w:pPr>
              <w:jc w:val="right"/>
              <w:ind w:right="15"/>
              <w:spacing w:after="0"/>
              <w:rPr>
                <w:sz w:val="20"/>
                <w:szCs w:val="20"/>
                <w:color w:val="auto"/>
              </w:rPr>
            </w:pPr>
            <w:r>
              <w:rPr>
                <w:rFonts w:ascii="Arial" w:cs="Arial" w:eastAsia="Arial" w:hAnsi="Arial"/>
                <w:sz w:val="9"/>
                <w:szCs w:val="9"/>
                <w:color w:val="auto"/>
              </w:rPr>
              <w:t>4</w:t>
            </w:r>
          </w:p>
        </w:tc>
        <w:tc>
          <w:tcPr>
            <w:tcW w:w="760" w:type="dxa"/>
            <w:vAlign w:val="bottom"/>
            <w:tcBorders>
              <w:bottom w:val="single" w:sz="8" w:color="F4F6F6"/>
            </w:tcBorders>
            <w:vMerge w:val="continue"/>
            <w:shd w:val="clear" w:color="auto" w:fill="F4F6F6"/>
          </w:tcPr>
          <w:p>
            <w:pPr>
              <w:spacing w:after="0"/>
              <w:rPr>
                <w:sz w:val="15"/>
                <w:szCs w:val="15"/>
                <w:color w:val="auto"/>
              </w:rPr>
            </w:pPr>
          </w:p>
        </w:tc>
        <w:tc>
          <w:tcPr>
            <w:tcW w:w="840" w:type="dxa"/>
            <w:vAlign w:val="bottom"/>
            <w:tcBorders>
              <w:bottom w:val="single" w:sz="8" w:color="F4F6F6"/>
            </w:tcBorders>
            <w:vMerge w:val="continue"/>
            <w:shd w:val="clear" w:color="auto" w:fill="F4F6F6"/>
          </w:tcPr>
          <w:p>
            <w:pPr>
              <w:spacing w:after="0"/>
              <w:rPr>
                <w:sz w:val="15"/>
                <w:szCs w:val="15"/>
                <w:color w:val="auto"/>
              </w:rPr>
            </w:pPr>
          </w:p>
        </w:tc>
        <w:tc>
          <w:tcPr>
            <w:tcW w:w="620" w:type="dxa"/>
            <w:vAlign w:val="bottom"/>
            <w:tcBorders>
              <w:bottom w:val="single" w:sz="8" w:color="F4F6F6"/>
            </w:tcBorders>
            <w:shd w:val="clear" w:color="auto" w:fill="F4F6F6"/>
          </w:tcPr>
          <w:p>
            <w:pPr>
              <w:spacing w:after="0"/>
              <w:rPr>
                <w:sz w:val="15"/>
                <w:szCs w:val="15"/>
                <w:color w:val="auto"/>
              </w:rPr>
            </w:pPr>
          </w:p>
        </w:tc>
        <w:tc>
          <w:tcPr>
            <w:tcW w:w="700" w:type="dxa"/>
            <w:vAlign w:val="bottom"/>
            <w:tcBorders>
              <w:bottom w:val="single" w:sz="8" w:color="F4F6F6"/>
            </w:tcBorders>
            <w:shd w:val="clear" w:color="auto" w:fill="F4F6F6"/>
          </w:tcPr>
          <w:p>
            <w:pPr>
              <w:spacing w:after="0"/>
              <w:rPr>
                <w:sz w:val="15"/>
                <w:szCs w:val="15"/>
                <w:color w:val="auto"/>
              </w:rPr>
            </w:pPr>
          </w:p>
        </w:tc>
        <w:tc>
          <w:tcPr>
            <w:tcW w:w="740" w:type="dxa"/>
            <w:vAlign w:val="bottom"/>
            <w:tcBorders>
              <w:bottom w:val="single" w:sz="8" w:color="F4F6F6"/>
            </w:tcBorders>
            <w:shd w:val="clear" w:color="auto" w:fill="F4F6F6"/>
          </w:tcPr>
          <w:p>
            <w:pPr>
              <w:spacing w:after="0"/>
              <w:rPr>
                <w:sz w:val="15"/>
                <w:szCs w:val="15"/>
                <w:color w:val="auto"/>
              </w:rPr>
            </w:pPr>
          </w:p>
        </w:tc>
        <w:tc>
          <w:tcPr>
            <w:tcW w:w="660" w:type="dxa"/>
            <w:vAlign w:val="bottom"/>
            <w:tcBorders>
              <w:bottom w:val="single" w:sz="8" w:color="F4F6F6"/>
            </w:tcBorders>
            <w:vMerge w:val="continue"/>
            <w:shd w:val="clear" w:color="auto" w:fill="F4F6F6"/>
          </w:tcPr>
          <w:p>
            <w:pPr>
              <w:spacing w:after="0"/>
              <w:rPr>
                <w:sz w:val="15"/>
                <w:szCs w:val="15"/>
                <w:color w:val="auto"/>
              </w:rPr>
            </w:pPr>
          </w:p>
        </w:tc>
        <w:tc>
          <w:tcPr>
            <w:tcW w:w="680" w:type="dxa"/>
            <w:vAlign w:val="bottom"/>
            <w:tcBorders>
              <w:bottom w:val="single" w:sz="8" w:color="F4F6F6"/>
            </w:tcBorders>
            <w:vMerge w:val="continue"/>
            <w:shd w:val="clear" w:color="auto" w:fill="F4F6F6"/>
          </w:tcPr>
          <w:p>
            <w:pPr>
              <w:spacing w:after="0"/>
              <w:rPr>
                <w:sz w:val="15"/>
                <w:szCs w:val="15"/>
                <w:color w:val="auto"/>
              </w:rPr>
            </w:pPr>
          </w:p>
        </w:tc>
        <w:tc>
          <w:tcPr>
            <w:tcW w:w="640" w:type="dxa"/>
            <w:vAlign w:val="bottom"/>
            <w:tcBorders>
              <w:bottom w:val="single" w:sz="8" w:color="F4F6F6"/>
            </w:tcBorders>
            <w:vMerge w:val="continue"/>
            <w:shd w:val="clear" w:color="auto" w:fill="F4F6F6"/>
          </w:tcPr>
          <w:p>
            <w:pPr>
              <w:spacing w:after="0"/>
              <w:rPr>
                <w:sz w:val="15"/>
                <w:szCs w:val="15"/>
                <w:color w:val="auto"/>
              </w:rPr>
            </w:pPr>
          </w:p>
        </w:tc>
        <w:tc>
          <w:tcPr>
            <w:tcW w:w="580" w:type="dxa"/>
            <w:vAlign w:val="bottom"/>
            <w:tcBorders>
              <w:bottom w:val="single" w:sz="8" w:color="F4F6F6"/>
            </w:tcBorders>
            <w:shd w:val="clear" w:color="auto" w:fill="F4F6F6"/>
          </w:tcPr>
          <w:p>
            <w:pPr>
              <w:spacing w:after="0"/>
              <w:rPr>
                <w:sz w:val="15"/>
                <w:szCs w:val="15"/>
                <w:color w:val="auto"/>
              </w:rPr>
            </w:pPr>
          </w:p>
        </w:tc>
        <w:tc>
          <w:tcPr>
            <w:tcW w:w="940" w:type="dxa"/>
            <w:vAlign w:val="bottom"/>
            <w:tcBorders>
              <w:bottom w:val="single" w:sz="8" w:color="F4F6F6"/>
            </w:tcBorders>
            <w:shd w:val="clear" w:color="auto" w:fill="F4F6F6"/>
          </w:tcPr>
          <w:p>
            <w:pPr>
              <w:spacing w:after="0"/>
              <w:rPr>
                <w:sz w:val="15"/>
                <w:szCs w:val="15"/>
                <w:color w:val="auto"/>
              </w:rPr>
            </w:pPr>
          </w:p>
        </w:tc>
        <w:tc>
          <w:tcPr>
            <w:tcW w:w="720" w:type="dxa"/>
            <w:vAlign w:val="bottom"/>
            <w:tcBorders>
              <w:bottom w:val="single" w:sz="8" w:color="F4F6F6"/>
            </w:tcBorders>
            <w:vMerge w:val="continue"/>
            <w:shd w:val="clear" w:color="auto" w:fill="F4F6F6"/>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60" w:type="dxa"/>
            <w:vAlign w:val="bottom"/>
            <w:tcBorders>
              <w:bottom w:val="single" w:sz="8" w:color="C8C9CB"/>
            </w:tcBorders>
            <w:shd w:val="clear" w:color="auto" w:fill="F4F6F6"/>
          </w:tcPr>
          <w:p>
            <w:pPr>
              <w:spacing w:after="0"/>
              <w:rPr>
                <w:sz w:val="22"/>
                <w:szCs w:val="22"/>
                <w:color w:val="auto"/>
              </w:rPr>
            </w:pPr>
          </w:p>
        </w:tc>
        <w:tc>
          <w:tcPr>
            <w:tcW w:w="440" w:type="dxa"/>
            <w:vAlign w:val="bottom"/>
            <w:tcBorders>
              <w:bottom w:val="single" w:sz="8" w:color="C8C9CB"/>
            </w:tcBorders>
            <w:shd w:val="clear" w:color="auto" w:fill="F4F6F6"/>
          </w:tcPr>
          <w:p>
            <w:pPr>
              <w:spacing w:after="0"/>
              <w:rPr>
                <w:sz w:val="22"/>
                <w:szCs w:val="22"/>
                <w:color w:val="auto"/>
              </w:rPr>
            </w:pPr>
          </w:p>
        </w:tc>
        <w:tc>
          <w:tcPr>
            <w:tcW w:w="140" w:type="dxa"/>
            <w:vAlign w:val="bottom"/>
            <w:tcBorders>
              <w:bottom w:val="single" w:sz="8" w:color="C8C9CB"/>
            </w:tcBorders>
            <w:shd w:val="clear" w:color="auto" w:fill="F4F6F6"/>
          </w:tcPr>
          <w:p>
            <w:pPr>
              <w:spacing w:after="0"/>
              <w:rPr>
                <w:sz w:val="22"/>
                <w:szCs w:val="22"/>
                <w:color w:val="auto"/>
              </w:rPr>
            </w:pPr>
          </w:p>
        </w:tc>
        <w:tc>
          <w:tcPr>
            <w:tcW w:w="760" w:type="dxa"/>
            <w:vAlign w:val="bottom"/>
            <w:tcBorders>
              <w:bottom w:val="single" w:sz="8" w:color="C8C9CB"/>
            </w:tcBorders>
            <w:shd w:val="clear" w:color="auto" w:fill="F4F6F6"/>
          </w:tcPr>
          <w:p>
            <w:pPr>
              <w:spacing w:after="0"/>
              <w:rPr>
                <w:sz w:val="22"/>
                <w:szCs w:val="22"/>
                <w:color w:val="auto"/>
              </w:rPr>
            </w:pPr>
          </w:p>
        </w:tc>
        <w:tc>
          <w:tcPr>
            <w:tcW w:w="840" w:type="dxa"/>
            <w:vAlign w:val="bottom"/>
            <w:tcBorders>
              <w:bottom w:val="single" w:sz="8" w:color="C8C9CB"/>
            </w:tcBorders>
            <w:shd w:val="clear" w:color="auto" w:fill="F4F6F6"/>
          </w:tcPr>
          <w:p>
            <w:pPr>
              <w:spacing w:after="0"/>
              <w:rPr>
                <w:sz w:val="22"/>
                <w:szCs w:val="22"/>
                <w:color w:val="auto"/>
              </w:rPr>
            </w:pPr>
          </w:p>
        </w:tc>
        <w:tc>
          <w:tcPr>
            <w:tcW w:w="620" w:type="dxa"/>
            <w:vAlign w:val="bottom"/>
            <w:tcBorders>
              <w:bottom w:val="single" w:sz="8" w:color="C8C9CB"/>
            </w:tcBorders>
            <w:shd w:val="clear" w:color="auto" w:fill="F4F6F6"/>
          </w:tcPr>
          <w:p>
            <w:pPr>
              <w:spacing w:after="0"/>
              <w:rPr>
                <w:sz w:val="22"/>
                <w:szCs w:val="22"/>
                <w:color w:val="auto"/>
              </w:rPr>
            </w:pPr>
          </w:p>
        </w:tc>
        <w:tc>
          <w:tcPr>
            <w:tcW w:w="700" w:type="dxa"/>
            <w:vAlign w:val="bottom"/>
            <w:tcBorders>
              <w:bottom w:val="single" w:sz="8" w:color="C8C9CB"/>
            </w:tcBorders>
            <w:shd w:val="clear" w:color="auto" w:fill="F4F6F6"/>
          </w:tcPr>
          <w:p>
            <w:pPr>
              <w:spacing w:after="0"/>
              <w:rPr>
                <w:sz w:val="22"/>
                <w:szCs w:val="22"/>
                <w:color w:val="auto"/>
              </w:rPr>
            </w:pPr>
          </w:p>
        </w:tc>
        <w:tc>
          <w:tcPr>
            <w:tcW w:w="740" w:type="dxa"/>
            <w:vAlign w:val="bottom"/>
            <w:tcBorders>
              <w:bottom w:val="single" w:sz="8" w:color="C8C9CB"/>
            </w:tcBorders>
            <w:shd w:val="clear" w:color="auto" w:fill="F4F6F6"/>
          </w:tcPr>
          <w:p>
            <w:pPr>
              <w:spacing w:after="0"/>
              <w:rPr>
                <w:sz w:val="22"/>
                <w:szCs w:val="22"/>
                <w:color w:val="auto"/>
              </w:rPr>
            </w:pPr>
          </w:p>
        </w:tc>
        <w:tc>
          <w:tcPr>
            <w:tcW w:w="660" w:type="dxa"/>
            <w:vAlign w:val="bottom"/>
            <w:tcBorders>
              <w:bottom w:val="single" w:sz="8" w:color="C8C9CB"/>
            </w:tcBorders>
            <w:shd w:val="clear" w:color="auto" w:fill="F4F6F6"/>
          </w:tcPr>
          <w:p>
            <w:pPr>
              <w:spacing w:after="0"/>
              <w:rPr>
                <w:sz w:val="22"/>
                <w:szCs w:val="22"/>
                <w:color w:val="auto"/>
              </w:rPr>
            </w:pPr>
          </w:p>
        </w:tc>
        <w:tc>
          <w:tcPr>
            <w:tcW w:w="680" w:type="dxa"/>
            <w:vAlign w:val="bottom"/>
            <w:tcBorders>
              <w:bottom w:val="single" w:sz="8" w:color="C8C9CB"/>
            </w:tcBorders>
            <w:shd w:val="clear" w:color="auto" w:fill="F4F6F6"/>
          </w:tcPr>
          <w:p>
            <w:pPr>
              <w:spacing w:after="0"/>
              <w:rPr>
                <w:sz w:val="22"/>
                <w:szCs w:val="22"/>
                <w:color w:val="auto"/>
              </w:rPr>
            </w:pPr>
          </w:p>
        </w:tc>
        <w:tc>
          <w:tcPr>
            <w:tcW w:w="640" w:type="dxa"/>
            <w:vAlign w:val="bottom"/>
            <w:tcBorders>
              <w:bottom w:val="single" w:sz="8" w:color="C8C9CB"/>
            </w:tcBorders>
            <w:shd w:val="clear" w:color="auto" w:fill="F4F6F6"/>
          </w:tcPr>
          <w:p>
            <w:pPr>
              <w:spacing w:after="0"/>
              <w:rPr>
                <w:sz w:val="22"/>
                <w:szCs w:val="22"/>
                <w:color w:val="auto"/>
              </w:rPr>
            </w:pPr>
          </w:p>
        </w:tc>
        <w:tc>
          <w:tcPr>
            <w:tcW w:w="58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tcBorders>
              <w:bottom w:val="single" w:sz="8" w:color="C8C9CB"/>
            </w:tcBorders>
            <w:shd w:val="clear" w:color="auto" w:fill="F4F6F6"/>
          </w:tcPr>
          <w:p>
            <w:pPr>
              <w:spacing w:after="0"/>
              <w:rPr>
                <w:sz w:val="22"/>
                <w:szCs w:val="22"/>
                <w:color w:val="auto"/>
              </w:rPr>
            </w:pPr>
          </w:p>
        </w:tc>
        <w:tc>
          <w:tcPr>
            <w:tcW w:w="720" w:type="dxa"/>
            <w:vAlign w:val="bottom"/>
            <w:tcBorders>
              <w:bottom w:val="single" w:sz="8" w:color="C8C9CB"/>
            </w:tcBorders>
            <w:shd w:val="clear" w:color="auto" w:fill="F4F6F6"/>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660" w:type="dxa"/>
            <w:vAlign w:val="bottom"/>
          </w:tcPr>
          <w:p>
            <w:pPr>
              <w:ind w:left="20"/>
              <w:spacing w:after="0"/>
              <w:rPr>
                <w:sz w:val="20"/>
                <w:szCs w:val="20"/>
                <w:color w:val="auto"/>
              </w:rPr>
            </w:pPr>
            <w:r>
              <w:rPr>
                <w:rFonts w:ascii="Arial" w:cs="Arial" w:eastAsia="Arial" w:hAnsi="Arial"/>
                <w:sz w:val="12"/>
                <w:szCs w:val="12"/>
                <w:color w:val="auto"/>
              </w:rPr>
              <w:t>Dr.</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279"/>
              <w:spacing w:after="0"/>
              <w:rPr>
                <w:sz w:val="20"/>
                <w:szCs w:val="20"/>
                <w:color w:val="auto"/>
              </w:rPr>
            </w:pPr>
            <w:r>
              <w:rPr>
                <w:rFonts w:ascii="Arial" w:cs="Arial" w:eastAsia="Arial" w:hAnsi="Arial"/>
                <w:sz w:val="12"/>
                <w:szCs w:val="12"/>
                <w:color w:val="auto"/>
              </w:rPr>
              <w:t>__</w:t>
            </w:r>
          </w:p>
        </w:tc>
        <w:tc>
          <w:tcPr>
            <w:tcW w:w="840" w:type="dxa"/>
            <w:vAlign w:val="bottom"/>
            <w:vMerge w:val="restart"/>
          </w:tcPr>
          <w:p>
            <w:pPr>
              <w:jc w:val="right"/>
              <w:ind w:right="319"/>
              <w:spacing w:after="0"/>
              <w:rPr>
                <w:sz w:val="20"/>
                <w:szCs w:val="20"/>
                <w:color w:val="auto"/>
              </w:rPr>
            </w:pPr>
            <w:r>
              <w:rPr>
                <w:rFonts w:ascii="Arial" w:cs="Arial" w:eastAsia="Arial" w:hAnsi="Arial"/>
                <w:sz w:val="12"/>
                <w:szCs w:val="12"/>
                <w:color w:val="auto"/>
              </w:rPr>
              <w:t>__</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99"/>
              </w:rPr>
              <w:t>$198,906</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99"/>
              </w:rPr>
              <w:t>$795,625</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5"/>
              </w:rPr>
              <w:t>$1,591,250</w:t>
            </w: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0" w:type="dxa"/>
            <w:vAlign w:val="bottom"/>
          </w:tcPr>
          <w:p>
            <w:pPr>
              <w:ind w:left="20"/>
              <w:spacing w:after="0"/>
              <w:rPr>
                <w:sz w:val="20"/>
                <w:szCs w:val="20"/>
                <w:color w:val="auto"/>
              </w:rPr>
            </w:pPr>
            <w:r>
              <w:rPr>
                <w:rFonts w:ascii="Arial" w:cs="Arial" w:eastAsia="Arial" w:hAnsi="Arial"/>
                <w:sz w:val="12"/>
                <w:szCs w:val="12"/>
                <w:color w:val="auto"/>
                <w:w w:val="99"/>
              </w:rPr>
              <w:t>Skovronsky</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2018-</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3"/>
                <w:szCs w:val="13"/>
                <w:color w:val="auto"/>
                <w:w w:val="96"/>
              </w:rPr>
              <w:t>2020</w:t>
            </w:r>
          </w:p>
        </w:tc>
        <w:tc>
          <w:tcPr>
            <w:tcW w:w="14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4"/>
              </w:rPr>
              <w:t>2/9/2018</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8"/>
              </w:rPr>
              <w:t>12/11/2017</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8"/>
              </w:rPr>
              <w:t>8,028</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16,055</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24,083</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5"/>
              </w:rPr>
              <w:t>$1,656,000</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PA</w:t>
            </w:r>
          </w:p>
        </w:tc>
        <w:tc>
          <w:tcPr>
            <w:tcW w:w="140" w:type="dxa"/>
            <w:vAlign w:val="bottom"/>
          </w:tcPr>
          <w:p>
            <w:pPr>
              <w:jc w:val="right"/>
              <w:ind w:right="15"/>
              <w:spacing w:after="0"/>
              <w:rPr>
                <w:sz w:val="20"/>
                <w:szCs w:val="20"/>
                <w:color w:val="auto"/>
              </w:rPr>
            </w:pPr>
            <w:r>
              <w:rPr>
                <w:rFonts w:ascii="Arial" w:cs="Arial" w:eastAsia="Arial" w:hAnsi="Arial"/>
                <w:sz w:val="9"/>
                <w:szCs w:val="9"/>
                <w:color w:val="auto"/>
              </w:rPr>
              <w:t>3</w:t>
            </w: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2018-</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3"/>
                <w:szCs w:val="13"/>
                <w:color w:val="auto"/>
                <w:w w:val="96"/>
              </w:rPr>
              <w:t>2020</w:t>
            </w:r>
          </w:p>
        </w:tc>
        <w:tc>
          <w:tcPr>
            <w:tcW w:w="14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4"/>
              </w:rPr>
              <w:t>2/9/2018</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8"/>
              </w:rPr>
              <w:t>12/11/2017</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11,231</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22,461</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33,692</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5"/>
              </w:rPr>
              <w:t>$1,150,000</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92"/>
              </w:rPr>
              <w:t>SVA</w:t>
            </w:r>
          </w:p>
        </w:tc>
        <w:tc>
          <w:tcPr>
            <w:tcW w:w="140" w:type="dxa"/>
            <w:vAlign w:val="bottom"/>
          </w:tcPr>
          <w:p>
            <w:pPr>
              <w:jc w:val="right"/>
              <w:ind w:right="15"/>
              <w:spacing w:after="0"/>
              <w:rPr>
                <w:sz w:val="20"/>
                <w:szCs w:val="20"/>
                <w:color w:val="auto"/>
              </w:rPr>
            </w:pPr>
            <w:r>
              <w:rPr>
                <w:rFonts w:ascii="Arial" w:cs="Arial" w:eastAsia="Arial" w:hAnsi="Arial"/>
                <w:sz w:val="9"/>
                <w:szCs w:val="9"/>
                <w:color w:val="auto"/>
              </w:rPr>
              <w:t>4</w:t>
            </w: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0</w:t>
            </w:r>
          </w:p>
        </w:tc>
        <w:tc>
          <w:tcPr>
            <w:tcW w:w="9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60" w:type="dxa"/>
            <w:vAlign w:val="bottom"/>
            <w:shd w:val="clear" w:color="auto" w:fill="F4F6F6"/>
          </w:tcPr>
          <w:p>
            <w:pPr>
              <w:ind w:left="20"/>
              <w:spacing w:after="0"/>
              <w:rPr>
                <w:sz w:val="20"/>
                <w:szCs w:val="20"/>
                <w:color w:val="auto"/>
              </w:rPr>
            </w:pPr>
            <w:r>
              <w:rPr>
                <w:rFonts w:ascii="Arial" w:cs="Arial" w:eastAsia="Arial" w:hAnsi="Arial"/>
                <w:sz w:val="12"/>
                <w:szCs w:val="12"/>
                <w:color w:val="auto"/>
              </w:rPr>
              <w:t>Mr.</w:t>
            </w:r>
          </w:p>
        </w:tc>
        <w:tc>
          <w:tcPr>
            <w:tcW w:w="440" w:type="dxa"/>
            <w:vAlign w:val="bottom"/>
            <w:shd w:val="clear" w:color="auto" w:fill="F4F6F6"/>
          </w:tcPr>
          <w:p>
            <w:pPr>
              <w:spacing w:after="0"/>
              <w:rPr>
                <w:sz w:val="13"/>
                <w:szCs w:val="13"/>
                <w:color w:val="auto"/>
              </w:rPr>
            </w:pPr>
          </w:p>
        </w:tc>
        <w:tc>
          <w:tcPr>
            <w:tcW w:w="140" w:type="dxa"/>
            <w:vAlign w:val="bottom"/>
            <w:shd w:val="clear" w:color="auto" w:fill="F4F6F6"/>
          </w:tcPr>
          <w:p>
            <w:pPr>
              <w:spacing w:after="0"/>
              <w:rPr>
                <w:sz w:val="13"/>
                <w:szCs w:val="13"/>
                <w:color w:val="auto"/>
              </w:rPr>
            </w:pPr>
          </w:p>
        </w:tc>
        <w:tc>
          <w:tcPr>
            <w:tcW w:w="760" w:type="dxa"/>
            <w:vAlign w:val="bottom"/>
            <w:vMerge w:val="restart"/>
            <w:shd w:val="clear" w:color="auto" w:fill="F4F6F6"/>
          </w:tcPr>
          <w:p>
            <w:pPr>
              <w:jc w:val="right"/>
              <w:ind w:right="279"/>
              <w:spacing w:after="0"/>
              <w:rPr>
                <w:sz w:val="20"/>
                <w:szCs w:val="20"/>
                <w:color w:val="auto"/>
              </w:rPr>
            </w:pPr>
            <w:r>
              <w:rPr>
                <w:rFonts w:ascii="Arial" w:cs="Arial" w:eastAsia="Arial" w:hAnsi="Arial"/>
                <w:sz w:val="12"/>
                <w:szCs w:val="12"/>
                <w:color w:val="auto"/>
              </w:rPr>
              <w:t>__</w:t>
            </w:r>
          </w:p>
        </w:tc>
        <w:tc>
          <w:tcPr>
            <w:tcW w:w="840" w:type="dxa"/>
            <w:vAlign w:val="bottom"/>
            <w:vMerge w:val="restart"/>
            <w:shd w:val="clear" w:color="auto" w:fill="F4F6F6"/>
          </w:tcPr>
          <w:p>
            <w:pPr>
              <w:jc w:val="right"/>
              <w:ind w:right="319"/>
              <w:spacing w:after="0"/>
              <w:rPr>
                <w:sz w:val="20"/>
                <w:szCs w:val="20"/>
                <w:color w:val="auto"/>
              </w:rPr>
            </w:pPr>
            <w:r>
              <w:rPr>
                <w:rFonts w:ascii="Arial" w:cs="Arial" w:eastAsia="Arial" w:hAnsi="Arial"/>
                <w:sz w:val="12"/>
                <w:szCs w:val="12"/>
                <w:color w:val="auto"/>
              </w:rPr>
              <w:t>__</w:t>
            </w:r>
          </w:p>
        </w:tc>
        <w:tc>
          <w:tcPr>
            <w:tcW w:w="6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9"/>
              </w:rPr>
              <w:t>$182,954</w:t>
            </w:r>
          </w:p>
        </w:tc>
        <w:tc>
          <w:tcPr>
            <w:tcW w:w="70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9"/>
              </w:rPr>
              <w:t>$731,815</w:t>
            </w:r>
          </w:p>
        </w:tc>
        <w:tc>
          <w:tcPr>
            <w:tcW w:w="7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$1,463,629</w:t>
            </w:r>
          </w:p>
        </w:tc>
        <w:tc>
          <w:tcPr>
            <w:tcW w:w="660" w:type="dxa"/>
            <w:vAlign w:val="bottom"/>
            <w:shd w:val="clear" w:color="auto" w:fill="F4F6F6"/>
          </w:tcPr>
          <w:p>
            <w:pPr>
              <w:spacing w:after="0"/>
              <w:rPr>
                <w:sz w:val="13"/>
                <w:szCs w:val="13"/>
                <w:color w:val="auto"/>
              </w:rPr>
            </w:pPr>
          </w:p>
        </w:tc>
        <w:tc>
          <w:tcPr>
            <w:tcW w:w="680" w:type="dxa"/>
            <w:vAlign w:val="bottom"/>
            <w:shd w:val="clear" w:color="auto" w:fill="F4F6F6"/>
          </w:tcPr>
          <w:p>
            <w:pPr>
              <w:spacing w:after="0"/>
              <w:rPr>
                <w:sz w:val="13"/>
                <w:szCs w:val="13"/>
                <w:color w:val="auto"/>
              </w:rPr>
            </w:pPr>
          </w:p>
        </w:tc>
        <w:tc>
          <w:tcPr>
            <w:tcW w:w="640" w:type="dxa"/>
            <w:vAlign w:val="bottom"/>
            <w:shd w:val="clear" w:color="auto" w:fill="F4F6F6"/>
          </w:tcPr>
          <w:p>
            <w:pPr>
              <w:spacing w:after="0"/>
              <w:rPr>
                <w:sz w:val="13"/>
                <w:szCs w:val="13"/>
                <w:color w:val="auto"/>
              </w:rPr>
            </w:pPr>
          </w:p>
        </w:tc>
        <w:tc>
          <w:tcPr>
            <w:tcW w:w="580" w:type="dxa"/>
            <w:vAlign w:val="bottom"/>
            <w:shd w:val="clear" w:color="auto" w:fill="F4F6F6"/>
          </w:tcPr>
          <w:p>
            <w:pPr>
              <w:spacing w:after="0"/>
              <w:rPr>
                <w:sz w:val="13"/>
                <w:szCs w:val="13"/>
                <w:color w:val="auto"/>
              </w:rPr>
            </w:pPr>
          </w:p>
        </w:tc>
        <w:tc>
          <w:tcPr>
            <w:tcW w:w="940" w:type="dxa"/>
            <w:vAlign w:val="bottom"/>
            <w:shd w:val="clear" w:color="auto" w:fill="F4F6F6"/>
          </w:tcPr>
          <w:p>
            <w:pPr>
              <w:spacing w:after="0"/>
              <w:rPr>
                <w:sz w:val="13"/>
                <w:szCs w:val="13"/>
                <w:color w:val="auto"/>
              </w:rPr>
            </w:pPr>
          </w:p>
        </w:tc>
        <w:tc>
          <w:tcPr>
            <w:tcW w:w="72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0" w:type="dxa"/>
            <w:vAlign w:val="bottom"/>
            <w:shd w:val="clear" w:color="auto" w:fill="F4F6F6"/>
          </w:tcPr>
          <w:p>
            <w:pPr>
              <w:ind w:left="20"/>
              <w:spacing w:after="0"/>
              <w:rPr>
                <w:sz w:val="20"/>
                <w:szCs w:val="20"/>
                <w:color w:val="auto"/>
              </w:rPr>
            </w:pPr>
            <w:r>
              <w:rPr>
                <w:rFonts w:ascii="Arial" w:cs="Arial" w:eastAsia="Arial" w:hAnsi="Arial"/>
                <w:sz w:val="12"/>
                <w:szCs w:val="12"/>
                <w:color w:val="auto"/>
              </w:rPr>
              <w:t>Simmons</w:t>
            </w:r>
          </w:p>
        </w:tc>
        <w:tc>
          <w:tcPr>
            <w:tcW w:w="440" w:type="dxa"/>
            <w:vAlign w:val="bottom"/>
            <w:shd w:val="clear" w:color="auto" w:fill="F4F6F6"/>
          </w:tcPr>
          <w:p>
            <w:pPr>
              <w:spacing w:after="0"/>
              <w:rPr>
                <w:sz w:val="13"/>
                <w:szCs w:val="13"/>
                <w:color w:val="auto"/>
              </w:rPr>
            </w:pPr>
          </w:p>
        </w:tc>
        <w:tc>
          <w:tcPr>
            <w:tcW w:w="140" w:type="dxa"/>
            <w:vAlign w:val="bottom"/>
            <w:shd w:val="clear" w:color="auto" w:fill="F4F6F6"/>
          </w:tcPr>
          <w:p>
            <w:pPr>
              <w:spacing w:after="0"/>
              <w:rPr>
                <w:sz w:val="13"/>
                <w:szCs w:val="13"/>
                <w:color w:val="auto"/>
              </w:rPr>
            </w:pPr>
          </w:p>
        </w:tc>
        <w:tc>
          <w:tcPr>
            <w:tcW w:w="760" w:type="dxa"/>
            <w:vAlign w:val="bottom"/>
            <w:vMerge w:val="continue"/>
            <w:shd w:val="clear" w:color="auto" w:fill="F4F6F6"/>
          </w:tcPr>
          <w:p>
            <w:pPr>
              <w:spacing w:after="0"/>
              <w:rPr>
                <w:sz w:val="13"/>
                <w:szCs w:val="13"/>
                <w:color w:val="auto"/>
              </w:rPr>
            </w:pPr>
          </w:p>
        </w:tc>
        <w:tc>
          <w:tcPr>
            <w:tcW w:w="840" w:type="dxa"/>
            <w:vAlign w:val="bottom"/>
            <w:vMerge w:val="continue"/>
            <w:shd w:val="clear" w:color="auto" w:fill="F4F6F6"/>
          </w:tcPr>
          <w:p>
            <w:pPr>
              <w:spacing w:after="0"/>
              <w:rPr>
                <w:sz w:val="13"/>
                <w:szCs w:val="13"/>
                <w:color w:val="auto"/>
              </w:rPr>
            </w:pPr>
          </w:p>
        </w:tc>
        <w:tc>
          <w:tcPr>
            <w:tcW w:w="620" w:type="dxa"/>
            <w:vAlign w:val="bottom"/>
            <w:vMerge w:val="continue"/>
            <w:shd w:val="clear" w:color="auto" w:fill="F4F6F6"/>
          </w:tcPr>
          <w:p>
            <w:pPr>
              <w:spacing w:after="0"/>
              <w:rPr>
                <w:sz w:val="13"/>
                <w:szCs w:val="13"/>
                <w:color w:val="auto"/>
              </w:rPr>
            </w:pPr>
          </w:p>
        </w:tc>
        <w:tc>
          <w:tcPr>
            <w:tcW w:w="700" w:type="dxa"/>
            <w:vAlign w:val="bottom"/>
            <w:vMerge w:val="continue"/>
            <w:shd w:val="clear" w:color="auto" w:fill="F4F6F6"/>
          </w:tcPr>
          <w:p>
            <w:pPr>
              <w:spacing w:after="0"/>
              <w:rPr>
                <w:sz w:val="13"/>
                <w:szCs w:val="13"/>
                <w:color w:val="auto"/>
              </w:rPr>
            </w:pPr>
          </w:p>
        </w:tc>
        <w:tc>
          <w:tcPr>
            <w:tcW w:w="740" w:type="dxa"/>
            <w:vAlign w:val="bottom"/>
            <w:vMerge w:val="continue"/>
            <w:shd w:val="clear" w:color="auto" w:fill="F4F6F6"/>
          </w:tcPr>
          <w:p>
            <w:pPr>
              <w:spacing w:after="0"/>
              <w:rPr>
                <w:sz w:val="13"/>
                <w:szCs w:val="13"/>
                <w:color w:val="auto"/>
              </w:rPr>
            </w:pPr>
          </w:p>
        </w:tc>
        <w:tc>
          <w:tcPr>
            <w:tcW w:w="660" w:type="dxa"/>
            <w:vAlign w:val="bottom"/>
            <w:shd w:val="clear" w:color="auto" w:fill="F4F6F6"/>
          </w:tcPr>
          <w:p>
            <w:pPr>
              <w:spacing w:after="0"/>
              <w:rPr>
                <w:sz w:val="13"/>
                <w:szCs w:val="13"/>
                <w:color w:val="auto"/>
              </w:rPr>
            </w:pPr>
          </w:p>
        </w:tc>
        <w:tc>
          <w:tcPr>
            <w:tcW w:w="680" w:type="dxa"/>
            <w:vAlign w:val="bottom"/>
            <w:shd w:val="clear" w:color="auto" w:fill="F4F6F6"/>
          </w:tcPr>
          <w:p>
            <w:pPr>
              <w:spacing w:after="0"/>
              <w:rPr>
                <w:sz w:val="13"/>
                <w:szCs w:val="13"/>
                <w:color w:val="auto"/>
              </w:rPr>
            </w:pPr>
          </w:p>
        </w:tc>
        <w:tc>
          <w:tcPr>
            <w:tcW w:w="640" w:type="dxa"/>
            <w:vAlign w:val="bottom"/>
            <w:shd w:val="clear" w:color="auto" w:fill="F4F6F6"/>
          </w:tcPr>
          <w:p>
            <w:pPr>
              <w:spacing w:after="0"/>
              <w:rPr>
                <w:sz w:val="13"/>
                <w:szCs w:val="13"/>
                <w:color w:val="auto"/>
              </w:rPr>
            </w:pPr>
          </w:p>
        </w:tc>
        <w:tc>
          <w:tcPr>
            <w:tcW w:w="580" w:type="dxa"/>
            <w:vAlign w:val="bottom"/>
            <w:shd w:val="clear" w:color="auto" w:fill="F4F6F6"/>
          </w:tcPr>
          <w:p>
            <w:pPr>
              <w:spacing w:after="0"/>
              <w:rPr>
                <w:sz w:val="13"/>
                <w:szCs w:val="13"/>
                <w:color w:val="auto"/>
              </w:rPr>
            </w:pPr>
          </w:p>
        </w:tc>
        <w:tc>
          <w:tcPr>
            <w:tcW w:w="940" w:type="dxa"/>
            <w:vAlign w:val="bottom"/>
            <w:shd w:val="clear" w:color="auto" w:fill="F4F6F6"/>
          </w:tcPr>
          <w:p>
            <w:pPr>
              <w:spacing w:after="0"/>
              <w:rPr>
                <w:sz w:val="13"/>
                <w:szCs w:val="13"/>
                <w:color w:val="auto"/>
              </w:rPr>
            </w:pPr>
          </w:p>
        </w:tc>
        <w:tc>
          <w:tcPr>
            <w:tcW w:w="72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0" w:type="dxa"/>
            <w:vAlign w:val="bottom"/>
            <w:shd w:val="clear" w:color="auto" w:fill="F4F6F6"/>
          </w:tcPr>
          <w:p>
            <w:pPr>
              <w:spacing w:after="0"/>
              <w:rPr>
                <w:sz w:val="13"/>
                <w:szCs w:val="13"/>
                <w:color w:val="auto"/>
              </w:rPr>
            </w:pPr>
          </w:p>
        </w:tc>
        <w:tc>
          <w:tcPr>
            <w:tcW w:w="4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2018-</w:t>
            </w:r>
          </w:p>
        </w:tc>
        <w:tc>
          <w:tcPr>
            <w:tcW w:w="140" w:type="dxa"/>
            <w:vAlign w:val="bottom"/>
            <w:shd w:val="clear" w:color="auto" w:fill="F4F6F6"/>
          </w:tcPr>
          <w:p>
            <w:pPr>
              <w:spacing w:after="0"/>
              <w:rPr>
                <w:sz w:val="13"/>
                <w:szCs w:val="13"/>
                <w:color w:val="auto"/>
              </w:rPr>
            </w:pPr>
          </w:p>
        </w:tc>
        <w:tc>
          <w:tcPr>
            <w:tcW w:w="760" w:type="dxa"/>
            <w:vAlign w:val="bottom"/>
            <w:shd w:val="clear" w:color="auto" w:fill="F4F6F6"/>
          </w:tcPr>
          <w:p>
            <w:pPr>
              <w:spacing w:after="0"/>
              <w:rPr>
                <w:sz w:val="13"/>
                <w:szCs w:val="13"/>
                <w:color w:val="auto"/>
              </w:rPr>
            </w:pPr>
          </w:p>
        </w:tc>
        <w:tc>
          <w:tcPr>
            <w:tcW w:w="840" w:type="dxa"/>
            <w:vAlign w:val="bottom"/>
            <w:shd w:val="clear" w:color="auto" w:fill="F4F6F6"/>
          </w:tcPr>
          <w:p>
            <w:pPr>
              <w:spacing w:after="0"/>
              <w:rPr>
                <w:sz w:val="13"/>
                <w:szCs w:val="13"/>
                <w:color w:val="auto"/>
              </w:rPr>
            </w:pPr>
          </w:p>
        </w:tc>
        <w:tc>
          <w:tcPr>
            <w:tcW w:w="620" w:type="dxa"/>
            <w:vAlign w:val="bottom"/>
            <w:shd w:val="clear" w:color="auto" w:fill="F4F6F6"/>
          </w:tcPr>
          <w:p>
            <w:pPr>
              <w:spacing w:after="0"/>
              <w:rPr>
                <w:sz w:val="13"/>
                <w:szCs w:val="13"/>
                <w:color w:val="auto"/>
              </w:rPr>
            </w:pPr>
          </w:p>
        </w:tc>
        <w:tc>
          <w:tcPr>
            <w:tcW w:w="700" w:type="dxa"/>
            <w:vAlign w:val="bottom"/>
            <w:shd w:val="clear" w:color="auto" w:fill="F4F6F6"/>
          </w:tcPr>
          <w:p>
            <w:pPr>
              <w:spacing w:after="0"/>
              <w:rPr>
                <w:sz w:val="13"/>
                <w:szCs w:val="13"/>
                <w:color w:val="auto"/>
              </w:rPr>
            </w:pPr>
          </w:p>
        </w:tc>
        <w:tc>
          <w:tcPr>
            <w:tcW w:w="740" w:type="dxa"/>
            <w:vAlign w:val="bottom"/>
            <w:shd w:val="clear" w:color="auto" w:fill="F4F6F6"/>
          </w:tcPr>
          <w:p>
            <w:pPr>
              <w:spacing w:after="0"/>
              <w:rPr>
                <w:sz w:val="13"/>
                <w:szCs w:val="13"/>
                <w:color w:val="auto"/>
              </w:rPr>
            </w:pPr>
          </w:p>
        </w:tc>
        <w:tc>
          <w:tcPr>
            <w:tcW w:w="660" w:type="dxa"/>
            <w:vAlign w:val="bottom"/>
            <w:shd w:val="clear" w:color="auto" w:fill="F4F6F6"/>
          </w:tcPr>
          <w:p>
            <w:pPr>
              <w:spacing w:after="0"/>
              <w:rPr>
                <w:sz w:val="13"/>
                <w:szCs w:val="13"/>
                <w:color w:val="auto"/>
              </w:rPr>
            </w:pPr>
          </w:p>
        </w:tc>
        <w:tc>
          <w:tcPr>
            <w:tcW w:w="680" w:type="dxa"/>
            <w:vAlign w:val="bottom"/>
            <w:shd w:val="clear" w:color="auto" w:fill="F4F6F6"/>
          </w:tcPr>
          <w:p>
            <w:pPr>
              <w:spacing w:after="0"/>
              <w:rPr>
                <w:sz w:val="13"/>
                <w:szCs w:val="13"/>
                <w:color w:val="auto"/>
              </w:rPr>
            </w:pPr>
          </w:p>
        </w:tc>
        <w:tc>
          <w:tcPr>
            <w:tcW w:w="640" w:type="dxa"/>
            <w:vAlign w:val="bottom"/>
            <w:shd w:val="clear" w:color="auto" w:fill="F4F6F6"/>
          </w:tcPr>
          <w:p>
            <w:pPr>
              <w:spacing w:after="0"/>
              <w:rPr>
                <w:sz w:val="13"/>
                <w:szCs w:val="13"/>
                <w:color w:val="auto"/>
              </w:rPr>
            </w:pPr>
          </w:p>
        </w:tc>
        <w:tc>
          <w:tcPr>
            <w:tcW w:w="580" w:type="dxa"/>
            <w:vAlign w:val="bottom"/>
            <w:shd w:val="clear" w:color="auto" w:fill="F4F6F6"/>
          </w:tcPr>
          <w:p>
            <w:pPr>
              <w:spacing w:after="0"/>
              <w:rPr>
                <w:sz w:val="13"/>
                <w:szCs w:val="13"/>
                <w:color w:val="auto"/>
              </w:rPr>
            </w:pPr>
          </w:p>
        </w:tc>
        <w:tc>
          <w:tcPr>
            <w:tcW w:w="940" w:type="dxa"/>
            <w:vAlign w:val="bottom"/>
            <w:shd w:val="clear" w:color="auto" w:fill="F4F6F6"/>
          </w:tcPr>
          <w:p>
            <w:pPr>
              <w:spacing w:after="0"/>
              <w:rPr>
                <w:sz w:val="13"/>
                <w:szCs w:val="13"/>
                <w:color w:val="auto"/>
              </w:rPr>
            </w:pPr>
          </w:p>
        </w:tc>
        <w:tc>
          <w:tcPr>
            <w:tcW w:w="72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60" w:type="dxa"/>
            <w:vAlign w:val="bottom"/>
            <w:shd w:val="clear" w:color="auto" w:fill="F4F6F6"/>
          </w:tcPr>
          <w:p>
            <w:pPr>
              <w:spacing w:after="0"/>
              <w:rPr>
                <w:sz w:val="11"/>
                <w:szCs w:val="11"/>
                <w:color w:val="auto"/>
              </w:rPr>
            </w:pPr>
          </w:p>
        </w:tc>
        <w:tc>
          <w:tcPr>
            <w:tcW w:w="440" w:type="dxa"/>
            <w:vAlign w:val="bottom"/>
            <w:shd w:val="clear" w:color="auto" w:fill="F4F6F6"/>
          </w:tcPr>
          <w:p>
            <w:pPr>
              <w:jc w:val="center"/>
              <w:spacing w:after="0" w:line="135" w:lineRule="exact"/>
              <w:rPr>
                <w:sz w:val="20"/>
                <w:szCs w:val="20"/>
                <w:color w:val="auto"/>
              </w:rPr>
            </w:pPr>
            <w:r>
              <w:rPr>
                <w:rFonts w:ascii="Arial" w:cs="Arial" w:eastAsia="Arial" w:hAnsi="Arial"/>
                <w:sz w:val="13"/>
                <w:szCs w:val="13"/>
                <w:color w:val="auto"/>
                <w:w w:val="96"/>
              </w:rPr>
              <w:t>2020</w:t>
            </w:r>
          </w:p>
        </w:tc>
        <w:tc>
          <w:tcPr>
            <w:tcW w:w="140" w:type="dxa"/>
            <w:vAlign w:val="bottom"/>
            <w:shd w:val="clear" w:color="auto" w:fill="F4F6F6"/>
          </w:tcPr>
          <w:p>
            <w:pPr>
              <w:spacing w:after="0"/>
              <w:rPr>
                <w:sz w:val="11"/>
                <w:szCs w:val="11"/>
                <w:color w:val="auto"/>
              </w:rPr>
            </w:pPr>
          </w:p>
        </w:tc>
        <w:tc>
          <w:tcPr>
            <w:tcW w:w="7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4"/>
              </w:rPr>
              <w:t>2/9/2018</w:t>
            </w:r>
          </w:p>
        </w:tc>
        <w:tc>
          <w:tcPr>
            <w:tcW w:w="8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12/11/2017</w:t>
            </w:r>
          </w:p>
        </w:tc>
        <w:tc>
          <w:tcPr>
            <w:tcW w:w="620" w:type="dxa"/>
            <w:vAlign w:val="bottom"/>
            <w:shd w:val="clear" w:color="auto" w:fill="F4F6F6"/>
          </w:tcPr>
          <w:p>
            <w:pPr>
              <w:spacing w:after="0"/>
              <w:rPr>
                <w:sz w:val="11"/>
                <w:szCs w:val="11"/>
                <w:color w:val="auto"/>
              </w:rPr>
            </w:pPr>
          </w:p>
        </w:tc>
        <w:tc>
          <w:tcPr>
            <w:tcW w:w="700" w:type="dxa"/>
            <w:vAlign w:val="bottom"/>
            <w:shd w:val="clear" w:color="auto" w:fill="F4F6F6"/>
          </w:tcPr>
          <w:p>
            <w:pPr>
              <w:spacing w:after="0"/>
              <w:rPr>
                <w:sz w:val="11"/>
                <w:szCs w:val="11"/>
                <w:color w:val="auto"/>
              </w:rPr>
            </w:pPr>
          </w:p>
        </w:tc>
        <w:tc>
          <w:tcPr>
            <w:tcW w:w="740" w:type="dxa"/>
            <w:vAlign w:val="bottom"/>
            <w:shd w:val="clear" w:color="auto" w:fill="F4F6F6"/>
          </w:tcPr>
          <w:p>
            <w:pPr>
              <w:spacing w:after="0"/>
              <w:rPr>
                <w:sz w:val="11"/>
                <w:szCs w:val="11"/>
                <w:color w:val="auto"/>
              </w:rPr>
            </w:pPr>
          </w:p>
        </w:tc>
        <w:tc>
          <w:tcPr>
            <w:tcW w:w="6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3,351</w:t>
            </w:r>
          </w:p>
        </w:tc>
        <w:tc>
          <w:tcPr>
            <w:tcW w:w="6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6,701</w:t>
            </w:r>
          </w:p>
        </w:tc>
        <w:tc>
          <w:tcPr>
            <w:tcW w:w="6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10,052</w:t>
            </w:r>
          </w:p>
        </w:tc>
        <w:tc>
          <w:tcPr>
            <w:tcW w:w="580" w:type="dxa"/>
            <w:vAlign w:val="bottom"/>
            <w:shd w:val="clear" w:color="auto" w:fill="F4F6F6"/>
          </w:tcPr>
          <w:p>
            <w:pPr>
              <w:spacing w:after="0"/>
              <w:rPr>
                <w:sz w:val="11"/>
                <w:szCs w:val="11"/>
                <w:color w:val="auto"/>
              </w:rPr>
            </w:pPr>
          </w:p>
        </w:tc>
        <w:tc>
          <w:tcPr>
            <w:tcW w:w="940" w:type="dxa"/>
            <w:vAlign w:val="bottom"/>
            <w:shd w:val="clear" w:color="auto" w:fill="F4F6F6"/>
          </w:tcPr>
          <w:p>
            <w:pPr>
              <w:spacing w:after="0"/>
              <w:rPr>
                <w:sz w:val="11"/>
                <w:szCs w:val="11"/>
                <w:color w:val="auto"/>
              </w:rPr>
            </w:pPr>
          </w:p>
        </w:tc>
        <w:tc>
          <w:tcPr>
            <w:tcW w:w="7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$691,200</w:t>
            </w:r>
          </w:p>
        </w:tc>
        <w:tc>
          <w:tcPr>
            <w:tcW w:w="0" w:type="dxa"/>
            <w:vAlign w:val="bottom"/>
          </w:tcPr>
          <w:p>
            <w:pPr>
              <w:spacing w:after="0"/>
              <w:rPr>
                <w:sz w:val="1"/>
                <w:szCs w:val="1"/>
                <w:color w:val="auto"/>
              </w:rPr>
            </w:pPr>
          </w:p>
        </w:tc>
      </w:tr>
      <w:tr>
        <w:trPr>
          <w:trHeight w:val="170"/>
        </w:trPr>
        <w:tc>
          <w:tcPr>
            <w:tcW w:w="660" w:type="dxa"/>
            <w:vAlign w:val="bottom"/>
            <w:shd w:val="clear" w:color="auto" w:fill="F4F6F6"/>
          </w:tcPr>
          <w:p>
            <w:pPr>
              <w:spacing w:after="0"/>
              <w:rPr>
                <w:sz w:val="14"/>
                <w:szCs w:val="14"/>
                <w:color w:val="auto"/>
              </w:rPr>
            </w:pPr>
          </w:p>
        </w:tc>
        <w:tc>
          <w:tcPr>
            <w:tcW w:w="4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1"/>
              </w:rPr>
              <w:t>PA</w:t>
            </w:r>
          </w:p>
        </w:tc>
        <w:tc>
          <w:tcPr>
            <w:tcW w:w="140" w:type="dxa"/>
            <w:vAlign w:val="bottom"/>
            <w:shd w:val="clear" w:color="auto" w:fill="F4F6F6"/>
          </w:tcPr>
          <w:p>
            <w:pPr>
              <w:jc w:val="right"/>
              <w:ind w:right="15"/>
              <w:spacing w:after="0"/>
              <w:rPr>
                <w:sz w:val="20"/>
                <w:szCs w:val="20"/>
                <w:color w:val="auto"/>
              </w:rPr>
            </w:pPr>
            <w:r>
              <w:rPr>
                <w:rFonts w:ascii="Arial" w:cs="Arial" w:eastAsia="Arial" w:hAnsi="Arial"/>
                <w:sz w:val="9"/>
                <w:szCs w:val="9"/>
                <w:color w:val="auto"/>
              </w:rPr>
              <w:t>3</w:t>
            </w:r>
          </w:p>
        </w:tc>
        <w:tc>
          <w:tcPr>
            <w:tcW w:w="760" w:type="dxa"/>
            <w:vAlign w:val="bottom"/>
            <w:vMerge w:val="continue"/>
            <w:shd w:val="clear" w:color="auto" w:fill="F4F6F6"/>
          </w:tcPr>
          <w:p>
            <w:pPr>
              <w:spacing w:after="0"/>
              <w:rPr>
                <w:sz w:val="14"/>
                <w:szCs w:val="14"/>
                <w:color w:val="auto"/>
              </w:rPr>
            </w:pPr>
          </w:p>
        </w:tc>
        <w:tc>
          <w:tcPr>
            <w:tcW w:w="840" w:type="dxa"/>
            <w:vAlign w:val="bottom"/>
            <w:vMerge w:val="continue"/>
            <w:shd w:val="clear" w:color="auto" w:fill="F4F6F6"/>
          </w:tcPr>
          <w:p>
            <w:pPr>
              <w:spacing w:after="0"/>
              <w:rPr>
                <w:sz w:val="14"/>
                <w:szCs w:val="14"/>
                <w:color w:val="auto"/>
              </w:rPr>
            </w:pPr>
          </w:p>
        </w:tc>
        <w:tc>
          <w:tcPr>
            <w:tcW w:w="620" w:type="dxa"/>
            <w:vAlign w:val="bottom"/>
            <w:shd w:val="clear" w:color="auto" w:fill="F4F6F6"/>
          </w:tcPr>
          <w:p>
            <w:pPr>
              <w:spacing w:after="0"/>
              <w:rPr>
                <w:sz w:val="14"/>
                <w:szCs w:val="14"/>
                <w:color w:val="auto"/>
              </w:rPr>
            </w:pPr>
          </w:p>
        </w:tc>
        <w:tc>
          <w:tcPr>
            <w:tcW w:w="700" w:type="dxa"/>
            <w:vAlign w:val="bottom"/>
            <w:shd w:val="clear" w:color="auto" w:fill="F4F6F6"/>
          </w:tcPr>
          <w:p>
            <w:pPr>
              <w:spacing w:after="0"/>
              <w:rPr>
                <w:sz w:val="14"/>
                <w:szCs w:val="14"/>
                <w:color w:val="auto"/>
              </w:rPr>
            </w:pPr>
          </w:p>
        </w:tc>
        <w:tc>
          <w:tcPr>
            <w:tcW w:w="740" w:type="dxa"/>
            <w:vAlign w:val="bottom"/>
            <w:shd w:val="clear" w:color="auto" w:fill="F4F6F6"/>
          </w:tcPr>
          <w:p>
            <w:pPr>
              <w:spacing w:after="0"/>
              <w:rPr>
                <w:sz w:val="14"/>
                <w:szCs w:val="14"/>
                <w:color w:val="auto"/>
              </w:rPr>
            </w:pPr>
          </w:p>
        </w:tc>
        <w:tc>
          <w:tcPr>
            <w:tcW w:w="660" w:type="dxa"/>
            <w:vAlign w:val="bottom"/>
            <w:vMerge w:val="continue"/>
            <w:shd w:val="clear" w:color="auto" w:fill="F4F6F6"/>
          </w:tcPr>
          <w:p>
            <w:pPr>
              <w:spacing w:after="0"/>
              <w:rPr>
                <w:sz w:val="14"/>
                <w:szCs w:val="14"/>
                <w:color w:val="auto"/>
              </w:rPr>
            </w:pPr>
          </w:p>
        </w:tc>
        <w:tc>
          <w:tcPr>
            <w:tcW w:w="680" w:type="dxa"/>
            <w:vAlign w:val="bottom"/>
            <w:vMerge w:val="continue"/>
            <w:shd w:val="clear" w:color="auto" w:fill="F4F6F6"/>
          </w:tcPr>
          <w:p>
            <w:pPr>
              <w:spacing w:after="0"/>
              <w:rPr>
                <w:sz w:val="14"/>
                <w:szCs w:val="14"/>
                <w:color w:val="auto"/>
              </w:rPr>
            </w:pPr>
          </w:p>
        </w:tc>
        <w:tc>
          <w:tcPr>
            <w:tcW w:w="640" w:type="dxa"/>
            <w:vAlign w:val="bottom"/>
            <w:vMerge w:val="continue"/>
            <w:shd w:val="clear" w:color="auto" w:fill="F4F6F6"/>
          </w:tcPr>
          <w:p>
            <w:pPr>
              <w:spacing w:after="0"/>
              <w:rPr>
                <w:sz w:val="14"/>
                <w:szCs w:val="14"/>
                <w:color w:val="auto"/>
              </w:rPr>
            </w:pPr>
          </w:p>
        </w:tc>
        <w:tc>
          <w:tcPr>
            <w:tcW w:w="580" w:type="dxa"/>
            <w:vAlign w:val="bottom"/>
            <w:shd w:val="clear" w:color="auto" w:fill="F4F6F6"/>
          </w:tcPr>
          <w:p>
            <w:pPr>
              <w:spacing w:after="0"/>
              <w:rPr>
                <w:sz w:val="14"/>
                <w:szCs w:val="14"/>
                <w:color w:val="auto"/>
              </w:rPr>
            </w:pPr>
          </w:p>
        </w:tc>
        <w:tc>
          <w:tcPr>
            <w:tcW w:w="940" w:type="dxa"/>
            <w:vAlign w:val="bottom"/>
            <w:shd w:val="clear" w:color="auto" w:fill="F4F6F6"/>
          </w:tcPr>
          <w:p>
            <w:pPr>
              <w:spacing w:after="0"/>
              <w:rPr>
                <w:sz w:val="14"/>
                <w:szCs w:val="14"/>
                <w:color w:val="auto"/>
              </w:rPr>
            </w:pPr>
          </w:p>
        </w:tc>
        <w:tc>
          <w:tcPr>
            <w:tcW w:w="720" w:type="dxa"/>
            <w:vAlign w:val="bottom"/>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60" w:type="dxa"/>
            <w:vAlign w:val="bottom"/>
            <w:shd w:val="clear" w:color="auto" w:fill="F4F6F6"/>
          </w:tcPr>
          <w:p>
            <w:pPr>
              <w:spacing w:after="0"/>
              <w:rPr>
                <w:sz w:val="13"/>
                <w:szCs w:val="13"/>
                <w:color w:val="auto"/>
              </w:rPr>
            </w:pPr>
          </w:p>
        </w:tc>
        <w:tc>
          <w:tcPr>
            <w:tcW w:w="4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2018-</w:t>
            </w:r>
          </w:p>
        </w:tc>
        <w:tc>
          <w:tcPr>
            <w:tcW w:w="140" w:type="dxa"/>
            <w:vAlign w:val="bottom"/>
            <w:shd w:val="clear" w:color="auto" w:fill="F4F6F6"/>
          </w:tcPr>
          <w:p>
            <w:pPr>
              <w:spacing w:after="0"/>
              <w:rPr>
                <w:sz w:val="13"/>
                <w:szCs w:val="13"/>
                <w:color w:val="auto"/>
              </w:rPr>
            </w:pPr>
          </w:p>
        </w:tc>
        <w:tc>
          <w:tcPr>
            <w:tcW w:w="760" w:type="dxa"/>
            <w:vAlign w:val="bottom"/>
            <w:shd w:val="clear" w:color="auto" w:fill="F4F6F6"/>
          </w:tcPr>
          <w:p>
            <w:pPr>
              <w:spacing w:after="0"/>
              <w:rPr>
                <w:sz w:val="13"/>
                <w:szCs w:val="13"/>
                <w:color w:val="auto"/>
              </w:rPr>
            </w:pPr>
          </w:p>
        </w:tc>
        <w:tc>
          <w:tcPr>
            <w:tcW w:w="840" w:type="dxa"/>
            <w:vAlign w:val="bottom"/>
            <w:shd w:val="clear" w:color="auto" w:fill="F4F6F6"/>
          </w:tcPr>
          <w:p>
            <w:pPr>
              <w:spacing w:after="0"/>
              <w:rPr>
                <w:sz w:val="13"/>
                <w:szCs w:val="13"/>
                <w:color w:val="auto"/>
              </w:rPr>
            </w:pPr>
          </w:p>
        </w:tc>
        <w:tc>
          <w:tcPr>
            <w:tcW w:w="620" w:type="dxa"/>
            <w:vAlign w:val="bottom"/>
            <w:shd w:val="clear" w:color="auto" w:fill="F4F6F6"/>
          </w:tcPr>
          <w:p>
            <w:pPr>
              <w:spacing w:after="0"/>
              <w:rPr>
                <w:sz w:val="13"/>
                <w:szCs w:val="13"/>
                <w:color w:val="auto"/>
              </w:rPr>
            </w:pPr>
          </w:p>
        </w:tc>
        <w:tc>
          <w:tcPr>
            <w:tcW w:w="700" w:type="dxa"/>
            <w:vAlign w:val="bottom"/>
            <w:shd w:val="clear" w:color="auto" w:fill="F4F6F6"/>
          </w:tcPr>
          <w:p>
            <w:pPr>
              <w:spacing w:after="0"/>
              <w:rPr>
                <w:sz w:val="13"/>
                <w:szCs w:val="13"/>
                <w:color w:val="auto"/>
              </w:rPr>
            </w:pPr>
          </w:p>
        </w:tc>
        <w:tc>
          <w:tcPr>
            <w:tcW w:w="740" w:type="dxa"/>
            <w:vAlign w:val="bottom"/>
            <w:shd w:val="clear" w:color="auto" w:fill="F4F6F6"/>
          </w:tcPr>
          <w:p>
            <w:pPr>
              <w:spacing w:after="0"/>
              <w:rPr>
                <w:sz w:val="13"/>
                <w:szCs w:val="13"/>
                <w:color w:val="auto"/>
              </w:rPr>
            </w:pPr>
          </w:p>
        </w:tc>
        <w:tc>
          <w:tcPr>
            <w:tcW w:w="660" w:type="dxa"/>
            <w:vAlign w:val="bottom"/>
            <w:shd w:val="clear" w:color="auto" w:fill="F4F6F6"/>
          </w:tcPr>
          <w:p>
            <w:pPr>
              <w:spacing w:after="0"/>
              <w:rPr>
                <w:sz w:val="13"/>
                <w:szCs w:val="13"/>
                <w:color w:val="auto"/>
              </w:rPr>
            </w:pPr>
          </w:p>
        </w:tc>
        <w:tc>
          <w:tcPr>
            <w:tcW w:w="680" w:type="dxa"/>
            <w:vAlign w:val="bottom"/>
            <w:shd w:val="clear" w:color="auto" w:fill="F4F6F6"/>
          </w:tcPr>
          <w:p>
            <w:pPr>
              <w:spacing w:after="0"/>
              <w:rPr>
                <w:sz w:val="13"/>
                <w:szCs w:val="13"/>
                <w:color w:val="auto"/>
              </w:rPr>
            </w:pPr>
          </w:p>
        </w:tc>
        <w:tc>
          <w:tcPr>
            <w:tcW w:w="640" w:type="dxa"/>
            <w:vAlign w:val="bottom"/>
            <w:shd w:val="clear" w:color="auto" w:fill="F4F6F6"/>
          </w:tcPr>
          <w:p>
            <w:pPr>
              <w:spacing w:after="0"/>
              <w:rPr>
                <w:sz w:val="13"/>
                <w:szCs w:val="13"/>
                <w:color w:val="auto"/>
              </w:rPr>
            </w:pPr>
          </w:p>
        </w:tc>
        <w:tc>
          <w:tcPr>
            <w:tcW w:w="580" w:type="dxa"/>
            <w:vAlign w:val="bottom"/>
            <w:shd w:val="clear" w:color="auto" w:fill="F4F6F6"/>
          </w:tcPr>
          <w:p>
            <w:pPr>
              <w:spacing w:after="0"/>
              <w:rPr>
                <w:sz w:val="13"/>
                <w:szCs w:val="13"/>
                <w:color w:val="auto"/>
              </w:rPr>
            </w:pPr>
          </w:p>
        </w:tc>
        <w:tc>
          <w:tcPr>
            <w:tcW w:w="940" w:type="dxa"/>
            <w:vAlign w:val="bottom"/>
            <w:shd w:val="clear" w:color="auto" w:fill="F4F6F6"/>
          </w:tcPr>
          <w:p>
            <w:pPr>
              <w:spacing w:after="0"/>
              <w:rPr>
                <w:sz w:val="13"/>
                <w:szCs w:val="13"/>
                <w:color w:val="auto"/>
              </w:rPr>
            </w:pPr>
          </w:p>
        </w:tc>
        <w:tc>
          <w:tcPr>
            <w:tcW w:w="72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60" w:type="dxa"/>
            <w:vAlign w:val="bottom"/>
            <w:shd w:val="clear" w:color="auto" w:fill="F4F6F6"/>
          </w:tcPr>
          <w:p>
            <w:pPr>
              <w:spacing w:after="0"/>
              <w:rPr>
                <w:sz w:val="11"/>
                <w:szCs w:val="11"/>
                <w:color w:val="auto"/>
              </w:rPr>
            </w:pPr>
          </w:p>
        </w:tc>
        <w:tc>
          <w:tcPr>
            <w:tcW w:w="440" w:type="dxa"/>
            <w:vAlign w:val="bottom"/>
            <w:shd w:val="clear" w:color="auto" w:fill="F4F6F6"/>
          </w:tcPr>
          <w:p>
            <w:pPr>
              <w:jc w:val="center"/>
              <w:spacing w:after="0" w:line="135" w:lineRule="exact"/>
              <w:rPr>
                <w:sz w:val="20"/>
                <w:szCs w:val="20"/>
                <w:color w:val="auto"/>
              </w:rPr>
            </w:pPr>
            <w:r>
              <w:rPr>
                <w:rFonts w:ascii="Arial" w:cs="Arial" w:eastAsia="Arial" w:hAnsi="Arial"/>
                <w:sz w:val="13"/>
                <w:szCs w:val="13"/>
                <w:color w:val="auto"/>
                <w:w w:val="96"/>
              </w:rPr>
              <w:t>2020</w:t>
            </w:r>
          </w:p>
        </w:tc>
        <w:tc>
          <w:tcPr>
            <w:tcW w:w="140" w:type="dxa"/>
            <w:vAlign w:val="bottom"/>
            <w:shd w:val="clear" w:color="auto" w:fill="F4F6F6"/>
          </w:tcPr>
          <w:p>
            <w:pPr>
              <w:spacing w:after="0"/>
              <w:rPr>
                <w:sz w:val="11"/>
                <w:szCs w:val="11"/>
                <w:color w:val="auto"/>
              </w:rPr>
            </w:pPr>
          </w:p>
        </w:tc>
        <w:tc>
          <w:tcPr>
            <w:tcW w:w="7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4"/>
              </w:rPr>
              <w:t>2/9/2018</w:t>
            </w:r>
          </w:p>
        </w:tc>
        <w:tc>
          <w:tcPr>
            <w:tcW w:w="8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12/11/2017</w:t>
            </w:r>
          </w:p>
        </w:tc>
        <w:tc>
          <w:tcPr>
            <w:tcW w:w="620" w:type="dxa"/>
            <w:vAlign w:val="bottom"/>
            <w:shd w:val="clear" w:color="auto" w:fill="F4F6F6"/>
          </w:tcPr>
          <w:p>
            <w:pPr>
              <w:spacing w:after="0"/>
              <w:rPr>
                <w:sz w:val="11"/>
                <w:szCs w:val="11"/>
                <w:color w:val="auto"/>
              </w:rPr>
            </w:pPr>
          </w:p>
        </w:tc>
        <w:tc>
          <w:tcPr>
            <w:tcW w:w="700" w:type="dxa"/>
            <w:vAlign w:val="bottom"/>
            <w:shd w:val="clear" w:color="auto" w:fill="F4F6F6"/>
          </w:tcPr>
          <w:p>
            <w:pPr>
              <w:spacing w:after="0"/>
              <w:rPr>
                <w:sz w:val="11"/>
                <w:szCs w:val="11"/>
                <w:color w:val="auto"/>
              </w:rPr>
            </w:pPr>
          </w:p>
        </w:tc>
        <w:tc>
          <w:tcPr>
            <w:tcW w:w="740" w:type="dxa"/>
            <w:vAlign w:val="bottom"/>
            <w:shd w:val="clear" w:color="auto" w:fill="F4F6F6"/>
          </w:tcPr>
          <w:p>
            <w:pPr>
              <w:spacing w:after="0"/>
              <w:rPr>
                <w:sz w:val="11"/>
                <w:szCs w:val="11"/>
                <w:color w:val="auto"/>
              </w:rPr>
            </w:pPr>
          </w:p>
        </w:tc>
        <w:tc>
          <w:tcPr>
            <w:tcW w:w="6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6,988</w:t>
            </w:r>
          </w:p>
        </w:tc>
        <w:tc>
          <w:tcPr>
            <w:tcW w:w="6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17,471</w:t>
            </w:r>
          </w:p>
        </w:tc>
        <w:tc>
          <w:tcPr>
            <w:tcW w:w="6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31,448</w:t>
            </w:r>
          </w:p>
        </w:tc>
        <w:tc>
          <w:tcPr>
            <w:tcW w:w="580" w:type="dxa"/>
            <w:vAlign w:val="bottom"/>
            <w:shd w:val="clear" w:color="auto" w:fill="F4F6F6"/>
          </w:tcPr>
          <w:p>
            <w:pPr>
              <w:spacing w:after="0"/>
              <w:rPr>
                <w:sz w:val="11"/>
                <w:szCs w:val="11"/>
                <w:color w:val="auto"/>
              </w:rPr>
            </w:pPr>
          </w:p>
        </w:tc>
        <w:tc>
          <w:tcPr>
            <w:tcW w:w="940" w:type="dxa"/>
            <w:vAlign w:val="bottom"/>
            <w:shd w:val="clear" w:color="auto" w:fill="F4F6F6"/>
          </w:tcPr>
          <w:p>
            <w:pPr>
              <w:spacing w:after="0"/>
              <w:rPr>
                <w:sz w:val="11"/>
                <w:szCs w:val="11"/>
                <w:color w:val="auto"/>
              </w:rPr>
            </w:pPr>
          </w:p>
        </w:tc>
        <w:tc>
          <w:tcPr>
            <w:tcW w:w="7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$720,000</w:t>
            </w:r>
          </w:p>
        </w:tc>
        <w:tc>
          <w:tcPr>
            <w:tcW w:w="0" w:type="dxa"/>
            <w:vAlign w:val="bottom"/>
          </w:tcPr>
          <w:p>
            <w:pPr>
              <w:spacing w:after="0"/>
              <w:rPr>
                <w:sz w:val="1"/>
                <w:szCs w:val="1"/>
                <w:color w:val="auto"/>
              </w:rPr>
            </w:pPr>
          </w:p>
        </w:tc>
      </w:tr>
      <w:tr>
        <w:trPr>
          <w:trHeight w:val="170"/>
        </w:trPr>
        <w:tc>
          <w:tcPr>
            <w:tcW w:w="660" w:type="dxa"/>
            <w:vAlign w:val="bottom"/>
            <w:shd w:val="clear" w:color="auto" w:fill="F4F6F6"/>
          </w:tcPr>
          <w:p>
            <w:pPr>
              <w:spacing w:after="0"/>
              <w:rPr>
                <w:sz w:val="14"/>
                <w:szCs w:val="14"/>
                <w:color w:val="auto"/>
              </w:rPr>
            </w:pPr>
          </w:p>
        </w:tc>
        <w:tc>
          <w:tcPr>
            <w:tcW w:w="4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2"/>
              </w:rPr>
              <w:t>SVA</w:t>
            </w:r>
          </w:p>
        </w:tc>
        <w:tc>
          <w:tcPr>
            <w:tcW w:w="140" w:type="dxa"/>
            <w:vAlign w:val="bottom"/>
            <w:shd w:val="clear" w:color="auto" w:fill="F4F6F6"/>
          </w:tcPr>
          <w:p>
            <w:pPr>
              <w:jc w:val="right"/>
              <w:ind w:right="15"/>
              <w:spacing w:after="0"/>
              <w:rPr>
                <w:sz w:val="20"/>
                <w:szCs w:val="20"/>
                <w:color w:val="auto"/>
              </w:rPr>
            </w:pPr>
            <w:r>
              <w:rPr>
                <w:rFonts w:ascii="Arial" w:cs="Arial" w:eastAsia="Arial" w:hAnsi="Arial"/>
                <w:sz w:val="9"/>
                <w:szCs w:val="9"/>
                <w:color w:val="auto"/>
              </w:rPr>
              <w:t>4</w:t>
            </w:r>
          </w:p>
        </w:tc>
        <w:tc>
          <w:tcPr>
            <w:tcW w:w="760" w:type="dxa"/>
            <w:vAlign w:val="bottom"/>
            <w:vMerge w:val="continue"/>
            <w:shd w:val="clear" w:color="auto" w:fill="F4F6F6"/>
          </w:tcPr>
          <w:p>
            <w:pPr>
              <w:spacing w:after="0"/>
              <w:rPr>
                <w:sz w:val="14"/>
                <w:szCs w:val="14"/>
                <w:color w:val="auto"/>
              </w:rPr>
            </w:pPr>
          </w:p>
        </w:tc>
        <w:tc>
          <w:tcPr>
            <w:tcW w:w="840" w:type="dxa"/>
            <w:vAlign w:val="bottom"/>
            <w:vMerge w:val="continue"/>
            <w:shd w:val="clear" w:color="auto" w:fill="F4F6F6"/>
          </w:tcPr>
          <w:p>
            <w:pPr>
              <w:spacing w:after="0"/>
              <w:rPr>
                <w:sz w:val="14"/>
                <w:szCs w:val="14"/>
                <w:color w:val="auto"/>
              </w:rPr>
            </w:pPr>
          </w:p>
        </w:tc>
        <w:tc>
          <w:tcPr>
            <w:tcW w:w="620" w:type="dxa"/>
            <w:vAlign w:val="bottom"/>
            <w:shd w:val="clear" w:color="auto" w:fill="F4F6F6"/>
          </w:tcPr>
          <w:p>
            <w:pPr>
              <w:spacing w:after="0"/>
              <w:rPr>
                <w:sz w:val="14"/>
                <w:szCs w:val="14"/>
                <w:color w:val="auto"/>
              </w:rPr>
            </w:pPr>
          </w:p>
        </w:tc>
        <w:tc>
          <w:tcPr>
            <w:tcW w:w="700" w:type="dxa"/>
            <w:vAlign w:val="bottom"/>
            <w:shd w:val="clear" w:color="auto" w:fill="F4F6F6"/>
          </w:tcPr>
          <w:p>
            <w:pPr>
              <w:spacing w:after="0"/>
              <w:rPr>
                <w:sz w:val="14"/>
                <w:szCs w:val="14"/>
                <w:color w:val="auto"/>
              </w:rPr>
            </w:pPr>
          </w:p>
        </w:tc>
        <w:tc>
          <w:tcPr>
            <w:tcW w:w="740" w:type="dxa"/>
            <w:vAlign w:val="bottom"/>
            <w:shd w:val="clear" w:color="auto" w:fill="F4F6F6"/>
          </w:tcPr>
          <w:p>
            <w:pPr>
              <w:spacing w:after="0"/>
              <w:rPr>
                <w:sz w:val="14"/>
                <w:szCs w:val="14"/>
                <w:color w:val="auto"/>
              </w:rPr>
            </w:pPr>
          </w:p>
        </w:tc>
        <w:tc>
          <w:tcPr>
            <w:tcW w:w="660" w:type="dxa"/>
            <w:vAlign w:val="bottom"/>
            <w:vMerge w:val="continue"/>
            <w:shd w:val="clear" w:color="auto" w:fill="F4F6F6"/>
          </w:tcPr>
          <w:p>
            <w:pPr>
              <w:spacing w:after="0"/>
              <w:rPr>
                <w:sz w:val="14"/>
                <w:szCs w:val="14"/>
                <w:color w:val="auto"/>
              </w:rPr>
            </w:pPr>
          </w:p>
        </w:tc>
        <w:tc>
          <w:tcPr>
            <w:tcW w:w="680" w:type="dxa"/>
            <w:vAlign w:val="bottom"/>
            <w:vMerge w:val="continue"/>
            <w:shd w:val="clear" w:color="auto" w:fill="F4F6F6"/>
          </w:tcPr>
          <w:p>
            <w:pPr>
              <w:spacing w:after="0"/>
              <w:rPr>
                <w:sz w:val="14"/>
                <w:szCs w:val="14"/>
                <w:color w:val="auto"/>
              </w:rPr>
            </w:pPr>
          </w:p>
        </w:tc>
        <w:tc>
          <w:tcPr>
            <w:tcW w:w="640" w:type="dxa"/>
            <w:vAlign w:val="bottom"/>
            <w:vMerge w:val="continue"/>
            <w:shd w:val="clear" w:color="auto" w:fill="F4F6F6"/>
          </w:tcPr>
          <w:p>
            <w:pPr>
              <w:spacing w:after="0"/>
              <w:rPr>
                <w:sz w:val="14"/>
                <w:szCs w:val="14"/>
                <w:color w:val="auto"/>
              </w:rPr>
            </w:pPr>
          </w:p>
        </w:tc>
        <w:tc>
          <w:tcPr>
            <w:tcW w:w="580" w:type="dxa"/>
            <w:vAlign w:val="bottom"/>
            <w:shd w:val="clear" w:color="auto" w:fill="F4F6F6"/>
          </w:tcPr>
          <w:p>
            <w:pPr>
              <w:spacing w:after="0"/>
              <w:rPr>
                <w:sz w:val="14"/>
                <w:szCs w:val="14"/>
                <w:color w:val="auto"/>
              </w:rPr>
            </w:pPr>
          </w:p>
        </w:tc>
        <w:tc>
          <w:tcPr>
            <w:tcW w:w="940" w:type="dxa"/>
            <w:vAlign w:val="bottom"/>
            <w:shd w:val="clear" w:color="auto" w:fill="F4F6F6"/>
          </w:tcPr>
          <w:p>
            <w:pPr>
              <w:spacing w:after="0"/>
              <w:rPr>
                <w:sz w:val="14"/>
                <w:szCs w:val="14"/>
                <w:color w:val="auto"/>
              </w:rPr>
            </w:pPr>
          </w:p>
        </w:tc>
        <w:tc>
          <w:tcPr>
            <w:tcW w:w="720" w:type="dxa"/>
            <w:vAlign w:val="bottom"/>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60" w:type="dxa"/>
            <w:vAlign w:val="bottom"/>
            <w:shd w:val="clear" w:color="auto" w:fill="F4F6F6"/>
          </w:tcPr>
          <w:p>
            <w:pPr>
              <w:spacing w:after="0"/>
              <w:rPr>
                <w:sz w:val="13"/>
                <w:szCs w:val="13"/>
                <w:color w:val="auto"/>
              </w:rPr>
            </w:pPr>
          </w:p>
        </w:tc>
        <w:tc>
          <w:tcPr>
            <w:tcW w:w="440" w:type="dxa"/>
            <w:vAlign w:val="bottom"/>
            <w:shd w:val="clear" w:color="auto" w:fill="F4F6F6"/>
          </w:tcPr>
          <w:p>
            <w:pPr>
              <w:jc w:val="center"/>
              <w:spacing w:after="0"/>
              <w:rPr>
                <w:sz w:val="20"/>
                <w:szCs w:val="20"/>
                <w:color w:val="auto"/>
              </w:rPr>
            </w:pPr>
            <w:r>
              <w:rPr>
                <w:rFonts w:ascii="Arial" w:cs="Arial" w:eastAsia="Arial" w:hAnsi="Arial"/>
                <w:sz w:val="13"/>
                <w:szCs w:val="13"/>
                <w:color w:val="auto"/>
              </w:rPr>
              <w:t>Elanco</w:t>
            </w:r>
          </w:p>
        </w:tc>
        <w:tc>
          <w:tcPr>
            <w:tcW w:w="140" w:type="dxa"/>
            <w:vAlign w:val="bottom"/>
            <w:shd w:val="clear" w:color="auto" w:fill="F4F6F6"/>
          </w:tcPr>
          <w:p>
            <w:pPr>
              <w:spacing w:after="0"/>
              <w:rPr>
                <w:sz w:val="13"/>
                <w:szCs w:val="13"/>
                <w:color w:val="auto"/>
              </w:rPr>
            </w:pPr>
          </w:p>
        </w:tc>
        <w:tc>
          <w:tcPr>
            <w:tcW w:w="7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10/20/2018</w:t>
            </w:r>
          </w:p>
        </w:tc>
        <w:tc>
          <w:tcPr>
            <w:tcW w:w="8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4"/>
              </w:rPr>
              <w:t>9/5/2018</w:t>
            </w:r>
          </w:p>
        </w:tc>
        <w:tc>
          <w:tcPr>
            <w:tcW w:w="620" w:type="dxa"/>
            <w:vAlign w:val="bottom"/>
            <w:shd w:val="clear" w:color="auto" w:fill="F4F6F6"/>
          </w:tcPr>
          <w:p>
            <w:pPr>
              <w:spacing w:after="0"/>
              <w:rPr>
                <w:sz w:val="13"/>
                <w:szCs w:val="13"/>
                <w:color w:val="auto"/>
              </w:rPr>
            </w:pPr>
          </w:p>
        </w:tc>
        <w:tc>
          <w:tcPr>
            <w:tcW w:w="700" w:type="dxa"/>
            <w:vAlign w:val="bottom"/>
            <w:shd w:val="clear" w:color="auto" w:fill="F4F6F6"/>
          </w:tcPr>
          <w:p>
            <w:pPr>
              <w:spacing w:after="0"/>
              <w:rPr>
                <w:sz w:val="13"/>
                <w:szCs w:val="13"/>
                <w:color w:val="auto"/>
              </w:rPr>
            </w:pPr>
          </w:p>
        </w:tc>
        <w:tc>
          <w:tcPr>
            <w:tcW w:w="740" w:type="dxa"/>
            <w:vAlign w:val="bottom"/>
            <w:shd w:val="clear" w:color="auto" w:fill="F4F6F6"/>
          </w:tcPr>
          <w:p>
            <w:pPr>
              <w:spacing w:after="0"/>
              <w:rPr>
                <w:sz w:val="13"/>
                <w:szCs w:val="13"/>
                <w:color w:val="auto"/>
              </w:rPr>
            </w:pPr>
          </w:p>
        </w:tc>
        <w:tc>
          <w:tcPr>
            <w:tcW w:w="660" w:type="dxa"/>
            <w:vAlign w:val="bottom"/>
            <w:shd w:val="clear" w:color="auto" w:fill="F4F6F6"/>
          </w:tcPr>
          <w:p>
            <w:pPr>
              <w:spacing w:after="0"/>
              <w:rPr>
                <w:sz w:val="13"/>
                <w:szCs w:val="13"/>
                <w:color w:val="auto"/>
              </w:rPr>
            </w:pPr>
          </w:p>
        </w:tc>
        <w:tc>
          <w:tcPr>
            <w:tcW w:w="680" w:type="dxa"/>
            <w:vAlign w:val="bottom"/>
            <w:shd w:val="clear" w:color="auto" w:fill="F4F6F6"/>
          </w:tcPr>
          <w:p>
            <w:pPr>
              <w:spacing w:after="0"/>
              <w:rPr>
                <w:sz w:val="13"/>
                <w:szCs w:val="13"/>
                <w:color w:val="auto"/>
              </w:rPr>
            </w:pPr>
          </w:p>
        </w:tc>
        <w:tc>
          <w:tcPr>
            <w:tcW w:w="640" w:type="dxa"/>
            <w:vAlign w:val="bottom"/>
            <w:shd w:val="clear" w:color="auto" w:fill="F4F6F6"/>
          </w:tcPr>
          <w:p>
            <w:pPr>
              <w:spacing w:after="0"/>
              <w:rPr>
                <w:sz w:val="13"/>
                <w:szCs w:val="13"/>
                <w:color w:val="auto"/>
              </w:rPr>
            </w:pPr>
          </w:p>
        </w:tc>
        <w:tc>
          <w:tcPr>
            <w:tcW w:w="5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36,287</w:t>
            </w:r>
          </w:p>
        </w:tc>
        <w:tc>
          <w:tcPr>
            <w:tcW w:w="940" w:type="dxa"/>
            <w:vAlign w:val="bottom"/>
            <w:shd w:val="clear" w:color="auto" w:fill="F4F6F6"/>
          </w:tcPr>
          <w:p>
            <w:pPr>
              <w:spacing w:after="0"/>
              <w:rPr>
                <w:sz w:val="13"/>
                <w:szCs w:val="13"/>
                <w:color w:val="auto"/>
              </w:rPr>
            </w:pPr>
          </w:p>
        </w:tc>
        <w:tc>
          <w:tcPr>
            <w:tcW w:w="7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$1,119,454</w:t>
            </w:r>
          </w:p>
        </w:tc>
        <w:tc>
          <w:tcPr>
            <w:tcW w:w="0" w:type="dxa"/>
            <w:vAlign w:val="bottom"/>
          </w:tcPr>
          <w:p>
            <w:pPr>
              <w:spacing w:after="0"/>
              <w:rPr>
                <w:sz w:val="1"/>
                <w:szCs w:val="1"/>
                <w:color w:val="auto"/>
              </w:rPr>
            </w:pPr>
          </w:p>
        </w:tc>
      </w:tr>
      <w:tr>
        <w:trPr>
          <w:trHeight w:val="170"/>
        </w:trPr>
        <w:tc>
          <w:tcPr>
            <w:tcW w:w="660" w:type="dxa"/>
            <w:vAlign w:val="bottom"/>
            <w:shd w:val="clear" w:color="auto" w:fill="F4F6F6"/>
          </w:tcPr>
          <w:p>
            <w:pPr>
              <w:spacing w:after="0"/>
              <w:rPr>
                <w:sz w:val="14"/>
                <w:szCs w:val="14"/>
                <w:color w:val="auto"/>
              </w:rPr>
            </w:pPr>
          </w:p>
        </w:tc>
        <w:tc>
          <w:tcPr>
            <w:tcW w:w="440" w:type="dxa"/>
            <w:vAlign w:val="bottom"/>
            <w:shd w:val="clear" w:color="auto" w:fill="F4F6F6"/>
          </w:tcPr>
          <w:p>
            <w:pPr>
              <w:jc w:val="center"/>
              <w:spacing w:after="0"/>
              <w:rPr>
                <w:sz w:val="20"/>
                <w:szCs w:val="20"/>
                <w:color w:val="auto"/>
              </w:rPr>
            </w:pPr>
            <w:r>
              <w:rPr>
                <w:rFonts w:ascii="Arial" w:cs="Arial" w:eastAsia="Arial" w:hAnsi="Arial"/>
                <w:sz w:val="13"/>
                <w:szCs w:val="13"/>
                <w:color w:val="auto"/>
              </w:rPr>
              <w:t>RSU</w:t>
            </w:r>
          </w:p>
        </w:tc>
        <w:tc>
          <w:tcPr>
            <w:tcW w:w="140" w:type="dxa"/>
            <w:vAlign w:val="bottom"/>
            <w:shd w:val="clear" w:color="auto" w:fill="F4F6F6"/>
          </w:tcPr>
          <w:p>
            <w:pPr>
              <w:jc w:val="right"/>
              <w:ind w:right="15"/>
              <w:spacing w:after="0"/>
              <w:rPr>
                <w:sz w:val="20"/>
                <w:szCs w:val="20"/>
                <w:color w:val="auto"/>
              </w:rPr>
            </w:pPr>
            <w:r>
              <w:rPr>
                <w:rFonts w:ascii="Arial" w:cs="Arial" w:eastAsia="Arial" w:hAnsi="Arial"/>
                <w:sz w:val="9"/>
                <w:szCs w:val="9"/>
                <w:color w:val="auto"/>
              </w:rPr>
              <w:t>5</w:t>
            </w:r>
          </w:p>
        </w:tc>
        <w:tc>
          <w:tcPr>
            <w:tcW w:w="760" w:type="dxa"/>
            <w:vAlign w:val="bottom"/>
            <w:vMerge w:val="continue"/>
            <w:shd w:val="clear" w:color="auto" w:fill="F4F6F6"/>
          </w:tcPr>
          <w:p>
            <w:pPr>
              <w:spacing w:after="0"/>
              <w:rPr>
                <w:sz w:val="14"/>
                <w:szCs w:val="14"/>
                <w:color w:val="auto"/>
              </w:rPr>
            </w:pPr>
          </w:p>
        </w:tc>
        <w:tc>
          <w:tcPr>
            <w:tcW w:w="840" w:type="dxa"/>
            <w:vAlign w:val="bottom"/>
            <w:vMerge w:val="continue"/>
            <w:shd w:val="clear" w:color="auto" w:fill="F4F6F6"/>
          </w:tcPr>
          <w:p>
            <w:pPr>
              <w:spacing w:after="0"/>
              <w:rPr>
                <w:sz w:val="14"/>
                <w:szCs w:val="14"/>
                <w:color w:val="auto"/>
              </w:rPr>
            </w:pPr>
          </w:p>
        </w:tc>
        <w:tc>
          <w:tcPr>
            <w:tcW w:w="620" w:type="dxa"/>
            <w:vAlign w:val="bottom"/>
            <w:shd w:val="clear" w:color="auto" w:fill="F4F6F6"/>
          </w:tcPr>
          <w:p>
            <w:pPr>
              <w:spacing w:after="0"/>
              <w:rPr>
                <w:sz w:val="14"/>
                <w:szCs w:val="14"/>
                <w:color w:val="auto"/>
              </w:rPr>
            </w:pPr>
          </w:p>
        </w:tc>
        <w:tc>
          <w:tcPr>
            <w:tcW w:w="700" w:type="dxa"/>
            <w:vAlign w:val="bottom"/>
            <w:shd w:val="clear" w:color="auto" w:fill="F4F6F6"/>
          </w:tcPr>
          <w:p>
            <w:pPr>
              <w:spacing w:after="0"/>
              <w:rPr>
                <w:sz w:val="14"/>
                <w:szCs w:val="14"/>
                <w:color w:val="auto"/>
              </w:rPr>
            </w:pPr>
          </w:p>
        </w:tc>
        <w:tc>
          <w:tcPr>
            <w:tcW w:w="740" w:type="dxa"/>
            <w:vAlign w:val="bottom"/>
            <w:shd w:val="clear" w:color="auto" w:fill="F4F6F6"/>
          </w:tcPr>
          <w:p>
            <w:pPr>
              <w:spacing w:after="0"/>
              <w:rPr>
                <w:sz w:val="14"/>
                <w:szCs w:val="14"/>
                <w:color w:val="auto"/>
              </w:rPr>
            </w:pPr>
          </w:p>
        </w:tc>
        <w:tc>
          <w:tcPr>
            <w:tcW w:w="660" w:type="dxa"/>
            <w:vAlign w:val="bottom"/>
            <w:shd w:val="clear" w:color="auto" w:fill="F4F6F6"/>
          </w:tcPr>
          <w:p>
            <w:pPr>
              <w:spacing w:after="0"/>
              <w:rPr>
                <w:sz w:val="14"/>
                <w:szCs w:val="14"/>
                <w:color w:val="auto"/>
              </w:rPr>
            </w:pPr>
          </w:p>
        </w:tc>
        <w:tc>
          <w:tcPr>
            <w:tcW w:w="680" w:type="dxa"/>
            <w:vAlign w:val="bottom"/>
            <w:shd w:val="clear" w:color="auto" w:fill="F4F6F6"/>
          </w:tcPr>
          <w:p>
            <w:pPr>
              <w:spacing w:after="0"/>
              <w:rPr>
                <w:sz w:val="14"/>
                <w:szCs w:val="14"/>
                <w:color w:val="auto"/>
              </w:rPr>
            </w:pPr>
          </w:p>
        </w:tc>
        <w:tc>
          <w:tcPr>
            <w:tcW w:w="640" w:type="dxa"/>
            <w:vAlign w:val="bottom"/>
            <w:shd w:val="clear" w:color="auto" w:fill="F4F6F6"/>
          </w:tcPr>
          <w:p>
            <w:pPr>
              <w:spacing w:after="0"/>
              <w:rPr>
                <w:sz w:val="14"/>
                <w:szCs w:val="14"/>
                <w:color w:val="auto"/>
              </w:rPr>
            </w:pPr>
          </w:p>
        </w:tc>
        <w:tc>
          <w:tcPr>
            <w:tcW w:w="580" w:type="dxa"/>
            <w:vAlign w:val="bottom"/>
            <w:vMerge w:val="continue"/>
            <w:shd w:val="clear" w:color="auto" w:fill="F4F6F6"/>
          </w:tcPr>
          <w:p>
            <w:pPr>
              <w:spacing w:after="0"/>
              <w:rPr>
                <w:sz w:val="14"/>
                <w:szCs w:val="14"/>
                <w:color w:val="auto"/>
              </w:rPr>
            </w:pPr>
          </w:p>
        </w:tc>
        <w:tc>
          <w:tcPr>
            <w:tcW w:w="940" w:type="dxa"/>
            <w:vAlign w:val="bottom"/>
            <w:shd w:val="clear" w:color="auto" w:fill="F4F6F6"/>
          </w:tcPr>
          <w:p>
            <w:pPr>
              <w:spacing w:after="0"/>
              <w:rPr>
                <w:sz w:val="14"/>
                <w:szCs w:val="14"/>
                <w:color w:val="auto"/>
              </w:rPr>
            </w:pPr>
          </w:p>
        </w:tc>
        <w:tc>
          <w:tcPr>
            <w:tcW w:w="720" w:type="dxa"/>
            <w:vAlign w:val="bottom"/>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60" w:type="dxa"/>
            <w:vAlign w:val="bottom"/>
            <w:shd w:val="clear" w:color="auto" w:fill="F4F6F6"/>
          </w:tcPr>
          <w:p>
            <w:pPr>
              <w:spacing w:after="0"/>
              <w:rPr>
                <w:sz w:val="13"/>
                <w:szCs w:val="13"/>
                <w:color w:val="auto"/>
              </w:rPr>
            </w:pPr>
          </w:p>
        </w:tc>
        <w:tc>
          <w:tcPr>
            <w:tcW w:w="440" w:type="dxa"/>
            <w:vAlign w:val="bottom"/>
            <w:shd w:val="clear" w:color="auto" w:fill="F4F6F6"/>
          </w:tcPr>
          <w:p>
            <w:pPr>
              <w:jc w:val="center"/>
              <w:spacing w:after="0"/>
              <w:rPr>
                <w:sz w:val="20"/>
                <w:szCs w:val="20"/>
                <w:color w:val="auto"/>
              </w:rPr>
            </w:pPr>
            <w:r>
              <w:rPr>
                <w:rFonts w:ascii="Arial" w:cs="Arial" w:eastAsia="Arial" w:hAnsi="Arial"/>
                <w:sz w:val="13"/>
                <w:szCs w:val="13"/>
                <w:color w:val="auto"/>
              </w:rPr>
              <w:t>Elanco</w:t>
            </w:r>
          </w:p>
        </w:tc>
        <w:tc>
          <w:tcPr>
            <w:tcW w:w="140" w:type="dxa"/>
            <w:vAlign w:val="bottom"/>
            <w:shd w:val="clear" w:color="auto" w:fill="F4F6F6"/>
          </w:tcPr>
          <w:p>
            <w:pPr>
              <w:spacing w:after="0"/>
              <w:rPr>
                <w:sz w:val="13"/>
                <w:szCs w:val="13"/>
                <w:color w:val="auto"/>
              </w:rPr>
            </w:pPr>
          </w:p>
        </w:tc>
        <w:tc>
          <w:tcPr>
            <w:tcW w:w="76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10/20/2018</w:t>
            </w:r>
          </w:p>
        </w:tc>
        <w:tc>
          <w:tcPr>
            <w:tcW w:w="8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4"/>
              </w:rPr>
              <w:t>9/5/2018</w:t>
            </w:r>
          </w:p>
        </w:tc>
        <w:tc>
          <w:tcPr>
            <w:tcW w:w="620" w:type="dxa"/>
            <w:vAlign w:val="bottom"/>
            <w:shd w:val="clear" w:color="auto" w:fill="F4F6F6"/>
          </w:tcPr>
          <w:p>
            <w:pPr>
              <w:spacing w:after="0"/>
              <w:rPr>
                <w:sz w:val="13"/>
                <w:szCs w:val="13"/>
                <w:color w:val="auto"/>
              </w:rPr>
            </w:pPr>
          </w:p>
        </w:tc>
        <w:tc>
          <w:tcPr>
            <w:tcW w:w="700" w:type="dxa"/>
            <w:vAlign w:val="bottom"/>
            <w:shd w:val="clear" w:color="auto" w:fill="F4F6F6"/>
          </w:tcPr>
          <w:p>
            <w:pPr>
              <w:spacing w:after="0"/>
              <w:rPr>
                <w:sz w:val="13"/>
                <w:szCs w:val="13"/>
                <w:color w:val="auto"/>
              </w:rPr>
            </w:pPr>
          </w:p>
        </w:tc>
        <w:tc>
          <w:tcPr>
            <w:tcW w:w="740" w:type="dxa"/>
            <w:vAlign w:val="bottom"/>
            <w:shd w:val="clear" w:color="auto" w:fill="F4F6F6"/>
          </w:tcPr>
          <w:p>
            <w:pPr>
              <w:spacing w:after="0"/>
              <w:rPr>
                <w:sz w:val="13"/>
                <w:szCs w:val="13"/>
                <w:color w:val="auto"/>
              </w:rPr>
            </w:pPr>
          </w:p>
        </w:tc>
        <w:tc>
          <w:tcPr>
            <w:tcW w:w="660" w:type="dxa"/>
            <w:vAlign w:val="bottom"/>
            <w:shd w:val="clear" w:color="auto" w:fill="F4F6F6"/>
          </w:tcPr>
          <w:p>
            <w:pPr>
              <w:spacing w:after="0"/>
              <w:rPr>
                <w:sz w:val="13"/>
                <w:szCs w:val="13"/>
                <w:color w:val="auto"/>
              </w:rPr>
            </w:pPr>
          </w:p>
        </w:tc>
        <w:tc>
          <w:tcPr>
            <w:tcW w:w="680" w:type="dxa"/>
            <w:vAlign w:val="bottom"/>
            <w:shd w:val="clear" w:color="auto" w:fill="F4F6F6"/>
          </w:tcPr>
          <w:p>
            <w:pPr>
              <w:spacing w:after="0"/>
              <w:rPr>
                <w:sz w:val="13"/>
                <w:szCs w:val="13"/>
                <w:color w:val="auto"/>
              </w:rPr>
            </w:pPr>
          </w:p>
        </w:tc>
        <w:tc>
          <w:tcPr>
            <w:tcW w:w="640" w:type="dxa"/>
            <w:vAlign w:val="bottom"/>
            <w:shd w:val="clear" w:color="auto" w:fill="F4F6F6"/>
          </w:tcPr>
          <w:p>
            <w:pPr>
              <w:spacing w:after="0"/>
              <w:rPr>
                <w:sz w:val="13"/>
                <w:szCs w:val="13"/>
                <w:color w:val="auto"/>
              </w:rPr>
            </w:pPr>
          </w:p>
        </w:tc>
        <w:tc>
          <w:tcPr>
            <w:tcW w:w="5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7"/>
              </w:rPr>
              <w:t>109,642</w:t>
            </w:r>
          </w:p>
        </w:tc>
        <w:tc>
          <w:tcPr>
            <w:tcW w:w="94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$31.61</w:t>
            </w:r>
          </w:p>
        </w:tc>
        <w:tc>
          <w:tcPr>
            <w:tcW w:w="72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5"/>
              </w:rPr>
              <w:t>$1,119,445</w:t>
            </w:r>
          </w:p>
        </w:tc>
        <w:tc>
          <w:tcPr>
            <w:tcW w:w="0" w:type="dxa"/>
            <w:vAlign w:val="bottom"/>
          </w:tcPr>
          <w:p>
            <w:pPr>
              <w:spacing w:after="0"/>
              <w:rPr>
                <w:sz w:val="1"/>
                <w:szCs w:val="1"/>
                <w:color w:val="auto"/>
              </w:rPr>
            </w:pPr>
          </w:p>
        </w:tc>
      </w:tr>
      <w:tr>
        <w:trPr>
          <w:trHeight w:val="178"/>
        </w:trPr>
        <w:tc>
          <w:tcPr>
            <w:tcW w:w="660" w:type="dxa"/>
            <w:vAlign w:val="bottom"/>
            <w:tcBorders>
              <w:bottom w:val="single" w:sz="8" w:color="C8C9CB"/>
            </w:tcBorders>
            <w:shd w:val="clear" w:color="auto" w:fill="F4F6F6"/>
          </w:tcPr>
          <w:p>
            <w:pPr>
              <w:spacing w:after="0"/>
              <w:rPr>
                <w:sz w:val="15"/>
                <w:szCs w:val="15"/>
                <w:color w:val="auto"/>
              </w:rPr>
            </w:pPr>
          </w:p>
        </w:tc>
        <w:tc>
          <w:tcPr>
            <w:tcW w:w="44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93"/>
              </w:rPr>
              <w:t>Option</w:t>
            </w:r>
          </w:p>
        </w:tc>
        <w:tc>
          <w:tcPr>
            <w:tcW w:w="140" w:type="dxa"/>
            <w:vAlign w:val="bottom"/>
            <w:tcBorders>
              <w:bottom w:val="single" w:sz="8" w:color="C8C9CB"/>
            </w:tcBorders>
            <w:shd w:val="clear" w:color="auto" w:fill="F4F6F6"/>
          </w:tcPr>
          <w:p>
            <w:pPr>
              <w:jc w:val="right"/>
              <w:ind w:right="15"/>
              <w:spacing w:after="0"/>
              <w:rPr>
                <w:sz w:val="20"/>
                <w:szCs w:val="20"/>
                <w:color w:val="auto"/>
              </w:rPr>
            </w:pPr>
            <w:r>
              <w:rPr>
                <w:rFonts w:ascii="Arial" w:cs="Arial" w:eastAsia="Arial" w:hAnsi="Arial"/>
                <w:sz w:val="9"/>
                <w:szCs w:val="9"/>
                <w:color w:val="auto"/>
              </w:rPr>
              <w:t>5</w:t>
            </w:r>
          </w:p>
        </w:tc>
        <w:tc>
          <w:tcPr>
            <w:tcW w:w="760" w:type="dxa"/>
            <w:vAlign w:val="bottom"/>
            <w:tcBorders>
              <w:bottom w:val="single" w:sz="8" w:color="C8C9CB"/>
            </w:tcBorders>
            <w:vMerge w:val="continue"/>
            <w:shd w:val="clear" w:color="auto" w:fill="F4F6F6"/>
          </w:tcPr>
          <w:p>
            <w:pPr>
              <w:spacing w:after="0"/>
              <w:rPr>
                <w:sz w:val="15"/>
                <w:szCs w:val="15"/>
                <w:color w:val="auto"/>
              </w:rPr>
            </w:pPr>
          </w:p>
        </w:tc>
        <w:tc>
          <w:tcPr>
            <w:tcW w:w="840" w:type="dxa"/>
            <w:vAlign w:val="bottom"/>
            <w:tcBorders>
              <w:bottom w:val="single" w:sz="8" w:color="C8C9CB"/>
            </w:tcBorders>
            <w:vMerge w:val="continue"/>
            <w:shd w:val="clear" w:color="auto" w:fill="F4F6F6"/>
          </w:tcPr>
          <w:p>
            <w:pPr>
              <w:spacing w:after="0"/>
              <w:rPr>
                <w:sz w:val="15"/>
                <w:szCs w:val="15"/>
                <w:color w:val="auto"/>
              </w:rPr>
            </w:pPr>
          </w:p>
        </w:tc>
        <w:tc>
          <w:tcPr>
            <w:tcW w:w="620" w:type="dxa"/>
            <w:vAlign w:val="bottom"/>
            <w:tcBorders>
              <w:bottom w:val="single" w:sz="8" w:color="C8C9CB"/>
            </w:tcBorders>
            <w:shd w:val="clear" w:color="auto" w:fill="F4F6F6"/>
          </w:tcPr>
          <w:p>
            <w:pPr>
              <w:spacing w:after="0"/>
              <w:rPr>
                <w:sz w:val="15"/>
                <w:szCs w:val="15"/>
                <w:color w:val="auto"/>
              </w:rPr>
            </w:pPr>
          </w:p>
        </w:tc>
        <w:tc>
          <w:tcPr>
            <w:tcW w:w="700" w:type="dxa"/>
            <w:vAlign w:val="bottom"/>
            <w:tcBorders>
              <w:bottom w:val="single" w:sz="8" w:color="C8C9CB"/>
            </w:tcBorders>
            <w:shd w:val="clear" w:color="auto" w:fill="F4F6F6"/>
          </w:tcPr>
          <w:p>
            <w:pPr>
              <w:spacing w:after="0"/>
              <w:rPr>
                <w:sz w:val="15"/>
                <w:szCs w:val="15"/>
                <w:color w:val="auto"/>
              </w:rPr>
            </w:pPr>
          </w:p>
        </w:tc>
        <w:tc>
          <w:tcPr>
            <w:tcW w:w="740" w:type="dxa"/>
            <w:vAlign w:val="bottom"/>
            <w:tcBorders>
              <w:bottom w:val="single" w:sz="8" w:color="C8C9CB"/>
            </w:tcBorders>
            <w:shd w:val="clear" w:color="auto" w:fill="F4F6F6"/>
          </w:tcPr>
          <w:p>
            <w:pPr>
              <w:spacing w:after="0"/>
              <w:rPr>
                <w:sz w:val="15"/>
                <w:szCs w:val="15"/>
                <w:color w:val="auto"/>
              </w:rPr>
            </w:pPr>
          </w:p>
        </w:tc>
        <w:tc>
          <w:tcPr>
            <w:tcW w:w="660" w:type="dxa"/>
            <w:vAlign w:val="bottom"/>
            <w:tcBorders>
              <w:bottom w:val="single" w:sz="8" w:color="C8C9CB"/>
            </w:tcBorders>
            <w:shd w:val="clear" w:color="auto" w:fill="F4F6F6"/>
          </w:tcPr>
          <w:p>
            <w:pPr>
              <w:spacing w:after="0"/>
              <w:rPr>
                <w:sz w:val="15"/>
                <w:szCs w:val="15"/>
                <w:color w:val="auto"/>
              </w:rPr>
            </w:pPr>
          </w:p>
        </w:tc>
        <w:tc>
          <w:tcPr>
            <w:tcW w:w="680" w:type="dxa"/>
            <w:vAlign w:val="bottom"/>
            <w:tcBorders>
              <w:bottom w:val="single" w:sz="8" w:color="C8C9CB"/>
            </w:tcBorders>
            <w:shd w:val="clear" w:color="auto" w:fill="F4F6F6"/>
          </w:tcPr>
          <w:p>
            <w:pPr>
              <w:spacing w:after="0"/>
              <w:rPr>
                <w:sz w:val="15"/>
                <w:szCs w:val="15"/>
                <w:color w:val="auto"/>
              </w:rPr>
            </w:pPr>
          </w:p>
        </w:tc>
        <w:tc>
          <w:tcPr>
            <w:tcW w:w="640" w:type="dxa"/>
            <w:vAlign w:val="bottom"/>
            <w:tcBorders>
              <w:bottom w:val="single" w:sz="8" w:color="C8C9CB"/>
            </w:tcBorders>
            <w:shd w:val="clear" w:color="auto" w:fill="F4F6F6"/>
          </w:tcPr>
          <w:p>
            <w:pPr>
              <w:spacing w:after="0"/>
              <w:rPr>
                <w:sz w:val="15"/>
                <w:szCs w:val="15"/>
                <w:color w:val="auto"/>
              </w:rPr>
            </w:pPr>
          </w:p>
        </w:tc>
        <w:tc>
          <w:tcPr>
            <w:tcW w:w="580" w:type="dxa"/>
            <w:vAlign w:val="bottom"/>
            <w:tcBorders>
              <w:bottom w:val="single" w:sz="8" w:color="C8C9CB"/>
            </w:tcBorders>
            <w:vMerge w:val="continue"/>
            <w:shd w:val="clear" w:color="auto" w:fill="F4F6F6"/>
          </w:tcPr>
          <w:p>
            <w:pPr>
              <w:spacing w:after="0"/>
              <w:rPr>
                <w:sz w:val="15"/>
                <w:szCs w:val="15"/>
                <w:color w:val="auto"/>
              </w:rPr>
            </w:pPr>
          </w:p>
        </w:tc>
        <w:tc>
          <w:tcPr>
            <w:tcW w:w="940" w:type="dxa"/>
            <w:vAlign w:val="bottom"/>
            <w:tcBorders>
              <w:bottom w:val="single" w:sz="8" w:color="C8C9CB"/>
            </w:tcBorders>
            <w:vMerge w:val="continue"/>
            <w:shd w:val="clear" w:color="auto" w:fill="F4F6F6"/>
          </w:tcPr>
          <w:p>
            <w:pPr>
              <w:spacing w:after="0"/>
              <w:rPr>
                <w:sz w:val="15"/>
                <w:szCs w:val="15"/>
                <w:color w:val="auto"/>
              </w:rPr>
            </w:pPr>
          </w:p>
        </w:tc>
        <w:tc>
          <w:tcPr>
            <w:tcW w:w="720" w:type="dxa"/>
            <w:vAlign w:val="bottom"/>
            <w:tcBorders>
              <w:bottom w:val="single" w:sz="8" w:color="C8C9CB"/>
            </w:tcBorders>
            <w:vMerge w:val="continue"/>
            <w:shd w:val="clear" w:color="auto" w:fill="F4F6F6"/>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44" w:hanging="244"/>
        <w:spacing w:after="0"/>
        <w:tabs>
          <w:tab w:leader="none" w:pos="244" w:val="left"/>
        </w:tabs>
        <w:numPr>
          <w:ilvl w:val="0"/>
          <w:numId w:val="68"/>
        </w:numPr>
        <w:rPr>
          <w:rFonts w:ascii="Arial" w:cs="Arial" w:eastAsia="Arial" w:hAnsi="Arial"/>
          <w:sz w:val="14"/>
          <w:szCs w:val="14"/>
          <w:color w:val="auto"/>
        </w:rPr>
      </w:pPr>
      <w:r>
        <w:rPr>
          <w:rFonts w:ascii="Arial" w:cs="Arial" w:eastAsia="Arial" w:hAnsi="Arial"/>
          <w:sz w:val="17"/>
          <w:szCs w:val="17"/>
          <w:color w:val="auto"/>
        </w:rPr>
        <w:t>These columns show the threshold, target, and maximum payouts for performance under the Lilly bonus plan or the Elanco bonus plan. Bonus</w:t>
      </w:r>
    </w:p>
    <w:p>
      <w:pPr>
        <w:spacing w:after="0" w:line="29" w:lineRule="exact"/>
        <w:rPr>
          <w:rFonts w:ascii="Arial" w:cs="Arial" w:eastAsia="Arial" w:hAnsi="Arial"/>
          <w:sz w:val="14"/>
          <w:szCs w:val="14"/>
          <w:color w:val="auto"/>
        </w:rPr>
      </w:pPr>
    </w:p>
    <w:p>
      <w:pPr>
        <w:ind w:left="4"/>
        <w:spacing w:after="0" w:line="265" w:lineRule="auto"/>
        <w:rPr>
          <w:rFonts w:ascii="Arial" w:cs="Arial" w:eastAsia="Arial" w:hAnsi="Arial"/>
          <w:sz w:val="14"/>
          <w:szCs w:val="14"/>
          <w:color w:val="auto"/>
        </w:rPr>
      </w:pPr>
      <w:r>
        <w:rPr>
          <w:rFonts w:ascii="Arial" w:cs="Arial" w:eastAsia="Arial" w:hAnsi="Arial"/>
          <w:sz w:val="17"/>
          <w:szCs w:val="17"/>
          <w:color w:val="auto"/>
        </w:rPr>
        <w:t>payouts range from 0 to 200 percent of target. The Lilly bonus plan payment for 2018 performance was 173 percent of target. The Elanco bonus plan payment, for Mr. Simmons, for 2018 performance was 124 percent. Actual payouts are shown in the Summary Compensation Table in the column titled “Non-Equity Incentive Plan Compensation.”</w:t>
      </w:r>
    </w:p>
    <w:p>
      <w:pPr>
        <w:spacing w:after="0" w:line="154" w:lineRule="exact"/>
        <w:rPr>
          <w:sz w:val="20"/>
          <w:szCs w:val="20"/>
          <w:color w:val="auto"/>
        </w:rPr>
      </w:pPr>
    </w:p>
    <w:p>
      <w:pPr>
        <w:ind w:left="4" w:right="240" w:hanging="4"/>
        <w:spacing w:after="0" w:line="292" w:lineRule="auto"/>
        <w:tabs>
          <w:tab w:leader="none" w:pos="241" w:val="left"/>
        </w:tabs>
        <w:numPr>
          <w:ilvl w:val="0"/>
          <w:numId w:val="69"/>
        </w:numPr>
        <w:rPr>
          <w:rFonts w:ascii="Arial" w:cs="Arial" w:eastAsia="Arial" w:hAnsi="Arial"/>
          <w:sz w:val="14"/>
          <w:szCs w:val="14"/>
          <w:color w:val="auto"/>
        </w:rPr>
      </w:pPr>
      <w:r>
        <w:rPr>
          <w:rFonts w:ascii="Arial" w:cs="Arial" w:eastAsia="Arial" w:hAnsi="Arial"/>
          <w:sz w:val="17"/>
          <w:szCs w:val="17"/>
          <w:color w:val="auto"/>
        </w:rPr>
        <w:t>To assure grant timing is not manipulated for employee gain, the annual grant date is established in advance by the Compensation Committee. Equity awards to new hires and other off-cycle grants are generally effective on the first trading day of the following month.</w:t>
      </w:r>
    </w:p>
    <w:p>
      <w:pPr>
        <w:spacing w:after="0" w:line="132" w:lineRule="exact"/>
        <w:rPr>
          <w:sz w:val="20"/>
          <w:szCs w:val="20"/>
          <w:color w:val="auto"/>
        </w:rPr>
      </w:pPr>
    </w:p>
    <w:p>
      <w:pPr>
        <w:ind w:left="4" w:right="160"/>
        <w:spacing w:after="0" w:line="270" w:lineRule="auto"/>
        <w:rPr>
          <w:sz w:val="20"/>
          <w:szCs w:val="20"/>
          <w:color w:val="auto"/>
        </w:rPr>
      </w:pPr>
      <w:r>
        <w:rPr>
          <w:rFonts w:ascii="Arial" w:cs="Arial" w:eastAsia="Arial" w:hAnsi="Arial"/>
          <w:sz w:val="14"/>
          <w:szCs w:val="14"/>
          <w:color w:val="auto"/>
        </w:rPr>
        <w:t xml:space="preserve">3 </w:t>
      </w:r>
      <w:r>
        <w:rPr>
          <w:rFonts w:ascii="Arial" w:cs="Arial" w:eastAsia="Arial" w:hAnsi="Arial"/>
          <w:sz w:val="17"/>
          <w:szCs w:val="17"/>
          <w:color w:val="auto"/>
        </w:rPr>
        <w:t>This row shows the possible payouts for the 2018-2020 performance awards ranging from 0 to 150 percent of target. This performance award will</w:t>
      </w:r>
      <w:r>
        <w:rPr>
          <w:rFonts w:ascii="Arial" w:cs="Arial" w:eastAsia="Arial" w:hAnsi="Arial"/>
          <w:sz w:val="14"/>
          <w:szCs w:val="14"/>
          <w:color w:val="auto"/>
        </w:rPr>
        <w:t xml:space="preserve"> </w:t>
      </w:r>
      <w:r>
        <w:rPr>
          <w:rFonts w:ascii="Arial" w:cs="Arial" w:eastAsia="Arial" w:hAnsi="Arial"/>
          <w:sz w:val="17"/>
          <w:szCs w:val="17"/>
          <w:color w:val="auto"/>
        </w:rPr>
        <w:t>pay out in January 2021. Dr. Skovronsky was not in an executive officer position during the annual granting cycle, so he received a 2018-2019 performance award that is not subject to a 13-month service-vesting period;</w:t>
      </w:r>
    </w:p>
    <w:p>
      <w:pPr>
        <w:sectPr>
          <w:pgSz w:w="11900" w:h="16838" w:orient="portrait"/>
          <w:cols w:equalWidth="0" w:num="1">
            <w:col w:w="11244"/>
          </w:cols>
          <w:pgMar w:left="356" w:top="1288" w:right="299" w:bottom="1440" w:gutter="0" w:footer="0" w:header="0"/>
        </w:sectPr>
      </w:pPr>
    </w:p>
    <w:p>
      <w:pPr>
        <w:spacing w:after="0" w:line="191" w:lineRule="exact"/>
        <w:rPr>
          <w:sz w:val="20"/>
          <w:szCs w:val="20"/>
          <w:color w:val="auto"/>
        </w:rPr>
      </w:pPr>
    </w:p>
    <w:p>
      <w:pPr>
        <w:jc w:val="center"/>
        <w:ind w:right="56"/>
        <w:spacing w:after="0"/>
        <w:rPr>
          <w:sz w:val="20"/>
          <w:szCs w:val="20"/>
          <w:color w:val="auto"/>
        </w:rPr>
      </w:pPr>
      <w:r>
        <w:rPr>
          <w:rFonts w:ascii="Arial" w:cs="Arial" w:eastAsia="Arial" w:hAnsi="Arial"/>
          <w:sz w:val="16"/>
          <w:szCs w:val="16"/>
          <w:color w:val="auto"/>
        </w:rPr>
        <w:t>P54</w:t>
      </w:r>
    </w:p>
    <w:p>
      <w:pPr>
        <w:sectPr>
          <w:pgSz w:w="11900" w:h="16838" w:orient="portrait"/>
          <w:cols w:equalWidth="0" w:num="1">
            <w:col w:w="11244"/>
          </w:cols>
          <w:pgMar w:left="356" w:top="1288" w:right="299" w:bottom="1440" w:gutter="0" w:footer="0" w:header="0"/>
          <w:type w:val="continuous"/>
        </w:sectPr>
      </w:pPr>
    </w:p>
    <w:bookmarkStart w:id="58" w:name="page59"/>
    <w:bookmarkEnd w:id="58"/>
    <w:p>
      <w:pPr>
        <w:ind w:left="120"/>
        <w:spacing w:after="0"/>
        <w:rPr>
          <w:sz w:val="20"/>
          <w:szCs w:val="20"/>
          <w:color w:val="auto"/>
        </w:rPr>
      </w:pPr>
      <w:r>
        <w:rPr>
          <w:rFonts w:ascii="Arial" w:cs="Arial" w:eastAsia="Arial" w:hAnsi="Arial"/>
          <w:sz w:val="17"/>
          <w:szCs w:val="17"/>
          <w:color w:val="auto"/>
        </w:rPr>
        <w:t>accordingly, his performance award for 2018-2019 will vest in full as of December 31, 2019.</w:t>
      </w:r>
    </w:p>
    <w:p>
      <w:pPr>
        <w:spacing w:after="0" w:line="210" w:lineRule="exact"/>
        <w:rPr>
          <w:sz w:val="20"/>
          <w:szCs w:val="20"/>
          <w:color w:val="auto"/>
        </w:rPr>
      </w:pPr>
    </w:p>
    <w:p>
      <w:pPr>
        <w:ind w:left="120" w:right="40"/>
        <w:spacing w:after="0" w:line="263" w:lineRule="auto"/>
        <w:rPr>
          <w:sz w:val="20"/>
          <w:szCs w:val="20"/>
          <w:color w:val="auto"/>
        </w:rPr>
      </w:pPr>
      <w:r>
        <w:rPr>
          <w:rFonts w:ascii="Arial" w:cs="Arial" w:eastAsia="Arial" w:hAnsi="Arial"/>
          <w:sz w:val="14"/>
          <w:szCs w:val="14"/>
          <w:color w:val="auto"/>
        </w:rPr>
        <w:t xml:space="preserve">4 </w:t>
      </w:r>
      <w:r>
        <w:rPr>
          <w:rFonts w:ascii="Arial" w:cs="Arial" w:eastAsia="Arial" w:hAnsi="Arial"/>
          <w:sz w:val="17"/>
          <w:szCs w:val="17"/>
          <w:color w:val="auto"/>
        </w:rPr>
        <w:t>This row shows the range of payouts for the 2018-2020 shareholder value awards. This shareholder value award will pay out in January 2021, with</w:t>
      </w:r>
      <w:r>
        <w:rPr>
          <w:rFonts w:ascii="Arial" w:cs="Arial" w:eastAsia="Arial" w:hAnsi="Arial"/>
          <w:sz w:val="14"/>
          <w:szCs w:val="14"/>
          <w:color w:val="auto"/>
        </w:rPr>
        <w:t xml:space="preserve"> </w:t>
      </w:r>
      <w:r>
        <w:rPr>
          <w:rFonts w:ascii="Arial" w:cs="Arial" w:eastAsia="Arial" w:hAnsi="Arial"/>
          <w:sz w:val="17"/>
          <w:szCs w:val="17"/>
          <w:color w:val="auto"/>
        </w:rPr>
        <w:t>payouts ranging from 0 to 180 percent of target. We measure the fair value of the shareholder value award on the grant date using a Monte Carlo simulation model. Dr. Skovronsky was not in an executive officer position during the annual granting cycle, so he received a 2018-2020 shareholder value award which is not subject to the TSR modifier; as accordingly, his payout will range from 0 to 150 percent of target.</w:t>
      </w:r>
    </w:p>
    <w:p>
      <w:pPr>
        <w:spacing w:after="0" w:line="156" w:lineRule="exact"/>
        <w:rPr>
          <w:sz w:val="20"/>
          <w:szCs w:val="20"/>
          <w:color w:val="auto"/>
        </w:rPr>
      </w:pPr>
    </w:p>
    <w:p>
      <w:pPr>
        <w:jc w:val="both"/>
        <w:ind w:left="120"/>
        <w:spacing w:after="0" w:line="270" w:lineRule="auto"/>
        <w:rPr>
          <w:sz w:val="20"/>
          <w:szCs w:val="20"/>
          <w:color w:val="auto"/>
        </w:rPr>
      </w:pPr>
      <w:r>
        <w:rPr>
          <w:rFonts w:ascii="Arial" w:cs="Arial" w:eastAsia="Arial" w:hAnsi="Arial"/>
          <w:sz w:val="14"/>
          <w:szCs w:val="14"/>
          <w:color w:val="auto"/>
        </w:rPr>
        <w:t xml:space="preserve">5 </w:t>
      </w:r>
      <w:r>
        <w:rPr>
          <w:rFonts w:ascii="Arial" w:cs="Arial" w:eastAsia="Arial" w:hAnsi="Arial"/>
          <w:sz w:val="17"/>
          <w:szCs w:val="17"/>
          <w:color w:val="auto"/>
        </w:rPr>
        <w:t>After Elanco’s initial public offering, Mr. Simmons received a founders' award in the form of 50 percent Elanco stock options and 50 percent Elanco</w:t>
      </w:r>
      <w:r>
        <w:rPr>
          <w:rFonts w:ascii="Arial" w:cs="Arial" w:eastAsia="Arial" w:hAnsi="Arial"/>
          <w:sz w:val="14"/>
          <w:szCs w:val="14"/>
          <w:color w:val="auto"/>
        </w:rPr>
        <w:t xml:space="preserve"> </w:t>
      </w:r>
      <w:r>
        <w:rPr>
          <w:rFonts w:ascii="Arial" w:cs="Arial" w:eastAsia="Arial" w:hAnsi="Arial"/>
          <w:sz w:val="17"/>
          <w:szCs w:val="17"/>
          <w:color w:val="auto"/>
        </w:rPr>
        <w:t>restricted stock units. The Elanco stock options vest over three years, followed by a seven-year exercise period. The Elanco restricted stock units will vest on October 20, 2021.</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 at December 31, 2018</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2018 closing stock price used to calculate the values in the table below was $115.72 for Lilly and $31.53 for Elanco.</w:t>
      </w:r>
    </w:p>
    <w:p>
      <w:pPr>
        <w:spacing w:after="0" w:line="148" w:lineRule="exact"/>
        <w:rPr>
          <w:sz w:val="20"/>
          <w:szCs w:val="20"/>
          <w:color w:val="auto"/>
        </w:rPr>
      </w:pPr>
    </w:p>
    <w:tbl>
      <w:tblPr>
        <w:tblLayout w:type="fixed"/>
        <w:tblInd w:w="1220" w:type="dxa"/>
        <w:tblCellMar>
          <w:top w:w="0" w:type="dxa"/>
          <w:left w:w="0" w:type="dxa"/>
          <w:bottom w:w="0" w:type="dxa"/>
          <w:right w:w="0" w:type="dxa"/>
        </w:tblCellMar>
      </w:tblPr>
      <w:tr>
        <w:trPr>
          <w:trHeight w:val="262"/>
        </w:trPr>
        <w:tc>
          <w:tcPr>
            <w:tcW w:w="700" w:type="dxa"/>
            <w:vAlign w:val="bottom"/>
            <w:shd w:val="clear" w:color="auto" w:fill="C8C9CB"/>
          </w:tcPr>
          <w:p>
            <w:pPr>
              <w:spacing w:after="0"/>
              <w:rPr>
                <w:sz w:val="22"/>
                <w:szCs w:val="22"/>
                <w:color w:val="auto"/>
              </w:rPr>
            </w:pPr>
          </w:p>
        </w:tc>
        <w:tc>
          <w:tcPr>
            <w:tcW w:w="760" w:type="dxa"/>
            <w:vAlign w:val="bottom"/>
            <w:shd w:val="clear" w:color="auto" w:fill="C8C9CB"/>
          </w:tcPr>
          <w:p>
            <w:pPr>
              <w:spacing w:after="0"/>
              <w:rPr>
                <w:sz w:val="22"/>
                <w:szCs w:val="22"/>
                <w:color w:val="auto"/>
              </w:rPr>
            </w:pPr>
          </w:p>
        </w:tc>
        <w:tc>
          <w:tcPr>
            <w:tcW w:w="940" w:type="dxa"/>
            <w:vAlign w:val="bottom"/>
            <w:shd w:val="clear" w:color="auto" w:fill="C8C9CB"/>
          </w:tcPr>
          <w:p>
            <w:pPr>
              <w:spacing w:after="0"/>
              <w:rPr>
                <w:sz w:val="22"/>
                <w:szCs w:val="22"/>
                <w:color w:val="auto"/>
              </w:rPr>
            </w:pPr>
          </w:p>
        </w:tc>
        <w:tc>
          <w:tcPr>
            <w:tcW w:w="100" w:type="dxa"/>
            <w:vAlign w:val="bottom"/>
            <w:shd w:val="clear" w:color="auto" w:fill="C8C9CB"/>
          </w:tcPr>
          <w:p>
            <w:pPr>
              <w:spacing w:after="0"/>
              <w:rPr>
                <w:sz w:val="22"/>
                <w:szCs w:val="22"/>
                <w:color w:val="auto"/>
              </w:rPr>
            </w:pPr>
          </w:p>
        </w:tc>
        <w:tc>
          <w:tcPr>
            <w:tcW w:w="1000" w:type="dxa"/>
            <w:vAlign w:val="bottom"/>
            <w:gridSpan w:val="3"/>
            <w:shd w:val="clear" w:color="auto" w:fill="C8C9CB"/>
          </w:tcPr>
          <w:p>
            <w:pPr>
              <w:jc w:val="center"/>
              <w:ind w:right="20"/>
              <w:spacing w:after="0"/>
              <w:rPr>
                <w:sz w:val="20"/>
                <w:szCs w:val="20"/>
                <w:color w:val="auto"/>
              </w:rPr>
            </w:pPr>
            <w:r>
              <w:rPr>
                <w:rFonts w:ascii="Arial" w:cs="Arial" w:eastAsia="Arial" w:hAnsi="Arial"/>
                <w:sz w:val="13"/>
                <w:szCs w:val="13"/>
                <w:b w:val="1"/>
                <w:bCs w:val="1"/>
                <w:color w:val="00ABE8"/>
                <w:w w:val="97"/>
              </w:rPr>
              <w:t>Option Awards</w:t>
            </w:r>
          </w:p>
        </w:tc>
        <w:tc>
          <w:tcPr>
            <w:tcW w:w="880" w:type="dxa"/>
            <w:vAlign w:val="bottom"/>
            <w:shd w:val="clear" w:color="auto" w:fill="C8C9CB"/>
          </w:tcPr>
          <w:p>
            <w:pPr>
              <w:spacing w:after="0"/>
              <w:rPr>
                <w:sz w:val="22"/>
                <w:szCs w:val="22"/>
                <w:color w:val="auto"/>
              </w:rPr>
            </w:pPr>
          </w:p>
        </w:tc>
        <w:tc>
          <w:tcPr>
            <w:tcW w:w="900" w:type="dxa"/>
            <w:vAlign w:val="bottom"/>
            <w:shd w:val="clear" w:color="auto" w:fill="C8C9CB"/>
          </w:tcPr>
          <w:p>
            <w:pPr>
              <w:spacing w:after="0"/>
              <w:rPr>
                <w:sz w:val="22"/>
                <w:szCs w:val="22"/>
                <w:color w:val="auto"/>
              </w:rPr>
            </w:pPr>
          </w:p>
        </w:tc>
        <w:tc>
          <w:tcPr>
            <w:tcW w:w="160" w:type="dxa"/>
            <w:vAlign w:val="bottom"/>
            <w:shd w:val="clear" w:color="auto" w:fill="C8C9CB"/>
          </w:tcPr>
          <w:p>
            <w:pPr>
              <w:spacing w:after="0"/>
              <w:rPr>
                <w:sz w:val="22"/>
                <w:szCs w:val="22"/>
                <w:color w:val="auto"/>
              </w:rPr>
            </w:pPr>
          </w:p>
        </w:tc>
        <w:tc>
          <w:tcPr>
            <w:tcW w:w="880" w:type="dxa"/>
            <w:vAlign w:val="bottom"/>
            <w:shd w:val="clear" w:color="auto" w:fill="C8C9CB"/>
          </w:tcPr>
          <w:p>
            <w:pPr>
              <w:spacing w:after="0"/>
              <w:rPr>
                <w:sz w:val="22"/>
                <w:szCs w:val="22"/>
                <w:color w:val="auto"/>
              </w:rPr>
            </w:pPr>
          </w:p>
        </w:tc>
        <w:tc>
          <w:tcPr>
            <w:tcW w:w="1620" w:type="dxa"/>
            <w:vAlign w:val="bottom"/>
            <w:gridSpan w:val="2"/>
            <w:shd w:val="clear" w:color="auto" w:fill="C8C9CB"/>
          </w:tcPr>
          <w:p>
            <w:pPr>
              <w:jc w:val="right"/>
              <w:ind w:right="697"/>
              <w:spacing w:after="0"/>
              <w:rPr>
                <w:sz w:val="20"/>
                <w:szCs w:val="20"/>
                <w:color w:val="auto"/>
              </w:rPr>
            </w:pPr>
            <w:r>
              <w:rPr>
                <w:rFonts w:ascii="Arial" w:cs="Arial" w:eastAsia="Arial" w:hAnsi="Arial"/>
                <w:sz w:val="13"/>
                <w:szCs w:val="13"/>
                <w:b w:val="1"/>
                <w:bCs w:val="1"/>
                <w:color w:val="00ABE8"/>
                <w:w w:val="97"/>
              </w:rPr>
              <w:t>Stock Awards</w:t>
            </w:r>
          </w:p>
        </w:tc>
        <w:tc>
          <w:tcPr>
            <w:tcW w:w="1080" w:type="dxa"/>
            <w:vAlign w:val="bottom"/>
            <w:shd w:val="clear" w:color="auto" w:fill="C8C9CB"/>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700" w:type="dxa"/>
            <w:vAlign w:val="bottom"/>
            <w:shd w:val="clear" w:color="auto" w:fill="C8C9CB"/>
          </w:tcPr>
          <w:p>
            <w:pPr>
              <w:spacing w:after="0"/>
              <w:rPr>
                <w:sz w:val="12"/>
                <w:szCs w:val="12"/>
                <w:color w:val="auto"/>
              </w:rPr>
            </w:pPr>
          </w:p>
        </w:tc>
        <w:tc>
          <w:tcPr>
            <w:tcW w:w="760" w:type="dxa"/>
            <w:vAlign w:val="bottom"/>
            <w:shd w:val="clear" w:color="auto" w:fill="C8C9CB"/>
          </w:tcPr>
          <w:p>
            <w:pPr>
              <w:spacing w:after="0"/>
              <w:rPr>
                <w:sz w:val="12"/>
                <w:szCs w:val="12"/>
                <w:color w:val="auto"/>
              </w:rPr>
            </w:pPr>
          </w:p>
        </w:tc>
        <w:tc>
          <w:tcPr>
            <w:tcW w:w="940" w:type="dxa"/>
            <w:vAlign w:val="bottom"/>
            <w:shd w:val="clear" w:color="auto" w:fill="C8C9CB"/>
          </w:tcPr>
          <w:p>
            <w:pPr>
              <w:spacing w:after="0"/>
              <w:rPr>
                <w:sz w:val="12"/>
                <w:szCs w:val="12"/>
                <w:color w:val="auto"/>
              </w:rPr>
            </w:pPr>
          </w:p>
        </w:tc>
        <w:tc>
          <w:tcPr>
            <w:tcW w:w="100" w:type="dxa"/>
            <w:vAlign w:val="bottom"/>
            <w:shd w:val="clear" w:color="auto" w:fill="C8C9CB"/>
          </w:tcPr>
          <w:p>
            <w:pPr>
              <w:spacing w:after="0"/>
              <w:rPr>
                <w:sz w:val="12"/>
                <w:szCs w:val="12"/>
                <w:color w:val="auto"/>
              </w:rPr>
            </w:pPr>
          </w:p>
        </w:tc>
        <w:tc>
          <w:tcPr>
            <w:tcW w:w="40" w:type="dxa"/>
            <w:vAlign w:val="bottom"/>
            <w:shd w:val="clear" w:color="auto" w:fill="C8C9CB"/>
          </w:tcPr>
          <w:p>
            <w:pPr>
              <w:spacing w:after="0"/>
              <w:rPr>
                <w:sz w:val="12"/>
                <w:szCs w:val="12"/>
                <w:color w:val="auto"/>
              </w:rPr>
            </w:pPr>
          </w:p>
        </w:tc>
        <w:tc>
          <w:tcPr>
            <w:tcW w:w="900" w:type="dxa"/>
            <w:vAlign w:val="bottom"/>
            <w:shd w:val="clear" w:color="auto" w:fill="C8C9CB"/>
          </w:tcPr>
          <w:p>
            <w:pPr>
              <w:spacing w:after="0"/>
              <w:rPr>
                <w:sz w:val="12"/>
                <w:szCs w:val="12"/>
                <w:color w:val="auto"/>
              </w:rPr>
            </w:pPr>
          </w:p>
        </w:tc>
        <w:tc>
          <w:tcPr>
            <w:tcW w:w="60" w:type="dxa"/>
            <w:vAlign w:val="bottom"/>
            <w:shd w:val="clear" w:color="auto" w:fill="C8C9CB"/>
          </w:tcPr>
          <w:p>
            <w:pPr>
              <w:spacing w:after="0"/>
              <w:rPr>
                <w:sz w:val="12"/>
                <w:szCs w:val="12"/>
                <w:color w:val="auto"/>
              </w:rPr>
            </w:pPr>
          </w:p>
        </w:tc>
        <w:tc>
          <w:tcPr>
            <w:tcW w:w="880" w:type="dxa"/>
            <w:vAlign w:val="bottom"/>
            <w:shd w:val="clear" w:color="auto" w:fill="C8C9CB"/>
          </w:tcPr>
          <w:p>
            <w:pPr>
              <w:spacing w:after="0"/>
              <w:rPr>
                <w:sz w:val="12"/>
                <w:szCs w:val="12"/>
                <w:color w:val="auto"/>
              </w:rPr>
            </w:pPr>
          </w:p>
        </w:tc>
        <w:tc>
          <w:tcPr>
            <w:tcW w:w="900" w:type="dxa"/>
            <w:vAlign w:val="bottom"/>
            <w:shd w:val="clear" w:color="auto" w:fill="C8C9CB"/>
          </w:tcPr>
          <w:p>
            <w:pPr>
              <w:spacing w:after="0"/>
              <w:rPr>
                <w:sz w:val="12"/>
                <w:szCs w:val="12"/>
                <w:color w:val="auto"/>
              </w:rPr>
            </w:pPr>
          </w:p>
        </w:tc>
        <w:tc>
          <w:tcPr>
            <w:tcW w:w="160" w:type="dxa"/>
            <w:vAlign w:val="bottom"/>
            <w:shd w:val="clear" w:color="auto" w:fill="C8C9CB"/>
          </w:tcPr>
          <w:p>
            <w:pPr>
              <w:spacing w:after="0"/>
              <w:rPr>
                <w:sz w:val="12"/>
                <w:szCs w:val="12"/>
                <w:color w:val="auto"/>
              </w:rPr>
            </w:pPr>
          </w:p>
        </w:tc>
        <w:tc>
          <w:tcPr>
            <w:tcW w:w="880" w:type="dxa"/>
            <w:vAlign w:val="bottom"/>
            <w:shd w:val="clear" w:color="auto" w:fill="C8C9CB"/>
          </w:tcPr>
          <w:p>
            <w:pPr>
              <w:spacing w:after="0"/>
              <w:rPr>
                <w:sz w:val="12"/>
                <w:szCs w:val="12"/>
                <w:color w:val="auto"/>
              </w:rPr>
            </w:pPr>
          </w:p>
        </w:tc>
        <w:tc>
          <w:tcPr>
            <w:tcW w:w="200" w:type="dxa"/>
            <w:vAlign w:val="bottom"/>
            <w:shd w:val="clear" w:color="auto" w:fill="C8C9CB"/>
          </w:tcPr>
          <w:p>
            <w:pPr>
              <w:spacing w:after="0"/>
              <w:rPr>
                <w:sz w:val="12"/>
                <w:szCs w:val="12"/>
                <w:color w:val="auto"/>
              </w:rPr>
            </w:pPr>
          </w:p>
        </w:tc>
        <w:tc>
          <w:tcPr>
            <w:tcW w:w="1420" w:type="dxa"/>
            <w:vAlign w:val="bottom"/>
            <w:shd w:val="clear" w:color="auto" w:fill="C8C9CB"/>
          </w:tcPr>
          <w:p>
            <w:pPr>
              <w:spacing w:after="0"/>
              <w:rPr>
                <w:sz w:val="12"/>
                <w:szCs w:val="12"/>
                <w:color w:val="auto"/>
              </w:rPr>
            </w:pPr>
          </w:p>
        </w:tc>
        <w:tc>
          <w:tcPr>
            <w:tcW w:w="1080" w:type="dxa"/>
            <w:vAlign w:val="bottom"/>
            <w:shd w:val="clear" w:color="auto" w:fill="C8C9CB"/>
          </w:tcPr>
          <w:p>
            <w:pPr>
              <w:jc w:val="center"/>
              <w:spacing w:after="0" w:line="146" w:lineRule="exact"/>
              <w:rPr>
                <w:sz w:val="20"/>
                <w:szCs w:val="20"/>
                <w:color w:val="auto"/>
              </w:rPr>
            </w:pPr>
            <w:r>
              <w:rPr>
                <w:rFonts w:ascii="Arial" w:cs="Arial" w:eastAsia="Arial" w:hAnsi="Arial"/>
                <w:sz w:val="13"/>
                <w:szCs w:val="13"/>
                <w:b w:val="1"/>
                <w:bCs w:val="1"/>
                <w:color w:val="00ABE8"/>
                <w:w w:val="98"/>
              </w:rPr>
              <w:t>Equity Incentive</w:t>
            </w:r>
          </w:p>
        </w:tc>
        <w:tc>
          <w:tcPr>
            <w:tcW w:w="0" w:type="dxa"/>
            <w:vAlign w:val="bottom"/>
          </w:tcPr>
          <w:p>
            <w:pPr>
              <w:spacing w:after="0"/>
              <w:rPr>
                <w:sz w:val="1"/>
                <w:szCs w:val="1"/>
                <w:color w:val="auto"/>
              </w:rPr>
            </w:pPr>
          </w:p>
        </w:tc>
      </w:tr>
      <w:tr>
        <w:trPr>
          <w:trHeight w:val="135"/>
        </w:trPr>
        <w:tc>
          <w:tcPr>
            <w:tcW w:w="700" w:type="dxa"/>
            <w:vAlign w:val="bottom"/>
            <w:shd w:val="clear" w:color="auto" w:fill="C8C9CB"/>
          </w:tcPr>
          <w:p>
            <w:pPr>
              <w:spacing w:after="0"/>
              <w:rPr>
                <w:sz w:val="11"/>
                <w:szCs w:val="11"/>
                <w:color w:val="auto"/>
              </w:rPr>
            </w:pPr>
          </w:p>
        </w:tc>
        <w:tc>
          <w:tcPr>
            <w:tcW w:w="760" w:type="dxa"/>
            <w:vAlign w:val="bottom"/>
            <w:shd w:val="clear" w:color="auto" w:fill="C8C9CB"/>
          </w:tcPr>
          <w:p>
            <w:pPr>
              <w:spacing w:after="0"/>
              <w:rPr>
                <w:sz w:val="11"/>
                <w:szCs w:val="11"/>
                <w:color w:val="auto"/>
              </w:rPr>
            </w:pPr>
          </w:p>
        </w:tc>
        <w:tc>
          <w:tcPr>
            <w:tcW w:w="940" w:type="dxa"/>
            <w:vAlign w:val="bottom"/>
            <w:shd w:val="clear" w:color="auto" w:fill="C8C9CB"/>
          </w:tcPr>
          <w:p>
            <w:pPr>
              <w:spacing w:after="0"/>
              <w:rPr>
                <w:sz w:val="11"/>
                <w:szCs w:val="11"/>
                <w:color w:val="auto"/>
              </w:rPr>
            </w:pPr>
          </w:p>
        </w:tc>
        <w:tc>
          <w:tcPr>
            <w:tcW w:w="100" w:type="dxa"/>
            <w:vAlign w:val="bottom"/>
            <w:shd w:val="clear" w:color="auto" w:fill="C8C9CB"/>
          </w:tcPr>
          <w:p>
            <w:pPr>
              <w:spacing w:after="0"/>
              <w:rPr>
                <w:sz w:val="11"/>
                <w:szCs w:val="11"/>
                <w:color w:val="auto"/>
              </w:rPr>
            </w:pPr>
          </w:p>
        </w:tc>
        <w:tc>
          <w:tcPr>
            <w:tcW w:w="40" w:type="dxa"/>
            <w:vAlign w:val="bottom"/>
            <w:shd w:val="clear" w:color="auto" w:fill="C8C9CB"/>
          </w:tcPr>
          <w:p>
            <w:pPr>
              <w:spacing w:after="0"/>
              <w:rPr>
                <w:sz w:val="11"/>
                <w:szCs w:val="11"/>
                <w:color w:val="auto"/>
              </w:rPr>
            </w:pPr>
          </w:p>
        </w:tc>
        <w:tc>
          <w:tcPr>
            <w:tcW w:w="900" w:type="dxa"/>
            <w:vAlign w:val="bottom"/>
            <w:shd w:val="clear" w:color="auto" w:fill="C8C9CB"/>
          </w:tcPr>
          <w:p>
            <w:pPr>
              <w:spacing w:after="0"/>
              <w:rPr>
                <w:sz w:val="11"/>
                <w:szCs w:val="11"/>
                <w:color w:val="auto"/>
              </w:rPr>
            </w:pPr>
          </w:p>
        </w:tc>
        <w:tc>
          <w:tcPr>
            <w:tcW w:w="60" w:type="dxa"/>
            <w:vAlign w:val="bottom"/>
            <w:shd w:val="clear" w:color="auto" w:fill="C8C9CB"/>
          </w:tcPr>
          <w:p>
            <w:pPr>
              <w:spacing w:after="0"/>
              <w:rPr>
                <w:sz w:val="11"/>
                <w:szCs w:val="11"/>
                <w:color w:val="auto"/>
              </w:rPr>
            </w:pPr>
          </w:p>
        </w:tc>
        <w:tc>
          <w:tcPr>
            <w:tcW w:w="880" w:type="dxa"/>
            <w:vAlign w:val="bottom"/>
            <w:shd w:val="clear" w:color="auto" w:fill="C8C9CB"/>
          </w:tcPr>
          <w:p>
            <w:pPr>
              <w:spacing w:after="0"/>
              <w:rPr>
                <w:sz w:val="11"/>
                <w:szCs w:val="11"/>
                <w:color w:val="auto"/>
              </w:rPr>
            </w:pPr>
          </w:p>
        </w:tc>
        <w:tc>
          <w:tcPr>
            <w:tcW w:w="900" w:type="dxa"/>
            <w:vAlign w:val="bottom"/>
            <w:shd w:val="clear" w:color="auto" w:fill="C8C9CB"/>
          </w:tcPr>
          <w:p>
            <w:pPr>
              <w:spacing w:after="0"/>
              <w:rPr>
                <w:sz w:val="11"/>
                <w:szCs w:val="11"/>
                <w:color w:val="auto"/>
              </w:rPr>
            </w:pPr>
          </w:p>
        </w:tc>
        <w:tc>
          <w:tcPr>
            <w:tcW w:w="160" w:type="dxa"/>
            <w:vAlign w:val="bottom"/>
            <w:shd w:val="clear" w:color="auto" w:fill="C8C9CB"/>
          </w:tcPr>
          <w:p>
            <w:pPr>
              <w:spacing w:after="0"/>
              <w:rPr>
                <w:sz w:val="11"/>
                <w:szCs w:val="11"/>
                <w:color w:val="auto"/>
              </w:rPr>
            </w:pPr>
          </w:p>
        </w:tc>
        <w:tc>
          <w:tcPr>
            <w:tcW w:w="880" w:type="dxa"/>
            <w:vAlign w:val="bottom"/>
            <w:shd w:val="clear" w:color="auto" w:fill="C8C9CB"/>
          </w:tcPr>
          <w:p>
            <w:pPr>
              <w:spacing w:after="0"/>
              <w:rPr>
                <w:sz w:val="11"/>
                <w:szCs w:val="11"/>
                <w:color w:val="auto"/>
              </w:rPr>
            </w:pPr>
          </w:p>
        </w:tc>
        <w:tc>
          <w:tcPr>
            <w:tcW w:w="200" w:type="dxa"/>
            <w:vAlign w:val="bottom"/>
            <w:shd w:val="clear" w:color="auto" w:fill="C8C9CB"/>
          </w:tcPr>
          <w:p>
            <w:pPr>
              <w:spacing w:after="0"/>
              <w:rPr>
                <w:sz w:val="11"/>
                <w:szCs w:val="11"/>
                <w:color w:val="auto"/>
              </w:rPr>
            </w:pPr>
          </w:p>
        </w:tc>
        <w:tc>
          <w:tcPr>
            <w:tcW w:w="1420" w:type="dxa"/>
            <w:vAlign w:val="bottom"/>
            <w:shd w:val="clear" w:color="auto" w:fill="C8C9CB"/>
          </w:tcPr>
          <w:p>
            <w:pPr>
              <w:spacing w:after="0"/>
              <w:rPr>
                <w:sz w:val="11"/>
                <w:szCs w:val="11"/>
                <w:color w:val="auto"/>
              </w:rPr>
            </w:pPr>
          </w:p>
        </w:tc>
        <w:tc>
          <w:tcPr>
            <w:tcW w:w="1080" w:type="dxa"/>
            <w:vAlign w:val="bottom"/>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7"/>
              </w:rPr>
              <w:t>Plan Awards:</w:t>
            </w:r>
          </w:p>
        </w:tc>
        <w:tc>
          <w:tcPr>
            <w:tcW w:w="0" w:type="dxa"/>
            <w:vAlign w:val="bottom"/>
          </w:tcPr>
          <w:p>
            <w:pPr>
              <w:spacing w:after="0"/>
              <w:rPr>
                <w:sz w:val="1"/>
                <w:szCs w:val="1"/>
                <w:color w:val="auto"/>
              </w:rPr>
            </w:pPr>
          </w:p>
        </w:tc>
      </w:tr>
      <w:tr>
        <w:trPr>
          <w:trHeight w:val="146"/>
        </w:trPr>
        <w:tc>
          <w:tcPr>
            <w:tcW w:w="700" w:type="dxa"/>
            <w:vAlign w:val="bottom"/>
            <w:shd w:val="clear" w:color="auto" w:fill="C8C9CB"/>
          </w:tcPr>
          <w:p>
            <w:pPr>
              <w:spacing w:after="0"/>
              <w:rPr>
                <w:sz w:val="12"/>
                <w:szCs w:val="12"/>
                <w:color w:val="auto"/>
              </w:rPr>
            </w:pPr>
          </w:p>
        </w:tc>
        <w:tc>
          <w:tcPr>
            <w:tcW w:w="760" w:type="dxa"/>
            <w:vAlign w:val="bottom"/>
            <w:shd w:val="clear" w:color="auto" w:fill="C8C9CB"/>
          </w:tcPr>
          <w:p>
            <w:pPr>
              <w:spacing w:after="0"/>
              <w:rPr>
                <w:sz w:val="12"/>
                <w:szCs w:val="12"/>
                <w:color w:val="auto"/>
              </w:rPr>
            </w:pPr>
          </w:p>
        </w:tc>
        <w:tc>
          <w:tcPr>
            <w:tcW w:w="1040" w:type="dxa"/>
            <w:vAlign w:val="bottom"/>
            <w:gridSpan w:val="2"/>
            <w:vMerge w:val="restart"/>
            <w:shd w:val="clear" w:color="auto" w:fill="C8C9CB"/>
          </w:tcPr>
          <w:p>
            <w:pPr>
              <w:jc w:val="center"/>
              <w:ind w:right="68"/>
              <w:spacing w:after="0"/>
              <w:rPr>
                <w:sz w:val="20"/>
                <w:szCs w:val="20"/>
                <w:color w:val="auto"/>
              </w:rPr>
            </w:pPr>
            <w:r>
              <w:rPr>
                <w:rFonts w:ascii="Arial" w:cs="Arial" w:eastAsia="Arial" w:hAnsi="Arial"/>
                <w:sz w:val="13"/>
                <w:szCs w:val="13"/>
                <w:b w:val="1"/>
                <w:bCs w:val="1"/>
                <w:color w:val="00ABE8"/>
                <w:w w:val="98"/>
              </w:rPr>
              <w:t>Number of</w:t>
            </w:r>
          </w:p>
        </w:tc>
        <w:tc>
          <w:tcPr>
            <w:tcW w:w="40" w:type="dxa"/>
            <w:vAlign w:val="bottom"/>
            <w:shd w:val="clear" w:color="auto" w:fill="C8C9CB"/>
          </w:tcPr>
          <w:p>
            <w:pPr>
              <w:spacing w:after="0"/>
              <w:rPr>
                <w:sz w:val="12"/>
                <w:szCs w:val="12"/>
                <w:color w:val="auto"/>
              </w:rPr>
            </w:pPr>
          </w:p>
        </w:tc>
        <w:tc>
          <w:tcPr>
            <w:tcW w:w="900" w:type="dxa"/>
            <w:vAlign w:val="bottom"/>
            <w:shd w:val="clear" w:color="auto" w:fill="C8C9CB"/>
          </w:tcPr>
          <w:p>
            <w:pPr>
              <w:spacing w:after="0"/>
              <w:rPr>
                <w:sz w:val="12"/>
                <w:szCs w:val="12"/>
                <w:color w:val="auto"/>
              </w:rPr>
            </w:pPr>
          </w:p>
        </w:tc>
        <w:tc>
          <w:tcPr>
            <w:tcW w:w="60" w:type="dxa"/>
            <w:vAlign w:val="bottom"/>
            <w:shd w:val="clear" w:color="auto" w:fill="C8C9CB"/>
          </w:tcPr>
          <w:p>
            <w:pPr>
              <w:spacing w:after="0"/>
              <w:rPr>
                <w:sz w:val="12"/>
                <w:szCs w:val="12"/>
                <w:color w:val="auto"/>
              </w:rPr>
            </w:pPr>
          </w:p>
        </w:tc>
        <w:tc>
          <w:tcPr>
            <w:tcW w:w="880" w:type="dxa"/>
            <w:vAlign w:val="bottom"/>
            <w:shd w:val="clear" w:color="auto" w:fill="C8C9CB"/>
          </w:tcPr>
          <w:p>
            <w:pPr>
              <w:spacing w:after="0"/>
              <w:rPr>
                <w:sz w:val="12"/>
                <w:szCs w:val="12"/>
                <w:color w:val="auto"/>
              </w:rPr>
            </w:pPr>
          </w:p>
        </w:tc>
        <w:tc>
          <w:tcPr>
            <w:tcW w:w="900" w:type="dxa"/>
            <w:vAlign w:val="bottom"/>
            <w:vMerge w:val="restart"/>
            <w:shd w:val="clear" w:color="auto" w:fill="C8C9CB"/>
          </w:tcPr>
          <w:p>
            <w:pPr>
              <w:jc w:val="center"/>
              <w:spacing w:after="0"/>
              <w:rPr>
                <w:sz w:val="20"/>
                <w:szCs w:val="20"/>
                <w:color w:val="auto"/>
              </w:rPr>
            </w:pPr>
            <w:r>
              <w:rPr>
                <w:rFonts w:ascii="Arial" w:cs="Arial" w:eastAsia="Arial" w:hAnsi="Arial"/>
                <w:sz w:val="13"/>
                <w:szCs w:val="13"/>
                <w:b w:val="1"/>
                <w:bCs w:val="1"/>
                <w:color w:val="00ABE8"/>
                <w:w w:val="98"/>
              </w:rPr>
              <w:t>Number of</w:t>
            </w:r>
          </w:p>
        </w:tc>
        <w:tc>
          <w:tcPr>
            <w:tcW w:w="160" w:type="dxa"/>
            <w:vAlign w:val="bottom"/>
            <w:shd w:val="clear" w:color="auto" w:fill="C8C9CB"/>
          </w:tcPr>
          <w:p>
            <w:pPr>
              <w:spacing w:after="0"/>
              <w:rPr>
                <w:sz w:val="12"/>
                <w:szCs w:val="12"/>
                <w:color w:val="auto"/>
              </w:rPr>
            </w:pPr>
          </w:p>
        </w:tc>
        <w:tc>
          <w:tcPr>
            <w:tcW w:w="880" w:type="dxa"/>
            <w:vAlign w:val="bottom"/>
            <w:shd w:val="clear" w:color="auto" w:fill="C8C9CB"/>
          </w:tcPr>
          <w:p>
            <w:pPr>
              <w:jc w:val="center"/>
              <w:ind w:left="137"/>
              <w:spacing w:after="0" w:line="146" w:lineRule="exact"/>
              <w:rPr>
                <w:sz w:val="20"/>
                <w:szCs w:val="20"/>
                <w:color w:val="auto"/>
              </w:rPr>
            </w:pPr>
            <w:r>
              <w:rPr>
                <w:rFonts w:ascii="Arial" w:cs="Arial" w:eastAsia="Arial" w:hAnsi="Arial"/>
                <w:sz w:val="13"/>
                <w:szCs w:val="13"/>
                <w:b w:val="1"/>
                <w:bCs w:val="1"/>
                <w:color w:val="00ABE8"/>
                <w:w w:val="95"/>
              </w:rPr>
              <w:t>Market</w:t>
            </w:r>
          </w:p>
        </w:tc>
        <w:tc>
          <w:tcPr>
            <w:tcW w:w="200" w:type="dxa"/>
            <w:vAlign w:val="bottom"/>
            <w:shd w:val="clear" w:color="auto" w:fill="C8C9CB"/>
          </w:tcPr>
          <w:p>
            <w:pPr>
              <w:spacing w:after="0"/>
              <w:rPr>
                <w:sz w:val="12"/>
                <w:szCs w:val="12"/>
                <w:color w:val="auto"/>
              </w:rPr>
            </w:pPr>
          </w:p>
        </w:tc>
        <w:tc>
          <w:tcPr>
            <w:tcW w:w="1420" w:type="dxa"/>
            <w:vAlign w:val="bottom"/>
            <w:shd w:val="clear" w:color="auto" w:fill="C8C9CB"/>
          </w:tcPr>
          <w:p>
            <w:pPr>
              <w:jc w:val="center"/>
              <w:ind w:right="37"/>
              <w:spacing w:after="0" w:line="146" w:lineRule="exact"/>
              <w:rPr>
                <w:sz w:val="20"/>
                <w:szCs w:val="20"/>
                <w:color w:val="auto"/>
              </w:rPr>
            </w:pPr>
            <w:r>
              <w:rPr>
                <w:rFonts w:ascii="Arial" w:cs="Arial" w:eastAsia="Arial" w:hAnsi="Arial"/>
                <w:sz w:val="13"/>
                <w:szCs w:val="13"/>
                <w:b w:val="1"/>
                <w:bCs w:val="1"/>
                <w:color w:val="00ABE8"/>
                <w:w w:val="96"/>
              </w:rPr>
              <w:t>Equity Incentive</w:t>
            </w:r>
          </w:p>
        </w:tc>
        <w:tc>
          <w:tcPr>
            <w:tcW w:w="1080" w:type="dxa"/>
            <w:vAlign w:val="bottom"/>
            <w:shd w:val="clear" w:color="auto" w:fill="C8C9CB"/>
          </w:tcPr>
          <w:p>
            <w:pPr>
              <w:jc w:val="center"/>
              <w:spacing w:after="0" w:line="146" w:lineRule="exact"/>
              <w:rPr>
                <w:sz w:val="20"/>
                <w:szCs w:val="20"/>
                <w:color w:val="auto"/>
              </w:rPr>
            </w:pPr>
            <w:r>
              <w:rPr>
                <w:rFonts w:ascii="Arial" w:cs="Arial" w:eastAsia="Arial" w:hAnsi="Arial"/>
                <w:sz w:val="13"/>
                <w:szCs w:val="13"/>
                <w:b w:val="1"/>
                <w:bCs w:val="1"/>
                <w:color w:val="00ABE8"/>
                <w:w w:val="95"/>
              </w:rPr>
              <w:t>Market or</w:t>
            </w:r>
          </w:p>
        </w:tc>
        <w:tc>
          <w:tcPr>
            <w:tcW w:w="0" w:type="dxa"/>
            <w:vAlign w:val="bottom"/>
          </w:tcPr>
          <w:p>
            <w:pPr>
              <w:spacing w:after="0"/>
              <w:rPr>
                <w:sz w:val="1"/>
                <w:szCs w:val="1"/>
                <w:color w:val="auto"/>
              </w:rPr>
            </w:pPr>
          </w:p>
        </w:tc>
      </w:tr>
      <w:tr>
        <w:trPr>
          <w:trHeight w:val="135"/>
        </w:trPr>
        <w:tc>
          <w:tcPr>
            <w:tcW w:w="700" w:type="dxa"/>
            <w:vAlign w:val="bottom"/>
            <w:shd w:val="clear" w:color="auto" w:fill="C8C9CB"/>
          </w:tcPr>
          <w:p>
            <w:pPr>
              <w:spacing w:after="0"/>
              <w:rPr>
                <w:sz w:val="11"/>
                <w:szCs w:val="11"/>
                <w:color w:val="auto"/>
              </w:rPr>
            </w:pPr>
          </w:p>
        </w:tc>
        <w:tc>
          <w:tcPr>
            <w:tcW w:w="760" w:type="dxa"/>
            <w:vAlign w:val="bottom"/>
            <w:shd w:val="clear" w:color="auto" w:fill="C8C9CB"/>
          </w:tcPr>
          <w:p>
            <w:pPr>
              <w:spacing w:after="0"/>
              <w:rPr>
                <w:sz w:val="11"/>
                <w:szCs w:val="11"/>
                <w:color w:val="auto"/>
              </w:rPr>
            </w:pPr>
          </w:p>
        </w:tc>
        <w:tc>
          <w:tcPr>
            <w:tcW w:w="1040" w:type="dxa"/>
            <w:vAlign w:val="bottom"/>
            <w:gridSpan w:val="2"/>
            <w:vMerge w:val="continue"/>
            <w:shd w:val="clear" w:color="auto" w:fill="C8C9CB"/>
          </w:tcPr>
          <w:p>
            <w:pPr>
              <w:spacing w:after="0"/>
              <w:rPr>
                <w:sz w:val="11"/>
                <w:szCs w:val="11"/>
                <w:color w:val="auto"/>
              </w:rPr>
            </w:pPr>
          </w:p>
        </w:tc>
        <w:tc>
          <w:tcPr>
            <w:tcW w:w="40" w:type="dxa"/>
            <w:vAlign w:val="bottom"/>
            <w:shd w:val="clear" w:color="auto" w:fill="C8C9CB"/>
          </w:tcPr>
          <w:p>
            <w:pPr>
              <w:spacing w:after="0"/>
              <w:rPr>
                <w:sz w:val="11"/>
                <w:szCs w:val="11"/>
                <w:color w:val="auto"/>
              </w:rPr>
            </w:pPr>
          </w:p>
        </w:tc>
        <w:tc>
          <w:tcPr>
            <w:tcW w:w="900" w:type="dxa"/>
            <w:vAlign w:val="bottom"/>
            <w:shd w:val="clear" w:color="auto" w:fill="C8C9CB"/>
          </w:tcPr>
          <w:p>
            <w:pPr>
              <w:spacing w:after="0"/>
              <w:rPr>
                <w:sz w:val="11"/>
                <w:szCs w:val="11"/>
                <w:color w:val="auto"/>
              </w:rPr>
            </w:pPr>
          </w:p>
        </w:tc>
        <w:tc>
          <w:tcPr>
            <w:tcW w:w="60" w:type="dxa"/>
            <w:vAlign w:val="bottom"/>
            <w:shd w:val="clear" w:color="auto" w:fill="C8C9CB"/>
          </w:tcPr>
          <w:p>
            <w:pPr>
              <w:spacing w:after="0"/>
              <w:rPr>
                <w:sz w:val="11"/>
                <w:szCs w:val="11"/>
                <w:color w:val="auto"/>
              </w:rPr>
            </w:pPr>
          </w:p>
        </w:tc>
        <w:tc>
          <w:tcPr>
            <w:tcW w:w="880" w:type="dxa"/>
            <w:vAlign w:val="bottom"/>
            <w:shd w:val="clear" w:color="auto" w:fill="C8C9CB"/>
          </w:tcPr>
          <w:p>
            <w:pPr>
              <w:spacing w:after="0"/>
              <w:rPr>
                <w:sz w:val="11"/>
                <w:szCs w:val="11"/>
                <w:color w:val="auto"/>
              </w:rPr>
            </w:pPr>
          </w:p>
        </w:tc>
        <w:tc>
          <w:tcPr>
            <w:tcW w:w="900" w:type="dxa"/>
            <w:vAlign w:val="bottom"/>
            <w:vMerge w:val="continue"/>
            <w:shd w:val="clear" w:color="auto" w:fill="C8C9CB"/>
          </w:tcPr>
          <w:p>
            <w:pPr>
              <w:spacing w:after="0"/>
              <w:rPr>
                <w:sz w:val="11"/>
                <w:szCs w:val="11"/>
                <w:color w:val="auto"/>
              </w:rPr>
            </w:pPr>
          </w:p>
        </w:tc>
        <w:tc>
          <w:tcPr>
            <w:tcW w:w="160" w:type="dxa"/>
            <w:vAlign w:val="bottom"/>
            <w:shd w:val="clear" w:color="auto" w:fill="C8C9CB"/>
          </w:tcPr>
          <w:p>
            <w:pPr>
              <w:spacing w:after="0"/>
              <w:rPr>
                <w:sz w:val="11"/>
                <w:szCs w:val="11"/>
                <w:color w:val="auto"/>
              </w:rPr>
            </w:pPr>
          </w:p>
        </w:tc>
        <w:tc>
          <w:tcPr>
            <w:tcW w:w="880" w:type="dxa"/>
            <w:vAlign w:val="bottom"/>
            <w:shd w:val="clear" w:color="auto" w:fill="C8C9CB"/>
          </w:tcPr>
          <w:p>
            <w:pPr>
              <w:jc w:val="center"/>
              <w:ind w:left="97"/>
              <w:spacing w:after="0" w:line="135" w:lineRule="exact"/>
              <w:rPr>
                <w:sz w:val="20"/>
                <w:szCs w:val="20"/>
                <w:color w:val="auto"/>
              </w:rPr>
            </w:pPr>
            <w:r>
              <w:rPr>
                <w:rFonts w:ascii="Arial" w:cs="Arial" w:eastAsia="Arial" w:hAnsi="Arial"/>
                <w:sz w:val="13"/>
                <w:szCs w:val="13"/>
                <w:b w:val="1"/>
                <w:bCs w:val="1"/>
                <w:color w:val="00ABE8"/>
                <w:w w:val="94"/>
              </w:rPr>
              <w:t>Value of</w:t>
            </w:r>
          </w:p>
        </w:tc>
        <w:tc>
          <w:tcPr>
            <w:tcW w:w="200" w:type="dxa"/>
            <w:vAlign w:val="bottom"/>
            <w:shd w:val="clear" w:color="auto" w:fill="C8C9CB"/>
          </w:tcPr>
          <w:p>
            <w:pPr>
              <w:spacing w:after="0"/>
              <w:rPr>
                <w:sz w:val="11"/>
                <w:szCs w:val="11"/>
                <w:color w:val="auto"/>
              </w:rPr>
            </w:pPr>
          </w:p>
        </w:tc>
        <w:tc>
          <w:tcPr>
            <w:tcW w:w="1420" w:type="dxa"/>
            <w:vAlign w:val="bottom"/>
            <w:shd w:val="clear" w:color="auto" w:fill="C8C9CB"/>
          </w:tcPr>
          <w:p>
            <w:pPr>
              <w:jc w:val="center"/>
              <w:ind w:right="77"/>
              <w:spacing w:after="0" w:line="135" w:lineRule="exact"/>
              <w:rPr>
                <w:sz w:val="20"/>
                <w:szCs w:val="20"/>
                <w:color w:val="auto"/>
              </w:rPr>
            </w:pPr>
            <w:r>
              <w:rPr>
                <w:rFonts w:ascii="Arial" w:cs="Arial" w:eastAsia="Arial" w:hAnsi="Arial"/>
                <w:sz w:val="13"/>
                <w:szCs w:val="13"/>
                <w:b w:val="1"/>
                <w:bCs w:val="1"/>
                <w:color w:val="00ABE8"/>
                <w:w w:val="97"/>
              </w:rPr>
              <w:t>Plan Awards:</w:t>
            </w:r>
          </w:p>
        </w:tc>
        <w:tc>
          <w:tcPr>
            <w:tcW w:w="1080" w:type="dxa"/>
            <w:vAlign w:val="bottom"/>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6"/>
              </w:rPr>
              <w:t>Payout Value of</w:t>
            </w:r>
          </w:p>
        </w:tc>
        <w:tc>
          <w:tcPr>
            <w:tcW w:w="0" w:type="dxa"/>
            <w:vAlign w:val="bottom"/>
          </w:tcPr>
          <w:p>
            <w:pPr>
              <w:spacing w:after="0"/>
              <w:rPr>
                <w:sz w:val="1"/>
                <w:szCs w:val="1"/>
                <w:color w:val="auto"/>
              </w:rPr>
            </w:pPr>
          </w:p>
        </w:tc>
      </w:tr>
      <w:tr>
        <w:trPr>
          <w:trHeight w:val="135"/>
        </w:trPr>
        <w:tc>
          <w:tcPr>
            <w:tcW w:w="700" w:type="dxa"/>
            <w:vAlign w:val="bottom"/>
            <w:shd w:val="clear" w:color="auto" w:fill="C8C9CB"/>
          </w:tcPr>
          <w:p>
            <w:pPr>
              <w:spacing w:after="0"/>
              <w:rPr>
                <w:sz w:val="11"/>
                <w:szCs w:val="11"/>
                <w:color w:val="auto"/>
              </w:rPr>
            </w:pPr>
          </w:p>
        </w:tc>
        <w:tc>
          <w:tcPr>
            <w:tcW w:w="760" w:type="dxa"/>
            <w:vAlign w:val="bottom"/>
            <w:shd w:val="clear" w:color="auto" w:fill="C8C9CB"/>
          </w:tcPr>
          <w:p>
            <w:pPr>
              <w:spacing w:after="0"/>
              <w:rPr>
                <w:sz w:val="11"/>
                <w:szCs w:val="11"/>
                <w:color w:val="auto"/>
              </w:rPr>
            </w:pPr>
          </w:p>
        </w:tc>
        <w:tc>
          <w:tcPr>
            <w:tcW w:w="1040" w:type="dxa"/>
            <w:vAlign w:val="bottom"/>
            <w:gridSpan w:val="2"/>
            <w:shd w:val="clear" w:color="auto" w:fill="C8C9CB"/>
          </w:tcPr>
          <w:p>
            <w:pPr>
              <w:jc w:val="center"/>
              <w:ind w:right="68"/>
              <w:spacing w:after="0" w:line="135" w:lineRule="exact"/>
              <w:rPr>
                <w:sz w:val="20"/>
                <w:szCs w:val="20"/>
                <w:color w:val="auto"/>
              </w:rPr>
            </w:pPr>
            <w:r>
              <w:rPr>
                <w:rFonts w:ascii="Arial" w:cs="Arial" w:eastAsia="Arial" w:hAnsi="Arial"/>
                <w:sz w:val="13"/>
                <w:szCs w:val="13"/>
                <w:b w:val="1"/>
                <w:bCs w:val="1"/>
                <w:color w:val="00ABE8"/>
                <w:w w:val="96"/>
              </w:rPr>
              <w:t>Securities</w:t>
            </w:r>
          </w:p>
        </w:tc>
        <w:tc>
          <w:tcPr>
            <w:tcW w:w="40" w:type="dxa"/>
            <w:vAlign w:val="bottom"/>
            <w:shd w:val="clear" w:color="auto" w:fill="C8C9CB"/>
          </w:tcPr>
          <w:p>
            <w:pPr>
              <w:spacing w:after="0"/>
              <w:rPr>
                <w:sz w:val="11"/>
                <w:szCs w:val="11"/>
                <w:color w:val="auto"/>
              </w:rPr>
            </w:pPr>
          </w:p>
        </w:tc>
        <w:tc>
          <w:tcPr>
            <w:tcW w:w="900" w:type="dxa"/>
            <w:vAlign w:val="bottom"/>
            <w:shd w:val="clear" w:color="auto" w:fill="C8C9CB"/>
          </w:tcPr>
          <w:p>
            <w:pPr>
              <w:spacing w:after="0"/>
              <w:rPr>
                <w:sz w:val="11"/>
                <w:szCs w:val="11"/>
                <w:color w:val="auto"/>
              </w:rPr>
            </w:pPr>
          </w:p>
        </w:tc>
        <w:tc>
          <w:tcPr>
            <w:tcW w:w="60" w:type="dxa"/>
            <w:vAlign w:val="bottom"/>
            <w:shd w:val="clear" w:color="auto" w:fill="C8C9CB"/>
          </w:tcPr>
          <w:p>
            <w:pPr>
              <w:spacing w:after="0"/>
              <w:rPr>
                <w:sz w:val="11"/>
                <w:szCs w:val="11"/>
                <w:color w:val="auto"/>
              </w:rPr>
            </w:pPr>
          </w:p>
        </w:tc>
        <w:tc>
          <w:tcPr>
            <w:tcW w:w="880" w:type="dxa"/>
            <w:vAlign w:val="bottom"/>
            <w:shd w:val="clear" w:color="auto" w:fill="C8C9CB"/>
          </w:tcPr>
          <w:p>
            <w:pPr>
              <w:spacing w:after="0"/>
              <w:rPr>
                <w:sz w:val="11"/>
                <w:szCs w:val="11"/>
                <w:color w:val="auto"/>
              </w:rPr>
            </w:pPr>
          </w:p>
        </w:tc>
        <w:tc>
          <w:tcPr>
            <w:tcW w:w="900" w:type="dxa"/>
            <w:vAlign w:val="bottom"/>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6"/>
              </w:rPr>
              <w:t>Shares or</w:t>
            </w:r>
          </w:p>
        </w:tc>
        <w:tc>
          <w:tcPr>
            <w:tcW w:w="160" w:type="dxa"/>
            <w:vAlign w:val="bottom"/>
            <w:shd w:val="clear" w:color="auto" w:fill="C8C9CB"/>
          </w:tcPr>
          <w:p>
            <w:pPr>
              <w:spacing w:after="0"/>
              <w:rPr>
                <w:sz w:val="11"/>
                <w:szCs w:val="11"/>
                <w:color w:val="auto"/>
              </w:rPr>
            </w:pPr>
          </w:p>
        </w:tc>
        <w:tc>
          <w:tcPr>
            <w:tcW w:w="880" w:type="dxa"/>
            <w:vAlign w:val="bottom"/>
            <w:shd w:val="clear" w:color="auto" w:fill="C8C9CB"/>
          </w:tcPr>
          <w:p>
            <w:pPr>
              <w:jc w:val="center"/>
              <w:ind w:left="117"/>
              <w:spacing w:after="0" w:line="135" w:lineRule="exact"/>
              <w:rPr>
                <w:sz w:val="20"/>
                <w:szCs w:val="20"/>
                <w:color w:val="auto"/>
              </w:rPr>
            </w:pPr>
            <w:r>
              <w:rPr>
                <w:rFonts w:ascii="Arial" w:cs="Arial" w:eastAsia="Arial" w:hAnsi="Arial"/>
                <w:sz w:val="13"/>
                <w:szCs w:val="13"/>
                <w:b w:val="1"/>
                <w:bCs w:val="1"/>
                <w:color w:val="00ABE8"/>
                <w:w w:val="96"/>
              </w:rPr>
              <w:t>Shares or</w:t>
            </w:r>
          </w:p>
        </w:tc>
        <w:tc>
          <w:tcPr>
            <w:tcW w:w="200" w:type="dxa"/>
            <w:vAlign w:val="bottom"/>
            <w:shd w:val="clear" w:color="auto" w:fill="C8C9CB"/>
          </w:tcPr>
          <w:p>
            <w:pPr>
              <w:spacing w:after="0"/>
              <w:rPr>
                <w:sz w:val="11"/>
                <w:szCs w:val="11"/>
                <w:color w:val="auto"/>
              </w:rPr>
            </w:pPr>
          </w:p>
        </w:tc>
        <w:tc>
          <w:tcPr>
            <w:tcW w:w="1420" w:type="dxa"/>
            <w:vAlign w:val="bottom"/>
            <w:shd w:val="clear" w:color="auto" w:fill="C8C9CB"/>
          </w:tcPr>
          <w:p>
            <w:pPr>
              <w:jc w:val="center"/>
              <w:ind w:right="77"/>
              <w:spacing w:after="0" w:line="135" w:lineRule="exact"/>
              <w:rPr>
                <w:sz w:val="20"/>
                <w:szCs w:val="20"/>
                <w:color w:val="auto"/>
              </w:rPr>
            </w:pPr>
            <w:r>
              <w:rPr>
                <w:rFonts w:ascii="Arial" w:cs="Arial" w:eastAsia="Arial" w:hAnsi="Arial"/>
                <w:sz w:val="13"/>
                <w:szCs w:val="13"/>
                <w:b w:val="1"/>
                <w:bCs w:val="1"/>
                <w:color w:val="00ABE8"/>
                <w:w w:val="98"/>
              </w:rPr>
              <w:t>Number of</w:t>
            </w:r>
          </w:p>
        </w:tc>
        <w:tc>
          <w:tcPr>
            <w:tcW w:w="1080" w:type="dxa"/>
            <w:vAlign w:val="bottom"/>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6"/>
              </w:rPr>
              <w:t>Unearned</w:t>
            </w:r>
          </w:p>
        </w:tc>
        <w:tc>
          <w:tcPr>
            <w:tcW w:w="0" w:type="dxa"/>
            <w:vAlign w:val="bottom"/>
          </w:tcPr>
          <w:p>
            <w:pPr>
              <w:spacing w:after="0"/>
              <w:rPr>
                <w:sz w:val="1"/>
                <w:szCs w:val="1"/>
                <w:color w:val="auto"/>
              </w:rPr>
            </w:pPr>
          </w:p>
        </w:tc>
      </w:tr>
      <w:tr>
        <w:trPr>
          <w:trHeight w:val="135"/>
        </w:trPr>
        <w:tc>
          <w:tcPr>
            <w:tcW w:w="700" w:type="dxa"/>
            <w:vAlign w:val="bottom"/>
            <w:shd w:val="clear" w:color="auto" w:fill="C8C9CB"/>
          </w:tcPr>
          <w:p>
            <w:pPr>
              <w:spacing w:after="0"/>
              <w:rPr>
                <w:sz w:val="11"/>
                <w:szCs w:val="11"/>
                <w:color w:val="auto"/>
              </w:rPr>
            </w:pPr>
          </w:p>
        </w:tc>
        <w:tc>
          <w:tcPr>
            <w:tcW w:w="760" w:type="dxa"/>
            <w:vAlign w:val="bottom"/>
            <w:shd w:val="clear" w:color="auto" w:fill="C8C9CB"/>
          </w:tcPr>
          <w:p>
            <w:pPr>
              <w:spacing w:after="0"/>
              <w:rPr>
                <w:sz w:val="11"/>
                <w:szCs w:val="11"/>
                <w:color w:val="auto"/>
              </w:rPr>
            </w:pPr>
          </w:p>
        </w:tc>
        <w:tc>
          <w:tcPr>
            <w:tcW w:w="1040" w:type="dxa"/>
            <w:vAlign w:val="bottom"/>
            <w:gridSpan w:val="2"/>
            <w:shd w:val="clear" w:color="auto" w:fill="C8C9CB"/>
          </w:tcPr>
          <w:p>
            <w:pPr>
              <w:jc w:val="center"/>
              <w:ind w:right="48"/>
              <w:spacing w:after="0" w:line="135" w:lineRule="exact"/>
              <w:rPr>
                <w:sz w:val="20"/>
                <w:szCs w:val="20"/>
                <w:color w:val="auto"/>
              </w:rPr>
            </w:pPr>
            <w:r>
              <w:rPr>
                <w:rFonts w:ascii="Arial" w:cs="Arial" w:eastAsia="Arial" w:hAnsi="Arial"/>
                <w:sz w:val="13"/>
                <w:szCs w:val="13"/>
                <w:b w:val="1"/>
                <w:bCs w:val="1"/>
                <w:color w:val="00ABE8"/>
                <w:w w:val="97"/>
              </w:rPr>
              <w:t>Underlying</w:t>
            </w:r>
          </w:p>
        </w:tc>
        <w:tc>
          <w:tcPr>
            <w:tcW w:w="40" w:type="dxa"/>
            <w:vAlign w:val="bottom"/>
            <w:shd w:val="clear" w:color="auto" w:fill="C8C9CB"/>
          </w:tcPr>
          <w:p>
            <w:pPr>
              <w:spacing w:after="0"/>
              <w:rPr>
                <w:sz w:val="11"/>
                <w:szCs w:val="11"/>
                <w:color w:val="auto"/>
              </w:rPr>
            </w:pPr>
          </w:p>
        </w:tc>
        <w:tc>
          <w:tcPr>
            <w:tcW w:w="960" w:type="dxa"/>
            <w:vAlign w:val="bottom"/>
            <w:gridSpan w:val="2"/>
            <w:vMerge w:val="restart"/>
            <w:shd w:val="clear" w:color="auto" w:fill="C8C9CB"/>
          </w:tcPr>
          <w:p>
            <w:pPr>
              <w:jc w:val="center"/>
              <w:ind w:right="80"/>
              <w:spacing w:after="0"/>
              <w:rPr>
                <w:sz w:val="20"/>
                <w:szCs w:val="20"/>
                <w:color w:val="auto"/>
              </w:rPr>
            </w:pPr>
            <w:r>
              <w:rPr>
                <w:rFonts w:ascii="Arial" w:cs="Arial" w:eastAsia="Arial" w:hAnsi="Arial"/>
                <w:sz w:val="13"/>
                <w:szCs w:val="13"/>
                <w:b w:val="1"/>
                <w:bCs w:val="1"/>
                <w:color w:val="00ABE8"/>
                <w:w w:val="95"/>
              </w:rPr>
              <w:t>Option</w:t>
            </w:r>
          </w:p>
        </w:tc>
        <w:tc>
          <w:tcPr>
            <w:tcW w:w="880" w:type="dxa"/>
            <w:vAlign w:val="bottom"/>
            <w:vMerge w:val="restart"/>
            <w:shd w:val="clear" w:color="auto" w:fill="C8C9CB"/>
          </w:tcPr>
          <w:p>
            <w:pPr>
              <w:jc w:val="center"/>
              <w:spacing w:after="0"/>
              <w:rPr>
                <w:sz w:val="20"/>
                <w:szCs w:val="20"/>
                <w:color w:val="auto"/>
              </w:rPr>
            </w:pPr>
            <w:r>
              <w:rPr>
                <w:rFonts w:ascii="Arial" w:cs="Arial" w:eastAsia="Arial" w:hAnsi="Arial"/>
                <w:sz w:val="13"/>
                <w:szCs w:val="13"/>
                <w:b w:val="1"/>
                <w:bCs w:val="1"/>
                <w:color w:val="00ABE8"/>
                <w:w w:val="95"/>
              </w:rPr>
              <w:t>Option</w:t>
            </w:r>
          </w:p>
        </w:tc>
        <w:tc>
          <w:tcPr>
            <w:tcW w:w="900" w:type="dxa"/>
            <w:vAlign w:val="bottom"/>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4"/>
              </w:rPr>
              <w:t>Units of</w:t>
            </w:r>
          </w:p>
        </w:tc>
        <w:tc>
          <w:tcPr>
            <w:tcW w:w="160" w:type="dxa"/>
            <w:vAlign w:val="bottom"/>
            <w:shd w:val="clear" w:color="auto" w:fill="C8C9CB"/>
          </w:tcPr>
          <w:p>
            <w:pPr>
              <w:spacing w:after="0"/>
              <w:rPr>
                <w:sz w:val="11"/>
                <w:szCs w:val="11"/>
                <w:color w:val="auto"/>
              </w:rPr>
            </w:pPr>
          </w:p>
        </w:tc>
        <w:tc>
          <w:tcPr>
            <w:tcW w:w="880" w:type="dxa"/>
            <w:vAlign w:val="bottom"/>
            <w:shd w:val="clear" w:color="auto" w:fill="C8C9CB"/>
          </w:tcPr>
          <w:p>
            <w:pPr>
              <w:jc w:val="center"/>
              <w:ind w:left="97"/>
              <w:spacing w:after="0" w:line="135" w:lineRule="exact"/>
              <w:rPr>
                <w:sz w:val="20"/>
                <w:szCs w:val="20"/>
                <w:color w:val="auto"/>
              </w:rPr>
            </w:pPr>
            <w:r>
              <w:rPr>
                <w:rFonts w:ascii="Arial" w:cs="Arial" w:eastAsia="Arial" w:hAnsi="Arial"/>
                <w:sz w:val="13"/>
                <w:szCs w:val="13"/>
                <w:b w:val="1"/>
                <w:bCs w:val="1"/>
                <w:color w:val="00ABE8"/>
                <w:w w:val="99"/>
              </w:rPr>
              <w:t>Units of</w:t>
            </w:r>
          </w:p>
        </w:tc>
        <w:tc>
          <w:tcPr>
            <w:tcW w:w="200" w:type="dxa"/>
            <w:vAlign w:val="bottom"/>
            <w:shd w:val="clear" w:color="auto" w:fill="C8C9CB"/>
          </w:tcPr>
          <w:p>
            <w:pPr>
              <w:spacing w:after="0"/>
              <w:rPr>
                <w:sz w:val="11"/>
                <w:szCs w:val="11"/>
                <w:color w:val="auto"/>
              </w:rPr>
            </w:pPr>
          </w:p>
        </w:tc>
        <w:tc>
          <w:tcPr>
            <w:tcW w:w="1420" w:type="dxa"/>
            <w:vAlign w:val="bottom"/>
            <w:shd w:val="clear" w:color="auto" w:fill="C8C9CB"/>
          </w:tcPr>
          <w:p>
            <w:pPr>
              <w:jc w:val="center"/>
              <w:ind w:right="77"/>
              <w:spacing w:after="0" w:line="135" w:lineRule="exact"/>
              <w:rPr>
                <w:sz w:val="20"/>
                <w:szCs w:val="20"/>
                <w:color w:val="auto"/>
              </w:rPr>
            </w:pPr>
            <w:r>
              <w:rPr>
                <w:rFonts w:ascii="Arial" w:cs="Arial" w:eastAsia="Arial" w:hAnsi="Arial"/>
                <w:sz w:val="13"/>
                <w:szCs w:val="13"/>
                <w:b w:val="1"/>
                <w:bCs w:val="1"/>
                <w:color w:val="00ABE8"/>
                <w:w w:val="97"/>
              </w:rPr>
              <w:t>Unearned Shares,</w:t>
            </w:r>
          </w:p>
        </w:tc>
        <w:tc>
          <w:tcPr>
            <w:tcW w:w="1080" w:type="dxa"/>
            <w:vAlign w:val="bottom"/>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6"/>
              </w:rPr>
              <w:t>Shares, Units,</w:t>
            </w:r>
          </w:p>
        </w:tc>
        <w:tc>
          <w:tcPr>
            <w:tcW w:w="0" w:type="dxa"/>
            <w:vAlign w:val="bottom"/>
          </w:tcPr>
          <w:p>
            <w:pPr>
              <w:spacing w:after="0"/>
              <w:rPr>
                <w:sz w:val="1"/>
                <w:szCs w:val="1"/>
                <w:color w:val="auto"/>
              </w:rPr>
            </w:pPr>
          </w:p>
        </w:tc>
      </w:tr>
      <w:tr>
        <w:trPr>
          <w:trHeight w:val="135"/>
        </w:trPr>
        <w:tc>
          <w:tcPr>
            <w:tcW w:w="700" w:type="dxa"/>
            <w:vAlign w:val="bottom"/>
            <w:shd w:val="clear" w:color="auto" w:fill="C8C9CB"/>
          </w:tcPr>
          <w:p>
            <w:pPr>
              <w:spacing w:after="0"/>
              <w:rPr>
                <w:sz w:val="11"/>
                <w:szCs w:val="11"/>
                <w:color w:val="auto"/>
              </w:rPr>
            </w:pPr>
          </w:p>
        </w:tc>
        <w:tc>
          <w:tcPr>
            <w:tcW w:w="760" w:type="dxa"/>
            <w:vAlign w:val="bottom"/>
            <w:shd w:val="clear" w:color="auto" w:fill="C8C9CB"/>
          </w:tcPr>
          <w:p>
            <w:pPr>
              <w:spacing w:after="0"/>
              <w:rPr>
                <w:sz w:val="11"/>
                <w:szCs w:val="11"/>
                <w:color w:val="auto"/>
              </w:rPr>
            </w:pPr>
          </w:p>
        </w:tc>
        <w:tc>
          <w:tcPr>
            <w:tcW w:w="1040" w:type="dxa"/>
            <w:vAlign w:val="bottom"/>
            <w:gridSpan w:val="2"/>
            <w:shd w:val="clear" w:color="auto" w:fill="C8C9CB"/>
          </w:tcPr>
          <w:p>
            <w:pPr>
              <w:jc w:val="center"/>
              <w:ind w:right="68"/>
              <w:spacing w:after="0" w:line="135" w:lineRule="exact"/>
              <w:rPr>
                <w:sz w:val="20"/>
                <w:szCs w:val="20"/>
                <w:color w:val="auto"/>
              </w:rPr>
            </w:pPr>
            <w:r>
              <w:rPr>
                <w:rFonts w:ascii="Arial" w:cs="Arial" w:eastAsia="Arial" w:hAnsi="Arial"/>
                <w:sz w:val="13"/>
                <w:szCs w:val="13"/>
                <w:b w:val="1"/>
                <w:bCs w:val="1"/>
                <w:color w:val="00ABE8"/>
                <w:w w:val="98"/>
              </w:rPr>
              <w:t>Unexercised</w:t>
            </w:r>
          </w:p>
        </w:tc>
        <w:tc>
          <w:tcPr>
            <w:tcW w:w="40" w:type="dxa"/>
            <w:vAlign w:val="bottom"/>
            <w:shd w:val="clear" w:color="auto" w:fill="C8C9CB"/>
          </w:tcPr>
          <w:p>
            <w:pPr>
              <w:spacing w:after="0"/>
              <w:rPr>
                <w:sz w:val="11"/>
                <w:szCs w:val="11"/>
                <w:color w:val="auto"/>
              </w:rPr>
            </w:pPr>
          </w:p>
        </w:tc>
        <w:tc>
          <w:tcPr>
            <w:tcW w:w="960" w:type="dxa"/>
            <w:vAlign w:val="bottom"/>
            <w:gridSpan w:val="2"/>
            <w:vMerge w:val="continue"/>
            <w:shd w:val="clear" w:color="auto" w:fill="C8C9CB"/>
          </w:tcPr>
          <w:p>
            <w:pPr>
              <w:spacing w:after="0"/>
              <w:rPr>
                <w:sz w:val="11"/>
                <w:szCs w:val="11"/>
                <w:color w:val="auto"/>
              </w:rPr>
            </w:pPr>
          </w:p>
        </w:tc>
        <w:tc>
          <w:tcPr>
            <w:tcW w:w="880" w:type="dxa"/>
            <w:vAlign w:val="bottom"/>
            <w:vMerge w:val="continue"/>
            <w:shd w:val="clear" w:color="auto" w:fill="C8C9CB"/>
          </w:tcPr>
          <w:p>
            <w:pPr>
              <w:spacing w:after="0"/>
              <w:rPr>
                <w:sz w:val="11"/>
                <w:szCs w:val="11"/>
                <w:color w:val="auto"/>
              </w:rPr>
            </w:pPr>
          </w:p>
        </w:tc>
        <w:tc>
          <w:tcPr>
            <w:tcW w:w="900" w:type="dxa"/>
            <w:vAlign w:val="bottom"/>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5"/>
              </w:rPr>
              <w:t>Stock</w:t>
            </w:r>
          </w:p>
        </w:tc>
        <w:tc>
          <w:tcPr>
            <w:tcW w:w="160" w:type="dxa"/>
            <w:vAlign w:val="bottom"/>
            <w:shd w:val="clear" w:color="auto" w:fill="C8C9CB"/>
          </w:tcPr>
          <w:p>
            <w:pPr>
              <w:spacing w:after="0"/>
              <w:rPr>
                <w:sz w:val="11"/>
                <w:szCs w:val="11"/>
                <w:color w:val="auto"/>
              </w:rPr>
            </w:pPr>
          </w:p>
        </w:tc>
        <w:tc>
          <w:tcPr>
            <w:tcW w:w="880" w:type="dxa"/>
            <w:vAlign w:val="bottom"/>
            <w:shd w:val="clear" w:color="auto" w:fill="C8C9CB"/>
          </w:tcPr>
          <w:p>
            <w:pPr>
              <w:jc w:val="center"/>
              <w:ind w:left="97"/>
              <w:spacing w:after="0" w:line="135" w:lineRule="exact"/>
              <w:rPr>
                <w:sz w:val="20"/>
                <w:szCs w:val="20"/>
                <w:color w:val="auto"/>
              </w:rPr>
            </w:pPr>
            <w:r>
              <w:rPr>
                <w:rFonts w:ascii="Arial" w:cs="Arial" w:eastAsia="Arial" w:hAnsi="Arial"/>
                <w:sz w:val="13"/>
                <w:szCs w:val="13"/>
                <w:b w:val="1"/>
                <w:bCs w:val="1"/>
                <w:color w:val="00ABE8"/>
                <w:w w:val="96"/>
              </w:rPr>
              <w:t>Stock That</w:t>
            </w:r>
          </w:p>
        </w:tc>
        <w:tc>
          <w:tcPr>
            <w:tcW w:w="200" w:type="dxa"/>
            <w:vAlign w:val="bottom"/>
            <w:shd w:val="clear" w:color="auto" w:fill="C8C9CB"/>
          </w:tcPr>
          <w:p>
            <w:pPr>
              <w:spacing w:after="0"/>
              <w:rPr>
                <w:sz w:val="11"/>
                <w:szCs w:val="11"/>
                <w:color w:val="auto"/>
              </w:rPr>
            </w:pPr>
          </w:p>
        </w:tc>
        <w:tc>
          <w:tcPr>
            <w:tcW w:w="1420" w:type="dxa"/>
            <w:vAlign w:val="bottom"/>
            <w:shd w:val="clear" w:color="auto" w:fill="C8C9CB"/>
          </w:tcPr>
          <w:p>
            <w:pPr>
              <w:jc w:val="center"/>
              <w:ind w:right="77"/>
              <w:spacing w:after="0" w:line="135" w:lineRule="exact"/>
              <w:rPr>
                <w:sz w:val="20"/>
                <w:szCs w:val="20"/>
                <w:color w:val="auto"/>
              </w:rPr>
            </w:pPr>
            <w:r>
              <w:rPr>
                <w:rFonts w:ascii="Arial" w:cs="Arial" w:eastAsia="Arial" w:hAnsi="Arial"/>
                <w:sz w:val="13"/>
                <w:szCs w:val="13"/>
                <w:b w:val="1"/>
                <w:bCs w:val="1"/>
                <w:color w:val="00ABE8"/>
                <w:w w:val="96"/>
              </w:rPr>
              <w:t>Units, or Other</w:t>
            </w:r>
          </w:p>
        </w:tc>
        <w:tc>
          <w:tcPr>
            <w:tcW w:w="1080" w:type="dxa"/>
            <w:vAlign w:val="bottom"/>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6"/>
              </w:rPr>
              <w:t>or Other Rights</w:t>
            </w:r>
          </w:p>
        </w:tc>
        <w:tc>
          <w:tcPr>
            <w:tcW w:w="0" w:type="dxa"/>
            <w:vAlign w:val="bottom"/>
          </w:tcPr>
          <w:p>
            <w:pPr>
              <w:spacing w:after="0"/>
              <w:rPr>
                <w:sz w:val="1"/>
                <w:szCs w:val="1"/>
                <w:color w:val="auto"/>
              </w:rPr>
            </w:pPr>
          </w:p>
        </w:tc>
      </w:tr>
      <w:tr>
        <w:trPr>
          <w:trHeight w:val="135"/>
        </w:trPr>
        <w:tc>
          <w:tcPr>
            <w:tcW w:w="700" w:type="dxa"/>
            <w:vAlign w:val="bottom"/>
            <w:vMerge w:val="restart"/>
            <w:shd w:val="clear" w:color="auto" w:fill="C8C9CB"/>
          </w:tcPr>
          <w:p>
            <w:pPr>
              <w:ind w:left="40"/>
              <w:spacing w:after="0"/>
              <w:rPr>
                <w:sz w:val="20"/>
                <w:szCs w:val="20"/>
                <w:color w:val="auto"/>
              </w:rPr>
            </w:pPr>
            <w:r>
              <w:rPr>
                <w:rFonts w:ascii="Arial" w:cs="Arial" w:eastAsia="Arial" w:hAnsi="Arial"/>
                <w:sz w:val="13"/>
                <w:szCs w:val="13"/>
                <w:b w:val="1"/>
                <w:bCs w:val="1"/>
                <w:color w:val="00ABE8"/>
              </w:rPr>
              <w:t>Name</w:t>
            </w:r>
          </w:p>
        </w:tc>
        <w:tc>
          <w:tcPr>
            <w:tcW w:w="760" w:type="dxa"/>
            <w:vAlign w:val="bottom"/>
            <w:vMerge w:val="restart"/>
            <w:shd w:val="clear" w:color="auto" w:fill="C8C9CB"/>
          </w:tcPr>
          <w:p>
            <w:pPr>
              <w:jc w:val="center"/>
              <w:spacing w:after="0"/>
              <w:rPr>
                <w:sz w:val="20"/>
                <w:szCs w:val="20"/>
                <w:color w:val="auto"/>
              </w:rPr>
            </w:pPr>
            <w:r>
              <w:rPr>
                <w:rFonts w:ascii="Arial" w:cs="Arial" w:eastAsia="Arial" w:hAnsi="Arial"/>
                <w:sz w:val="13"/>
                <w:szCs w:val="13"/>
                <w:b w:val="1"/>
                <w:bCs w:val="1"/>
                <w:color w:val="00ABE8"/>
                <w:w w:val="95"/>
              </w:rPr>
              <w:t>Award</w:t>
            </w:r>
          </w:p>
        </w:tc>
        <w:tc>
          <w:tcPr>
            <w:tcW w:w="1040" w:type="dxa"/>
            <w:vAlign w:val="bottom"/>
            <w:gridSpan w:val="2"/>
            <w:shd w:val="clear" w:color="auto" w:fill="C8C9CB"/>
          </w:tcPr>
          <w:p>
            <w:pPr>
              <w:jc w:val="center"/>
              <w:ind w:right="68"/>
              <w:spacing w:after="0" w:line="135" w:lineRule="exact"/>
              <w:rPr>
                <w:sz w:val="20"/>
                <w:szCs w:val="20"/>
                <w:color w:val="auto"/>
              </w:rPr>
            </w:pPr>
            <w:r>
              <w:rPr>
                <w:rFonts w:ascii="Arial" w:cs="Arial" w:eastAsia="Arial" w:hAnsi="Arial"/>
                <w:sz w:val="13"/>
                <w:szCs w:val="13"/>
                <w:b w:val="1"/>
                <w:bCs w:val="1"/>
                <w:color w:val="00ABE8"/>
                <w:w w:val="99"/>
              </w:rPr>
              <w:t>Options (#)</w:t>
            </w:r>
          </w:p>
        </w:tc>
        <w:tc>
          <w:tcPr>
            <w:tcW w:w="40" w:type="dxa"/>
            <w:vAlign w:val="bottom"/>
            <w:shd w:val="clear" w:color="auto" w:fill="C8C9CB"/>
          </w:tcPr>
          <w:p>
            <w:pPr>
              <w:spacing w:after="0"/>
              <w:rPr>
                <w:sz w:val="11"/>
                <w:szCs w:val="11"/>
                <w:color w:val="auto"/>
              </w:rPr>
            </w:pPr>
          </w:p>
        </w:tc>
        <w:tc>
          <w:tcPr>
            <w:tcW w:w="960" w:type="dxa"/>
            <w:vAlign w:val="bottom"/>
            <w:gridSpan w:val="2"/>
            <w:shd w:val="clear" w:color="auto" w:fill="C8C9CB"/>
          </w:tcPr>
          <w:p>
            <w:pPr>
              <w:jc w:val="center"/>
              <w:ind w:right="80"/>
              <w:spacing w:after="0" w:line="135" w:lineRule="exact"/>
              <w:rPr>
                <w:sz w:val="20"/>
                <w:szCs w:val="20"/>
                <w:color w:val="auto"/>
              </w:rPr>
            </w:pPr>
            <w:r>
              <w:rPr>
                <w:rFonts w:ascii="Arial" w:cs="Arial" w:eastAsia="Arial" w:hAnsi="Arial"/>
                <w:sz w:val="13"/>
                <w:szCs w:val="13"/>
                <w:b w:val="1"/>
                <w:bCs w:val="1"/>
                <w:color w:val="00ABE8"/>
                <w:w w:val="97"/>
              </w:rPr>
              <w:t>Exercise</w:t>
            </w:r>
          </w:p>
        </w:tc>
        <w:tc>
          <w:tcPr>
            <w:tcW w:w="880" w:type="dxa"/>
            <w:vAlign w:val="bottom"/>
            <w:shd w:val="clear" w:color="auto" w:fill="C8C9CB"/>
          </w:tcPr>
          <w:p>
            <w:pPr>
              <w:jc w:val="center"/>
              <w:ind w:right="17"/>
              <w:spacing w:after="0" w:line="135" w:lineRule="exact"/>
              <w:rPr>
                <w:sz w:val="20"/>
                <w:szCs w:val="20"/>
                <w:color w:val="auto"/>
              </w:rPr>
            </w:pPr>
            <w:r>
              <w:rPr>
                <w:rFonts w:ascii="Arial" w:cs="Arial" w:eastAsia="Arial" w:hAnsi="Arial"/>
                <w:sz w:val="13"/>
                <w:szCs w:val="13"/>
                <w:b w:val="1"/>
                <w:bCs w:val="1"/>
                <w:color w:val="00ABE8"/>
                <w:w w:val="94"/>
              </w:rPr>
              <w:t>Expiration</w:t>
            </w:r>
          </w:p>
        </w:tc>
        <w:tc>
          <w:tcPr>
            <w:tcW w:w="900" w:type="dxa"/>
            <w:vAlign w:val="bottom"/>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6"/>
              </w:rPr>
              <w:t>That Have Not</w:t>
            </w:r>
          </w:p>
        </w:tc>
        <w:tc>
          <w:tcPr>
            <w:tcW w:w="160" w:type="dxa"/>
            <w:vAlign w:val="bottom"/>
            <w:shd w:val="clear" w:color="auto" w:fill="C8C9CB"/>
          </w:tcPr>
          <w:p>
            <w:pPr>
              <w:spacing w:after="0"/>
              <w:rPr>
                <w:sz w:val="11"/>
                <w:szCs w:val="11"/>
                <w:color w:val="auto"/>
              </w:rPr>
            </w:pPr>
          </w:p>
        </w:tc>
        <w:tc>
          <w:tcPr>
            <w:tcW w:w="880" w:type="dxa"/>
            <w:vAlign w:val="bottom"/>
            <w:shd w:val="clear" w:color="auto" w:fill="C8C9CB"/>
          </w:tcPr>
          <w:p>
            <w:pPr>
              <w:jc w:val="center"/>
              <w:ind w:left="97"/>
              <w:spacing w:after="0" w:line="135" w:lineRule="exact"/>
              <w:rPr>
                <w:sz w:val="20"/>
                <w:szCs w:val="20"/>
                <w:color w:val="auto"/>
              </w:rPr>
            </w:pPr>
            <w:r>
              <w:rPr>
                <w:rFonts w:ascii="Arial" w:cs="Arial" w:eastAsia="Arial" w:hAnsi="Arial"/>
                <w:sz w:val="13"/>
                <w:szCs w:val="13"/>
                <w:b w:val="1"/>
                <w:bCs w:val="1"/>
                <w:color w:val="00ABE8"/>
                <w:w w:val="99"/>
              </w:rPr>
              <w:t>Have Not</w:t>
            </w:r>
          </w:p>
        </w:tc>
        <w:tc>
          <w:tcPr>
            <w:tcW w:w="200" w:type="dxa"/>
            <w:vAlign w:val="bottom"/>
            <w:shd w:val="clear" w:color="auto" w:fill="C8C9CB"/>
          </w:tcPr>
          <w:p>
            <w:pPr>
              <w:spacing w:after="0"/>
              <w:rPr>
                <w:sz w:val="11"/>
                <w:szCs w:val="11"/>
                <w:color w:val="auto"/>
              </w:rPr>
            </w:pPr>
          </w:p>
        </w:tc>
        <w:tc>
          <w:tcPr>
            <w:tcW w:w="1420" w:type="dxa"/>
            <w:vAlign w:val="bottom"/>
            <w:shd w:val="clear" w:color="auto" w:fill="C8C9CB"/>
          </w:tcPr>
          <w:p>
            <w:pPr>
              <w:jc w:val="center"/>
              <w:ind w:right="77"/>
              <w:spacing w:after="0" w:line="135" w:lineRule="exact"/>
              <w:rPr>
                <w:sz w:val="20"/>
                <w:szCs w:val="20"/>
                <w:color w:val="auto"/>
              </w:rPr>
            </w:pPr>
            <w:r>
              <w:rPr>
                <w:rFonts w:ascii="Arial" w:cs="Arial" w:eastAsia="Arial" w:hAnsi="Arial"/>
                <w:sz w:val="13"/>
                <w:szCs w:val="13"/>
                <w:b w:val="1"/>
                <w:bCs w:val="1"/>
                <w:color w:val="00ABE8"/>
                <w:w w:val="97"/>
              </w:rPr>
              <w:t>Rights That Have</w:t>
            </w:r>
          </w:p>
        </w:tc>
        <w:tc>
          <w:tcPr>
            <w:tcW w:w="1080" w:type="dxa"/>
            <w:vAlign w:val="bottom"/>
            <w:shd w:val="clear" w:color="auto" w:fill="C8C9CB"/>
          </w:tcPr>
          <w:p>
            <w:pPr>
              <w:jc w:val="center"/>
              <w:spacing w:after="0" w:line="135" w:lineRule="exact"/>
              <w:rPr>
                <w:sz w:val="20"/>
                <w:szCs w:val="20"/>
                <w:color w:val="auto"/>
              </w:rPr>
            </w:pPr>
            <w:r>
              <w:rPr>
                <w:rFonts w:ascii="Arial" w:cs="Arial" w:eastAsia="Arial" w:hAnsi="Arial"/>
                <w:sz w:val="13"/>
                <w:szCs w:val="13"/>
                <w:b w:val="1"/>
                <w:bCs w:val="1"/>
                <w:color w:val="00ABE8"/>
                <w:w w:val="96"/>
              </w:rPr>
              <w:t>That Have Not</w:t>
            </w:r>
          </w:p>
        </w:tc>
        <w:tc>
          <w:tcPr>
            <w:tcW w:w="0" w:type="dxa"/>
            <w:vAlign w:val="bottom"/>
          </w:tcPr>
          <w:p>
            <w:pPr>
              <w:spacing w:after="0"/>
              <w:rPr>
                <w:sz w:val="1"/>
                <w:szCs w:val="1"/>
                <w:color w:val="auto"/>
              </w:rPr>
            </w:pPr>
          </w:p>
        </w:tc>
      </w:tr>
      <w:tr>
        <w:trPr>
          <w:trHeight w:val="189"/>
        </w:trPr>
        <w:tc>
          <w:tcPr>
            <w:tcW w:w="700" w:type="dxa"/>
            <w:vAlign w:val="bottom"/>
            <w:vMerge w:val="continue"/>
            <w:shd w:val="clear" w:color="auto" w:fill="C8C9CB"/>
          </w:tcPr>
          <w:p>
            <w:pPr>
              <w:spacing w:after="0"/>
              <w:rPr>
                <w:sz w:val="16"/>
                <w:szCs w:val="16"/>
                <w:color w:val="auto"/>
              </w:rPr>
            </w:pPr>
          </w:p>
        </w:tc>
        <w:tc>
          <w:tcPr>
            <w:tcW w:w="760" w:type="dxa"/>
            <w:vAlign w:val="bottom"/>
            <w:vMerge w:val="continue"/>
            <w:shd w:val="clear" w:color="auto" w:fill="C8C9CB"/>
          </w:tcPr>
          <w:p>
            <w:pPr>
              <w:spacing w:after="0"/>
              <w:rPr>
                <w:sz w:val="16"/>
                <w:szCs w:val="16"/>
                <w:color w:val="auto"/>
              </w:rPr>
            </w:pPr>
          </w:p>
        </w:tc>
        <w:tc>
          <w:tcPr>
            <w:tcW w:w="1040" w:type="dxa"/>
            <w:vAlign w:val="bottom"/>
            <w:gridSpan w:val="2"/>
            <w:shd w:val="clear" w:color="auto" w:fill="C8C9CB"/>
          </w:tcPr>
          <w:p>
            <w:pPr>
              <w:jc w:val="center"/>
              <w:ind w:right="68"/>
              <w:spacing w:after="0"/>
              <w:rPr>
                <w:sz w:val="20"/>
                <w:szCs w:val="20"/>
                <w:color w:val="auto"/>
              </w:rPr>
            </w:pPr>
            <w:r>
              <w:rPr>
                <w:rFonts w:ascii="Arial" w:cs="Arial" w:eastAsia="Arial" w:hAnsi="Arial"/>
                <w:sz w:val="13"/>
                <w:szCs w:val="13"/>
                <w:b w:val="1"/>
                <w:bCs w:val="1"/>
                <w:color w:val="00ABE8"/>
                <w:w w:val="95"/>
              </w:rPr>
              <w:t>Unexercisable</w:t>
            </w:r>
          </w:p>
        </w:tc>
        <w:tc>
          <w:tcPr>
            <w:tcW w:w="40" w:type="dxa"/>
            <w:vAlign w:val="bottom"/>
            <w:shd w:val="clear" w:color="auto" w:fill="C8C9CB"/>
          </w:tcPr>
          <w:p>
            <w:pPr>
              <w:spacing w:after="0"/>
              <w:rPr>
                <w:sz w:val="16"/>
                <w:szCs w:val="16"/>
                <w:color w:val="auto"/>
              </w:rPr>
            </w:pPr>
          </w:p>
        </w:tc>
        <w:tc>
          <w:tcPr>
            <w:tcW w:w="960" w:type="dxa"/>
            <w:vAlign w:val="bottom"/>
            <w:gridSpan w:val="2"/>
            <w:shd w:val="clear" w:color="auto" w:fill="C8C9CB"/>
          </w:tcPr>
          <w:p>
            <w:pPr>
              <w:jc w:val="center"/>
              <w:ind w:right="80"/>
              <w:spacing w:after="0"/>
              <w:rPr>
                <w:sz w:val="20"/>
                <w:szCs w:val="20"/>
                <w:color w:val="auto"/>
              </w:rPr>
            </w:pPr>
            <w:r>
              <w:rPr>
                <w:rFonts w:ascii="Arial" w:cs="Arial" w:eastAsia="Arial" w:hAnsi="Arial"/>
                <w:sz w:val="13"/>
                <w:szCs w:val="13"/>
                <w:b w:val="1"/>
                <w:bCs w:val="1"/>
                <w:color w:val="00ABE8"/>
              </w:rPr>
              <w:t>Price</w:t>
            </w:r>
          </w:p>
        </w:tc>
        <w:tc>
          <w:tcPr>
            <w:tcW w:w="880" w:type="dxa"/>
            <w:vAlign w:val="bottom"/>
            <w:shd w:val="clear" w:color="auto" w:fill="C8C9CB"/>
          </w:tcPr>
          <w:p>
            <w:pPr>
              <w:jc w:val="center"/>
              <w:ind w:right="17"/>
              <w:spacing w:after="0"/>
              <w:rPr>
                <w:sz w:val="20"/>
                <w:szCs w:val="20"/>
                <w:color w:val="auto"/>
              </w:rPr>
            </w:pPr>
            <w:r>
              <w:rPr>
                <w:rFonts w:ascii="Arial" w:cs="Arial" w:eastAsia="Arial" w:hAnsi="Arial"/>
                <w:sz w:val="13"/>
                <w:szCs w:val="13"/>
                <w:b w:val="1"/>
                <w:bCs w:val="1"/>
                <w:color w:val="00ABE8"/>
                <w:w w:val="99"/>
              </w:rPr>
              <w:t>Date</w:t>
            </w:r>
          </w:p>
        </w:tc>
        <w:tc>
          <w:tcPr>
            <w:tcW w:w="90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6"/>
              </w:rPr>
              <w:t>Vested (#)</w:t>
            </w:r>
          </w:p>
        </w:tc>
        <w:tc>
          <w:tcPr>
            <w:tcW w:w="160" w:type="dxa"/>
            <w:vAlign w:val="bottom"/>
            <w:shd w:val="clear" w:color="auto" w:fill="C8C9CB"/>
          </w:tcPr>
          <w:p>
            <w:pPr>
              <w:spacing w:after="0"/>
              <w:rPr>
                <w:sz w:val="16"/>
                <w:szCs w:val="16"/>
                <w:color w:val="auto"/>
              </w:rPr>
            </w:pPr>
          </w:p>
        </w:tc>
        <w:tc>
          <w:tcPr>
            <w:tcW w:w="880" w:type="dxa"/>
            <w:vAlign w:val="bottom"/>
            <w:shd w:val="clear" w:color="auto" w:fill="C8C9CB"/>
          </w:tcPr>
          <w:p>
            <w:pPr>
              <w:jc w:val="center"/>
              <w:ind w:left="137"/>
              <w:spacing w:after="0"/>
              <w:rPr>
                <w:sz w:val="20"/>
                <w:szCs w:val="20"/>
                <w:color w:val="auto"/>
              </w:rPr>
            </w:pPr>
            <w:r>
              <w:rPr>
                <w:rFonts w:ascii="Arial" w:cs="Arial" w:eastAsia="Arial" w:hAnsi="Arial"/>
                <w:sz w:val="13"/>
                <w:szCs w:val="13"/>
                <w:b w:val="1"/>
                <w:bCs w:val="1"/>
                <w:color w:val="00ABE8"/>
                <w:w w:val="96"/>
              </w:rPr>
              <w:t>Vested ($)</w:t>
            </w:r>
          </w:p>
        </w:tc>
        <w:tc>
          <w:tcPr>
            <w:tcW w:w="200" w:type="dxa"/>
            <w:vAlign w:val="bottom"/>
            <w:shd w:val="clear" w:color="auto" w:fill="C8C9CB"/>
          </w:tcPr>
          <w:p>
            <w:pPr>
              <w:spacing w:after="0"/>
              <w:rPr>
                <w:sz w:val="16"/>
                <w:szCs w:val="16"/>
                <w:color w:val="auto"/>
              </w:rPr>
            </w:pPr>
          </w:p>
        </w:tc>
        <w:tc>
          <w:tcPr>
            <w:tcW w:w="1420" w:type="dxa"/>
            <w:vAlign w:val="bottom"/>
            <w:shd w:val="clear" w:color="auto" w:fill="C8C9CB"/>
          </w:tcPr>
          <w:p>
            <w:pPr>
              <w:jc w:val="center"/>
              <w:ind w:right="77"/>
              <w:spacing w:after="0"/>
              <w:rPr>
                <w:sz w:val="20"/>
                <w:szCs w:val="20"/>
                <w:color w:val="auto"/>
              </w:rPr>
            </w:pPr>
            <w:r>
              <w:rPr>
                <w:rFonts w:ascii="Arial" w:cs="Arial" w:eastAsia="Arial" w:hAnsi="Arial"/>
                <w:sz w:val="13"/>
                <w:szCs w:val="13"/>
                <w:b w:val="1"/>
                <w:bCs w:val="1"/>
                <w:color w:val="00ABE8"/>
                <w:w w:val="96"/>
              </w:rPr>
              <w:t>Not Vested (#)</w:t>
            </w:r>
          </w:p>
        </w:tc>
        <w:tc>
          <w:tcPr>
            <w:tcW w:w="1080" w:type="dxa"/>
            <w:vAlign w:val="bottom"/>
            <w:shd w:val="clear" w:color="auto" w:fill="C8C9CB"/>
          </w:tcPr>
          <w:p>
            <w:pPr>
              <w:jc w:val="center"/>
              <w:spacing w:after="0"/>
              <w:rPr>
                <w:sz w:val="20"/>
                <w:szCs w:val="20"/>
                <w:color w:val="auto"/>
              </w:rPr>
            </w:pPr>
            <w:r>
              <w:rPr>
                <w:rFonts w:ascii="Arial" w:cs="Arial" w:eastAsia="Arial" w:hAnsi="Arial"/>
                <w:sz w:val="13"/>
                <w:szCs w:val="13"/>
                <w:b w:val="1"/>
                <w:bCs w:val="1"/>
                <w:color w:val="00ABE8"/>
                <w:w w:val="93"/>
              </w:rPr>
              <w:t>Vested ($)</w:t>
            </w:r>
          </w:p>
        </w:tc>
        <w:tc>
          <w:tcPr>
            <w:tcW w:w="0" w:type="dxa"/>
            <w:vAlign w:val="bottom"/>
          </w:tcPr>
          <w:p>
            <w:pPr>
              <w:spacing w:after="0"/>
              <w:rPr>
                <w:sz w:val="1"/>
                <w:szCs w:val="1"/>
                <w:color w:val="auto"/>
              </w:rPr>
            </w:pPr>
          </w:p>
        </w:tc>
      </w:tr>
      <w:tr>
        <w:trPr>
          <w:trHeight w:val="140"/>
        </w:trPr>
        <w:tc>
          <w:tcPr>
            <w:tcW w:w="700" w:type="dxa"/>
            <w:vAlign w:val="bottom"/>
          </w:tcPr>
          <w:p>
            <w:pPr>
              <w:ind w:left="20"/>
              <w:spacing w:after="0" w:line="140" w:lineRule="exact"/>
              <w:rPr>
                <w:sz w:val="20"/>
                <w:szCs w:val="20"/>
                <w:color w:val="auto"/>
              </w:rPr>
            </w:pPr>
            <w:r>
              <w:rPr>
                <w:rFonts w:ascii="Arial" w:cs="Arial" w:eastAsia="Arial" w:hAnsi="Arial"/>
                <w:sz w:val="13"/>
                <w:szCs w:val="13"/>
                <w:color w:val="auto"/>
              </w:rPr>
              <w:t>Mr.</w:t>
            </w:r>
          </w:p>
        </w:tc>
        <w:tc>
          <w:tcPr>
            <w:tcW w:w="760" w:type="dxa"/>
            <w:vAlign w:val="bottom"/>
          </w:tcPr>
          <w:p>
            <w:pPr>
              <w:jc w:val="center"/>
              <w:spacing w:after="0" w:line="140" w:lineRule="exact"/>
              <w:rPr>
                <w:sz w:val="20"/>
                <w:szCs w:val="20"/>
                <w:color w:val="auto"/>
              </w:rPr>
            </w:pPr>
            <w:r>
              <w:rPr>
                <w:rFonts w:ascii="Arial" w:cs="Arial" w:eastAsia="Arial" w:hAnsi="Arial"/>
                <w:sz w:val="13"/>
                <w:szCs w:val="13"/>
                <w:color w:val="auto"/>
                <w:w w:val="96"/>
              </w:rPr>
              <w:t>2018-2020</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3"/>
                <w:szCs w:val="13"/>
                <w:color w:val="auto"/>
              </w:rPr>
              <w:t xml:space="preserve">235,865 </w:t>
            </w:r>
            <w:r>
              <w:rPr>
                <w:rFonts w:ascii="Arial" w:cs="Arial" w:eastAsia="Arial" w:hAnsi="Arial"/>
                <w:sz w:val="8"/>
                <w:szCs w:val="8"/>
                <w:color w:val="auto"/>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96"/>
              </w:rPr>
              <w:t>$27,294,298</w:t>
            </w:r>
          </w:p>
        </w:tc>
        <w:tc>
          <w:tcPr>
            <w:tcW w:w="0" w:type="dxa"/>
            <w:vAlign w:val="bottom"/>
          </w:tcPr>
          <w:p>
            <w:pPr>
              <w:spacing w:after="0"/>
              <w:rPr>
                <w:sz w:val="1"/>
                <w:szCs w:val="1"/>
                <w:color w:val="auto"/>
              </w:rPr>
            </w:pPr>
          </w:p>
        </w:tc>
      </w:tr>
      <w:tr>
        <w:trPr>
          <w:trHeight w:val="170"/>
        </w:trPr>
        <w:tc>
          <w:tcPr>
            <w:tcW w:w="700" w:type="dxa"/>
            <w:vAlign w:val="bottom"/>
          </w:tcPr>
          <w:p>
            <w:pPr>
              <w:ind w:left="20"/>
              <w:spacing w:after="0"/>
              <w:rPr>
                <w:sz w:val="20"/>
                <w:szCs w:val="20"/>
                <w:color w:val="auto"/>
              </w:rPr>
            </w:pPr>
            <w:r>
              <w:rPr>
                <w:rFonts w:ascii="Arial" w:cs="Arial" w:eastAsia="Arial" w:hAnsi="Arial"/>
                <w:sz w:val="13"/>
                <w:szCs w:val="13"/>
                <w:color w:val="auto"/>
              </w:rPr>
              <w:t>Ricks</w:t>
            </w: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SVA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2017-</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3"/>
                <w:szCs w:val="13"/>
                <w:color w:val="auto"/>
              </w:rPr>
              <w:t xml:space="preserve">140,561 </w:t>
            </w:r>
            <w:r>
              <w:rPr>
                <w:rFonts w:ascii="Arial" w:cs="Arial" w:eastAsia="Arial" w:hAnsi="Arial"/>
                <w:sz w:val="8"/>
                <w:szCs w:val="8"/>
                <w:color w:val="auto"/>
              </w:rPr>
              <w:t>2</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96"/>
              </w:rPr>
              <w:t>$16,265,719</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5"/>
              </w:rPr>
              <w:t>2019 SVA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2018-2020</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3"/>
                <w:szCs w:val="13"/>
                <w:color w:val="auto"/>
              </w:rPr>
              <w:t xml:space="preserve">75,387 </w:t>
            </w:r>
            <w:r>
              <w:rPr>
                <w:rFonts w:ascii="Arial" w:cs="Arial" w:eastAsia="Arial" w:hAnsi="Arial"/>
                <w:sz w:val="8"/>
                <w:szCs w:val="8"/>
                <w:color w:val="auto"/>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98"/>
              </w:rPr>
              <w:t>$8,723,784</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1"/>
              </w:rPr>
              <w:t>PA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2017-2019</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69,350</w:t>
            </w:r>
          </w:p>
        </w:tc>
        <w:tc>
          <w:tcPr>
            <w:tcW w:w="160" w:type="dxa"/>
            <w:vAlign w:val="bottom"/>
          </w:tcPr>
          <w:p>
            <w:pPr>
              <w:spacing w:after="0"/>
              <w:rPr>
                <w:sz w:val="13"/>
                <w:szCs w:val="13"/>
                <w:color w:val="auto"/>
              </w:rPr>
            </w:pPr>
          </w:p>
        </w:tc>
        <w:tc>
          <w:tcPr>
            <w:tcW w:w="880" w:type="dxa"/>
            <w:vAlign w:val="bottom"/>
            <w:vMerge w:val="restart"/>
          </w:tcPr>
          <w:p>
            <w:pPr>
              <w:jc w:val="center"/>
              <w:ind w:left="137"/>
              <w:spacing w:after="0"/>
              <w:rPr>
                <w:sz w:val="20"/>
                <w:szCs w:val="20"/>
                <w:color w:val="auto"/>
              </w:rPr>
            </w:pPr>
            <w:r>
              <w:rPr>
                <w:rFonts w:ascii="Arial" w:cs="Arial" w:eastAsia="Arial" w:hAnsi="Arial"/>
                <w:sz w:val="13"/>
                <w:szCs w:val="13"/>
                <w:color w:val="auto"/>
                <w:w w:val="98"/>
              </w:rPr>
              <w:t>$8,025,182</w:t>
            </w: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1"/>
              </w:rPr>
              <w:t>PA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jc w:val="right"/>
              <w:ind w:right="33"/>
              <w:spacing w:after="0"/>
              <w:rPr>
                <w:sz w:val="20"/>
                <w:szCs w:val="20"/>
                <w:color w:val="auto"/>
              </w:rPr>
            </w:pPr>
            <w:r>
              <w:rPr>
                <w:rFonts w:ascii="Arial" w:cs="Arial" w:eastAsia="Arial" w:hAnsi="Arial"/>
                <w:sz w:val="9"/>
                <w:szCs w:val="9"/>
                <w:color w:val="auto"/>
              </w:rPr>
              <w:t>4</w:t>
            </w: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2016-2018</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12,222</w:t>
            </w:r>
          </w:p>
        </w:tc>
        <w:tc>
          <w:tcPr>
            <w:tcW w:w="160" w:type="dxa"/>
            <w:vAlign w:val="bottom"/>
          </w:tcPr>
          <w:p>
            <w:pPr>
              <w:spacing w:after="0"/>
              <w:rPr>
                <w:sz w:val="13"/>
                <w:szCs w:val="13"/>
                <w:color w:val="auto"/>
              </w:rPr>
            </w:pPr>
          </w:p>
        </w:tc>
        <w:tc>
          <w:tcPr>
            <w:tcW w:w="880" w:type="dxa"/>
            <w:vAlign w:val="bottom"/>
            <w:vMerge w:val="restart"/>
          </w:tcPr>
          <w:p>
            <w:pPr>
              <w:jc w:val="center"/>
              <w:ind w:left="137"/>
              <w:spacing w:after="0"/>
              <w:rPr>
                <w:sz w:val="20"/>
                <w:szCs w:val="20"/>
                <w:color w:val="auto"/>
              </w:rPr>
            </w:pPr>
            <w:r>
              <w:rPr>
                <w:rFonts w:ascii="Arial" w:cs="Arial" w:eastAsia="Arial" w:hAnsi="Arial"/>
                <w:sz w:val="13"/>
                <w:szCs w:val="13"/>
                <w:color w:val="auto"/>
                <w:w w:val="98"/>
              </w:rPr>
              <w:t>$1,414,330</w:t>
            </w: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00" w:type="dxa"/>
            <w:vAlign w:val="bottom"/>
            <w:tcBorders>
              <w:bottom w:val="single" w:sz="8" w:color="C8C9CB"/>
            </w:tcBorders>
          </w:tcPr>
          <w:p>
            <w:pPr>
              <w:spacing w:after="0"/>
              <w:rPr>
                <w:sz w:val="15"/>
                <w:szCs w:val="15"/>
                <w:color w:val="auto"/>
              </w:rPr>
            </w:pPr>
          </w:p>
        </w:tc>
        <w:tc>
          <w:tcPr>
            <w:tcW w:w="76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91"/>
              </w:rPr>
              <w:t>PA</w:t>
            </w:r>
          </w:p>
        </w:tc>
        <w:tc>
          <w:tcPr>
            <w:tcW w:w="940" w:type="dxa"/>
            <w:vAlign w:val="bottom"/>
            <w:tcBorders>
              <w:bottom w:val="single" w:sz="8" w:color="C8C9CB"/>
            </w:tcBorders>
          </w:tcPr>
          <w:p>
            <w:pPr>
              <w:spacing w:after="0"/>
              <w:rPr>
                <w:sz w:val="15"/>
                <w:szCs w:val="15"/>
                <w:color w:val="auto"/>
              </w:rPr>
            </w:pPr>
          </w:p>
        </w:tc>
        <w:tc>
          <w:tcPr>
            <w:tcW w:w="100" w:type="dxa"/>
            <w:vAlign w:val="bottom"/>
            <w:tcBorders>
              <w:bottom w:val="single" w:sz="8" w:color="C8C9CB"/>
            </w:tcBorders>
          </w:tcPr>
          <w:p>
            <w:pPr>
              <w:spacing w:after="0"/>
              <w:rPr>
                <w:sz w:val="15"/>
                <w:szCs w:val="15"/>
                <w:color w:val="auto"/>
              </w:rPr>
            </w:pPr>
          </w:p>
        </w:tc>
        <w:tc>
          <w:tcPr>
            <w:tcW w:w="40" w:type="dxa"/>
            <w:vAlign w:val="bottom"/>
            <w:tcBorders>
              <w:bottom w:val="single" w:sz="8" w:color="C8C9CB"/>
            </w:tcBorders>
          </w:tcPr>
          <w:p>
            <w:pPr>
              <w:spacing w:after="0"/>
              <w:rPr>
                <w:sz w:val="15"/>
                <w:szCs w:val="15"/>
                <w:color w:val="auto"/>
              </w:rPr>
            </w:pPr>
          </w:p>
        </w:tc>
        <w:tc>
          <w:tcPr>
            <w:tcW w:w="900" w:type="dxa"/>
            <w:vAlign w:val="bottom"/>
            <w:tcBorders>
              <w:bottom w:val="single" w:sz="8" w:color="C8C9CB"/>
            </w:tcBorders>
          </w:tcPr>
          <w:p>
            <w:pPr>
              <w:spacing w:after="0"/>
              <w:rPr>
                <w:sz w:val="15"/>
                <w:szCs w:val="15"/>
                <w:color w:val="auto"/>
              </w:rPr>
            </w:pPr>
          </w:p>
        </w:tc>
        <w:tc>
          <w:tcPr>
            <w:tcW w:w="60" w:type="dxa"/>
            <w:vAlign w:val="bottom"/>
            <w:tcBorders>
              <w:bottom w:val="single" w:sz="8" w:color="C8C9CB"/>
            </w:tcBorders>
          </w:tcPr>
          <w:p>
            <w:pPr>
              <w:spacing w:after="0"/>
              <w:rPr>
                <w:sz w:val="15"/>
                <w:szCs w:val="15"/>
                <w:color w:val="auto"/>
              </w:rPr>
            </w:pPr>
          </w:p>
        </w:tc>
        <w:tc>
          <w:tcPr>
            <w:tcW w:w="880" w:type="dxa"/>
            <w:vAlign w:val="bottom"/>
            <w:tcBorders>
              <w:bottom w:val="single" w:sz="8" w:color="C8C9CB"/>
            </w:tcBorders>
          </w:tcPr>
          <w:p>
            <w:pPr>
              <w:spacing w:after="0"/>
              <w:rPr>
                <w:sz w:val="15"/>
                <w:szCs w:val="15"/>
                <w:color w:val="auto"/>
              </w:rPr>
            </w:pPr>
          </w:p>
        </w:tc>
        <w:tc>
          <w:tcPr>
            <w:tcW w:w="900" w:type="dxa"/>
            <w:vAlign w:val="bottom"/>
            <w:tcBorders>
              <w:bottom w:val="single" w:sz="8" w:color="C8C9CB"/>
            </w:tcBorders>
            <w:vMerge w:val="continue"/>
          </w:tcPr>
          <w:p>
            <w:pPr>
              <w:spacing w:after="0"/>
              <w:rPr>
                <w:sz w:val="15"/>
                <w:szCs w:val="15"/>
                <w:color w:val="auto"/>
              </w:rPr>
            </w:pPr>
          </w:p>
        </w:tc>
        <w:tc>
          <w:tcPr>
            <w:tcW w:w="160" w:type="dxa"/>
            <w:vAlign w:val="bottom"/>
            <w:tcBorders>
              <w:bottom w:val="single" w:sz="8" w:color="C8C9CB"/>
            </w:tcBorders>
          </w:tcPr>
          <w:p>
            <w:pPr>
              <w:jc w:val="right"/>
              <w:ind w:right="33"/>
              <w:spacing w:after="0"/>
              <w:rPr>
                <w:sz w:val="20"/>
                <w:szCs w:val="20"/>
                <w:color w:val="auto"/>
              </w:rPr>
            </w:pPr>
            <w:r>
              <w:rPr>
                <w:rFonts w:ascii="Arial" w:cs="Arial" w:eastAsia="Arial" w:hAnsi="Arial"/>
                <w:sz w:val="9"/>
                <w:szCs w:val="9"/>
                <w:color w:val="auto"/>
              </w:rPr>
              <w:t>5</w:t>
            </w:r>
          </w:p>
        </w:tc>
        <w:tc>
          <w:tcPr>
            <w:tcW w:w="880" w:type="dxa"/>
            <w:vAlign w:val="bottom"/>
            <w:tcBorders>
              <w:bottom w:val="single" w:sz="8" w:color="C8C9CB"/>
            </w:tcBorders>
            <w:vMerge w:val="continue"/>
          </w:tcPr>
          <w:p>
            <w:pPr>
              <w:spacing w:after="0"/>
              <w:rPr>
                <w:sz w:val="15"/>
                <w:szCs w:val="15"/>
                <w:color w:val="auto"/>
              </w:rPr>
            </w:pPr>
          </w:p>
        </w:tc>
        <w:tc>
          <w:tcPr>
            <w:tcW w:w="200" w:type="dxa"/>
            <w:vAlign w:val="bottom"/>
            <w:tcBorders>
              <w:bottom w:val="single" w:sz="8" w:color="C8C9CB"/>
            </w:tcBorders>
          </w:tcPr>
          <w:p>
            <w:pPr>
              <w:spacing w:after="0"/>
              <w:rPr>
                <w:sz w:val="15"/>
                <w:szCs w:val="15"/>
                <w:color w:val="auto"/>
              </w:rPr>
            </w:pPr>
          </w:p>
        </w:tc>
        <w:tc>
          <w:tcPr>
            <w:tcW w:w="1420" w:type="dxa"/>
            <w:vAlign w:val="bottom"/>
            <w:tcBorders>
              <w:bottom w:val="single" w:sz="8" w:color="C8C9CB"/>
            </w:tcBorders>
          </w:tcPr>
          <w:p>
            <w:pPr>
              <w:spacing w:after="0"/>
              <w:rPr>
                <w:sz w:val="15"/>
                <w:szCs w:val="15"/>
                <w:color w:val="auto"/>
              </w:rPr>
            </w:pPr>
          </w:p>
        </w:tc>
        <w:tc>
          <w:tcPr>
            <w:tcW w:w="1080" w:type="dxa"/>
            <w:vAlign w:val="bottom"/>
            <w:tcBorders>
              <w:bottom w:val="single" w:sz="8" w:color="C8C9CB"/>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00" w:type="dxa"/>
            <w:vAlign w:val="bottom"/>
            <w:shd w:val="clear" w:color="auto" w:fill="F4F6F6"/>
          </w:tcPr>
          <w:p>
            <w:pPr>
              <w:ind w:left="20"/>
              <w:spacing w:after="0" w:line="140" w:lineRule="exact"/>
              <w:rPr>
                <w:sz w:val="20"/>
                <w:szCs w:val="20"/>
                <w:color w:val="auto"/>
              </w:rPr>
            </w:pPr>
            <w:r>
              <w:rPr>
                <w:rFonts w:ascii="Arial" w:cs="Arial" w:eastAsia="Arial" w:hAnsi="Arial"/>
                <w:sz w:val="13"/>
                <w:szCs w:val="13"/>
                <w:color w:val="auto"/>
              </w:rPr>
              <w:t>Mr.</w:t>
            </w:r>
          </w:p>
        </w:tc>
        <w:tc>
          <w:tcPr>
            <w:tcW w:w="760" w:type="dxa"/>
            <w:vAlign w:val="bottom"/>
            <w:shd w:val="clear" w:color="auto" w:fill="F4F6F6"/>
          </w:tcPr>
          <w:p>
            <w:pPr>
              <w:jc w:val="center"/>
              <w:spacing w:after="0" w:line="140" w:lineRule="exact"/>
              <w:rPr>
                <w:sz w:val="20"/>
                <w:szCs w:val="20"/>
                <w:color w:val="auto"/>
              </w:rPr>
            </w:pPr>
            <w:r>
              <w:rPr>
                <w:rFonts w:ascii="Arial" w:cs="Arial" w:eastAsia="Arial" w:hAnsi="Arial"/>
                <w:sz w:val="13"/>
                <w:szCs w:val="13"/>
                <w:color w:val="auto"/>
                <w:w w:val="96"/>
              </w:rPr>
              <w:t>2018-2020</w:t>
            </w:r>
          </w:p>
        </w:tc>
        <w:tc>
          <w:tcPr>
            <w:tcW w:w="940" w:type="dxa"/>
            <w:vAlign w:val="bottom"/>
            <w:shd w:val="clear" w:color="auto" w:fill="F4F6F6"/>
          </w:tcPr>
          <w:p>
            <w:pPr>
              <w:spacing w:after="0"/>
              <w:rPr>
                <w:sz w:val="12"/>
                <w:szCs w:val="12"/>
                <w:color w:val="auto"/>
              </w:rPr>
            </w:pPr>
          </w:p>
        </w:tc>
        <w:tc>
          <w:tcPr>
            <w:tcW w:w="100" w:type="dxa"/>
            <w:vAlign w:val="bottom"/>
            <w:shd w:val="clear" w:color="auto" w:fill="F4F6F6"/>
          </w:tcPr>
          <w:p>
            <w:pPr>
              <w:spacing w:after="0"/>
              <w:rPr>
                <w:sz w:val="12"/>
                <w:szCs w:val="12"/>
                <w:color w:val="auto"/>
              </w:rPr>
            </w:pPr>
          </w:p>
        </w:tc>
        <w:tc>
          <w:tcPr>
            <w:tcW w:w="40" w:type="dxa"/>
            <w:vAlign w:val="bottom"/>
            <w:shd w:val="clear" w:color="auto" w:fill="F4F6F6"/>
          </w:tcPr>
          <w:p>
            <w:pPr>
              <w:spacing w:after="0"/>
              <w:rPr>
                <w:sz w:val="12"/>
                <w:szCs w:val="12"/>
                <w:color w:val="auto"/>
              </w:rPr>
            </w:pPr>
          </w:p>
        </w:tc>
        <w:tc>
          <w:tcPr>
            <w:tcW w:w="900" w:type="dxa"/>
            <w:vAlign w:val="bottom"/>
            <w:shd w:val="clear" w:color="auto" w:fill="F4F6F6"/>
          </w:tcPr>
          <w:p>
            <w:pPr>
              <w:spacing w:after="0"/>
              <w:rPr>
                <w:sz w:val="12"/>
                <w:szCs w:val="12"/>
                <w:color w:val="auto"/>
              </w:rPr>
            </w:pPr>
          </w:p>
        </w:tc>
        <w:tc>
          <w:tcPr>
            <w:tcW w:w="60" w:type="dxa"/>
            <w:vAlign w:val="bottom"/>
            <w:shd w:val="clear" w:color="auto" w:fill="F4F6F6"/>
          </w:tcPr>
          <w:p>
            <w:pPr>
              <w:spacing w:after="0"/>
              <w:rPr>
                <w:sz w:val="12"/>
                <w:szCs w:val="12"/>
                <w:color w:val="auto"/>
              </w:rPr>
            </w:pPr>
          </w:p>
        </w:tc>
        <w:tc>
          <w:tcPr>
            <w:tcW w:w="880" w:type="dxa"/>
            <w:vAlign w:val="bottom"/>
            <w:shd w:val="clear" w:color="auto" w:fill="F4F6F6"/>
          </w:tcPr>
          <w:p>
            <w:pPr>
              <w:spacing w:after="0"/>
              <w:rPr>
                <w:sz w:val="12"/>
                <w:szCs w:val="12"/>
                <w:color w:val="auto"/>
              </w:rPr>
            </w:pPr>
          </w:p>
        </w:tc>
        <w:tc>
          <w:tcPr>
            <w:tcW w:w="900" w:type="dxa"/>
            <w:vAlign w:val="bottom"/>
            <w:shd w:val="clear" w:color="auto" w:fill="F4F6F6"/>
          </w:tcPr>
          <w:p>
            <w:pPr>
              <w:spacing w:after="0"/>
              <w:rPr>
                <w:sz w:val="12"/>
                <w:szCs w:val="12"/>
                <w:color w:val="auto"/>
              </w:rPr>
            </w:pPr>
          </w:p>
        </w:tc>
        <w:tc>
          <w:tcPr>
            <w:tcW w:w="160" w:type="dxa"/>
            <w:vAlign w:val="bottom"/>
            <w:shd w:val="clear" w:color="auto" w:fill="F4F6F6"/>
          </w:tcPr>
          <w:p>
            <w:pPr>
              <w:spacing w:after="0"/>
              <w:rPr>
                <w:sz w:val="12"/>
                <w:szCs w:val="12"/>
                <w:color w:val="auto"/>
              </w:rPr>
            </w:pPr>
          </w:p>
        </w:tc>
        <w:tc>
          <w:tcPr>
            <w:tcW w:w="880" w:type="dxa"/>
            <w:vAlign w:val="bottom"/>
            <w:shd w:val="clear" w:color="auto" w:fill="F4F6F6"/>
          </w:tcPr>
          <w:p>
            <w:pPr>
              <w:spacing w:after="0"/>
              <w:rPr>
                <w:sz w:val="12"/>
                <w:szCs w:val="12"/>
                <w:color w:val="auto"/>
              </w:rPr>
            </w:pPr>
          </w:p>
        </w:tc>
        <w:tc>
          <w:tcPr>
            <w:tcW w:w="1620" w:type="dxa"/>
            <w:vAlign w:val="bottom"/>
            <w:gridSpan w:val="2"/>
            <w:vMerge w:val="restart"/>
            <w:shd w:val="clear" w:color="auto" w:fill="F4F6F6"/>
          </w:tcPr>
          <w:p>
            <w:pPr>
              <w:jc w:val="right"/>
              <w:spacing w:after="0"/>
              <w:rPr>
                <w:sz w:val="20"/>
                <w:szCs w:val="20"/>
                <w:color w:val="auto"/>
              </w:rPr>
            </w:pPr>
            <w:r>
              <w:rPr>
                <w:rFonts w:ascii="Arial" w:cs="Arial" w:eastAsia="Arial" w:hAnsi="Arial"/>
                <w:sz w:val="13"/>
                <w:szCs w:val="13"/>
                <w:color w:val="auto"/>
              </w:rPr>
              <w:t xml:space="preserve">60,277 </w:t>
            </w:r>
            <w:r>
              <w:rPr>
                <w:rFonts w:ascii="Arial" w:cs="Arial" w:eastAsia="Arial" w:hAnsi="Arial"/>
                <w:sz w:val="8"/>
                <w:szCs w:val="8"/>
                <w:color w:val="auto"/>
              </w:rPr>
              <w:t>1</w:t>
            </w:r>
          </w:p>
        </w:tc>
        <w:tc>
          <w:tcPr>
            <w:tcW w:w="10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$6,975,254</w:t>
            </w:r>
          </w:p>
        </w:tc>
        <w:tc>
          <w:tcPr>
            <w:tcW w:w="0" w:type="dxa"/>
            <w:vAlign w:val="bottom"/>
          </w:tcPr>
          <w:p>
            <w:pPr>
              <w:spacing w:after="0"/>
              <w:rPr>
                <w:sz w:val="1"/>
                <w:szCs w:val="1"/>
                <w:color w:val="auto"/>
              </w:rPr>
            </w:pPr>
          </w:p>
        </w:tc>
      </w:tr>
      <w:tr>
        <w:trPr>
          <w:trHeight w:val="170"/>
        </w:trPr>
        <w:tc>
          <w:tcPr>
            <w:tcW w:w="700" w:type="dxa"/>
            <w:vAlign w:val="bottom"/>
            <w:shd w:val="clear" w:color="auto" w:fill="F4F6F6"/>
          </w:tcPr>
          <w:p>
            <w:pPr>
              <w:ind w:left="20"/>
              <w:spacing w:after="0"/>
              <w:rPr>
                <w:sz w:val="20"/>
                <w:szCs w:val="20"/>
                <w:color w:val="auto"/>
              </w:rPr>
            </w:pPr>
            <w:r>
              <w:rPr>
                <w:rFonts w:ascii="Arial" w:cs="Arial" w:eastAsia="Arial" w:hAnsi="Arial"/>
                <w:sz w:val="13"/>
                <w:szCs w:val="13"/>
                <w:color w:val="auto"/>
              </w:rPr>
              <w:t>Smiley</w:t>
            </w: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2"/>
              </w:rPr>
              <w:t>SVA</w:t>
            </w:r>
          </w:p>
        </w:tc>
        <w:tc>
          <w:tcPr>
            <w:tcW w:w="940" w:type="dxa"/>
            <w:vAlign w:val="bottom"/>
            <w:shd w:val="clear" w:color="auto" w:fill="F4F6F6"/>
          </w:tcPr>
          <w:p>
            <w:pPr>
              <w:spacing w:after="0"/>
              <w:rPr>
                <w:sz w:val="14"/>
                <w:szCs w:val="14"/>
                <w:color w:val="auto"/>
              </w:rPr>
            </w:pPr>
          </w:p>
        </w:tc>
        <w:tc>
          <w:tcPr>
            <w:tcW w:w="100" w:type="dxa"/>
            <w:vAlign w:val="bottom"/>
            <w:shd w:val="clear" w:color="auto" w:fill="F4F6F6"/>
          </w:tcPr>
          <w:p>
            <w:pPr>
              <w:spacing w:after="0"/>
              <w:rPr>
                <w:sz w:val="14"/>
                <w:szCs w:val="14"/>
                <w:color w:val="auto"/>
              </w:rPr>
            </w:pPr>
          </w:p>
        </w:tc>
        <w:tc>
          <w:tcPr>
            <w:tcW w:w="4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1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1620" w:type="dxa"/>
            <w:vAlign w:val="bottom"/>
            <w:gridSpan w:val="2"/>
            <w:vMerge w:val="continue"/>
            <w:shd w:val="clear" w:color="auto" w:fill="F4F6F6"/>
          </w:tcPr>
          <w:p>
            <w:pPr>
              <w:spacing w:after="0"/>
              <w:rPr>
                <w:sz w:val="14"/>
                <w:szCs w:val="14"/>
                <w:color w:val="auto"/>
              </w:rPr>
            </w:pPr>
          </w:p>
        </w:tc>
        <w:tc>
          <w:tcPr>
            <w:tcW w:w="1080" w:type="dxa"/>
            <w:vAlign w:val="bottom"/>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0" w:type="dxa"/>
            <w:vAlign w:val="bottom"/>
            <w:shd w:val="clear" w:color="auto" w:fill="F4F6F6"/>
          </w:tcPr>
          <w:p>
            <w:pPr>
              <w:spacing w:after="0"/>
              <w:rPr>
                <w:sz w:val="13"/>
                <w:szCs w:val="13"/>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2017-</w:t>
            </w:r>
          </w:p>
        </w:tc>
        <w:tc>
          <w:tcPr>
            <w:tcW w:w="940" w:type="dxa"/>
            <w:vAlign w:val="bottom"/>
            <w:shd w:val="clear" w:color="auto" w:fill="F4F6F6"/>
          </w:tcPr>
          <w:p>
            <w:pPr>
              <w:spacing w:after="0"/>
              <w:rPr>
                <w:sz w:val="13"/>
                <w:szCs w:val="13"/>
                <w:color w:val="auto"/>
              </w:rPr>
            </w:pPr>
          </w:p>
        </w:tc>
        <w:tc>
          <w:tcPr>
            <w:tcW w:w="100" w:type="dxa"/>
            <w:vAlign w:val="bottom"/>
            <w:shd w:val="clear" w:color="auto" w:fill="F4F6F6"/>
          </w:tcPr>
          <w:p>
            <w:pPr>
              <w:spacing w:after="0"/>
              <w:rPr>
                <w:sz w:val="13"/>
                <w:szCs w:val="13"/>
                <w:color w:val="auto"/>
              </w:rPr>
            </w:pPr>
          </w:p>
        </w:tc>
        <w:tc>
          <w:tcPr>
            <w:tcW w:w="4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1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1620" w:type="dxa"/>
            <w:vAlign w:val="bottom"/>
            <w:gridSpan w:val="2"/>
            <w:vMerge w:val="restart"/>
            <w:shd w:val="clear" w:color="auto" w:fill="F4F6F6"/>
          </w:tcPr>
          <w:p>
            <w:pPr>
              <w:jc w:val="right"/>
              <w:spacing w:after="0"/>
              <w:rPr>
                <w:sz w:val="20"/>
                <w:szCs w:val="20"/>
                <w:color w:val="auto"/>
              </w:rPr>
            </w:pPr>
            <w:r>
              <w:rPr>
                <w:rFonts w:ascii="Arial" w:cs="Arial" w:eastAsia="Arial" w:hAnsi="Arial"/>
                <w:sz w:val="13"/>
                <w:szCs w:val="13"/>
                <w:color w:val="auto"/>
              </w:rPr>
              <w:t xml:space="preserve">7,887 </w:t>
            </w:r>
            <w:r>
              <w:rPr>
                <w:rFonts w:ascii="Arial" w:cs="Arial" w:eastAsia="Arial" w:hAnsi="Arial"/>
                <w:sz w:val="8"/>
                <w:szCs w:val="8"/>
                <w:color w:val="auto"/>
              </w:rPr>
              <w:t>2</w:t>
            </w:r>
          </w:p>
        </w:tc>
        <w:tc>
          <w:tcPr>
            <w:tcW w:w="1080" w:type="dxa"/>
            <w:vAlign w:val="bottom"/>
            <w:vMerge w:val="restart"/>
            <w:shd w:val="clear" w:color="auto" w:fill="F4F6F6"/>
          </w:tcPr>
          <w:p>
            <w:pPr>
              <w:jc w:val="center"/>
              <w:spacing w:after="0"/>
              <w:rPr>
                <w:sz w:val="20"/>
                <w:szCs w:val="20"/>
                <w:color w:val="auto"/>
              </w:rPr>
            </w:pPr>
            <w:r>
              <w:rPr>
                <w:rFonts w:ascii="Arial" w:cs="Arial" w:eastAsia="Arial" w:hAnsi="Arial"/>
                <w:sz w:val="14"/>
                <w:szCs w:val="14"/>
                <w:color w:val="auto"/>
                <w:w w:val="95"/>
              </w:rPr>
              <w:t>$912,684</w:t>
            </w:r>
          </w:p>
        </w:tc>
        <w:tc>
          <w:tcPr>
            <w:tcW w:w="0" w:type="dxa"/>
            <w:vAlign w:val="bottom"/>
          </w:tcPr>
          <w:p>
            <w:pPr>
              <w:spacing w:after="0"/>
              <w:rPr>
                <w:sz w:val="1"/>
                <w:szCs w:val="1"/>
                <w:color w:val="auto"/>
              </w:rPr>
            </w:pPr>
          </w:p>
        </w:tc>
      </w:tr>
      <w:tr>
        <w:trPr>
          <w:trHeight w:val="172"/>
        </w:trPr>
        <w:tc>
          <w:tcPr>
            <w:tcW w:w="700" w:type="dxa"/>
            <w:vAlign w:val="bottom"/>
            <w:shd w:val="clear" w:color="auto" w:fill="F4F6F6"/>
          </w:tcPr>
          <w:p>
            <w:pPr>
              <w:spacing w:after="0"/>
              <w:rPr>
                <w:sz w:val="14"/>
                <w:szCs w:val="14"/>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5"/>
              </w:rPr>
              <w:t>2019 SVA</w:t>
            </w:r>
          </w:p>
        </w:tc>
        <w:tc>
          <w:tcPr>
            <w:tcW w:w="940" w:type="dxa"/>
            <w:vAlign w:val="bottom"/>
            <w:shd w:val="clear" w:color="auto" w:fill="F4F6F6"/>
          </w:tcPr>
          <w:p>
            <w:pPr>
              <w:spacing w:after="0"/>
              <w:rPr>
                <w:sz w:val="14"/>
                <w:szCs w:val="14"/>
                <w:color w:val="auto"/>
              </w:rPr>
            </w:pPr>
          </w:p>
        </w:tc>
        <w:tc>
          <w:tcPr>
            <w:tcW w:w="100" w:type="dxa"/>
            <w:vAlign w:val="bottom"/>
            <w:shd w:val="clear" w:color="auto" w:fill="F4F6F6"/>
          </w:tcPr>
          <w:p>
            <w:pPr>
              <w:spacing w:after="0"/>
              <w:rPr>
                <w:sz w:val="14"/>
                <w:szCs w:val="14"/>
                <w:color w:val="auto"/>
              </w:rPr>
            </w:pPr>
          </w:p>
        </w:tc>
        <w:tc>
          <w:tcPr>
            <w:tcW w:w="4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1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1620" w:type="dxa"/>
            <w:vAlign w:val="bottom"/>
            <w:gridSpan w:val="2"/>
            <w:vMerge w:val="continue"/>
            <w:shd w:val="clear" w:color="auto" w:fill="F4F6F6"/>
          </w:tcPr>
          <w:p>
            <w:pPr>
              <w:spacing w:after="0"/>
              <w:rPr>
                <w:sz w:val="14"/>
                <w:szCs w:val="14"/>
                <w:color w:val="auto"/>
              </w:rPr>
            </w:pPr>
          </w:p>
        </w:tc>
        <w:tc>
          <w:tcPr>
            <w:tcW w:w="1080" w:type="dxa"/>
            <w:vAlign w:val="bottom"/>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00" w:type="dxa"/>
            <w:vAlign w:val="bottom"/>
            <w:shd w:val="clear" w:color="auto" w:fill="F4F6F6"/>
          </w:tcPr>
          <w:p>
            <w:pPr>
              <w:spacing w:after="0"/>
              <w:rPr>
                <w:sz w:val="13"/>
                <w:szCs w:val="13"/>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2018-2020</w:t>
            </w:r>
          </w:p>
        </w:tc>
        <w:tc>
          <w:tcPr>
            <w:tcW w:w="940" w:type="dxa"/>
            <w:vAlign w:val="bottom"/>
            <w:shd w:val="clear" w:color="auto" w:fill="F4F6F6"/>
          </w:tcPr>
          <w:p>
            <w:pPr>
              <w:spacing w:after="0"/>
              <w:rPr>
                <w:sz w:val="13"/>
                <w:szCs w:val="13"/>
                <w:color w:val="auto"/>
              </w:rPr>
            </w:pPr>
          </w:p>
        </w:tc>
        <w:tc>
          <w:tcPr>
            <w:tcW w:w="100" w:type="dxa"/>
            <w:vAlign w:val="bottom"/>
            <w:shd w:val="clear" w:color="auto" w:fill="F4F6F6"/>
          </w:tcPr>
          <w:p>
            <w:pPr>
              <w:spacing w:after="0"/>
              <w:rPr>
                <w:sz w:val="13"/>
                <w:szCs w:val="13"/>
                <w:color w:val="auto"/>
              </w:rPr>
            </w:pPr>
          </w:p>
        </w:tc>
        <w:tc>
          <w:tcPr>
            <w:tcW w:w="4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1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1620" w:type="dxa"/>
            <w:vAlign w:val="bottom"/>
            <w:gridSpan w:val="2"/>
            <w:vMerge w:val="restart"/>
            <w:shd w:val="clear" w:color="auto" w:fill="F4F6F6"/>
          </w:tcPr>
          <w:p>
            <w:pPr>
              <w:jc w:val="right"/>
              <w:spacing w:after="0"/>
              <w:rPr>
                <w:sz w:val="20"/>
                <w:szCs w:val="20"/>
                <w:color w:val="auto"/>
              </w:rPr>
            </w:pPr>
            <w:r>
              <w:rPr>
                <w:rFonts w:ascii="Arial" w:cs="Arial" w:eastAsia="Arial" w:hAnsi="Arial"/>
                <w:sz w:val="13"/>
                <w:szCs w:val="13"/>
                <w:color w:val="auto"/>
              </w:rPr>
              <w:t xml:space="preserve">19,266 </w:t>
            </w:r>
            <w:r>
              <w:rPr>
                <w:rFonts w:ascii="Arial" w:cs="Arial" w:eastAsia="Arial" w:hAnsi="Arial"/>
                <w:sz w:val="8"/>
                <w:szCs w:val="8"/>
                <w:color w:val="auto"/>
              </w:rPr>
              <w:t>3</w:t>
            </w:r>
          </w:p>
        </w:tc>
        <w:tc>
          <w:tcPr>
            <w:tcW w:w="1080" w:type="dxa"/>
            <w:vAlign w:val="bottom"/>
            <w:vMerge w:val="restart"/>
            <w:shd w:val="clear" w:color="auto" w:fill="F4F6F6"/>
          </w:tcPr>
          <w:p>
            <w:pPr>
              <w:jc w:val="center"/>
              <w:spacing w:after="0"/>
              <w:rPr>
                <w:sz w:val="20"/>
                <w:szCs w:val="20"/>
                <w:color w:val="auto"/>
              </w:rPr>
            </w:pPr>
            <w:r>
              <w:rPr>
                <w:rFonts w:ascii="Arial" w:cs="Arial" w:eastAsia="Arial" w:hAnsi="Arial"/>
                <w:sz w:val="14"/>
                <w:szCs w:val="14"/>
                <w:color w:val="auto"/>
                <w:w w:val="96"/>
              </w:rPr>
              <w:t>$2,229,462</w:t>
            </w:r>
          </w:p>
        </w:tc>
        <w:tc>
          <w:tcPr>
            <w:tcW w:w="0" w:type="dxa"/>
            <w:vAlign w:val="bottom"/>
          </w:tcPr>
          <w:p>
            <w:pPr>
              <w:spacing w:after="0"/>
              <w:rPr>
                <w:sz w:val="1"/>
                <w:szCs w:val="1"/>
                <w:color w:val="auto"/>
              </w:rPr>
            </w:pPr>
          </w:p>
        </w:tc>
      </w:tr>
      <w:tr>
        <w:trPr>
          <w:trHeight w:val="172"/>
        </w:trPr>
        <w:tc>
          <w:tcPr>
            <w:tcW w:w="700" w:type="dxa"/>
            <w:vAlign w:val="bottom"/>
            <w:shd w:val="clear" w:color="auto" w:fill="F4F6F6"/>
          </w:tcPr>
          <w:p>
            <w:pPr>
              <w:spacing w:after="0"/>
              <w:rPr>
                <w:sz w:val="14"/>
                <w:szCs w:val="14"/>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1"/>
              </w:rPr>
              <w:t>PA</w:t>
            </w:r>
          </w:p>
        </w:tc>
        <w:tc>
          <w:tcPr>
            <w:tcW w:w="940" w:type="dxa"/>
            <w:vAlign w:val="bottom"/>
            <w:shd w:val="clear" w:color="auto" w:fill="F4F6F6"/>
          </w:tcPr>
          <w:p>
            <w:pPr>
              <w:spacing w:after="0"/>
              <w:rPr>
                <w:sz w:val="14"/>
                <w:szCs w:val="14"/>
                <w:color w:val="auto"/>
              </w:rPr>
            </w:pPr>
          </w:p>
        </w:tc>
        <w:tc>
          <w:tcPr>
            <w:tcW w:w="100" w:type="dxa"/>
            <w:vAlign w:val="bottom"/>
            <w:shd w:val="clear" w:color="auto" w:fill="F4F6F6"/>
          </w:tcPr>
          <w:p>
            <w:pPr>
              <w:spacing w:after="0"/>
              <w:rPr>
                <w:sz w:val="14"/>
                <w:szCs w:val="14"/>
                <w:color w:val="auto"/>
              </w:rPr>
            </w:pPr>
          </w:p>
        </w:tc>
        <w:tc>
          <w:tcPr>
            <w:tcW w:w="4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1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1620" w:type="dxa"/>
            <w:vAlign w:val="bottom"/>
            <w:gridSpan w:val="2"/>
            <w:vMerge w:val="continue"/>
            <w:shd w:val="clear" w:color="auto" w:fill="F4F6F6"/>
          </w:tcPr>
          <w:p>
            <w:pPr>
              <w:spacing w:after="0"/>
              <w:rPr>
                <w:sz w:val="14"/>
                <w:szCs w:val="14"/>
                <w:color w:val="auto"/>
              </w:rPr>
            </w:pPr>
          </w:p>
        </w:tc>
        <w:tc>
          <w:tcPr>
            <w:tcW w:w="1080" w:type="dxa"/>
            <w:vAlign w:val="bottom"/>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00" w:type="dxa"/>
            <w:vAlign w:val="bottom"/>
            <w:shd w:val="clear" w:color="auto" w:fill="F4F6F6"/>
          </w:tcPr>
          <w:p>
            <w:pPr>
              <w:spacing w:after="0"/>
              <w:rPr>
                <w:sz w:val="13"/>
                <w:szCs w:val="13"/>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2010 RSU</w:t>
            </w:r>
          </w:p>
        </w:tc>
        <w:tc>
          <w:tcPr>
            <w:tcW w:w="940" w:type="dxa"/>
            <w:vAlign w:val="bottom"/>
            <w:shd w:val="clear" w:color="auto" w:fill="F4F6F6"/>
          </w:tcPr>
          <w:p>
            <w:pPr>
              <w:spacing w:after="0"/>
              <w:rPr>
                <w:sz w:val="13"/>
                <w:szCs w:val="13"/>
                <w:color w:val="auto"/>
              </w:rPr>
            </w:pPr>
          </w:p>
        </w:tc>
        <w:tc>
          <w:tcPr>
            <w:tcW w:w="100" w:type="dxa"/>
            <w:vAlign w:val="bottom"/>
            <w:shd w:val="clear" w:color="auto" w:fill="F4F6F6"/>
          </w:tcPr>
          <w:p>
            <w:pPr>
              <w:spacing w:after="0"/>
              <w:rPr>
                <w:sz w:val="13"/>
                <w:szCs w:val="13"/>
                <w:color w:val="auto"/>
              </w:rPr>
            </w:pPr>
          </w:p>
        </w:tc>
        <w:tc>
          <w:tcPr>
            <w:tcW w:w="4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900" w:type="dxa"/>
            <w:vAlign w:val="bottom"/>
            <w:vMerge w:val="restart"/>
            <w:shd w:val="clear" w:color="auto" w:fill="F4F6F6"/>
          </w:tcPr>
          <w:p>
            <w:pPr>
              <w:jc w:val="right"/>
              <w:spacing w:after="0"/>
              <w:rPr>
                <w:sz w:val="20"/>
                <w:szCs w:val="20"/>
                <w:color w:val="auto"/>
              </w:rPr>
            </w:pPr>
            <w:r>
              <w:rPr>
                <w:rFonts w:ascii="Arial" w:cs="Arial" w:eastAsia="Arial" w:hAnsi="Arial"/>
                <w:sz w:val="13"/>
                <w:szCs w:val="13"/>
                <w:color w:val="auto"/>
              </w:rPr>
              <w:t>7,947</w:t>
            </w:r>
          </w:p>
        </w:tc>
        <w:tc>
          <w:tcPr>
            <w:tcW w:w="160" w:type="dxa"/>
            <w:vAlign w:val="bottom"/>
            <w:shd w:val="clear" w:color="auto" w:fill="F4F6F6"/>
          </w:tcPr>
          <w:p>
            <w:pPr>
              <w:spacing w:after="0"/>
              <w:rPr>
                <w:sz w:val="13"/>
                <w:szCs w:val="13"/>
                <w:color w:val="auto"/>
              </w:rPr>
            </w:pPr>
          </w:p>
        </w:tc>
        <w:tc>
          <w:tcPr>
            <w:tcW w:w="880" w:type="dxa"/>
            <w:vAlign w:val="bottom"/>
            <w:vMerge w:val="restart"/>
            <w:shd w:val="clear" w:color="auto" w:fill="F4F6F6"/>
          </w:tcPr>
          <w:p>
            <w:pPr>
              <w:jc w:val="center"/>
              <w:ind w:left="137"/>
              <w:spacing w:after="0"/>
              <w:rPr>
                <w:sz w:val="20"/>
                <w:szCs w:val="20"/>
                <w:color w:val="auto"/>
              </w:rPr>
            </w:pPr>
            <w:r>
              <w:rPr>
                <w:rFonts w:ascii="Arial" w:cs="Arial" w:eastAsia="Arial" w:hAnsi="Arial"/>
                <w:sz w:val="13"/>
                <w:szCs w:val="13"/>
                <w:color w:val="auto"/>
                <w:w w:val="95"/>
              </w:rPr>
              <w:t>$919,627</w:t>
            </w:r>
          </w:p>
        </w:tc>
        <w:tc>
          <w:tcPr>
            <w:tcW w:w="200" w:type="dxa"/>
            <w:vAlign w:val="bottom"/>
            <w:shd w:val="clear" w:color="auto" w:fill="F4F6F6"/>
          </w:tcPr>
          <w:p>
            <w:pPr>
              <w:spacing w:after="0"/>
              <w:rPr>
                <w:sz w:val="13"/>
                <w:szCs w:val="13"/>
                <w:color w:val="auto"/>
              </w:rPr>
            </w:pPr>
          </w:p>
        </w:tc>
        <w:tc>
          <w:tcPr>
            <w:tcW w:w="1420" w:type="dxa"/>
            <w:vAlign w:val="bottom"/>
            <w:shd w:val="clear" w:color="auto" w:fill="F4F6F6"/>
          </w:tcPr>
          <w:p>
            <w:pPr>
              <w:spacing w:after="0"/>
              <w:rPr>
                <w:sz w:val="13"/>
                <w:szCs w:val="13"/>
                <w:color w:val="auto"/>
              </w:rPr>
            </w:pPr>
          </w:p>
        </w:tc>
        <w:tc>
          <w:tcPr>
            <w:tcW w:w="108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00" w:type="dxa"/>
            <w:vAlign w:val="bottom"/>
            <w:tcBorders>
              <w:bottom w:val="single" w:sz="8" w:color="C8C9CB"/>
            </w:tcBorders>
            <w:shd w:val="clear" w:color="auto" w:fill="F4F6F6"/>
          </w:tcPr>
          <w:p>
            <w:pPr>
              <w:spacing w:after="0"/>
              <w:rPr>
                <w:sz w:val="15"/>
                <w:szCs w:val="15"/>
                <w:color w:val="auto"/>
              </w:rPr>
            </w:pPr>
          </w:p>
        </w:tc>
        <w:tc>
          <w:tcPr>
            <w:tcW w:w="76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97"/>
              </w:rPr>
              <w:t>Award</w:t>
            </w:r>
          </w:p>
        </w:tc>
        <w:tc>
          <w:tcPr>
            <w:tcW w:w="940" w:type="dxa"/>
            <w:vAlign w:val="bottom"/>
            <w:tcBorders>
              <w:bottom w:val="single" w:sz="8" w:color="C8C9CB"/>
            </w:tcBorders>
            <w:shd w:val="clear" w:color="auto" w:fill="F4F6F6"/>
          </w:tcPr>
          <w:p>
            <w:pPr>
              <w:spacing w:after="0"/>
              <w:rPr>
                <w:sz w:val="15"/>
                <w:szCs w:val="15"/>
                <w:color w:val="auto"/>
              </w:rPr>
            </w:pPr>
          </w:p>
        </w:tc>
        <w:tc>
          <w:tcPr>
            <w:tcW w:w="100" w:type="dxa"/>
            <w:vAlign w:val="bottom"/>
            <w:tcBorders>
              <w:bottom w:val="single" w:sz="8" w:color="C8C9CB"/>
            </w:tcBorders>
            <w:shd w:val="clear" w:color="auto" w:fill="F4F6F6"/>
          </w:tcPr>
          <w:p>
            <w:pPr>
              <w:spacing w:after="0"/>
              <w:rPr>
                <w:sz w:val="15"/>
                <w:szCs w:val="15"/>
                <w:color w:val="auto"/>
              </w:rPr>
            </w:pPr>
          </w:p>
        </w:tc>
        <w:tc>
          <w:tcPr>
            <w:tcW w:w="40" w:type="dxa"/>
            <w:vAlign w:val="bottom"/>
            <w:tcBorders>
              <w:bottom w:val="single" w:sz="8" w:color="C8C9CB"/>
            </w:tcBorders>
            <w:shd w:val="clear" w:color="auto" w:fill="F4F6F6"/>
          </w:tcPr>
          <w:p>
            <w:pPr>
              <w:spacing w:after="0"/>
              <w:rPr>
                <w:sz w:val="15"/>
                <w:szCs w:val="15"/>
                <w:color w:val="auto"/>
              </w:rPr>
            </w:pPr>
          </w:p>
        </w:tc>
        <w:tc>
          <w:tcPr>
            <w:tcW w:w="900" w:type="dxa"/>
            <w:vAlign w:val="bottom"/>
            <w:tcBorders>
              <w:bottom w:val="single" w:sz="8" w:color="C8C9CB"/>
            </w:tcBorders>
            <w:shd w:val="clear" w:color="auto" w:fill="F4F6F6"/>
          </w:tcPr>
          <w:p>
            <w:pPr>
              <w:spacing w:after="0"/>
              <w:rPr>
                <w:sz w:val="15"/>
                <w:szCs w:val="15"/>
                <w:color w:val="auto"/>
              </w:rPr>
            </w:pPr>
          </w:p>
        </w:tc>
        <w:tc>
          <w:tcPr>
            <w:tcW w:w="60" w:type="dxa"/>
            <w:vAlign w:val="bottom"/>
            <w:tcBorders>
              <w:bottom w:val="single" w:sz="8" w:color="C8C9CB"/>
            </w:tcBorders>
            <w:shd w:val="clear" w:color="auto" w:fill="F4F6F6"/>
          </w:tcPr>
          <w:p>
            <w:pPr>
              <w:spacing w:after="0"/>
              <w:rPr>
                <w:sz w:val="15"/>
                <w:szCs w:val="15"/>
                <w:color w:val="auto"/>
              </w:rPr>
            </w:pPr>
          </w:p>
        </w:tc>
        <w:tc>
          <w:tcPr>
            <w:tcW w:w="880" w:type="dxa"/>
            <w:vAlign w:val="bottom"/>
            <w:tcBorders>
              <w:bottom w:val="single" w:sz="8" w:color="C8C9CB"/>
            </w:tcBorders>
            <w:shd w:val="clear" w:color="auto" w:fill="F4F6F6"/>
          </w:tcPr>
          <w:p>
            <w:pPr>
              <w:spacing w:after="0"/>
              <w:rPr>
                <w:sz w:val="15"/>
                <w:szCs w:val="15"/>
                <w:color w:val="auto"/>
              </w:rPr>
            </w:pPr>
          </w:p>
        </w:tc>
        <w:tc>
          <w:tcPr>
            <w:tcW w:w="900" w:type="dxa"/>
            <w:vAlign w:val="bottom"/>
            <w:tcBorders>
              <w:bottom w:val="single" w:sz="8" w:color="C8C9CB"/>
            </w:tcBorders>
            <w:vMerge w:val="continue"/>
            <w:shd w:val="clear" w:color="auto" w:fill="F4F6F6"/>
          </w:tcPr>
          <w:p>
            <w:pPr>
              <w:spacing w:after="0"/>
              <w:rPr>
                <w:sz w:val="15"/>
                <w:szCs w:val="15"/>
                <w:color w:val="auto"/>
              </w:rPr>
            </w:pPr>
          </w:p>
        </w:tc>
        <w:tc>
          <w:tcPr>
            <w:tcW w:w="160" w:type="dxa"/>
            <w:vAlign w:val="bottom"/>
            <w:tcBorders>
              <w:bottom w:val="single" w:sz="8" w:color="C8C9CB"/>
            </w:tcBorders>
            <w:shd w:val="clear" w:color="auto" w:fill="F4F6F6"/>
          </w:tcPr>
          <w:p>
            <w:pPr>
              <w:jc w:val="right"/>
              <w:ind w:right="33"/>
              <w:spacing w:after="0"/>
              <w:rPr>
                <w:sz w:val="20"/>
                <w:szCs w:val="20"/>
                <w:color w:val="auto"/>
              </w:rPr>
            </w:pPr>
            <w:r>
              <w:rPr>
                <w:rFonts w:ascii="Arial" w:cs="Arial" w:eastAsia="Arial" w:hAnsi="Arial"/>
                <w:sz w:val="9"/>
                <w:szCs w:val="9"/>
                <w:color w:val="auto"/>
              </w:rPr>
              <w:t>6</w:t>
            </w:r>
          </w:p>
        </w:tc>
        <w:tc>
          <w:tcPr>
            <w:tcW w:w="880" w:type="dxa"/>
            <w:vAlign w:val="bottom"/>
            <w:tcBorders>
              <w:bottom w:val="single" w:sz="8" w:color="C8C9CB"/>
            </w:tcBorders>
            <w:vMerge w:val="continue"/>
            <w:shd w:val="clear" w:color="auto" w:fill="F4F6F6"/>
          </w:tcPr>
          <w:p>
            <w:pPr>
              <w:spacing w:after="0"/>
              <w:rPr>
                <w:sz w:val="15"/>
                <w:szCs w:val="15"/>
                <w:color w:val="auto"/>
              </w:rPr>
            </w:pPr>
          </w:p>
        </w:tc>
        <w:tc>
          <w:tcPr>
            <w:tcW w:w="200" w:type="dxa"/>
            <w:vAlign w:val="bottom"/>
            <w:tcBorders>
              <w:bottom w:val="single" w:sz="8" w:color="C8C9CB"/>
            </w:tcBorders>
            <w:shd w:val="clear" w:color="auto" w:fill="F4F6F6"/>
          </w:tcPr>
          <w:p>
            <w:pPr>
              <w:spacing w:after="0"/>
              <w:rPr>
                <w:sz w:val="15"/>
                <w:szCs w:val="15"/>
                <w:color w:val="auto"/>
              </w:rPr>
            </w:pPr>
          </w:p>
        </w:tc>
        <w:tc>
          <w:tcPr>
            <w:tcW w:w="1420" w:type="dxa"/>
            <w:vAlign w:val="bottom"/>
            <w:tcBorders>
              <w:bottom w:val="single" w:sz="8" w:color="C8C9CB"/>
            </w:tcBorders>
            <w:shd w:val="clear" w:color="auto" w:fill="F4F6F6"/>
          </w:tcPr>
          <w:p>
            <w:pPr>
              <w:spacing w:after="0"/>
              <w:rPr>
                <w:sz w:val="15"/>
                <w:szCs w:val="15"/>
                <w:color w:val="auto"/>
              </w:rPr>
            </w:pPr>
          </w:p>
        </w:tc>
        <w:tc>
          <w:tcPr>
            <w:tcW w:w="1080" w:type="dxa"/>
            <w:vAlign w:val="bottom"/>
            <w:tcBorders>
              <w:bottom w:val="single" w:sz="8" w:color="C8C9CB"/>
            </w:tcBorders>
            <w:shd w:val="clear" w:color="auto" w:fill="F4F6F6"/>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00" w:type="dxa"/>
            <w:vAlign w:val="bottom"/>
          </w:tcPr>
          <w:p>
            <w:pPr>
              <w:ind w:left="20"/>
              <w:spacing w:after="0" w:line="140" w:lineRule="exact"/>
              <w:rPr>
                <w:sz w:val="20"/>
                <w:szCs w:val="20"/>
                <w:color w:val="auto"/>
              </w:rPr>
            </w:pPr>
            <w:r>
              <w:rPr>
                <w:rFonts w:ascii="Arial" w:cs="Arial" w:eastAsia="Arial" w:hAnsi="Arial"/>
                <w:sz w:val="13"/>
                <w:szCs w:val="13"/>
                <w:color w:val="auto"/>
              </w:rPr>
              <w:t>Mr.</w:t>
            </w:r>
          </w:p>
        </w:tc>
        <w:tc>
          <w:tcPr>
            <w:tcW w:w="760" w:type="dxa"/>
            <w:vAlign w:val="bottom"/>
          </w:tcPr>
          <w:p>
            <w:pPr>
              <w:jc w:val="center"/>
              <w:spacing w:after="0" w:line="140" w:lineRule="exact"/>
              <w:rPr>
                <w:sz w:val="20"/>
                <w:szCs w:val="20"/>
                <w:color w:val="auto"/>
              </w:rPr>
            </w:pPr>
            <w:r>
              <w:rPr>
                <w:rFonts w:ascii="Arial" w:cs="Arial" w:eastAsia="Arial" w:hAnsi="Arial"/>
                <w:sz w:val="13"/>
                <w:szCs w:val="13"/>
                <w:color w:val="auto"/>
                <w:w w:val="96"/>
              </w:rPr>
              <w:t>2018-2020</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3"/>
                <w:szCs w:val="13"/>
                <w:color w:val="auto"/>
              </w:rPr>
              <w:t xml:space="preserve">66,829 </w:t>
            </w:r>
            <w:r>
              <w:rPr>
                <w:rFonts w:ascii="Arial" w:cs="Arial" w:eastAsia="Arial" w:hAnsi="Arial"/>
                <w:sz w:val="8"/>
                <w:szCs w:val="8"/>
                <w:color w:val="auto"/>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98"/>
              </w:rPr>
              <w:t>$7,733,452</w:t>
            </w:r>
          </w:p>
        </w:tc>
        <w:tc>
          <w:tcPr>
            <w:tcW w:w="0" w:type="dxa"/>
            <w:vAlign w:val="bottom"/>
          </w:tcPr>
          <w:p>
            <w:pPr>
              <w:spacing w:after="0"/>
              <w:rPr>
                <w:sz w:val="1"/>
                <w:szCs w:val="1"/>
                <w:color w:val="auto"/>
              </w:rPr>
            </w:pPr>
          </w:p>
        </w:tc>
      </w:tr>
      <w:tr>
        <w:trPr>
          <w:trHeight w:val="170"/>
        </w:trPr>
        <w:tc>
          <w:tcPr>
            <w:tcW w:w="700" w:type="dxa"/>
            <w:vAlign w:val="bottom"/>
          </w:tcPr>
          <w:p>
            <w:pPr>
              <w:ind w:left="20"/>
              <w:spacing w:after="0"/>
              <w:rPr>
                <w:sz w:val="20"/>
                <w:szCs w:val="20"/>
                <w:color w:val="auto"/>
              </w:rPr>
            </w:pPr>
            <w:r>
              <w:rPr>
                <w:rFonts w:ascii="Arial" w:cs="Arial" w:eastAsia="Arial" w:hAnsi="Arial"/>
                <w:sz w:val="13"/>
                <w:szCs w:val="13"/>
                <w:color w:val="auto"/>
              </w:rPr>
              <w:t>Harrington</w:t>
            </w: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SVA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2017-</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3"/>
                <w:szCs w:val="13"/>
                <w:color w:val="auto"/>
              </w:rPr>
              <w:t xml:space="preserve">38,034 </w:t>
            </w:r>
            <w:r>
              <w:rPr>
                <w:rFonts w:ascii="Arial" w:cs="Arial" w:eastAsia="Arial" w:hAnsi="Arial"/>
                <w:sz w:val="8"/>
                <w:szCs w:val="8"/>
                <w:color w:val="auto"/>
              </w:rPr>
              <w:t>2</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98"/>
              </w:rPr>
              <w:t>$4,401,294</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5"/>
              </w:rPr>
              <w:t>2019 SVA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2018-2020</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3"/>
                <w:szCs w:val="13"/>
                <w:color w:val="auto"/>
              </w:rPr>
              <w:t xml:space="preserve">21,360 </w:t>
            </w:r>
            <w:r>
              <w:rPr>
                <w:rFonts w:ascii="Arial" w:cs="Arial" w:eastAsia="Arial" w:hAnsi="Arial"/>
                <w:sz w:val="8"/>
                <w:szCs w:val="8"/>
                <w:color w:val="auto"/>
              </w:rPr>
              <w:t>3</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6"/>
              </w:rPr>
              <w:t>$2,471,779</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1"/>
              </w:rPr>
              <w:t>PA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2017-2019</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18,765</w:t>
            </w:r>
          </w:p>
        </w:tc>
        <w:tc>
          <w:tcPr>
            <w:tcW w:w="160" w:type="dxa"/>
            <w:vAlign w:val="bottom"/>
          </w:tcPr>
          <w:p>
            <w:pPr>
              <w:spacing w:after="0"/>
              <w:rPr>
                <w:sz w:val="13"/>
                <w:szCs w:val="13"/>
                <w:color w:val="auto"/>
              </w:rPr>
            </w:pPr>
          </w:p>
        </w:tc>
        <w:tc>
          <w:tcPr>
            <w:tcW w:w="880" w:type="dxa"/>
            <w:vAlign w:val="bottom"/>
            <w:vMerge w:val="restart"/>
          </w:tcPr>
          <w:p>
            <w:pPr>
              <w:jc w:val="center"/>
              <w:ind w:left="137"/>
              <w:spacing w:after="0"/>
              <w:rPr>
                <w:sz w:val="20"/>
                <w:szCs w:val="20"/>
                <w:color w:val="auto"/>
              </w:rPr>
            </w:pPr>
            <w:r>
              <w:rPr>
                <w:rFonts w:ascii="Arial" w:cs="Arial" w:eastAsia="Arial" w:hAnsi="Arial"/>
                <w:sz w:val="13"/>
                <w:szCs w:val="13"/>
                <w:color w:val="auto"/>
                <w:w w:val="98"/>
              </w:rPr>
              <w:t>$2,171,486</w:t>
            </w: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1"/>
              </w:rPr>
              <w:t>PA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jc w:val="right"/>
              <w:ind w:right="33"/>
              <w:spacing w:after="0"/>
              <w:rPr>
                <w:sz w:val="20"/>
                <w:szCs w:val="20"/>
                <w:color w:val="auto"/>
              </w:rPr>
            </w:pPr>
            <w:r>
              <w:rPr>
                <w:rFonts w:ascii="Arial" w:cs="Arial" w:eastAsia="Arial" w:hAnsi="Arial"/>
                <w:sz w:val="9"/>
                <w:szCs w:val="9"/>
                <w:color w:val="auto"/>
              </w:rPr>
              <w:t>4</w:t>
            </w: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2016-2018</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12,778</w:t>
            </w:r>
          </w:p>
        </w:tc>
        <w:tc>
          <w:tcPr>
            <w:tcW w:w="160" w:type="dxa"/>
            <w:vAlign w:val="bottom"/>
          </w:tcPr>
          <w:p>
            <w:pPr>
              <w:spacing w:after="0"/>
              <w:rPr>
                <w:sz w:val="13"/>
                <w:szCs w:val="13"/>
                <w:color w:val="auto"/>
              </w:rPr>
            </w:pPr>
          </w:p>
        </w:tc>
        <w:tc>
          <w:tcPr>
            <w:tcW w:w="880" w:type="dxa"/>
            <w:vAlign w:val="bottom"/>
            <w:vMerge w:val="restart"/>
          </w:tcPr>
          <w:p>
            <w:pPr>
              <w:jc w:val="center"/>
              <w:ind w:left="137"/>
              <w:spacing w:after="0"/>
              <w:rPr>
                <w:sz w:val="20"/>
                <w:szCs w:val="20"/>
                <w:color w:val="auto"/>
              </w:rPr>
            </w:pPr>
            <w:r>
              <w:rPr>
                <w:rFonts w:ascii="Arial" w:cs="Arial" w:eastAsia="Arial" w:hAnsi="Arial"/>
                <w:sz w:val="13"/>
                <w:szCs w:val="13"/>
                <w:color w:val="auto"/>
                <w:w w:val="98"/>
              </w:rPr>
              <w:t>$1,478,670</w:t>
            </w: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00" w:type="dxa"/>
            <w:vAlign w:val="bottom"/>
            <w:tcBorders>
              <w:bottom w:val="single" w:sz="8" w:color="C8C9CB"/>
            </w:tcBorders>
          </w:tcPr>
          <w:p>
            <w:pPr>
              <w:spacing w:after="0"/>
              <w:rPr>
                <w:sz w:val="15"/>
                <w:szCs w:val="15"/>
                <w:color w:val="auto"/>
              </w:rPr>
            </w:pPr>
          </w:p>
        </w:tc>
        <w:tc>
          <w:tcPr>
            <w:tcW w:w="76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91"/>
              </w:rPr>
              <w:t>PA</w:t>
            </w:r>
          </w:p>
        </w:tc>
        <w:tc>
          <w:tcPr>
            <w:tcW w:w="940" w:type="dxa"/>
            <w:vAlign w:val="bottom"/>
            <w:tcBorders>
              <w:bottom w:val="single" w:sz="8" w:color="C8C9CB"/>
            </w:tcBorders>
          </w:tcPr>
          <w:p>
            <w:pPr>
              <w:spacing w:after="0"/>
              <w:rPr>
                <w:sz w:val="15"/>
                <w:szCs w:val="15"/>
                <w:color w:val="auto"/>
              </w:rPr>
            </w:pPr>
          </w:p>
        </w:tc>
        <w:tc>
          <w:tcPr>
            <w:tcW w:w="100" w:type="dxa"/>
            <w:vAlign w:val="bottom"/>
            <w:tcBorders>
              <w:bottom w:val="single" w:sz="8" w:color="C8C9CB"/>
            </w:tcBorders>
          </w:tcPr>
          <w:p>
            <w:pPr>
              <w:spacing w:after="0"/>
              <w:rPr>
                <w:sz w:val="15"/>
                <w:szCs w:val="15"/>
                <w:color w:val="auto"/>
              </w:rPr>
            </w:pPr>
          </w:p>
        </w:tc>
        <w:tc>
          <w:tcPr>
            <w:tcW w:w="40" w:type="dxa"/>
            <w:vAlign w:val="bottom"/>
            <w:tcBorders>
              <w:bottom w:val="single" w:sz="8" w:color="C8C9CB"/>
            </w:tcBorders>
          </w:tcPr>
          <w:p>
            <w:pPr>
              <w:spacing w:after="0"/>
              <w:rPr>
                <w:sz w:val="15"/>
                <w:szCs w:val="15"/>
                <w:color w:val="auto"/>
              </w:rPr>
            </w:pPr>
          </w:p>
        </w:tc>
        <w:tc>
          <w:tcPr>
            <w:tcW w:w="900" w:type="dxa"/>
            <w:vAlign w:val="bottom"/>
            <w:tcBorders>
              <w:bottom w:val="single" w:sz="8" w:color="C8C9CB"/>
            </w:tcBorders>
          </w:tcPr>
          <w:p>
            <w:pPr>
              <w:spacing w:after="0"/>
              <w:rPr>
                <w:sz w:val="15"/>
                <w:szCs w:val="15"/>
                <w:color w:val="auto"/>
              </w:rPr>
            </w:pPr>
          </w:p>
        </w:tc>
        <w:tc>
          <w:tcPr>
            <w:tcW w:w="60" w:type="dxa"/>
            <w:vAlign w:val="bottom"/>
            <w:tcBorders>
              <w:bottom w:val="single" w:sz="8" w:color="C8C9CB"/>
            </w:tcBorders>
          </w:tcPr>
          <w:p>
            <w:pPr>
              <w:spacing w:after="0"/>
              <w:rPr>
                <w:sz w:val="15"/>
                <w:szCs w:val="15"/>
                <w:color w:val="auto"/>
              </w:rPr>
            </w:pPr>
          </w:p>
        </w:tc>
        <w:tc>
          <w:tcPr>
            <w:tcW w:w="880" w:type="dxa"/>
            <w:vAlign w:val="bottom"/>
            <w:tcBorders>
              <w:bottom w:val="single" w:sz="8" w:color="C8C9CB"/>
            </w:tcBorders>
          </w:tcPr>
          <w:p>
            <w:pPr>
              <w:spacing w:after="0"/>
              <w:rPr>
                <w:sz w:val="15"/>
                <w:szCs w:val="15"/>
                <w:color w:val="auto"/>
              </w:rPr>
            </w:pPr>
          </w:p>
        </w:tc>
        <w:tc>
          <w:tcPr>
            <w:tcW w:w="900" w:type="dxa"/>
            <w:vAlign w:val="bottom"/>
            <w:tcBorders>
              <w:bottom w:val="single" w:sz="8" w:color="C8C9CB"/>
            </w:tcBorders>
            <w:vMerge w:val="continue"/>
          </w:tcPr>
          <w:p>
            <w:pPr>
              <w:spacing w:after="0"/>
              <w:rPr>
                <w:sz w:val="15"/>
                <w:szCs w:val="15"/>
                <w:color w:val="auto"/>
              </w:rPr>
            </w:pPr>
          </w:p>
        </w:tc>
        <w:tc>
          <w:tcPr>
            <w:tcW w:w="160" w:type="dxa"/>
            <w:vAlign w:val="bottom"/>
            <w:tcBorders>
              <w:bottom w:val="single" w:sz="8" w:color="C8C9CB"/>
            </w:tcBorders>
          </w:tcPr>
          <w:p>
            <w:pPr>
              <w:jc w:val="right"/>
              <w:ind w:right="33"/>
              <w:spacing w:after="0"/>
              <w:rPr>
                <w:sz w:val="20"/>
                <w:szCs w:val="20"/>
                <w:color w:val="auto"/>
              </w:rPr>
            </w:pPr>
            <w:r>
              <w:rPr>
                <w:rFonts w:ascii="Arial" w:cs="Arial" w:eastAsia="Arial" w:hAnsi="Arial"/>
                <w:sz w:val="9"/>
                <w:szCs w:val="9"/>
                <w:color w:val="auto"/>
              </w:rPr>
              <w:t>5</w:t>
            </w:r>
          </w:p>
        </w:tc>
        <w:tc>
          <w:tcPr>
            <w:tcW w:w="880" w:type="dxa"/>
            <w:vAlign w:val="bottom"/>
            <w:tcBorders>
              <w:bottom w:val="single" w:sz="8" w:color="C8C9CB"/>
            </w:tcBorders>
            <w:vMerge w:val="continue"/>
          </w:tcPr>
          <w:p>
            <w:pPr>
              <w:spacing w:after="0"/>
              <w:rPr>
                <w:sz w:val="15"/>
                <w:szCs w:val="15"/>
                <w:color w:val="auto"/>
              </w:rPr>
            </w:pPr>
          </w:p>
        </w:tc>
        <w:tc>
          <w:tcPr>
            <w:tcW w:w="200" w:type="dxa"/>
            <w:vAlign w:val="bottom"/>
            <w:tcBorders>
              <w:bottom w:val="single" w:sz="8" w:color="C8C9CB"/>
            </w:tcBorders>
          </w:tcPr>
          <w:p>
            <w:pPr>
              <w:spacing w:after="0"/>
              <w:rPr>
                <w:sz w:val="15"/>
                <w:szCs w:val="15"/>
                <w:color w:val="auto"/>
              </w:rPr>
            </w:pPr>
          </w:p>
        </w:tc>
        <w:tc>
          <w:tcPr>
            <w:tcW w:w="1420" w:type="dxa"/>
            <w:vAlign w:val="bottom"/>
            <w:tcBorders>
              <w:bottom w:val="single" w:sz="8" w:color="C8C9CB"/>
            </w:tcBorders>
          </w:tcPr>
          <w:p>
            <w:pPr>
              <w:spacing w:after="0"/>
              <w:rPr>
                <w:sz w:val="15"/>
                <w:szCs w:val="15"/>
                <w:color w:val="auto"/>
              </w:rPr>
            </w:pPr>
          </w:p>
        </w:tc>
        <w:tc>
          <w:tcPr>
            <w:tcW w:w="1080" w:type="dxa"/>
            <w:vAlign w:val="bottom"/>
            <w:tcBorders>
              <w:bottom w:val="single" w:sz="8" w:color="C8C9CB"/>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00" w:type="dxa"/>
            <w:vAlign w:val="bottom"/>
            <w:shd w:val="clear" w:color="auto" w:fill="F4F6F6"/>
          </w:tcPr>
          <w:p>
            <w:pPr>
              <w:ind w:left="20"/>
              <w:spacing w:after="0" w:line="140" w:lineRule="exact"/>
              <w:rPr>
                <w:sz w:val="20"/>
                <w:szCs w:val="20"/>
                <w:color w:val="auto"/>
              </w:rPr>
            </w:pPr>
            <w:r>
              <w:rPr>
                <w:rFonts w:ascii="Arial" w:cs="Arial" w:eastAsia="Arial" w:hAnsi="Arial"/>
                <w:sz w:val="13"/>
                <w:szCs w:val="13"/>
                <w:color w:val="auto"/>
              </w:rPr>
              <w:t>Mr.</w:t>
            </w:r>
          </w:p>
        </w:tc>
        <w:tc>
          <w:tcPr>
            <w:tcW w:w="760" w:type="dxa"/>
            <w:vAlign w:val="bottom"/>
            <w:shd w:val="clear" w:color="auto" w:fill="F4F6F6"/>
          </w:tcPr>
          <w:p>
            <w:pPr>
              <w:jc w:val="center"/>
              <w:spacing w:after="0" w:line="140" w:lineRule="exact"/>
              <w:rPr>
                <w:sz w:val="20"/>
                <w:szCs w:val="20"/>
                <w:color w:val="auto"/>
              </w:rPr>
            </w:pPr>
            <w:r>
              <w:rPr>
                <w:rFonts w:ascii="Arial" w:cs="Arial" w:eastAsia="Arial" w:hAnsi="Arial"/>
                <w:sz w:val="13"/>
                <w:szCs w:val="13"/>
                <w:color w:val="auto"/>
                <w:w w:val="96"/>
              </w:rPr>
              <w:t>2018-2020</w:t>
            </w:r>
          </w:p>
        </w:tc>
        <w:tc>
          <w:tcPr>
            <w:tcW w:w="940" w:type="dxa"/>
            <w:vAlign w:val="bottom"/>
            <w:shd w:val="clear" w:color="auto" w:fill="F4F6F6"/>
          </w:tcPr>
          <w:p>
            <w:pPr>
              <w:spacing w:after="0"/>
              <w:rPr>
                <w:sz w:val="12"/>
                <w:szCs w:val="12"/>
                <w:color w:val="auto"/>
              </w:rPr>
            </w:pPr>
          </w:p>
        </w:tc>
        <w:tc>
          <w:tcPr>
            <w:tcW w:w="100" w:type="dxa"/>
            <w:vAlign w:val="bottom"/>
            <w:shd w:val="clear" w:color="auto" w:fill="F4F6F6"/>
          </w:tcPr>
          <w:p>
            <w:pPr>
              <w:spacing w:after="0"/>
              <w:rPr>
                <w:sz w:val="12"/>
                <w:szCs w:val="12"/>
                <w:color w:val="auto"/>
              </w:rPr>
            </w:pPr>
          </w:p>
        </w:tc>
        <w:tc>
          <w:tcPr>
            <w:tcW w:w="40" w:type="dxa"/>
            <w:vAlign w:val="bottom"/>
            <w:shd w:val="clear" w:color="auto" w:fill="F4F6F6"/>
          </w:tcPr>
          <w:p>
            <w:pPr>
              <w:spacing w:after="0"/>
              <w:rPr>
                <w:sz w:val="12"/>
                <w:szCs w:val="12"/>
                <w:color w:val="auto"/>
              </w:rPr>
            </w:pPr>
          </w:p>
        </w:tc>
        <w:tc>
          <w:tcPr>
            <w:tcW w:w="900" w:type="dxa"/>
            <w:vAlign w:val="bottom"/>
            <w:shd w:val="clear" w:color="auto" w:fill="F4F6F6"/>
          </w:tcPr>
          <w:p>
            <w:pPr>
              <w:spacing w:after="0"/>
              <w:rPr>
                <w:sz w:val="12"/>
                <w:szCs w:val="12"/>
                <w:color w:val="auto"/>
              </w:rPr>
            </w:pPr>
          </w:p>
        </w:tc>
        <w:tc>
          <w:tcPr>
            <w:tcW w:w="60" w:type="dxa"/>
            <w:vAlign w:val="bottom"/>
            <w:shd w:val="clear" w:color="auto" w:fill="F4F6F6"/>
          </w:tcPr>
          <w:p>
            <w:pPr>
              <w:spacing w:after="0"/>
              <w:rPr>
                <w:sz w:val="12"/>
                <w:szCs w:val="12"/>
                <w:color w:val="auto"/>
              </w:rPr>
            </w:pPr>
          </w:p>
        </w:tc>
        <w:tc>
          <w:tcPr>
            <w:tcW w:w="880" w:type="dxa"/>
            <w:vAlign w:val="bottom"/>
            <w:shd w:val="clear" w:color="auto" w:fill="F4F6F6"/>
          </w:tcPr>
          <w:p>
            <w:pPr>
              <w:spacing w:after="0"/>
              <w:rPr>
                <w:sz w:val="12"/>
                <w:szCs w:val="12"/>
                <w:color w:val="auto"/>
              </w:rPr>
            </w:pPr>
          </w:p>
        </w:tc>
        <w:tc>
          <w:tcPr>
            <w:tcW w:w="900" w:type="dxa"/>
            <w:vAlign w:val="bottom"/>
            <w:shd w:val="clear" w:color="auto" w:fill="F4F6F6"/>
          </w:tcPr>
          <w:p>
            <w:pPr>
              <w:spacing w:after="0"/>
              <w:rPr>
                <w:sz w:val="12"/>
                <w:szCs w:val="12"/>
                <w:color w:val="auto"/>
              </w:rPr>
            </w:pPr>
          </w:p>
        </w:tc>
        <w:tc>
          <w:tcPr>
            <w:tcW w:w="160" w:type="dxa"/>
            <w:vAlign w:val="bottom"/>
            <w:shd w:val="clear" w:color="auto" w:fill="F4F6F6"/>
          </w:tcPr>
          <w:p>
            <w:pPr>
              <w:spacing w:after="0"/>
              <w:rPr>
                <w:sz w:val="12"/>
                <w:szCs w:val="12"/>
                <w:color w:val="auto"/>
              </w:rPr>
            </w:pPr>
          </w:p>
        </w:tc>
        <w:tc>
          <w:tcPr>
            <w:tcW w:w="880" w:type="dxa"/>
            <w:vAlign w:val="bottom"/>
            <w:shd w:val="clear" w:color="auto" w:fill="F4F6F6"/>
          </w:tcPr>
          <w:p>
            <w:pPr>
              <w:spacing w:after="0"/>
              <w:rPr>
                <w:sz w:val="12"/>
                <w:szCs w:val="12"/>
                <w:color w:val="auto"/>
              </w:rPr>
            </w:pPr>
          </w:p>
        </w:tc>
        <w:tc>
          <w:tcPr>
            <w:tcW w:w="1620" w:type="dxa"/>
            <w:vAlign w:val="bottom"/>
            <w:gridSpan w:val="2"/>
            <w:vMerge w:val="restart"/>
            <w:shd w:val="clear" w:color="auto" w:fill="F4F6F6"/>
          </w:tcPr>
          <w:p>
            <w:pPr>
              <w:jc w:val="right"/>
              <w:spacing w:after="0"/>
              <w:rPr>
                <w:sz w:val="20"/>
                <w:szCs w:val="20"/>
                <w:color w:val="auto"/>
              </w:rPr>
            </w:pPr>
            <w:r>
              <w:rPr>
                <w:rFonts w:ascii="Arial" w:cs="Arial" w:eastAsia="Arial" w:hAnsi="Arial"/>
                <w:sz w:val="13"/>
                <w:szCs w:val="13"/>
                <w:color w:val="auto"/>
              </w:rPr>
              <w:t xml:space="preserve">68,139 </w:t>
            </w:r>
            <w:r>
              <w:rPr>
                <w:rFonts w:ascii="Arial" w:cs="Arial" w:eastAsia="Arial" w:hAnsi="Arial"/>
                <w:sz w:val="8"/>
                <w:szCs w:val="8"/>
                <w:color w:val="auto"/>
              </w:rPr>
              <w:t>1</w:t>
            </w:r>
          </w:p>
        </w:tc>
        <w:tc>
          <w:tcPr>
            <w:tcW w:w="1080" w:type="dxa"/>
            <w:vAlign w:val="bottom"/>
            <w:vMerge w:val="restart"/>
            <w:shd w:val="clear" w:color="auto" w:fill="F4F6F6"/>
          </w:tcPr>
          <w:p>
            <w:pPr>
              <w:jc w:val="center"/>
              <w:spacing w:after="0"/>
              <w:rPr>
                <w:sz w:val="20"/>
                <w:szCs w:val="20"/>
                <w:color w:val="auto"/>
              </w:rPr>
            </w:pPr>
            <w:r>
              <w:rPr>
                <w:rFonts w:ascii="Arial" w:cs="Arial" w:eastAsia="Arial" w:hAnsi="Arial"/>
                <w:sz w:val="14"/>
                <w:szCs w:val="14"/>
                <w:color w:val="auto"/>
                <w:w w:val="96"/>
              </w:rPr>
              <w:t>$7,885,045</w:t>
            </w:r>
          </w:p>
        </w:tc>
        <w:tc>
          <w:tcPr>
            <w:tcW w:w="0" w:type="dxa"/>
            <w:vAlign w:val="bottom"/>
          </w:tcPr>
          <w:p>
            <w:pPr>
              <w:spacing w:after="0"/>
              <w:rPr>
                <w:sz w:val="1"/>
                <w:szCs w:val="1"/>
                <w:color w:val="auto"/>
              </w:rPr>
            </w:pPr>
          </w:p>
        </w:tc>
      </w:tr>
      <w:tr>
        <w:trPr>
          <w:trHeight w:val="172"/>
        </w:trPr>
        <w:tc>
          <w:tcPr>
            <w:tcW w:w="700" w:type="dxa"/>
            <w:vAlign w:val="bottom"/>
            <w:shd w:val="clear" w:color="auto" w:fill="F4F6F6"/>
          </w:tcPr>
          <w:p>
            <w:pPr>
              <w:ind w:left="20"/>
              <w:spacing w:after="0"/>
              <w:rPr>
                <w:sz w:val="20"/>
                <w:szCs w:val="20"/>
                <w:color w:val="auto"/>
              </w:rPr>
            </w:pPr>
            <w:r>
              <w:rPr>
                <w:rFonts w:ascii="Arial" w:cs="Arial" w:eastAsia="Arial" w:hAnsi="Arial"/>
                <w:sz w:val="13"/>
                <w:szCs w:val="13"/>
                <w:color w:val="auto"/>
              </w:rPr>
              <w:t>Conterno</w:t>
            </w: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2"/>
              </w:rPr>
              <w:t>SVA</w:t>
            </w:r>
          </w:p>
        </w:tc>
        <w:tc>
          <w:tcPr>
            <w:tcW w:w="940" w:type="dxa"/>
            <w:vAlign w:val="bottom"/>
            <w:shd w:val="clear" w:color="auto" w:fill="F4F6F6"/>
          </w:tcPr>
          <w:p>
            <w:pPr>
              <w:spacing w:after="0"/>
              <w:rPr>
                <w:sz w:val="14"/>
                <w:szCs w:val="14"/>
                <w:color w:val="auto"/>
              </w:rPr>
            </w:pPr>
          </w:p>
        </w:tc>
        <w:tc>
          <w:tcPr>
            <w:tcW w:w="100" w:type="dxa"/>
            <w:vAlign w:val="bottom"/>
            <w:shd w:val="clear" w:color="auto" w:fill="F4F6F6"/>
          </w:tcPr>
          <w:p>
            <w:pPr>
              <w:spacing w:after="0"/>
              <w:rPr>
                <w:sz w:val="14"/>
                <w:szCs w:val="14"/>
                <w:color w:val="auto"/>
              </w:rPr>
            </w:pPr>
          </w:p>
        </w:tc>
        <w:tc>
          <w:tcPr>
            <w:tcW w:w="4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1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1620" w:type="dxa"/>
            <w:vAlign w:val="bottom"/>
            <w:gridSpan w:val="2"/>
            <w:vMerge w:val="continue"/>
            <w:shd w:val="clear" w:color="auto" w:fill="F4F6F6"/>
          </w:tcPr>
          <w:p>
            <w:pPr>
              <w:spacing w:after="0"/>
              <w:rPr>
                <w:sz w:val="14"/>
                <w:szCs w:val="14"/>
                <w:color w:val="auto"/>
              </w:rPr>
            </w:pPr>
          </w:p>
        </w:tc>
        <w:tc>
          <w:tcPr>
            <w:tcW w:w="1080" w:type="dxa"/>
            <w:vAlign w:val="bottom"/>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00" w:type="dxa"/>
            <w:vAlign w:val="bottom"/>
            <w:shd w:val="clear" w:color="auto" w:fill="F4F6F6"/>
          </w:tcPr>
          <w:p>
            <w:pPr>
              <w:spacing w:after="0"/>
              <w:rPr>
                <w:sz w:val="13"/>
                <w:szCs w:val="13"/>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2017-</w:t>
            </w:r>
          </w:p>
        </w:tc>
        <w:tc>
          <w:tcPr>
            <w:tcW w:w="940" w:type="dxa"/>
            <w:vAlign w:val="bottom"/>
            <w:shd w:val="clear" w:color="auto" w:fill="F4F6F6"/>
          </w:tcPr>
          <w:p>
            <w:pPr>
              <w:spacing w:after="0"/>
              <w:rPr>
                <w:sz w:val="13"/>
                <w:szCs w:val="13"/>
                <w:color w:val="auto"/>
              </w:rPr>
            </w:pPr>
          </w:p>
        </w:tc>
        <w:tc>
          <w:tcPr>
            <w:tcW w:w="100" w:type="dxa"/>
            <w:vAlign w:val="bottom"/>
            <w:shd w:val="clear" w:color="auto" w:fill="F4F6F6"/>
          </w:tcPr>
          <w:p>
            <w:pPr>
              <w:spacing w:after="0"/>
              <w:rPr>
                <w:sz w:val="13"/>
                <w:szCs w:val="13"/>
                <w:color w:val="auto"/>
              </w:rPr>
            </w:pPr>
          </w:p>
        </w:tc>
        <w:tc>
          <w:tcPr>
            <w:tcW w:w="4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1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1620" w:type="dxa"/>
            <w:vAlign w:val="bottom"/>
            <w:gridSpan w:val="2"/>
            <w:vMerge w:val="restart"/>
            <w:shd w:val="clear" w:color="auto" w:fill="F4F6F6"/>
          </w:tcPr>
          <w:p>
            <w:pPr>
              <w:jc w:val="right"/>
              <w:spacing w:after="0"/>
              <w:rPr>
                <w:sz w:val="20"/>
                <w:szCs w:val="20"/>
                <w:color w:val="auto"/>
              </w:rPr>
            </w:pPr>
            <w:r>
              <w:rPr>
                <w:rFonts w:ascii="Arial" w:cs="Arial" w:eastAsia="Arial" w:hAnsi="Arial"/>
                <w:sz w:val="13"/>
                <w:szCs w:val="13"/>
                <w:color w:val="auto"/>
              </w:rPr>
              <w:t xml:space="preserve">41,341 </w:t>
            </w:r>
            <w:r>
              <w:rPr>
                <w:rFonts w:ascii="Arial" w:cs="Arial" w:eastAsia="Arial" w:hAnsi="Arial"/>
                <w:sz w:val="8"/>
                <w:szCs w:val="8"/>
                <w:color w:val="auto"/>
              </w:rPr>
              <w:t>2</w:t>
            </w:r>
          </w:p>
        </w:tc>
        <w:tc>
          <w:tcPr>
            <w:tcW w:w="1080" w:type="dxa"/>
            <w:vAlign w:val="bottom"/>
            <w:vMerge w:val="restart"/>
            <w:shd w:val="clear" w:color="auto" w:fill="F4F6F6"/>
          </w:tcPr>
          <w:p>
            <w:pPr>
              <w:jc w:val="center"/>
              <w:spacing w:after="0"/>
              <w:rPr>
                <w:sz w:val="20"/>
                <w:szCs w:val="20"/>
                <w:color w:val="auto"/>
              </w:rPr>
            </w:pPr>
            <w:r>
              <w:rPr>
                <w:rFonts w:ascii="Arial" w:cs="Arial" w:eastAsia="Arial" w:hAnsi="Arial"/>
                <w:sz w:val="14"/>
                <w:szCs w:val="14"/>
                <w:color w:val="auto"/>
                <w:w w:val="96"/>
              </w:rPr>
              <w:t>$4,783,981</w:t>
            </w:r>
          </w:p>
        </w:tc>
        <w:tc>
          <w:tcPr>
            <w:tcW w:w="0" w:type="dxa"/>
            <w:vAlign w:val="bottom"/>
          </w:tcPr>
          <w:p>
            <w:pPr>
              <w:spacing w:after="0"/>
              <w:rPr>
                <w:sz w:val="1"/>
                <w:szCs w:val="1"/>
                <w:color w:val="auto"/>
              </w:rPr>
            </w:pPr>
          </w:p>
        </w:tc>
      </w:tr>
      <w:tr>
        <w:trPr>
          <w:trHeight w:val="172"/>
        </w:trPr>
        <w:tc>
          <w:tcPr>
            <w:tcW w:w="700" w:type="dxa"/>
            <w:vAlign w:val="bottom"/>
            <w:shd w:val="clear" w:color="auto" w:fill="F4F6F6"/>
          </w:tcPr>
          <w:p>
            <w:pPr>
              <w:spacing w:after="0"/>
              <w:rPr>
                <w:sz w:val="14"/>
                <w:szCs w:val="14"/>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5"/>
              </w:rPr>
              <w:t>2019 SVA</w:t>
            </w:r>
          </w:p>
        </w:tc>
        <w:tc>
          <w:tcPr>
            <w:tcW w:w="940" w:type="dxa"/>
            <w:vAlign w:val="bottom"/>
            <w:shd w:val="clear" w:color="auto" w:fill="F4F6F6"/>
          </w:tcPr>
          <w:p>
            <w:pPr>
              <w:spacing w:after="0"/>
              <w:rPr>
                <w:sz w:val="14"/>
                <w:szCs w:val="14"/>
                <w:color w:val="auto"/>
              </w:rPr>
            </w:pPr>
          </w:p>
        </w:tc>
        <w:tc>
          <w:tcPr>
            <w:tcW w:w="100" w:type="dxa"/>
            <w:vAlign w:val="bottom"/>
            <w:shd w:val="clear" w:color="auto" w:fill="F4F6F6"/>
          </w:tcPr>
          <w:p>
            <w:pPr>
              <w:spacing w:after="0"/>
              <w:rPr>
                <w:sz w:val="14"/>
                <w:szCs w:val="14"/>
                <w:color w:val="auto"/>
              </w:rPr>
            </w:pPr>
          </w:p>
        </w:tc>
        <w:tc>
          <w:tcPr>
            <w:tcW w:w="4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1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1620" w:type="dxa"/>
            <w:vAlign w:val="bottom"/>
            <w:gridSpan w:val="2"/>
            <w:vMerge w:val="continue"/>
            <w:shd w:val="clear" w:color="auto" w:fill="F4F6F6"/>
          </w:tcPr>
          <w:p>
            <w:pPr>
              <w:spacing w:after="0"/>
              <w:rPr>
                <w:sz w:val="14"/>
                <w:szCs w:val="14"/>
                <w:color w:val="auto"/>
              </w:rPr>
            </w:pPr>
          </w:p>
        </w:tc>
        <w:tc>
          <w:tcPr>
            <w:tcW w:w="1080" w:type="dxa"/>
            <w:vAlign w:val="bottom"/>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00" w:type="dxa"/>
            <w:vAlign w:val="bottom"/>
            <w:shd w:val="clear" w:color="auto" w:fill="F4F6F6"/>
          </w:tcPr>
          <w:p>
            <w:pPr>
              <w:spacing w:after="0"/>
              <w:rPr>
                <w:sz w:val="13"/>
                <w:szCs w:val="13"/>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2018-2020</w:t>
            </w:r>
          </w:p>
        </w:tc>
        <w:tc>
          <w:tcPr>
            <w:tcW w:w="940" w:type="dxa"/>
            <w:vAlign w:val="bottom"/>
            <w:shd w:val="clear" w:color="auto" w:fill="F4F6F6"/>
          </w:tcPr>
          <w:p>
            <w:pPr>
              <w:spacing w:after="0"/>
              <w:rPr>
                <w:sz w:val="13"/>
                <w:szCs w:val="13"/>
                <w:color w:val="auto"/>
              </w:rPr>
            </w:pPr>
          </w:p>
        </w:tc>
        <w:tc>
          <w:tcPr>
            <w:tcW w:w="100" w:type="dxa"/>
            <w:vAlign w:val="bottom"/>
            <w:shd w:val="clear" w:color="auto" w:fill="F4F6F6"/>
          </w:tcPr>
          <w:p>
            <w:pPr>
              <w:spacing w:after="0"/>
              <w:rPr>
                <w:sz w:val="13"/>
                <w:szCs w:val="13"/>
                <w:color w:val="auto"/>
              </w:rPr>
            </w:pPr>
          </w:p>
        </w:tc>
        <w:tc>
          <w:tcPr>
            <w:tcW w:w="4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1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1620" w:type="dxa"/>
            <w:vAlign w:val="bottom"/>
            <w:gridSpan w:val="2"/>
            <w:vMerge w:val="restart"/>
            <w:shd w:val="clear" w:color="auto" w:fill="F4F6F6"/>
          </w:tcPr>
          <w:p>
            <w:pPr>
              <w:jc w:val="right"/>
              <w:spacing w:after="0"/>
              <w:rPr>
                <w:sz w:val="20"/>
                <w:szCs w:val="20"/>
                <w:color w:val="auto"/>
              </w:rPr>
            </w:pPr>
            <w:r>
              <w:rPr>
                <w:rFonts w:ascii="Arial" w:cs="Arial" w:eastAsia="Arial" w:hAnsi="Arial"/>
                <w:sz w:val="13"/>
                <w:szCs w:val="13"/>
                <w:color w:val="auto"/>
              </w:rPr>
              <w:t xml:space="preserve">21,779 </w:t>
            </w:r>
            <w:r>
              <w:rPr>
                <w:rFonts w:ascii="Arial" w:cs="Arial" w:eastAsia="Arial" w:hAnsi="Arial"/>
                <w:sz w:val="8"/>
                <w:szCs w:val="8"/>
                <w:color w:val="auto"/>
              </w:rPr>
              <w:t>3</w:t>
            </w:r>
          </w:p>
        </w:tc>
        <w:tc>
          <w:tcPr>
            <w:tcW w:w="10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$2,520,266</w:t>
            </w:r>
          </w:p>
        </w:tc>
        <w:tc>
          <w:tcPr>
            <w:tcW w:w="0" w:type="dxa"/>
            <w:vAlign w:val="bottom"/>
          </w:tcPr>
          <w:p>
            <w:pPr>
              <w:spacing w:after="0"/>
              <w:rPr>
                <w:sz w:val="1"/>
                <w:szCs w:val="1"/>
                <w:color w:val="auto"/>
              </w:rPr>
            </w:pPr>
          </w:p>
        </w:tc>
      </w:tr>
      <w:tr>
        <w:trPr>
          <w:trHeight w:val="170"/>
        </w:trPr>
        <w:tc>
          <w:tcPr>
            <w:tcW w:w="700" w:type="dxa"/>
            <w:vAlign w:val="bottom"/>
            <w:shd w:val="clear" w:color="auto" w:fill="F4F6F6"/>
          </w:tcPr>
          <w:p>
            <w:pPr>
              <w:spacing w:after="0"/>
              <w:rPr>
                <w:sz w:val="14"/>
                <w:szCs w:val="14"/>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1"/>
              </w:rPr>
              <w:t>PA</w:t>
            </w:r>
          </w:p>
        </w:tc>
        <w:tc>
          <w:tcPr>
            <w:tcW w:w="940" w:type="dxa"/>
            <w:vAlign w:val="bottom"/>
            <w:shd w:val="clear" w:color="auto" w:fill="F4F6F6"/>
          </w:tcPr>
          <w:p>
            <w:pPr>
              <w:spacing w:after="0"/>
              <w:rPr>
                <w:sz w:val="14"/>
                <w:szCs w:val="14"/>
                <w:color w:val="auto"/>
              </w:rPr>
            </w:pPr>
          </w:p>
        </w:tc>
        <w:tc>
          <w:tcPr>
            <w:tcW w:w="100" w:type="dxa"/>
            <w:vAlign w:val="bottom"/>
            <w:shd w:val="clear" w:color="auto" w:fill="F4F6F6"/>
          </w:tcPr>
          <w:p>
            <w:pPr>
              <w:spacing w:after="0"/>
              <w:rPr>
                <w:sz w:val="14"/>
                <w:szCs w:val="14"/>
                <w:color w:val="auto"/>
              </w:rPr>
            </w:pPr>
          </w:p>
        </w:tc>
        <w:tc>
          <w:tcPr>
            <w:tcW w:w="4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1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1620" w:type="dxa"/>
            <w:vAlign w:val="bottom"/>
            <w:gridSpan w:val="2"/>
            <w:vMerge w:val="continue"/>
            <w:shd w:val="clear" w:color="auto" w:fill="F4F6F6"/>
          </w:tcPr>
          <w:p>
            <w:pPr>
              <w:spacing w:after="0"/>
              <w:rPr>
                <w:sz w:val="14"/>
                <w:szCs w:val="14"/>
                <w:color w:val="auto"/>
              </w:rPr>
            </w:pPr>
          </w:p>
        </w:tc>
        <w:tc>
          <w:tcPr>
            <w:tcW w:w="1080" w:type="dxa"/>
            <w:vAlign w:val="bottom"/>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0" w:type="dxa"/>
            <w:vAlign w:val="bottom"/>
            <w:shd w:val="clear" w:color="auto" w:fill="F4F6F6"/>
          </w:tcPr>
          <w:p>
            <w:pPr>
              <w:spacing w:after="0"/>
              <w:rPr>
                <w:sz w:val="13"/>
                <w:szCs w:val="13"/>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2017-2019</w:t>
            </w:r>
          </w:p>
        </w:tc>
        <w:tc>
          <w:tcPr>
            <w:tcW w:w="940" w:type="dxa"/>
            <w:vAlign w:val="bottom"/>
            <w:shd w:val="clear" w:color="auto" w:fill="F4F6F6"/>
          </w:tcPr>
          <w:p>
            <w:pPr>
              <w:spacing w:after="0"/>
              <w:rPr>
                <w:sz w:val="13"/>
                <w:szCs w:val="13"/>
                <w:color w:val="auto"/>
              </w:rPr>
            </w:pPr>
          </w:p>
        </w:tc>
        <w:tc>
          <w:tcPr>
            <w:tcW w:w="100" w:type="dxa"/>
            <w:vAlign w:val="bottom"/>
            <w:shd w:val="clear" w:color="auto" w:fill="F4F6F6"/>
          </w:tcPr>
          <w:p>
            <w:pPr>
              <w:spacing w:after="0"/>
              <w:rPr>
                <w:sz w:val="13"/>
                <w:szCs w:val="13"/>
                <w:color w:val="auto"/>
              </w:rPr>
            </w:pPr>
          </w:p>
        </w:tc>
        <w:tc>
          <w:tcPr>
            <w:tcW w:w="4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900" w:type="dxa"/>
            <w:vAlign w:val="bottom"/>
            <w:vMerge w:val="restart"/>
            <w:shd w:val="clear" w:color="auto" w:fill="F4F6F6"/>
          </w:tcPr>
          <w:p>
            <w:pPr>
              <w:jc w:val="right"/>
              <w:spacing w:after="0"/>
              <w:rPr>
                <w:sz w:val="20"/>
                <w:szCs w:val="20"/>
                <w:color w:val="auto"/>
              </w:rPr>
            </w:pPr>
            <w:r>
              <w:rPr>
                <w:rFonts w:ascii="Arial" w:cs="Arial" w:eastAsia="Arial" w:hAnsi="Arial"/>
                <w:sz w:val="13"/>
                <w:szCs w:val="13"/>
                <w:color w:val="auto"/>
              </w:rPr>
              <w:t>20,397</w:t>
            </w:r>
          </w:p>
        </w:tc>
        <w:tc>
          <w:tcPr>
            <w:tcW w:w="160" w:type="dxa"/>
            <w:vAlign w:val="bottom"/>
            <w:shd w:val="clear" w:color="auto" w:fill="F4F6F6"/>
          </w:tcPr>
          <w:p>
            <w:pPr>
              <w:spacing w:after="0"/>
              <w:rPr>
                <w:sz w:val="13"/>
                <w:szCs w:val="13"/>
                <w:color w:val="auto"/>
              </w:rPr>
            </w:pPr>
          </w:p>
        </w:tc>
        <w:tc>
          <w:tcPr>
            <w:tcW w:w="1080" w:type="dxa"/>
            <w:vAlign w:val="bottom"/>
            <w:gridSpan w:val="2"/>
            <w:vMerge w:val="restart"/>
            <w:shd w:val="clear" w:color="auto" w:fill="F4F6F6"/>
          </w:tcPr>
          <w:p>
            <w:pPr>
              <w:jc w:val="right"/>
              <w:spacing w:after="0"/>
              <w:rPr>
                <w:sz w:val="20"/>
                <w:szCs w:val="20"/>
                <w:color w:val="auto"/>
              </w:rPr>
            </w:pPr>
            <w:r>
              <w:rPr>
                <w:rFonts w:ascii="Arial" w:cs="Arial" w:eastAsia="Arial" w:hAnsi="Arial"/>
                <w:sz w:val="13"/>
                <w:szCs w:val="13"/>
                <w:color w:val="auto"/>
              </w:rPr>
              <w:t>2,360,341</w:t>
            </w:r>
          </w:p>
        </w:tc>
        <w:tc>
          <w:tcPr>
            <w:tcW w:w="1420" w:type="dxa"/>
            <w:vAlign w:val="bottom"/>
            <w:shd w:val="clear" w:color="auto" w:fill="F4F6F6"/>
          </w:tcPr>
          <w:p>
            <w:pPr>
              <w:spacing w:after="0"/>
              <w:rPr>
                <w:sz w:val="13"/>
                <w:szCs w:val="13"/>
                <w:color w:val="auto"/>
              </w:rPr>
            </w:pPr>
          </w:p>
        </w:tc>
        <w:tc>
          <w:tcPr>
            <w:tcW w:w="108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00" w:type="dxa"/>
            <w:vAlign w:val="bottom"/>
            <w:shd w:val="clear" w:color="auto" w:fill="F4F6F6"/>
          </w:tcPr>
          <w:p>
            <w:pPr>
              <w:spacing w:after="0"/>
              <w:rPr>
                <w:sz w:val="14"/>
                <w:szCs w:val="14"/>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1"/>
              </w:rPr>
              <w:t>PA</w:t>
            </w:r>
          </w:p>
        </w:tc>
        <w:tc>
          <w:tcPr>
            <w:tcW w:w="940" w:type="dxa"/>
            <w:vAlign w:val="bottom"/>
            <w:shd w:val="clear" w:color="auto" w:fill="F4F6F6"/>
          </w:tcPr>
          <w:p>
            <w:pPr>
              <w:spacing w:after="0"/>
              <w:rPr>
                <w:sz w:val="14"/>
                <w:szCs w:val="14"/>
                <w:color w:val="auto"/>
              </w:rPr>
            </w:pPr>
          </w:p>
        </w:tc>
        <w:tc>
          <w:tcPr>
            <w:tcW w:w="100" w:type="dxa"/>
            <w:vAlign w:val="bottom"/>
            <w:shd w:val="clear" w:color="auto" w:fill="F4F6F6"/>
          </w:tcPr>
          <w:p>
            <w:pPr>
              <w:spacing w:after="0"/>
              <w:rPr>
                <w:sz w:val="14"/>
                <w:szCs w:val="14"/>
                <w:color w:val="auto"/>
              </w:rPr>
            </w:pPr>
          </w:p>
        </w:tc>
        <w:tc>
          <w:tcPr>
            <w:tcW w:w="4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900" w:type="dxa"/>
            <w:vAlign w:val="bottom"/>
            <w:vMerge w:val="continue"/>
            <w:shd w:val="clear" w:color="auto" w:fill="F4F6F6"/>
          </w:tcPr>
          <w:p>
            <w:pPr>
              <w:spacing w:after="0"/>
              <w:rPr>
                <w:sz w:val="14"/>
                <w:szCs w:val="14"/>
                <w:color w:val="auto"/>
              </w:rPr>
            </w:pPr>
          </w:p>
        </w:tc>
        <w:tc>
          <w:tcPr>
            <w:tcW w:w="160" w:type="dxa"/>
            <w:vAlign w:val="bottom"/>
            <w:shd w:val="clear" w:color="auto" w:fill="F4F6F6"/>
          </w:tcPr>
          <w:p>
            <w:pPr>
              <w:jc w:val="right"/>
              <w:ind w:right="33"/>
              <w:spacing w:after="0"/>
              <w:rPr>
                <w:sz w:val="20"/>
                <w:szCs w:val="20"/>
                <w:color w:val="auto"/>
              </w:rPr>
            </w:pPr>
            <w:r>
              <w:rPr>
                <w:rFonts w:ascii="Arial" w:cs="Arial" w:eastAsia="Arial" w:hAnsi="Arial"/>
                <w:sz w:val="9"/>
                <w:szCs w:val="9"/>
                <w:color w:val="auto"/>
              </w:rPr>
              <w:t>4</w:t>
            </w:r>
          </w:p>
        </w:tc>
        <w:tc>
          <w:tcPr>
            <w:tcW w:w="1080" w:type="dxa"/>
            <w:vAlign w:val="bottom"/>
            <w:gridSpan w:val="2"/>
            <w:vMerge w:val="continue"/>
            <w:shd w:val="clear" w:color="auto" w:fill="F4F6F6"/>
          </w:tcPr>
          <w:p>
            <w:pPr>
              <w:spacing w:after="0"/>
              <w:rPr>
                <w:sz w:val="14"/>
                <w:szCs w:val="14"/>
                <w:color w:val="auto"/>
              </w:rPr>
            </w:pPr>
          </w:p>
        </w:tc>
        <w:tc>
          <w:tcPr>
            <w:tcW w:w="1420" w:type="dxa"/>
            <w:vAlign w:val="bottom"/>
            <w:shd w:val="clear" w:color="auto" w:fill="F4F6F6"/>
          </w:tcPr>
          <w:p>
            <w:pPr>
              <w:spacing w:after="0"/>
              <w:rPr>
                <w:sz w:val="14"/>
                <w:szCs w:val="14"/>
                <w:color w:val="auto"/>
              </w:rPr>
            </w:pPr>
          </w:p>
        </w:tc>
        <w:tc>
          <w:tcPr>
            <w:tcW w:w="1080" w:type="dxa"/>
            <w:vAlign w:val="bottom"/>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0" w:type="dxa"/>
            <w:vAlign w:val="bottom"/>
            <w:shd w:val="clear" w:color="auto" w:fill="F4F6F6"/>
          </w:tcPr>
          <w:p>
            <w:pPr>
              <w:spacing w:after="0"/>
              <w:rPr>
                <w:sz w:val="13"/>
                <w:szCs w:val="13"/>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2016-2018</w:t>
            </w:r>
          </w:p>
        </w:tc>
        <w:tc>
          <w:tcPr>
            <w:tcW w:w="940" w:type="dxa"/>
            <w:vAlign w:val="bottom"/>
            <w:shd w:val="clear" w:color="auto" w:fill="F4F6F6"/>
          </w:tcPr>
          <w:p>
            <w:pPr>
              <w:spacing w:after="0"/>
              <w:rPr>
                <w:sz w:val="13"/>
                <w:szCs w:val="13"/>
                <w:color w:val="auto"/>
              </w:rPr>
            </w:pPr>
          </w:p>
        </w:tc>
        <w:tc>
          <w:tcPr>
            <w:tcW w:w="100" w:type="dxa"/>
            <w:vAlign w:val="bottom"/>
            <w:shd w:val="clear" w:color="auto" w:fill="F4F6F6"/>
          </w:tcPr>
          <w:p>
            <w:pPr>
              <w:spacing w:after="0"/>
              <w:rPr>
                <w:sz w:val="13"/>
                <w:szCs w:val="13"/>
                <w:color w:val="auto"/>
              </w:rPr>
            </w:pPr>
          </w:p>
        </w:tc>
        <w:tc>
          <w:tcPr>
            <w:tcW w:w="4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900" w:type="dxa"/>
            <w:vAlign w:val="bottom"/>
            <w:vMerge w:val="restart"/>
            <w:shd w:val="clear" w:color="auto" w:fill="F4F6F6"/>
          </w:tcPr>
          <w:p>
            <w:pPr>
              <w:jc w:val="right"/>
              <w:spacing w:after="0"/>
              <w:rPr>
                <w:sz w:val="20"/>
                <w:szCs w:val="20"/>
                <w:color w:val="auto"/>
              </w:rPr>
            </w:pPr>
            <w:r>
              <w:rPr>
                <w:rFonts w:ascii="Arial" w:cs="Arial" w:eastAsia="Arial" w:hAnsi="Arial"/>
                <w:sz w:val="13"/>
                <w:szCs w:val="13"/>
                <w:color w:val="auto"/>
              </w:rPr>
              <w:t>12,222</w:t>
            </w:r>
          </w:p>
        </w:tc>
        <w:tc>
          <w:tcPr>
            <w:tcW w:w="160" w:type="dxa"/>
            <w:vAlign w:val="bottom"/>
            <w:shd w:val="clear" w:color="auto" w:fill="F4F6F6"/>
          </w:tcPr>
          <w:p>
            <w:pPr>
              <w:spacing w:after="0"/>
              <w:rPr>
                <w:sz w:val="13"/>
                <w:szCs w:val="13"/>
                <w:color w:val="auto"/>
              </w:rPr>
            </w:pPr>
          </w:p>
        </w:tc>
        <w:tc>
          <w:tcPr>
            <w:tcW w:w="880" w:type="dxa"/>
            <w:vAlign w:val="bottom"/>
            <w:vMerge w:val="restart"/>
            <w:shd w:val="clear" w:color="auto" w:fill="F4F6F6"/>
          </w:tcPr>
          <w:p>
            <w:pPr>
              <w:jc w:val="center"/>
              <w:ind w:left="137"/>
              <w:spacing w:after="0"/>
              <w:rPr>
                <w:sz w:val="20"/>
                <w:szCs w:val="20"/>
                <w:color w:val="auto"/>
              </w:rPr>
            </w:pPr>
            <w:r>
              <w:rPr>
                <w:rFonts w:ascii="Arial" w:cs="Arial" w:eastAsia="Arial" w:hAnsi="Arial"/>
                <w:sz w:val="13"/>
                <w:szCs w:val="13"/>
                <w:color w:val="auto"/>
                <w:w w:val="98"/>
              </w:rPr>
              <w:t>$1,414,330</w:t>
            </w:r>
          </w:p>
        </w:tc>
        <w:tc>
          <w:tcPr>
            <w:tcW w:w="200" w:type="dxa"/>
            <w:vAlign w:val="bottom"/>
            <w:shd w:val="clear" w:color="auto" w:fill="F4F6F6"/>
          </w:tcPr>
          <w:p>
            <w:pPr>
              <w:spacing w:after="0"/>
              <w:rPr>
                <w:sz w:val="13"/>
                <w:szCs w:val="13"/>
                <w:color w:val="auto"/>
              </w:rPr>
            </w:pPr>
          </w:p>
        </w:tc>
        <w:tc>
          <w:tcPr>
            <w:tcW w:w="1420" w:type="dxa"/>
            <w:vAlign w:val="bottom"/>
            <w:shd w:val="clear" w:color="auto" w:fill="F4F6F6"/>
          </w:tcPr>
          <w:p>
            <w:pPr>
              <w:spacing w:after="0"/>
              <w:rPr>
                <w:sz w:val="13"/>
                <w:szCs w:val="13"/>
                <w:color w:val="auto"/>
              </w:rPr>
            </w:pPr>
          </w:p>
        </w:tc>
        <w:tc>
          <w:tcPr>
            <w:tcW w:w="108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00" w:type="dxa"/>
            <w:vAlign w:val="bottom"/>
            <w:shd w:val="clear" w:color="auto" w:fill="F4F6F6"/>
          </w:tcPr>
          <w:p>
            <w:pPr>
              <w:spacing w:after="0"/>
              <w:rPr>
                <w:sz w:val="14"/>
                <w:szCs w:val="14"/>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1"/>
              </w:rPr>
              <w:t>PA</w:t>
            </w:r>
          </w:p>
        </w:tc>
        <w:tc>
          <w:tcPr>
            <w:tcW w:w="940" w:type="dxa"/>
            <w:vAlign w:val="bottom"/>
            <w:shd w:val="clear" w:color="auto" w:fill="F4F6F6"/>
          </w:tcPr>
          <w:p>
            <w:pPr>
              <w:spacing w:after="0"/>
              <w:rPr>
                <w:sz w:val="14"/>
                <w:szCs w:val="14"/>
                <w:color w:val="auto"/>
              </w:rPr>
            </w:pPr>
          </w:p>
        </w:tc>
        <w:tc>
          <w:tcPr>
            <w:tcW w:w="100" w:type="dxa"/>
            <w:vAlign w:val="bottom"/>
            <w:shd w:val="clear" w:color="auto" w:fill="F4F6F6"/>
          </w:tcPr>
          <w:p>
            <w:pPr>
              <w:spacing w:after="0"/>
              <w:rPr>
                <w:sz w:val="14"/>
                <w:szCs w:val="14"/>
                <w:color w:val="auto"/>
              </w:rPr>
            </w:pPr>
          </w:p>
        </w:tc>
        <w:tc>
          <w:tcPr>
            <w:tcW w:w="4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900" w:type="dxa"/>
            <w:vAlign w:val="bottom"/>
            <w:vMerge w:val="continue"/>
            <w:shd w:val="clear" w:color="auto" w:fill="F4F6F6"/>
          </w:tcPr>
          <w:p>
            <w:pPr>
              <w:spacing w:after="0"/>
              <w:rPr>
                <w:sz w:val="14"/>
                <w:szCs w:val="14"/>
                <w:color w:val="auto"/>
              </w:rPr>
            </w:pPr>
          </w:p>
        </w:tc>
        <w:tc>
          <w:tcPr>
            <w:tcW w:w="160" w:type="dxa"/>
            <w:vAlign w:val="bottom"/>
            <w:shd w:val="clear" w:color="auto" w:fill="F4F6F6"/>
          </w:tcPr>
          <w:p>
            <w:pPr>
              <w:jc w:val="right"/>
              <w:ind w:right="33"/>
              <w:spacing w:after="0"/>
              <w:rPr>
                <w:sz w:val="20"/>
                <w:szCs w:val="20"/>
                <w:color w:val="auto"/>
              </w:rPr>
            </w:pPr>
            <w:r>
              <w:rPr>
                <w:rFonts w:ascii="Arial" w:cs="Arial" w:eastAsia="Arial" w:hAnsi="Arial"/>
                <w:sz w:val="9"/>
                <w:szCs w:val="9"/>
                <w:color w:val="auto"/>
              </w:rPr>
              <w:t>5</w:t>
            </w:r>
          </w:p>
        </w:tc>
        <w:tc>
          <w:tcPr>
            <w:tcW w:w="880" w:type="dxa"/>
            <w:vAlign w:val="bottom"/>
            <w:vMerge w:val="continue"/>
            <w:shd w:val="clear" w:color="auto" w:fill="F4F6F6"/>
          </w:tcPr>
          <w:p>
            <w:pPr>
              <w:spacing w:after="0"/>
              <w:rPr>
                <w:sz w:val="14"/>
                <w:szCs w:val="14"/>
                <w:color w:val="auto"/>
              </w:rPr>
            </w:pPr>
          </w:p>
        </w:tc>
        <w:tc>
          <w:tcPr>
            <w:tcW w:w="200" w:type="dxa"/>
            <w:vAlign w:val="bottom"/>
            <w:shd w:val="clear" w:color="auto" w:fill="F4F6F6"/>
          </w:tcPr>
          <w:p>
            <w:pPr>
              <w:spacing w:after="0"/>
              <w:rPr>
                <w:sz w:val="14"/>
                <w:szCs w:val="14"/>
                <w:color w:val="auto"/>
              </w:rPr>
            </w:pPr>
          </w:p>
        </w:tc>
        <w:tc>
          <w:tcPr>
            <w:tcW w:w="1420" w:type="dxa"/>
            <w:vAlign w:val="bottom"/>
            <w:shd w:val="clear" w:color="auto" w:fill="F4F6F6"/>
          </w:tcPr>
          <w:p>
            <w:pPr>
              <w:spacing w:after="0"/>
              <w:rPr>
                <w:sz w:val="14"/>
                <w:szCs w:val="14"/>
                <w:color w:val="auto"/>
              </w:rPr>
            </w:pPr>
          </w:p>
        </w:tc>
        <w:tc>
          <w:tcPr>
            <w:tcW w:w="1080" w:type="dxa"/>
            <w:vAlign w:val="bottom"/>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0" w:type="dxa"/>
            <w:vAlign w:val="bottom"/>
            <w:shd w:val="clear" w:color="auto" w:fill="F4F6F6"/>
          </w:tcPr>
          <w:p>
            <w:pPr>
              <w:spacing w:after="0"/>
              <w:rPr>
                <w:sz w:val="13"/>
                <w:szCs w:val="13"/>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2017 RSU</w:t>
            </w:r>
          </w:p>
        </w:tc>
        <w:tc>
          <w:tcPr>
            <w:tcW w:w="940" w:type="dxa"/>
            <w:vAlign w:val="bottom"/>
            <w:shd w:val="clear" w:color="auto" w:fill="F4F6F6"/>
          </w:tcPr>
          <w:p>
            <w:pPr>
              <w:spacing w:after="0"/>
              <w:rPr>
                <w:sz w:val="13"/>
                <w:szCs w:val="13"/>
                <w:color w:val="auto"/>
              </w:rPr>
            </w:pPr>
          </w:p>
        </w:tc>
        <w:tc>
          <w:tcPr>
            <w:tcW w:w="100" w:type="dxa"/>
            <w:vAlign w:val="bottom"/>
            <w:shd w:val="clear" w:color="auto" w:fill="F4F6F6"/>
          </w:tcPr>
          <w:p>
            <w:pPr>
              <w:spacing w:after="0"/>
              <w:rPr>
                <w:sz w:val="13"/>
                <w:szCs w:val="13"/>
                <w:color w:val="auto"/>
              </w:rPr>
            </w:pPr>
          </w:p>
        </w:tc>
        <w:tc>
          <w:tcPr>
            <w:tcW w:w="4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900" w:type="dxa"/>
            <w:vAlign w:val="bottom"/>
            <w:vMerge w:val="restart"/>
            <w:shd w:val="clear" w:color="auto" w:fill="F4F6F6"/>
          </w:tcPr>
          <w:p>
            <w:pPr>
              <w:jc w:val="right"/>
              <w:spacing w:after="0"/>
              <w:rPr>
                <w:sz w:val="20"/>
                <w:szCs w:val="20"/>
                <w:color w:val="auto"/>
              </w:rPr>
            </w:pPr>
            <w:r>
              <w:rPr>
                <w:rFonts w:ascii="Arial" w:cs="Arial" w:eastAsia="Arial" w:hAnsi="Arial"/>
                <w:sz w:val="13"/>
                <w:szCs w:val="13"/>
                <w:color w:val="auto"/>
              </w:rPr>
              <w:t>34,615</w:t>
            </w:r>
          </w:p>
        </w:tc>
        <w:tc>
          <w:tcPr>
            <w:tcW w:w="160" w:type="dxa"/>
            <w:vAlign w:val="bottom"/>
            <w:shd w:val="clear" w:color="auto" w:fill="F4F6F6"/>
          </w:tcPr>
          <w:p>
            <w:pPr>
              <w:spacing w:after="0"/>
              <w:rPr>
                <w:sz w:val="13"/>
                <w:szCs w:val="13"/>
                <w:color w:val="auto"/>
              </w:rPr>
            </w:pPr>
          </w:p>
        </w:tc>
        <w:tc>
          <w:tcPr>
            <w:tcW w:w="880" w:type="dxa"/>
            <w:vAlign w:val="bottom"/>
            <w:vMerge w:val="restart"/>
            <w:shd w:val="clear" w:color="auto" w:fill="F4F6F6"/>
          </w:tcPr>
          <w:p>
            <w:pPr>
              <w:jc w:val="center"/>
              <w:ind w:left="137"/>
              <w:spacing w:after="0"/>
              <w:rPr>
                <w:sz w:val="20"/>
                <w:szCs w:val="20"/>
                <w:color w:val="auto"/>
              </w:rPr>
            </w:pPr>
            <w:r>
              <w:rPr>
                <w:rFonts w:ascii="Arial" w:cs="Arial" w:eastAsia="Arial" w:hAnsi="Arial"/>
                <w:sz w:val="13"/>
                <w:szCs w:val="13"/>
                <w:color w:val="auto"/>
                <w:w w:val="98"/>
              </w:rPr>
              <w:t>$4,005,648</w:t>
            </w:r>
          </w:p>
        </w:tc>
        <w:tc>
          <w:tcPr>
            <w:tcW w:w="200" w:type="dxa"/>
            <w:vAlign w:val="bottom"/>
            <w:shd w:val="clear" w:color="auto" w:fill="F4F6F6"/>
          </w:tcPr>
          <w:p>
            <w:pPr>
              <w:spacing w:after="0"/>
              <w:rPr>
                <w:sz w:val="13"/>
                <w:szCs w:val="13"/>
                <w:color w:val="auto"/>
              </w:rPr>
            </w:pPr>
          </w:p>
        </w:tc>
        <w:tc>
          <w:tcPr>
            <w:tcW w:w="1420" w:type="dxa"/>
            <w:vAlign w:val="bottom"/>
            <w:shd w:val="clear" w:color="auto" w:fill="F4F6F6"/>
          </w:tcPr>
          <w:p>
            <w:pPr>
              <w:spacing w:after="0"/>
              <w:rPr>
                <w:sz w:val="13"/>
                <w:szCs w:val="13"/>
                <w:color w:val="auto"/>
              </w:rPr>
            </w:pPr>
          </w:p>
        </w:tc>
        <w:tc>
          <w:tcPr>
            <w:tcW w:w="108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00" w:type="dxa"/>
            <w:vAlign w:val="bottom"/>
            <w:tcBorders>
              <w:bottom w:val="single" w:sz="8" w:color="C8C9CB"/>
            </w:tcBorders>
            <w:shd w:val="clear" w:color="auto" w:fill="F4F6F6"/>
          </w:tcPr>
          <w:p>
            <w:pPr>
              <w:spacing w:after="0"/>
              <w:rPr>
                <w:sz w:val="15"/>
                <w:szCs w:val="15"/>
                <w:color w:val="auto"/>
              </w:rPr>
            </w:pPr>
          </w:p>
        </w:tc>
        <w:tc>
          <w:tcPr>
            <w:tcW w:w="76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97"/>
              </w:rPr>
              <w:t>Award</w:t>
            </w:r>
          </w:p>
        </w:tc>
        <w:tc>
          <w:tcPr>
            <w:tcW w:w="940" w:type="dxa"/>
            <w:vAlign w:val="bottom"/>
            <w:tcBorders>
              <w:bottom w:val="single" w:sz="8" w:color="C8C9CB"/>
            </w:tcBorders>
            <w:shd w:val="clear" w:color="auto" w:fill="F4F6F6"/>
          </w:tcPr>
          <w:p>
            <w:pPr>
              <w:spacing w:after="0"/>
              <w:rPr>
                <w:sz w:val="15"/>
                <w:szCs w:val="15"/>
                <w:color w:val="auto"/>
              </w:rPr>
            </w:pPr>
          </w:p>
        </w:tc>
        <w:tc>
          <w:tcPr>
            <w:tcW w:w="100" w:type="dxa"/>
            <w:vAlign w:val="bottom"/>
            <w:tcBorders>
              <w:bottom w:val="single" w:sz="8" w:color="C8C9CB"/>
            </w:tcBorders>
            <w:shd w:val="clear" w:color="auto" w:fill="F4F6F6"/>
          </w:tcPr>
          <w:p>
            <w:pPr>
              <w:spacing w:after="0"/>
              <w:rPr>
                <w:sz w:val="15"/>
                <w:szCs w:val="15"/>
                <w:color w:val="auto"/>
              </w:rPr>
            </w:pPr>
          </w:p>
        </w:tc>
        <w:tc>
          <w:tcPr>
            <w:tcW w:w="40" w:type="dxa"/>
            <w:vAlign w:val="bottom"/>
            <w:tcBorders>
              <w:bottom w:val="single" w:sz="8" w:color="C8C9CB"/>
            </w:tcBorders>
            <w:shd w:val="clear" w:color="auto" w:fill="F4F6F6"/>
          </w:tcPr>
          <w:p>
            <w:pPr>
              <w:spacing w:after="0"/>
              <w:rPr>
                <w:sz w:val="15"/>
                <w:szCs w:val="15"/>
                <w:color w:val="auto"/>
              </w:rPr>
            </w:pPr>
          </w:p>
        </w:tc>
        <w:tc>
          <w:tcPr>
            <w:tcW w:w="900" w:type="dxa"/>
            <w:vAlign w:val="bottom"/>
            <w:tcBorders>
              <w:bottom w:val="single" w:sz="8" w:color="C8C9CB"/>
            </w:tcBorders>
            <w:shd w:val="clear" w:color="auto" w:fill="F4F6F6"/>
          </w:tcPr>
          <w:p>
            <w:pPr>
              <w:spacing w:after="0"/>
              <w:rPr>
                <w:sz w:val="15"/>
                <w:szCs w:val="15"/>
                <w:color w:val="auto"/>
              </w:rPr>
            </w:pPr>
          </w:p>
        </w:tc>
        <w:tc>
          <w:tcPr>
            <w:tcW w:w="60" w:type="dxa"/>
            <w:vAlign w:val="bottom"/>
            <w:tcBorders>
              <w:bottom w:val="single" w:sz="8" w:color="C8C9CB"/>
            </w:tcBorders>
            <w:shd w:val="clear" w:color="auto" w:fill="F4F6F6"/>
          </w:tcPr>
          <w:p>
            <w:pPr>
              <w:spacing w:after="0"/>
              <w:rPr>
                <w:sz w:val="15"/>
                <w:szCs w:val="15"/>
                <w:color w:val="auto"/>
              </w:rPr>
            </w:pPr>
          </w:p>
        </w:tc>
        <w:tc>
          <w:tcPr>
            <w:tcW w:w="880" w:type="dxa"/>
            <w:vAlign w:val="bottom"/>
            <w:tcBorders>
              <w:bottom w:val="single" w:sz="8" w:color="C8C9CB"/>
            </w:tcBorders>
            <w:shd w:val="clear" w:color="auto" w:fill="F4F6F6"/>
          </w:tcPr>
          <w:p>
            <w:pPr>
              <w:spacing w:after="0"/>
              <w:rPr>
                <w:sz w:val="15"/>
                <w:szCs w:val="15"/>
                <w:color w:val="auto"/>
              </w:rPr>
            </w:pPr>
          </w:p>
        </w:tc>
        <w:tc>
          <w:tcPr>
            <w:tcW w:w="900" w:type="dxa"/>
            <w:vAlign w:val="bottom"/>
            <w:tcBorders>
              <w:bottom w:val="single" w:sz="8" w:color="C8C9CB"/>
            </w:tcBorders>
            <w:vMerge w:val="continue"/>
            <w:shd w:val="clear" w:color="auto" w:fill="F4F6F6"/>
          </w:tcPr>
          <w:p>
            <w:pPr>
              <w:spacing w:after="0"/>
              <w:rPr>
                <w:sz w:val="15"/>
                <w:szCs w:val="15"/>
                <w:color w:val="auto"/>
              </w:rPr>
            </w:pPr>
          </w:p>
        </w:tc>
        <w:tc>
          <w:tcPr>
            <w:tcW w:w="160" w:type="dxa"/>
            <w:vAlign w:val="bottom"/>
            <w:tcBorders>
              <w:bottom w:val="single" w:sz="8" w:color="C8C9CB"/>
            </w:tcBorders>
            <w:shd w:val="clear" w:color="auto" w:fill="F4F6F6"/>
          </w:tcPr>
          <w:p>
            <w:pPr>
              <w:jc w:val="right"/>
              <w:ind w:right="33"/>
              <w:spacing w:after="0"/>
              <w:rPr>
                <w:sz w:val="20"/>
                <w:szCs w:val="20"/>
                <w:color w:val="auto"/>
              </w:rPr>
            </w:pPr>
            <w:r>
              <w:rPr>
                <w:rFonts w:ascii="Arial" w:cs="Arial" w:eastAsia="Arial" w:hAnsi="Arial"/>
                <w:sz w:val="9"/>
                <w:szCs w:val="9"/>
                <w:color w:val="auto"/>
              </w:rPr>
              <w:t>7</w:t>
            </w:r>
          </w:p>
        </w:tc>
        <w:tc>
          <w:tcPr>
            <w:tcW w:w="880" w:type="dxa"/>
            <w:vAlign w:val="bottom"/>
            <w:tcBorders>
              <w:bottom w:val="single" w:sz="8" w:color="C8C9CB"/>
            </w:tcBorders>
            <w:vMerge w:val="continue"/>
            <w:shd w:val="clear" w:color="auto" w:fill="F4F6F6"/>
          </w:tcPr>
          <w:p>
            <w:pPr>
              <w:spacing w:after="0"/>
              <w:rPr>
                <w:sz w:val="15"/>
                <w:szCs w:val="15"/>
                <w:color w:val="auto"/>
              </w:rPr>
            </w:pPr>
          </w:p>
        </w:tc>
        <w:tc>
          <w:tcPr>
            <w:tcW w:w="200" w:type="dxa"/>
            <w:vAlign w:val="bottom"/>
            <w:tcBorders>
              <w:bottom w:val="single" w:sz="8" w:color="C8C9CB"/>
            </w:tcBorders>
            <w:shd w:val="clear" w:color="auto" w:fill="F4F6F6"/>
          </w:tcPr>
          <w:p>
            <w:pPr>
              <w:spacing w:after="0"/>
              <w:rPr>
                <w:sz w:val="15"/>
                <w:szCs w:val="15"/>
                <w:color w:val="auto"/>
              </w:rPr>
            </w:pPr>
          </w:p>
        </w:tc>
        <w:tc>
          <w:tcPr>
            <w:tcW w:w="1420" w:type="dxa"/>
            <w:vAlign w:val="bottom"/>
            <w:tcBorders>
              <w:bottom w:val="single" w:sz="8" w:color="C8C9CB"/>
            </w:tcBorders>
            <w:shd w:val="clear" w:color="auto" w:fill="F4F6F6"/>
          </w:tcPr>
          <w:p>
            <w:pPr>
              <w:spacing w:after="0"/>
              <w:rPr>
                <w:sz w:val="15"/>
                <w:szCs w:val="15"/>
                <w:color w:val="auto"/>
              </w:rPr>
            </w:pPr>
          </w:p>
        </w:tc>
        <w:tc>
          <w:tcPr>
            <w:tcW w:w="1080" w:type="dxa"/>
            <w:vAlign w:val="bottom"/>
            <w:tcBorders>
              <w:bottom w:val="single" w:sz="8" w:color="C8C9CB"/>
            </w:tcBorders>
            <w:shd w:val="clear" w:color="auto" w:fill="F4F6F6"/>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00" w:type="dxa"/>
            <w:vAlign w:val="bottom"/>
          </w:tcPr>
          <w:p>
            <w:pPr>
              <w:ind w:left="20"/>
              <w:spacing w:after="0" w:line="140" w:lineRule="exact"/>
              <w:rPr>
                <w:sz w:val="20"/>
                <w:szCs w:val="20"/>
                <w:color w:val="auto"/>
              </w:rPr>
            </w:pPr>
            <w:r>
              <w:rPr>
                <w:rFonts w:ascii="Arial" w:cs="Arial" w:eastAsia="Arial" w:hAnsi="Arial"/>
                <w:sz w:val="13"/>
                <w:szCs w:val="13"/>
                <w:color w:val="auto"/>
              </w:rPr>
              <w:t>Dr.</w:t>
            </w:r>
          </w:p>
        </w:tc>
        <w:tc>
          <w:tcPr>
            <w:tcW w:w="760" w:type="dxa"/>
            <w:vAlign w:val="bottom"/>
          </w:tcPr>
          <w:p>
            <w:pPr>
              <w:jc w:val="center"/>
              <w:spacing w:after="0" w:line="140" w:lineRule="exact"/>
              <w:rPr>
                <w:sz w:val="20"/>
                <w:szCs w:val="20"/>
                <w:color w:val="auto"/>
              </w:rPr>
            </w:pPr>
            <w:r>
              <w:rPr>
                <w:rFonts w:ascii="Arial" w:cs="Arial" w:eastAsia="Arial" w:hAnsi="Arial"/>
                <w:sz w:val="13"/>
                <w:szCs w:val="13"/>
                <w:color w:val="auto"/>
                <w:w w:val="96"/>
              </w:rPr>
              <w:t>2018-2020</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3"/>
                <w:szCs w:val="13"/>
                <w:color w:val="auto"/>
              </w:rPr>
              <w:t xml:space="preserve">33,692 </w:t>
            </w:r>
            <w:r>
              <w:rPr>
                <w:rFonts w:ascii="Arial" w:cs="Arial" w:eastAsia="Arial" w:hAnsi="Arial"/>
                <w:sz w:val="8"/>
                <w:szCs w:val="8"/>
                <w:color w:val="auto"/>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98"/>
              </w:rPr>
              <w:t>$3,898,838</w:t>
            </w:r>
          </w:p>
        </w:tc>
        <w:tc>
          <w:tcPr>
            <w:tcW w:w="0" w:type="dxa"/>
            <w:vAlign w:val="bottom"/>
          </w:tcPr>
          <w:p>
            <w:pPr>
              <w:spacing w:after="0"/>
              <w:rPr>
                <w:sz w:val="1"/>
                <w:szCs w:val="1"/>
                <w:color w:val="auto"/>
              </w:rPr>
            </w:pPr>
          </w:p>
        </w:tc>
      </w:tr>
      <w:tr>
        <w:trPr>
          <w:trHeight w:val="170"/>
        </w:trPr>
        <w:tc>
          <w:tcPr>
            <w:tcW w:w="700" w:type="dxa"/>
            <w:vAlign w:val="bottom"/>
          </w:tcPr>
          <w:p>
            <w:pPr>
              <w:ind w:left="20"/>
              <w:spacing w:after="0"/>
              <w:rPr>
                <w:sz w:val="20"/>
                <w:szCs w:val="20"/>
                <w:color w:val="auto"/>
              </w:rPr>
            </w:pPr>
            <w:r>
              <w:rPr>
                <w:rFonts w:ascii="Arial" w:cs="Arial" w:eastAsia="Arial" w:hAnsi="Arial"/>
                <w:sz w:val="13"/>
                <w:szCs w:val="13"/>
                <w:color w:val="auto"/>
                <w:w w:val="98"/>
              </w:rPr>
              <w:t>Skovronsky</w:t>
            </w: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SVA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2017-</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3"/>
                <w:szCs w:val="13"/>
                <w:color w:val="auto"/>
              </w:rPr>
              <w:t xml:space="preserve">14,646 </w:t>
            </w:r>
            <w:r>
              <w:rPr>
                <w:rFonts w:ascii="Arial" w:cs="Arial" w:eastAsia="Arial" w:hAnsi="Arial"/>
                <w:sz w:val="8"/>
                <w:szCs w:val="8"/>
                <w:color w:val="auto"/>
              </w:rPr>
              <w:t>2</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98"/>
              </w:rPr>
              <w:t>$1,694,835</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5"/>
              </w:rPr>
              <w:t>2019 SVA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2018-2019</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3"/>
                <w:szCs w:val="13"/>
                <w:color w:val="auto"/>
              </w:rPr>
              <w:t xml:space="preserve">24,083 </w:t>
            </w:r>
            <w:r>
              <w:rPr>
                <w:rFonts w:ascii="Arial" w:cs="Arial" w:eastAsia="Arial" w:hAnsi="Arial"/>
                <w:sz w:val="8"/>
                <w:szCs w:val="8"/>
                <w:color w:val="auto"/>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98"/>
              </w:rPr>
              <w:t>$2,786,885</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PA</w:t>
            </w: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00" w:type="dxa"/>
            <w:vAlign w:val="bottom"/>
            <w:shd w:val="clear" w:color="auto" w:fill="F4F6F6"/>
          </w:tcPr>
          <w:p>
            <w:pPr>
              <w:ind w:left="20"/>
              <w:spacing w:after="0" w:line="140" w:lineRule="exact"/>
              <w:rPr>
                <w:sz w:val="20"/>
                <w:szCs w:val="20"/>
                <w:color w:val="auto"/>
              </w:rPr>
            </w:pPr>
            <w:r>
              <w:rPr>
                <w:rFonts w:ascii="Arial" w:cs="Arial" w:eastAsia="Arial" w:hAnsi="Arial"/>
                <w:sz w:val="13"/>
                <w:szCs w:val="13"/>
                <w:color w:val="auto"/>
              </w:rPr>
              <w:t>Mr.</w:t>
            </w:r>
          </w:p>
        </w:tc>
        <w:tc>
          <w:tcPr>
            <w:tcW w:w="760" w:type="dxa"/>
            <w:vAlign w:val="bottom"/>
            <w:shd w:val="clear" w:color="auto" w:fill="F4F6F6"/>
          </w:tcPr>
          <w:p>
            <w:pPr>
              <w:jc w:val="center"/>
              <w:spacing w:after="0" w:line="140" w:lineRule="exact"/>
              <w:rPr>
                <w:sz w:val="20"/>
                <w:szCs w:val="20"/>
                <w:color w:val="auto"/>
              </w:rPr>
            </w:pPr>
            <w:r>
              <w:rPr>
                <w:rFonts w:ascii="Arial" w:cs="Arial" w:eastAsia="Arial" w:hAnsi="Arial"/>
                <w:sz w:val="13"/>
                <w:szCs w:val="13"/>
                <w:color w:val="auto"/>
                <w:w w:val="96"/>
              </w:rPr>
              <w:t>2018-2020</w:t>
            </w:r>
          </w:p>
        </w:tc>
        <w:tc>
          <w:tcPr>
            <w:tcW w:w="940" w:type="dxa"/>
            <w:vAlign w:val="bottom"/>
            <w:shd w:val="clear" w:color="auto" w:fill="F4F6F6"/>
          </w:tcPr>
          <w:p>
            <w:pPr>
              <w:spacing w:after="0"/>
              <w:rPr>
                <w:sz w:val="12"/>
                <w:szCs w:val="12"/>
                <w:color w:val="auto"/>
              </w:rPr>
            </w:pPr>
          </w:p>
        </w:tc>
        <w:tc>
          <w:tcPr>
            <w:tcW w:w="100" w:type="dxa"/>
            <w:vAlign w:val="bottom"/>
            <w:shd w:val="clear" w:color="auto" w:fill="F4F6F6"/>
          </w:tcPr>
          <w:p>
            <w:pPr>
              <w:spacing w:after="0"/>
              <w:rPr>
                <w:sz w:val="12"/>
                <w:szCs w:val="12"/>
                <w:color w:val="auto"/>
              </w:rPr>
            </w:pPr>
          </w:p>
        </w:tc>
        <w:tc>
          <w:tcPr>
            <w:tcW w:w="40" w:type="dxa"/>
            <w:vAlign w:val="bottom"/>
            <w:shd w:val="clear" w:color="auto" w:fill="F4F6F6"/>
          </w:tcPr>
          <w:p>
            <w:pPr>
              <w:spacing w:after="0"/>
              <w:rPr>
                <w:sz w:val="12"/>
                <w:szCs w:val="12"/>
                <w:color w:val="auto"/>
              </w:rPr>
            </w:pPr>
          </w:p>
        </w:tc>
        <w:tc>
          <w:tcPr>
            <w:tcW w:w="900" w:type="dxa"/>
            <w:vAlign w:val="bottom"/>
            <w:shd w:val="clear" w:color="auto" w:fill="F4F6F6"/>
          </w:tcPr>
          <w:p>
            <w:pPr>
              <w:spacing w:after="0"/>
              <w:rPr>
                <w:sz w:val="12"/>
                <w:szCs w:val="12"/>
                <w:color w:val="auto"/>
              </w:rPr>
            </w:pPr>
          </w:p>
        </w:tc>
        <w:tc>
          <w:tcPr>
            <w:tcW w:w="60" w:type="dxa"/>
            <w:vAlign w:val="bottom"/>
            <w:shd w:val="clear" w:color="auto" w:fill="F4F6F6"/>
          </w:tcPr>
          <w:p>
            <w:pPr>
              <w:spacing w:after="0"/>
              <w:rPr>
                <w:sz w:val="12"/>
                <w:szCs w:val="12"/>
                <w:color w:val="auto"/>
              </w:rPr>
            </w:pPr>
          </w:p>
        </w:tc>
        <w:tc>
          <w:tcPr>
            <w:tcW w:w="880" w:type="dxa"/>
            <w:vAlign w:val="bottom"/>
            <w:shd w:val="clear" w:color="auto" w:fill="F4F6F6"/>
          </w:tcPr>
          <w:p>
            <w:pPr>
              <w:spacing w:after="0"/>
              <w:rPr>
                <w:sz w:val="12"/>
                <w:szCs w:val="12"/>
                <w:color w:val="auto"/>
              </w:rPr>
            </w:pPr>
          </w:p>
        </w:tc>
        <w:tc>
          <w:tcPr>
            <w:tcW w:w="900" w:type="dxa"/>
            <w:vAlign w:val="bottom"/>
            <w:shd w:val="clear" w:color="auto" w:fill="F4F6F6"/>
          </w:tcPr>
          <w:p>
            <w:pPr>
              <w:spacing w:after="0"/>
              <w:rPr>
                <w:sz w:val="12"/>
                <w:szCs w:val="12"/>
                <w:color w:val="auto"/>
              </w:rPr>
            </w:pPr>
          </w:p>
        </w:tc>
        <w:tc>
          <w:tcPr>
            <w:tcW w:w="160" w:type="dxa"/>
            <w:vAlign w:val="bottom"/>
            <w:shd w:val="clear" w:color="auto" w:fill="F4F6F6"/>
          </w:tcPr>
          <w:p>
            <w:pPr>
              <w:spacing w:after="0"/>
              <w:rPr>
                <w:sz w:val="12"/>
                <w:szCs w:val="12"/>
                <w:color w:val="auto"/>
              </w:rPr>
            </w:pPr>
          </w:p>
        </w:tc>
        <w:tc>
          <w:tcPr>
            <w:tcW w:w="880" w:type="dxa"/>
            <w:vAlign w:val="bottom"/>
            <w:shd w:val="clear" w:color="auto" w:fill="F4F6F6"/>
          </w:tcPr>
          <w:p>
            <w:pPr>
              <w:spacing w:after="0"/>
              <w:rPr>
                <w:sz w:val="12"/>
                <w:szCs w:val="12"/>
                <w:color w:val="auto"/>
              </w:rPr>
            </w:pPr>
          </w:p>
        </w:tc>
        <w:tc>
          <w:tcPr>
            <w:tcW w:w="1620" w:type="dxa"/>
            <w:vAlign w:val="bottom"/>
            <w:gridSpan w:val="2"/>
            <w:vMerge w:val="restart"/>
            <w:shd w:val="clear" w:color="auto" w:fill="F4F6F6"/>
          </w:tcPr>
          <w:p>
            <w:pPr>
              <w:jc w:val="right"/>
              <w:spacing w:after="0"/>
              <w:rPr>
                <w:sz w:val="20"/>
                <w:szCs w:val="20"/>
                <w:color w:val="auto"/>
              </w:rPr>
            </w:pPr>
            <w:r>
              <w:rPr>
                <w:rFonts w:ascii="Arial" w:cs="Arial" w:eastAsia="Arial" w:hAnsi="Arial"/>
                <w:sz w:val="13"/>
                <w:szCs w:val="13"/>
                <w:color w:val="auto"/>
              </w:rPr>
              <w:t xml:space="preserve">31,448 </w:t>
            </w:r>
            <w:r>
              <w:rPr>
                <w:rFonts w:ascii="Arial" w:cs="Arial" w:eastAsia="Arial" w:hAnsi="Arial"/>
                <w:sz w:val="8"/>
                <w:szCs w:val="8"/>
                <w:color w:val="auto"/>
              </w:rPr>
              <w:t>1</w:t>
            </w:r>
          </w:p>
        </w:tc>
        <w:tc>
          <w:tcPr>
            <w:tcW w:w="10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$3,639,163</w:t>
            </w:r>
          </w:p>
        </w:tc>
        <w:tc>
          <w:tcPr>
            <w:tcW w:w="0" w:type="dxa"/>
            <w:vAlign w:val="bottom"/>
          </w:tcPr>
          <w:p>
            <w:pPr>
              <w:spacing w:after="0"/>
              <w:rPr>
                <w:sz w:val="1"/>
                <w:szCs w:val="1"/>
                <w:color w:val="auto"/>
              </w:rPr>
            </w:pPr>
          </w:p>
        </w:tc>
      </w:tr>
      <w:tr>
        <w:trPr>
          <w:trHeight w:val="170"/>
        </w:trPr>
        <w:tc>
          <w:tcPr>
            <w:tcW w:w="700" w:type="dxa"/>
            <w:vAlign w:val="bottom"/>
            <w:shd w:val="clear" w:color="auto" w:fill="F4F6F6"/>
          </w:tcPr>
          <w:p>
            <w:pPr>
              <w:ind w:left="20"/>
              <w:spacing w:after="0"/>
              <w:rPr>
                <w:sz w:val="20"/>
                <w:szCs w:val="20"/>
                <w:color w:val="auto"/>
              </w:rPr>
            </w:pPr>
            <w:r>
              <w:rPr>
                <w:rFonts w:ascii="Arial" w:cs="Arial" w:eastAsia="Arial" w:hAnsi="Arial"/>
                <w:sz w:val="13"/>
                <w:szCs w:val="13"/>
                <w:color w:val="auto"/>
              </w:rPr>
              <w:t>Simmons</w:t>
            </w: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2"/>
              </w:rPr>
              <w:t>SVA</w:t>
            </w:r>
          </w:p>
        </w:tc>
        <w:tc>
          <w:tcPr>
            <w:tcW w:w="940" w:type="dxa"/>
            <w:vAlign w:val="bottom"/>
            <w:shd w:val="clear" w:color="auto" w:fill="F4F6F6"/>
          </w:tcPr>
          <w:p>
            <w:pPr>
              <w:spacing w:after="0"/>
              <w:rPr>
                <w:sz w:val="14"/>
                <w:szCs w:val="14"/>
                <w:color w:val="auto"/>
              </w:rPr>
            </w:pPr>
          </w:p>
        </w:tc>
        <w:tc>
          <w:tcPr>
            <w:tcW w:w="100" w:type="dxa"/>
            <w:vAlign w:val="bottom"/>
            <w:shd w:val="clear" w:color="auto" w:fill="F4F6F6"/>
          </w:tcPr>
          <w:p>
            <w:pPr>
              <w:spacing w:after="0"/>
              <w:rPr>
                <w:sz w:val="14"/>
                <w:szCs w:val="14"/>
                <w:color w:val="auto"/>
              </w:rPr>
            </w:pPr>
          </w:p>
        </w:tc>
        <w:tc>
          <w:tcPr>
            <w:tcW w:w="4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1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1620" w:type="dxa"/>
            <w:vAlign w:val="bottom"/>
            <w:gridSpan w:val="2"/>
            <w:vMerge w:val="continue"/>
            <w:shd w:val="clear" w:color="auto" w:fill="F4F6F6"/>
          </w:tcPr>
          <w:p>
            <w:pPr>
              <w:spacing w:after="0"/>
              <w:rPr>
                <w:sz w:val="14"/>
                <w:szCs w:val="14"/>
                <w:color w:val="auto"/>
              </w:rPr>
            </w:pPr>
          </w:p>
        </w:tc>
        <w:tc>
          <w:tcPr>
            <w:tcW w:w="1080" w:type="dxa"/>
            <w:vAlign w:val="bottom"/>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0" w:type="dxa"/>
            <w:vAlign w:val="bottom"/>
            <w:shd w:val="clear" w:color="auto" w:fill="F4F6F6"/>
          </w:tcPr>
          <w:p>
            <w:pPr>
              <w:spacing w:after="0"/>
              <w:rPr>
                <w:sz w:val="13"/>
                <w:szCs w:val="13"/>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2017-</w:t>
            </w:r>
          </w:p>
        </w:tc>
        <w:tc>
          <w:tcPr>
            <w:tcW w:w="940" w:type="dxa"/>
            <w:vAlign w:val="bottom"/>
            <w:shd w:val="clear" w:color="auto" w:fill="F4F6F6"/>
          </w:tcPr>
          <w:p>
            <w:pPr>
              <w:spacing w:after="0"/>
              <w:rPr>
                <w:sz w:val="13"/>
                <w:szCs w:val="13"/>
                <w:color w:val="auto"/>
              </w:rPr>
            </w:pPr>
          </w:p>
        </w:tc>
        <w:tc>
          <w:tcPr>
            <w:tcW w:w="100" w:type="dxa"/>
            <w:vAlign w:val="bottom"/>
            <w:shd w:val="clear" w:color="auto" w:fill="F4F6F6"/>
          </w:tcPr>
          <w:p>
            <w:pPr>
              <w:spacing w:after="0"/>
              <w:rPr>
                <w:sz w:val="13"/>
                <w:szCs w:val="13"/>
                <w:color w:val="auto"/>
              </w:rPr>
            </w:pPr>
          </w:p>
        </w:tc>
        <w:tc>
          <w:tcPr>
            <w:tcW w:w="4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1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1620" w:type="dxa"/>
            <w:vAlign w:val="bottom"/>
            <w:gridSpan w:val="2"/>
            <w:vMerge w:val="restart"/>
            <w:shd w:val="clear" w:color="auto" w:fill="F4F6F6"/>
          </w:tcPr>
          <w:p>
            <w:pPr>
              <w:jc w:val="right"/>
              <w:spacing w:after="0"/>
              <w:rPr>
                <w:sz w:val="20"/>
                <w:szCs w:val="20"/>
                <w:color w:val="auto"/>
              </w:rPr>
            </w:pPr>
            <w:r>
              <w:rPr>
                <w:rFonts w:ascii="Arial" w:cs="Arial" w:eastAsia="Arial" w:hAnsi="Arial"/>
                <w:sz w:val="13"/>
                <w:szCs w:val="13"/>
                <w:color w:val="auto"/>
              </w:rPr>
              <w:t xml:space="preserve">33,074 </w:t>
            </w:r>
            <w:r>
              <w:rPr>
                <w:rFonts w:ascii="Arial" w:cs="Arial" w:eastAsia="Arial" w:hAnsi="Arial"/>
                <w:sz w:val="8"/>
                <w:szCs w:val="8"/>
                <w:color w:val="auto"/>
              </w:rPr>
              <w:t>2</w:t>
            </w:r>
          </w:p>
        </w:tc>
        <w:tc>
          <w:tcPr>
            <w:tcW w:w="10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$3,827,323</w:t>
            </w:r>
          </w:p>
        </w:tc>
        <w:tc>
          <w:tcPr>
            <w:tcW w:w="0" w:type="dxa"/>
            <w:vAlign w:val="bottom"/>
          </w:tcPr>
          <w:p>
            <w:pPr>
              <w:spacing w:after="0"/>
              <w:rPr>
                <w:sz w:val="1"/>
                <w:szCs w:val="1"/>
                <w:color w:val="auto"/>
              </w:rPr>
            </w:pPr>
          </w:p>
        </w:tc>
      </w:tr>
      <w:tr>
        <w:trPr>
          <w:trHeight w:val="170"/>
        </w:trPr>
        <w:tc>
          <w:tcPr>
            <w:tcW w:w="700" w:type="dxa"/>
            <w:vAlign w:val="bottom"/>
            <w:shd w:val="clear" w:color="auto" w:fill="F4F6F6"/>
          </w:tcPr>
          <w:p>
            <w:pPr>
              <w:spacing w:after="0"/>
              <w:rPr>
                <w:sz w:val="14"/>
                <w:szCs w:val="14"/>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5"/>
              </w:rPr>
              <w:t>2019 SVA</w:t>
            </w:r>
          </w:p>
        </w:tc>
        <w:tc>
          <w:tcPr>
            <w:tcW w:w="940" w:type="dxa"/>
            <w:vAlign w:val="bottom"/>
            <w:shd w:val="clear" w:color="auto" w:fill="F4F6F6"/>
          </w:tcPr>
          <w:p>
            <w:pPr>
              <w:spacing w:after="0"/>
              <w:rPr>
                <w:sz w:val="14"/>
                <w:szCs w:val="14"/>
                <w:color w:val="auto"/>
              </w:rPr>
            </w:pPr>
          </w:p>
        </w:tc>
        <w:tc>
          <w:tcPr>
            <w:tcW w:w="100" w:type="dxa"/>
            <w:vAlign w:val="bottom"/>
            <w:shd w:val="clear" w:color="auto" w:fill="F4F6F6"/>
          </w:tcPr>
          <w:p>
            <w:pPr>
              <w:spacing w:after="0"/>
              <w:rPr>
                <w:sz w:val="14"/>
                <w:szCs w:val="14"/>
                <w:color w:val="auto"/>
              </w:rPr>
            </w:pPr>
          </w:p>
        </w:tc>
        <w:tc>
          <w:tcPr>
            <w:tcW w:w="4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1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1620" w:type="dxa"/>
            <w:vAlign w:val="bottom"/>
            <w:gridSpan w:val="2"/>
            <w:vMerge w:val="continue"/>
            <w:shd w:val="clear" w:color="auto" w:fill="F4F6F6"/>
          </w:tcPr>
          <w:p>
            <w:pPr>
              <w:spacing w:after="0"/>
              <w:rPr>
                <w:sz w:val="14"/>
                <w:szCs w:val="14"/>
                <w:color w:val="auto"/>
              </w:rPr>
            </w:pPr>
          </w:p>
        </w:tc>
        <w:tc>
          <w:tcPr>
            <w:tcW w:w="1080" w:type="dxa"/>
            <w:vAlign w:val="bottom"/>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0" w:type="dxa"/>
            <w:vAlign w:val="bottom"/>
            <w:shd w:val="clear" w:color="auto" w:fill="F4F6F6"/>
          </w:tcPr>
          <w:p>
            <w:pPr>
              <w:spacing w:after="0"/>
              <w:rPr>
                <w:sz w:val="13"/>
                <w:szCs w:val="13"/>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2018-2020</w:t>
            </w:r>
          </w:p>
        </w:tc>
        <w:tc>
          <w:tcPr>
            <w:tcW w:w="940" w:type="dxa"/>
            <w:vAlign w:val="bottom"/>
            <w:shd w:val="clear" w:color="auto" w:fill="F4F6F6"/>
          </w:tcPr>
          <w:p>
            <w:pPr>
              <w:spacing w:after="0"/>
              <w:rPr>
                <w:sz w:val="13"/>
                <w:szCs w:val="13"/>
                <w:color w:val="auto"/>
              </w:rPr>
            </w:pPr>
          </w:p>
        </w:tc>
        <w:tc>
          <w:tcPr>
            <w:tcW w:w="100" w:type="dxa"/>
            <w:vAlign w:val="bottom"/>
            <w:shd w:val="clear" w:color="auto" w:fill="F4F6F6"/>
          </w:tcPr>
          <w:p>
            <w:pPr>
              <w:spacing w:after="0"/>
              <w:rPr>
                <w:sz w:val="13"/>
                <w:szCs w:val="13"/>
                <w:color w:val="auto"/>
              </w:rPr>
            </w:pPr>
          </w:p>
        </w:tc>
        <w:tc>
          <w:tcPr>
            <w:tcW w:w="4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1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1620" w:type="dxa"/>
            <w:vAlign w:val="bottom"/>
            <w:gridSpan w:val="2"/>
            <w:vMerge w:val="restart"/>
            <w:shd w:val="clear" w:color="auto" w:fill="F4F6F6"/>
          </w:tcPr>
          <w:p>
            <w:pPr>
              <w:jc w:val="right"/>
              <w:spacing w:after="0"/>
              <w:rPr>
                <w:sz w:val="20"/>
                <w:szCs w:val="20"/>
                <w:color w:val="auto"/>
              </w:rPr>
            </w:pPr>
            <w:r>
              <w:rPr>
                <w:rFonts w:ascii="Arial" w:cs="Arial" w:eastAsia="Arial" w:hAnsi="Arial"/>
                <w:sz w:val="13"/>
                <w:szCs w:val="13"/>
                <w:color w:val="auto"/>
              </w:rPr>
              <w:t xml:space="preserve">10,052 </w:t>
            </w:r>
            <w:r>
              <w:rPr>
                <w:rFonts w:ascii="Arial" w:cs="Arial" w:eastAsia="Arial" w:hAnsi="Arial"/>
                <w:sz w:val="8"/>
                <w:szCs w:val="8"/>
                <w:color w:val="auto"/>
              </w:rPr>
              <w:t>3</w:t>
            </w:r>
          </w:p>
        </w:tc>
        <w:tc>
          <w:tcPr>
            <w:tcW w:w="108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w w:val="98"/>
              </w:rPr>
              <w:t>$1,163,217</w:t>
            </w:r>
          </w:p>
        </w:tc>
        <w:tc>
          <w:tcPr>
            <w:tcW w:w="0" w:type="dxa"/>
            <w:vAlign w:val="bottom"/>
          </w:tcPr>
          <w:p>
            <w:pPr>
              <w:spacing w:after="0"/>
              <w:rPr>
                <w:sz w:val="1"/>
                <w:szCs w:val="1"/>
                <w:color w:val="auto"/>
              </w:rPr>
            </w:pPr>
          </w:p>
        </w:tc>
      </w:tr>
      <w:tr>
        <w:trPr>
          <w:trHeight w:val="170"/>
        </w:trPr>
        <w:tc>
          <w:tcPr>
            <w:tcW w:w="700" w:type="dxa"/>
            <w:vAlign w:val="bottom"/>
            <w:shd w:val="clear" w:color="auto" w:fill="F4F6F6"/>
          </w:tcPr>
          <w:p>
            <w:pPr>
              <w:spacing w:after="0"/>
              <w:rPr>
                <w:sz w:val="14"/>
                <w:szCs w:val="14"/>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1"/>
              </w:rPr>
              <w:t>PA</w:t>
            </w:r>
          </w:p>
        </w:tc>
        <w:tc>
          <w:tcPr>
            <w:tcW w:w="940" w:type="dxa"/>
            <w:vAlign w:val="bottom"/>
            <w:shd w:val="clear" w:color="auto" w:fill="F4F6F6"/>
          </w:tcPr>
          <w:p>
            <w:pPr>
              <w:spacing w:after="0"/>
              <w:rPr>
                <w:sz w:val="14"/>
                <w:szCs w:val="14"/>
                <w:color w:val="auto"/>
              </w:rPr>
            </w:pPr>
          </w:p>
        </w:tc>
        <w:tc>
          <w:tcPr>
            <w:tcW w:w="100" w:type="dxa"/>
            <w:vAlign w:val="bottom"/>
            <w:shd w:val="clear" w:color="auto" w:fill="F4F6F6"/>
          </w:tcPr>
          <w:p>
            <w:pPr>
              <w:spacing w:after="0"/>
              <w:rPr>
                <w:sz w:val="14"/>
                <w:szCs w:val="14"/>
                <w:color w:val="auto"/>
              </w:rPr>
            </w:pPr>
          </w:p>
        </w:tc>
        <w:tc>
          <w:tcPr>
            <w:tcW w:w="4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1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1620" w:type="dxa"/>
            <w:vAlign w:val="bottom"/>
            <w:gridSpan w:val="2"/>
            <w:vMerge w:val="continue"/>
            <w:shd w:val="clear" w:color="auto" w:fill="F4F6F6"/>
          </w:tcPr>
          <w:p>
            <w:pPr>
              <w:spacing w:after="0"/>
              <w:rPr>
                <w:sz w:val="14"/>
                <w:szCs w:val="14"/>
                <w:color w:val="auto"/>
              </w:rPr>
            </w:pPr>
          </w:p>
        </w:tc>
        <w:tc>
          <w:tcPr>
            <w:tcW w:w="1080" w:type="dxa"/>
            <w:vAlign w:val="bottom"/>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0" w:type="dxa"/>
            <w:vAlign w:val="bottom"/>
            <w:shd w:val="clear" w:color="auto" w:fill="F4F6F6"/>
          </w:tcPr>
          <w:p>
            <w:pPr>
              <w:spacing w:after="0"/>
              <w:rPr>
                <w:sz w:val="13"/>
                <w:szCs w:val="13"/>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2017-2019</w:t>
            </w:r>
          </w:p>
        </w:tc>
        <w:tc>
          <w:tcPr>
            <w:tcW w:w="940" w:type="dxa"/>
            <w:vAlign w:val="bottom"/>
            <w:shd w:val="clear" w:color="auto" w:fill="F4F6F6"/>
          </w:tcPr>
          <w:p>
            <w:pPr>
              <w:spacing w:after="0"/>
              <w:rPr>
                <w:sz w:val="13"/>
                <w:szCs w:val="13"/>
                <w:color w:val="auto"/>
              </w:rPr>
            </w:pPr>
          </w:p>
        </w:tc>
        <w:tc>
          <w:tcPr>
            <w:tcW w:w="100" w:type="dxa"/>
            <w:vAlign w:val="bottom"/>
            <w:shd w:val="clear" w:color="auto" w:fill="F4F6F6"/>
          </w:tcPr>
          <w:p>
            <w:pPr>
              <w:spacing w:after="0"/>
              <w:rPr>
                <w:sz w:val="13"/>
                <w:szCs w:val="13"/>
                <w:color w:val="auto"/>
              </w:rPr>
            </w:pPr>
          </w:p>
        </w:tc>
        <w:tc>
          <w:tcPr>
            <w:tcW w:w="40" w:type="dxa"/>
            <w:vAlign w:val="bottom"/>
            <w:shd w:val="clear" w:color="auto" w:fill="F4F6F6"/>
          </w:tcPr>
          <w:p>
            <w:pPr>
              <w:spacing w:after="0"/>
              <w:rPr>
                <w:sz w:val="13"/>
                <w:szCs w:val="13"/>
                <w:color w:val="auto"/>
              </w:rPr>
            </w:pPr>
          </w:p>
        </w:tc>
        <w:tc>
          <w:tcPr>
            <w:tcW w:w="900" w:type="dxa"/>
            <w:vAlign w:val="bottom"/>
            <w:shd w:val="clear" w:color="auto" w:fill="F4F6F6"/>
          </w:tcPr>
          <w:p>
            <w:pPr>
              <w:spacing w:after="0"/>
              <w:rPr>
                <w:sz w:val="13"/>
                <w:szCs w:val="13"/>
                <w:color w:val="auto"/>
              </w:rPr>
            </w:pPr>
          </w:p>
        </w:tc>
        <w:tc>
          <w:tcPr>
            <w:tcW w:w="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900" w:type="dxa"/>
            <w:vAlign w:val="bottom"/>
            <w:vMerge w:val="restart"/>
            <w:shd w:val="clear" w:color="auto" w:fill="F4F6F6"/>
          </w:tcPr>
          <w:p>
            <w:pPr>
              <w:jc w:val="right"/>
              <w:spacing w:after="0"/>
              <w:rPr>
                <w:sz w:val="20"/>
                <w:szCs w:val="20"/>
                <w:color w:val="auto"/>
              </w:rPr>
            </w:pPr>
            <w:r>
              <w:rPr>
                <w:rFonts w:ascii="Arial" w:cs="Arial" w:eastAsia="Arial" w:hAnsi="Arial"/>
                <w:sz w:val="13"/>
                <w:szCs w:val="13"/>
                <w:color w:val="auto"/>
              </w:rPr>
              <w:t>16,317</w:t>
            </w:r>
          </w:p>
        </w:tc>
        <w:tc>
          <w:tcPr>
            <w:tcW w:w="160" w:type="dxa"/>
            <w:vAlign w:val="bottom"/>
            <w:vMerge w:val="restart"/>
            <w:shd w:val="clear" w:color="auto" w:fill="F4F6F6"/>
          </w:tcPr>
          <w:p>
            <w:pPr>
              <w:jc w:val="right"/>
              <w:spacing w:after="0"/>
              <w:rPr>
                <w:sz w:val="20"/>
                <w:szCs w:val="20"/>
                <w:color w:val="auto"/>
              </w:rPr>
            </w:pPr>
            <w:r>
              <w:rPr>
                <w:rFonts w:ascii="Arial" w:cs="Arial" w:eastAsia="Arial" w:hAnsi="Arial"/>
                <w:sz w:val="13"/>
                <w:szCs w:val="13"/>
                <w:color w:val="auto"/>
              </w:rPr>
              <w:t>4</w:t>
            </w:r>
          </w:p>
        </w:tc>
        <w:tc>
          <w:tcPr>
            <w:tcW w:w="880" w:type="dxa"/>
            <w:vAlign w:val="bottom"/>
            <w:vMerge w:val="restart"/>
            <w:shd w:val="clear" w:color="auto" w:fill="F4F6F6"/>
          </w:tcPr>
          <w:p>
            <w:pPr>
              <w:jc w:val="center"/>
              <w:ind w:left="137"/>
              <w:spacing w:after="0"/>
              <w:rPr>
                <w:sz w:val="20"/>
                <w:szCs w:val="20"/>
                <w:color w:val="auto"/>
              </w:rPr>
            </w:pPr>
            <w:r>
              <w:rPr>
                <w:rFonts w:ascii="Arial" w:cs="Arial" w:eastAsia="Arial" w:hAnsi="Arial"/>
                <w:sz w:val="13"/>
                <w:szCs w:val="13"/>
                <w:color w:val="auto"/>
                <w:w w:val="98"/>
              </w:rPr>
              <w:t>$1,888,203</w:t>
            </w:r>
          </w:p>
        </w:tc>
        <w:tc>
          <w:tcPr>
            <w:tcW w:w="200" w:type="dxa"/>
            <w:vAlign w:val="bottom"/>
            <w:shd w:val="clear" w:color="auto" w:fill="F4F6F6"/>
          </w:tcPr>
          <w:p>
            <w:pPr>
              <w:spacing w:after="0"/>
              <w:rPr>
                <w:sz w:val="13"/>
                <w:szCs w:val="13"/>
                <w:color w:val="auto"/>
              </w:rPr>
            </w:pPr>
          </w:p>
        </w:tc>
        <w:tc>
          <w:tcPr>
            <w:tcW w:w="1420" w:type="dxa"/>
            <w:vAlign w:val="bottom"/>
            <w:shd w:val="clear" w:color="auto" w:fill="F4F6F6"/>
          </w:tcPr>
          <w:p>
            <w:pPr>
              <w:spacing w:after="0"/>
              <w:rPr>
                <w:sz w:val="13"/>
                <w:szCs w:val="13"/>
                <w:color w:val="auto"/>
              </w:rPr>
            </w:pPr>
          </w:p>
        </w:tc>
        <w:tc>
          <w:tcPr>
            <w:tcW w:w="108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00" w:type="dxa"/>
            <w:vAlign w:val="bottom"/>
            <w:tcBorders>
              <w:bottom w:val="single" w:sz="8" w:color="F4F6F6"/>
            </w:tcBorders>
            <w:shd w:val="clear" w:color="auto" w:fill="F4F6F6"/>
          </w:tcPr>
          <w:p>
            <w:pPr>
              <w:spacing w:after="0"/>
              <w:rPr>
                <w:sz w:val="15"/>
                <w:szCs w:val="15"/>
                <w:color w:val="auto"/>
              </w:rPr>
            </w:pPr>
          </w:p>
        </w:tc>
        <w:tc>
          <w:tcPr>
            <w:tcW w:w="760" w:type="dxa"/>
            <w:vAlign w:val="bottom"/>
            <w:tcBorders>
              <w:bottom w:val="single" w:sz="8" w:color="F4F6F6"/>
            </w:tcBorders>
            <w:shd w:val="clear" w:color="auto" w:fill="F4F6F6"/>
          </w:tcPr>
          <w:p>
            <w:pPr>
              <w:jc w:val="center"/>
              <w:spacing w:after="0"/>
              <w:rPr>
                <w:sz w:val="20"/>
                <w:szCs w:val="20"/>
                <w:color w:val="auto"/>
              </w:rPr>
            </w:pPr>
            <w:r>
              <w:rPr>
                <w:rFonts w:ascii="Arial" w:cs="Arial" w:eastAsia="Arial" w:hAnsi="Arial"/>
                <w:sz w:val="13"/>
                <w:szCs w:val="13"/>
                <w:color w:val="auto"/>
                <w:w w:val="91"/>
              </w:rPr>
              <w:t>PA</w:t>
            </w:r>
          </w:p>
        </w:tc>
        <w:tc>
          <w:tcPr>
            <w:tcW w:w="940" w:type="dxa"/>
            <w:vAlign w:val="bottom"/>
            <w:tcBorders>
              <w:bottom w:val="single" w:sz="8" w:color="F4F6F6"/>
            </w:tcBorders>
            <w:shd w:val="clear" w:color="auto" w:fill="F4F6F6"/>
          </w:tcPr>
          <w:p>
            <w:pPr>
              <w:spacing w:after="0"/>
              <w:rPr>
                <w:sz w:val="15"/>
                <w:szCs w:val="15"/>
                <w:color w:val="auto"/>
              </w:rPr>
            </w:pPr>
          </w:p>
        </w:tc>
        <w:tc>
          <w:tcPr>
            <w:tcW w:w="100" w:type="dxa"/>
            <w:vAlign w:val="bottom"/>
            <w:tcBorders>
              <w:bottom w:val="single" w:sz="8" w:color="F4F6F6"/>
            </w:tcBorders>
            <w:shd w:val="clear" w:color="auto" w:fill="F4F6F6"/>
          </w:tcPr>
          <w:p>
            <w:pPr>
              <w:spacing w:after="0"/>
              <w:rPr>
                <w:sz w:val="15"/>
                <w:szCs w:val="15"/>
                <w:color w:val="auto"/>
              </w:rPr>
            </w:pPr>
          </w:p>
        </w:tc>
        <w:tc>
          <w:tcPr>
            <w:tcW w:w="40" w:type="dxa"/>
            <w:vAlign w:val="bottom"/>
            <w:tcBorders>
              <w:bottom w:val="single" w:sz="8" w:color="F4F6F6"/>
            </w:tcBorders>
            <w:shd w:val="clear" w:color="auto" w:fill="F4F6F6"/>
          </w:tcPr>
          <w:p>
            <w:pPr>
              <w:spacing w:after="0"/>
              <w:rPr>
                <w:sz w:val="15"/>
                <w:szCs w:val="15"/>
                <w:color w:val="auto"/>
              </w:rPr>
            </w:pPr>
          </w:p>
        </w:tc>
        <w:tc>
          <w:tcPr>
            <w:tcW w:w="900" w:type="dxa"/>
            <w:vAlign w:val="bottom"/>
            <w:tcBorders>
              <w:bottom w:val="single" w:sz="8" w:color="F4F6F6"/>
            </w:tcBorders>
            <w:shd w:val="clear" w:color="auto" w:fill="F4F6F6"/>
          </w:tcPr>
          <w:p>
            <w:pPr>
              <w:spacing w:after="0"/>
              <w:rPr>
                <w:sz w:val="15"/>
                <w:szCs w:val="15"/>
                <w:color w:val="auto"/>
              </w:rPr>
            </w:pPr>
          </w:p>
        </w:tc>
        <w:tc>
          <w:tcPr>
            <w:tcW w:w="60" w:type="dxa"/>
            <w:vAlign w:val="bottom"/>
            <w:tcBorders>
              <w:bottom w:val="single" w:sz="8" w:color="F4F6F6"/>
            </w:tcBorders>
            <w:shd w:val="clear" w:color="auto" w:fill="F4F6F6"/>
          </w:tcPr>
          <w:p>
            <w:pPr>
              <w:spacing w:after="0"/>
              <w:rPr>
                <w:sz w:val="15"/>
                <w:szCs w:val="15"/>
                <w:color w:val="auto"/>
              </w:rPr>
            </w:pPr>
          </w:p>
        </w:tc>
        <w:tc>
          <w:tcPr>
            <w:tcW w:w="880" w:type="dxa"/>
            <w:vAlign w:val="bottom"/>
            <w:tcBorders>
              <w:bottom w:val="single" w:sz="8" w:color="F4F6F6"/>
            </w:tcBorders>
            <w:shd w:val="clear" w:color="auto" w:fill="F4F6F6"/>
          </w:tcPr>
          <w:p>
            <w:pPr>
              <w:spacing w:after="0"/>
              <w:rPr>
                <w:sz w:val="15"/>
                <w:szCs w:val="15"/>
                <w:color w:val="auto"/>
              </w:rPr>
            </w:pPr>
          </w:p>
        </w:tc>
        <w:tc>
          <w:tcPr>
            <w:tcW w:w="900" w:type="dxa"/>
            <w:vAlign w:val="bottom"/>
            <w:tcBorders>
              <w:bottom w:val="single" w:sz="8" w:color="F4F6F6"/>
            </w:tcBorders>
            <w:vMerge w:val="continue"/>
            <w:shd w:val="clear" w:color="auto" w:fill="F4F6F6"/>
          </w:tcPr>
          <w:p>
            <w:pPr>
              <w:spacing w:after="0"/>
              <w:rPr>
                <w:sz w:val="15"/>
                <w:szCs w:val="15"/>
                <w:color w:val="auto"/>
              </w:rPr>
            </w:pPr>
          </w:p>
        </w:tc>
        <w:tc>
          <w:tcPr>
            <w:tcW w:w="160" w:type="dxa"/>
            <w:vAlign w:val="bottom"/>
            <w:tcBorders>
              <w:bottom w:val="single" w:sz="8" w:color="F4F6F6"/>
            </w:tcBorders>
            <w:vMerge w:val="continue"/>
            <w:shd w:val="clear" w:color="auto" w:fill="F4F6F6"/>
          </w:tcPr>
          <w:p>
            <w:pPr>
              <w:spacing w:after="0"/>
              <w:rPr>
                <w:sz w:val="15"/>
                <w:szCs w:val="15"/>
                <w:color w:val="auto"/>
              </w:rPr>
            </w:pPr>
          </w:p>
        </w:tc>
        <w:tc>
          <w:tcPr>
            <w:tcW w:w="880" w:type="dxa"/>
            <w:vAlign w:val="bottom"/>
            <w:tcBorders>
              <w:bottom w:val="single" w:sz="8" w:color="C8C9CB"/>
            </w:tcBorders>
            <w:vMerge w:val="continue"/>
            <w:shd w:val="clear" w:color="auto" w:fill="F4F6F6"/>
          </w:tcPr>
          <w:p>
            <w:pPr>
              <w:spacing w:after="0"/>
              <w:rPr>
                <w:sz w:val="15"/>
                <w:szCs w:val="15"/>
                <w:color w:val="auto"/>
              </w:rPr>
            </w:pPr>
          </w:p>
        </w:tc>
        <w:tc>
          <w:tcPr>
            <w:tcW w:w="200" w:type="dxa"/>
            <w:vAlign w:val="bottom"/>
            <w:tcBorders>
              <w:bottom w:val="single" w:sz="8" w:color="C8C9CB"/>
            </w:tcBorders>
            <w:shd w:val="clear" w:color="auto" w:fill="F4F6F6"/>
          </w:tcPr>
          <w:p>
            <w:pPr>
              <w:spacing w:after="0"/>
              <w:rPr>
                <w:sz w:val="15"/>
                <w:szCs w:val="15"/>
                <w:color w:val="auto"/>
              </w:rPr>
            </w:pPr>
          </w:p>
        </w:tc>
        <w:tc>
          <w:tcPr>
            <w:tcW w:w="1420" w:type="dxa"/>
            <w:vAlign w:val="bottom"/>
            <w:tcBorders>
              <w:bottom w:val="single" w:sz="8" w:color="F4F6F6"/>
            </w:tcBorders>
            <w:shd w:val="clear" w:color="auto" w:fill="F4F6F6"/>
          </w:tcPr>
          <w:p>
            <w:pPr>
              <w:spacing w:after="0"/>
              <w:rPr>
                <w:sz w:val="15"/>
                <w:szCs w:val="15"/>
                <w:color w:val="auto"/>
              </w:rPr>
            </w:pPr>
          </w:p>
        </w:tc>
        <w:tc>
          <w:tcPr>
            <w:tcW w:w="1080" w:type="dxa"/>
            <w:vAlign w:val="bottom"/>
            <w:tcBorders>
              <w:bottom w:val="single" w:sz="8" w:color="F4F6F6"/>
            </w:tcBorders>
            <w:shd w:val="clear" w:color="auto" w:fill="F4F6F6"/>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700" w:type="dxa"/>
            <w:vAlign w:val="bottom"/>
            <w:shd w:val="clear" w:color="auto" w:fill="F4F6F6"/>
          </w:tcPr>
          <w:p>
            <w:pPr>
              <w:spacing w:after="0"/>
              <w:rPr>
                <w:sz w:val="11"/>
                <w:szCs w:val="11"/>
                <w:color w:val="auto"/>
              </w:rPr>
            </w:pPr>
          </w:p>
        </w:tc>
        <w:tc>
          <w:tcPr>
            <w:tcW w:w="760" w:type="dxa"/>
            <w:vAlign w:val="bottom"/>
            <w:shd w:val="clear" w:color="auto" w:fill="F4F6F6"/>
          </w:tcPr>
          <w:p>
            <w:pPr>
              <w:jc w:val="center"/>
              <w:spacing w:after="0" w:line="127" w:lineRule="exact"/>
              <w:rPr>
                <w:sz w:val="20"/>
                <w:szCs w:val="20"/>
                <w:color w:val="auto"/>
              </w:rPr>
            </w:pPr>
            <w:r>
              <w:rPr>
                <w:rFonts w:ascii="Arial" w:cs="Arial" w:eastAsia="Arial" w:hAnsi="Arial"/>
                <w:sz w:val="13"/>
                <w:szCs w:val="13"/>
                <w:color w:val="auto"/>
                <w:w w:val="96"/>
              </w:rPr>
              <w:t>2016-2018</w:t>
            </w:r>
          </w:p>
        </w:tc>
        <w:tc>
          <w:tcPr>
            <w:tcW w:w="940" w:type="dxa"/>
            <w:vAlign w:val="bottom"/>
            <w:shd w:val="clear" w:color="auto" w:fill="F4F6F6"/>
          </w:tcPr>
          <w:p>
            <w:pPr>
              <w:spacing w:after="0"/>
              <w:rPr>
                <w:sz w:val="11"/>
                <w:szCs w:val="11"/>
                <w:color w:val="auto"/>
              </w:rPr>
            </w:pPr>
          </w:p>
        </w:tc>
        <w:tc>
          <w:tcPr>
            <w:tcW w:w="100" w:type="dxa"/>
            <w:vAlign w:val="bottom"/>
            <w:shd w:val="clear" w:color="auto" w:fill="F4F6F6"/>
          </w:tcPr>
          <w:p>
            <w:pPr>
              <w:spacing w:after="0"/>
              <w:rPr>
                <w:sz w:val="11"/>
                <w:szCs w:val="11"/>
                <w:color w:val="auto"/>
              </w:rPr>
            </w:pPr>
          </w:p>
        </w:tc>
        <w:tc>
          <w:tcPr>
            <w:tcW w:w="40" w:type="dxa"/>
            <w:vAlign w:val="bottom"/>
            <w:shd w:val="clear" w:color="auto" w:fill="F4F6F6"/>
          </w:tcPr>
          <w:p>
            <w:pPr>
              <w:spacing w:after="0"/>
              <w:rPr>
                <w:sz w:val="11"/>
                <w:szCs w:val="11"/>
                <w:color w:val="auto"/>
              </w:rPr>
            </w:pPr>
          </w:p>
        </w:tc>
        <w:tc>
          <w:tcPr>
            <w:tcW w:w="900" w:type="dxa"/>
            <w:vAlign w:val="bottom"/>
            <w:shd w:val="clear" w:color="auto" w:fill="F4F6F6"/>
          </w:tcPr>
          <w:p>
            <w:pPr>
              <w:spacing w:after="0"/>
              <w:rPr>
                <w:sz w:val="11"/>
                <w:szCs w:val="11"/>
                <w:color w:val="auto"/>
              </w:rPr>
            </w:pPr>
          </w:p>
        </w:tc>
        <w:tc>
          <w:tcPr>
            <w:tcW w:w="60" w:type="dxa"/>
            <w:vAlign w:val="bottom"/>
            <w:shd w:val="clear" w:color="auto" w:fill="F4F6F6"/>
          </w:tcPr>
          <w:p>
            <w:pPr>
              <w:spacing w:after="0"/>
              <w:rPr>
                <w:sz w:val="11"/>
                <w:szCs w:val="11"/>
                <w:color w:val="auto"/>
              </w:rPr>
            </w:pPr>
          </w:p>
        </w:tc>
        <w:tc>
          <w:tcPr>
            <w:tcW w:w="880" w:type="dxa"/>
            <w:vAlign w:val="bottom"/>
            <w:shd w:val="clear" w:color="auto" w:fill="F4F6F6"/>
          </w:tcPr>
          <w:p>
            <w:pPr>
              <w:spacing w:after="0"/>
              <w:rPr>
                <w:sz w:val="11"/>
                <w:szCs w:val="11"/>
                <w:color w:val="auto"/>
              </w:rPr>
            </w:pPr>
          </w:p>
        </w:tc>
        <w:tc>
          <w:tcPr>
            <w:tcW w:w="900" w:type="dxa"/>
            <w:vAlign w:val="bottom"/>
            <w:vMerge w:val="restart"/>
            <w:shd w:val="clear" w:color="auto" w:fill="F4F6F6"/>
          </w:tcPr>
          <w:p>
            <w:pPr>
              <w:jc w:val="right"/>
              <w:spacing w:after="0"/>
              <w:rPr>
                <w:sz w:val="20"/>
                <w:szCs w:val="20"/>
                <w:color w:val="auto"/>
              </w:rPr>
            </w:pPr>
            <w:r>
              <w:rPr>
                <w:rFonts w:ascii="Arial" w:cs="Arial" w:eastAsia="Arial" w:hAnsi="Arial"/>
                <w:sz w:val="13"/>
                <w:szCs w:val="13"/>
                <w:color w:val="auto"/>
              </w:rPr>
              <w:t>11,111</w:t>
            </w:r>
          </w:p>
        </w:tc>
        <w:tc>
          <w:tcPr>
            <w:tcW w:w="160" w:type="dxa"/>
            <w:vAlign w:val="bottom"/>
            <w:shd w:val="clear" w:color="auto" w:fill="F4F6F6"/>
          </w:tcPr>
          <w:p>
            <w:pPr>
              <w:spacing w:after="0"/>
              <w:rPr>
                <w:sz w:val="11"/>
                <w:szCs w:val="11"/>
                <w:color w:val="auto"/>
              </w:rPr>
            </w:pPr>
          </w:p>
        </w:tc>
        <w:tc>
          <w:tcPr>
            <w:tcW w:w="880" w:type="dxa"/>
            <w:vAlign w:val="bottom"/>
            <w:vMerge w:val="restart"/>
            <w:shd w:val="clear" w:color="auto" w:fill="F4F6F6"/>
          </w:tcPr>
          <w:p>
            <w:pPr>
              <w:jc w:val="center"/>
              <w:ind w:left="137"/>
              <w:spacing w:after="0"/>
              <w:rPr>
                <w:sz w:val="20"/>
                <w:szCs w:val="20"/>
                <w:color w:val="auto"/>
              </w:rPr>
            </w:pPr>
            <w:r>
              <w:rPr>
                <w:rFonts w:ascii="Arial" w:cs="Arial" w:eastAsia="Arial" w:hAnsi="Arial"/>
                <w:sz w:val="13"/>
                <w:szCs w:val="13"/>
                <w:color w:val="auto"/>
                <w:w w:val="98"/>
              </w:rPr>
              <w:t>$1,285,765</w:t>
            </w:r>
          </w:p>
        </w:tc>
        <w:tc>
          <w:tcPr>
            <w:tcW w:w="200" w:type="dxa"/>
            <w:vAlign w:val="bottom"/>
            <w:shd w:val="clear" w:color="auto" w:fill="F4F6F6"/>
          </w:tcPr>
          <w:p>
            <w:pPr>
              <w:spacing w:after="0"/>
              <w:rPr>
                <w:sz w:val="11"/>
                <w:szCs w:val="11"/>
                <w:color w:val="auto"/>
              </w:rPr>
            </w:pPr>
          </w:p>
        </w:tc>
        <w:tc>
          <w:tcPr>
            <w:tcW w:w="1420" w:type="dxa"/>
            <w:vAlign w:val="bottom"/>
            <w:shd w:val="clear" w:color="auto" w:fill="F4F6F6"/>
          </w:tcPr>
          <w:p>
            <w:pPr>
              <w:spacing w:after="0"/>
              <w:rPr>
                <w:sz w:val="11"/>
                <w:szCs w:val="11"/>
                <w:color w:val="auto"/>
              </w:rPr>
            </w:pPr>
          </w:p>
        </w:tc>
        <w:tc>
          <w:tcPr>
            <w:tcW w:w="1080" w:type="dxa"/>
            <w:vAlign w:val="bottom"/>
            <w:shd w:val="clear" w:color="auto" w:fill="F4F6F6"/>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00" w:type="dxa"/>
            <w:vAlign w:val="bottom"/>
            <w:shd w:val="clear" w:color="auto" w:fill="F4F6F6"/>
          </w:tcPr>
          <w:p>
            <w:pPr>
              <w:spacing w:after="0"/>
              <w:rPr>
                <w:sz w:val="14"/>
                <w:szCs w:val="14"/>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1"/>
              </w:rPr>
              <w:t>PA</w:t>
            </w:r>
          </w:p>
        </w:tc>
        <w:tc>
          <w:tcPr>
            <w:tcW w:w="940" w:type="dxa"/>
            <w:vAlign w:val="bottom"/>
            <w:shd w:val="clear" w:color="auto" w:fill="F4F6F6"/>
          </w:tcPr>
          <w:p>
            <w:pPr>
              <w:spacing w:after="0"/>
              <w:rPr>
                <w:sz w:val="14"/>
                <w:szCs w:val="14"/>
                <w:color w:val="auto"/>
              </w:rPr>
            </w:pPr>
          </w:p>
        </w:tc>
        <w:tc>
          <w:tcPr>
            <w:tcW w:w="100" w:type="dxa"/>
            <w:vAlign w:val="bottom"/>
            <w:shd w:val="clear" w:color="auto" w:fill="F4F6F6"/>
          </w:tcPr>
          <w:p>
            <w:pPr>
              <w:spacing w:after="0"/>
              <w:rPr>
                <w:sz w:val="14"/>
                <w:szCs w:val="14"/>
                <w:color w:val="auto"/>
              </w:rPr>
            </w:pPr>
          </w:p>
        </w:tc>
        <w:tc>
          <w:tcPr>
            <w:tcW w:w="40" w:type="dxa"/>
            <w:vAlign w:val="bottom"/>
            <w:shd w:val="clear" w:color="auto" w:fill="F4F6F6"/>
          </w:tcPr>
          <w:p>
            <w:pPr>
              <w:spacing w:after="0"/>
              <w:rPr>
                <w:sz w:val="14"/>
                <w:szCs w:val="14"/>
                <w:color w:val="auto"/>
              </w:rPr>
            </w:pPr>
          </w:p>
        </w:tc>
        <w:tc>
          <w:tcPr>
            <w:tcW w:w="900" w:type="dxa"/>
            <w:vAlign w:val="bottom"/>
            <w:shd w:val="clear" w:color="auto" w:fill="F4F6F6"/>
          </w:tcPr>
          <w:p>
            <w:pPr>
              <w:spacing w:after="0"/>
              <w:rPr>
                <w:sz w:val="14"/>
                <w:szCs w:val="14"/>
                <w:color w:val="auto"/>
              </w:rPr>
            </w:pPr>
          </w:p>
        </w:tc>
        <w:tc>
          <w:tcPr>
            <w:tcW w:w="60" w:type="dxa"/>
            <w:vAlign w:val="bottom"/>
            <w:shd w:val="clear" w:color="auto" w:fill="F4F6F6"/>
          </w:tcPr>
          <w:p>
            <w:pPr>
              <w:spacing w:after="0"/>
              <w:rPr>
                <w:sz w:val="14"/>
                <w:szCs w:val="14"/>
                <w:color w:val="auto"/>
              </w:rPr>
            </w:pPr>
          </w:p>
        </w:tc>
        <w:tc>
          <w:tcPr>
            <w:tcW w:w="880" w:type="dxa"/>
            <w:vAlign w:val="bottom"/>
            <w:shd w:val="clear" w:color="auto" w:fill="F4F6F6"/>
          </w:tcPr>
          <w:p>
            <w:pPr>
              <w:spacing w:after="0"/>
              <w:rPr>
                <w:sz w:val="14"/>
                <w:szCs w:val="14"/>
                <w:color w:val="auto"/>
              </w:rPr>
            </w:pPr>
          </w:p>
        </w:tc>
        <w:tc>
          <w:tcPr>
            <w:tcW w:w="900" w:type="dxa"/>
            <w:vAlign w:val="bottom"/>
            <w:vMerge w:val="continue"/>
            <w:shd w:val="clear" w:color="auto" w:fill="F4F6F6"/>
          </w:tcPr>
          <w:p>
            <w:pPr>
              <w:spacing w:after="0"/>
              <w:rPr>
                <w:sz w:val="14"/>
                <w:szCs w:val="14"/>
                <w:color w:val="auto"/>
              </w:rPr>
            </w:pPr>
          </w:p>
        </w:tc>
        <w:tc>
          <w:tcPr>
            <w:tcW w:w="160" w:type="dxa"/>
            <w:vAlign w:val="bottom"/>
            <w:shd w:val="clear" w:color="auto" w:fill="F4F6F6"/>
          </w:tcPr>
          <w:p>
            <w:pPr>
              <w:jc w:val="right"/>
              <w:ind w:right="33"/>
              <w:spacing w:after="0"/>
              <w:rPr>
                <w:sz w:val="20"/>
                <w:szCs w:val="20"/>
                <w:color w:val="auto"/>
              </w:rPr>
            </w:pPr>
            <w:r>
              <w:rPr>
                <w:rFonts w:ascii="Arial" w:cs="Arial" w:eastAsia="Arial" w:hAnsi="Arial"/>
                <w:sz w:val="9"/>
                <w:szCs w:val="9"/>
                <w:color w:val="auto"/>
              </w:rPr>
              <w:t>5</w:t>
            </w:r>
          </w:p>
        </w:tc>
        <w:tc>
          <w:tcPr>
            <w:tcW w:w="880" w:type="dxa"/>
            <w:vAlign w:val="bottom"/>
            <w:vMerge w:val="continue"/>
            <w:shd w:val="clear" w:color="auto" w:fill="F4F6F6"/>
          </w:tcPr>
          <w:p>
            <w:pPr>
              <w:spacing w:after="0"/>
              <w:rPr>
                <w:sz w:val="14"/>
                <w:szCs w:val="14"/>
                <w:color w:val="auto"/>
              </w:rPr>
            </w:pPr>
          </w:p>
        </w:tc>
        <w:tc>
          <w:tcPr>
            <w:tcW w:w="200" w:type="dxa"/>
            <w:vAlign w:val="bottom"/>
            <w:shd w:val="clear" w:color="auto" w:fill="F4F6F6"/>
          </w:tcPr>
          <w:p>
            <w:pPr>
              <w:spacing w:after="0"/>
              <w:rPr>
                <w:sz w:val="14"/>
                <w:szCs w:val="14"/>
                <w:color w:val="auto"/>
              </w:rPr>
            </w:pPr>
          </w:p>
        </w:tc>
        <w:tc>
          <w:tcPr>
            <w:tcW w:w="1420" w:type="dxa"/>
            <w:vAlign w:val="bottom"/>
            <w:shd w:val="clear" w:color="auto" w:fill="F4F6F6"/>
          </w:tcPr>
          <w:p>
            <w:pPr>
              <w:spacing w:after="0"/>
              <w:rPr>
                <w:sz w:val="14"/>
                <w:szCs w:val="14"/>
                <w:color w:val="auto"/>
              </w:rPr>
            </w:pPr>
          </w:p>
        </w:tc>
        <w:tc>
          <w:tcPr>
            <w:tcW w:w="1080" w:type="dxa"/>
            <w:vAlign w:val="bottom"/>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00" w:type="dxa"/>
            <w:vAlign w:val="bottom"/>
            <w:shd w:val="clear" w:color="auto" w:fill="F4F6F6"/>
          </w:tcPr>
          <w:p>
            <w:pPr>
              <w:spacing w:after="0"/>
              <w:rPr>
                <w:sz w:val="23"/>
                <w:szCs w:val="23"/>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5"/>
              </w:rPr>
              <w:t>Elanco RSU</w:t>
            </w:r>
          </w:p>
        </w:tc>
        <w:tc>
          <w:tcPr>
            <w:tcW w:w="940" w:type="dxa"/>
            <w:vAlign w:val="bottom"/>
            <w:shd w:val="clear" w:color="auto" w:fill="F4F6F6"/>
          </w:tcPr>
          <w:p>
            <w:pPr>
              <w:spacing w:after="0"/>
              <w:rPr>
                <w:sz w:val="23"/>
                <w:szCs w:val="23"/>
                <w:color w:val="auto"/>
              </w:rPr>
            </w:pPr>
          </w:p>
        </w:tc>
        <w:tc>
          <w:tcPr>
            <w:tcW w:w="100" w:type="dxa"/>
            <w:vAlign w:val="bottom"/>
            <w:shd w:val="clear" w:color="auto" w:fill="F4F6F6"/>
          </w:tcPr>
          <w:p>
            <w:pPr>
              <w:spacing w:after="0"/>
              <w:rPr>
                <w:sz w:val="23"/>
                <w:szCs w:val="23"/>
                <w:color w:val="auto"/>
              </w:rPr>
            </w:pPr>
          </w:p>
        </w:tc>
        <w:tc>
          <w:tcPr>
            <w:tcW w:w="40" w:type="dxa"/>
            <w:vAlign w:val="bottom"/>
            <w:shd w:val="clear" w:color="auto" w:fill="F4F6F6"/>
          </w:tcPr>
          <w:p>
            <w:pPr>
              <w:spacing w:after="0"/>
              <w:rPr>
                <w:sz w:val="23"/>
                <w:szCs w:val="23"/>
                <w:color w:val="auto"/>
              </w:rPr>
            </w:pPr>
          </w:p>
        </w:tc>
        <w:tc>
          <w:tcPr>
            <w:tcW w:w="900" w:type="dxa"/>
            <w:vAlign w:val="bottom"/>
            <w:shd w:val="clear" w:color="auto" w:fill="F4F6F6"/>
          </w:tcPr>
          <w:p>
            <w:pPr>
              <w:spacing w:after="0"/>
              <w:rPr>
                <w:sz w:val="23"/>
                <w:szCs w:val="23"/>
                <w:color w:val="auto"/>
              </w:rPr>
            </w:pPr>
          </w:p>
        </w:tc>
        <w:tc>
          <w:tcPr>
            <w:tcW w:w="60" w:type="dxa"/>
            <w:vAlign w:val="bottom"/>
            <w:shd w:val="clear" w:color="auto" w:fill="F4F6F6"/>
          </w:tcPr>
          <w:p>
            <w:pPr>
              <w:spacing w:after="0"/>
              <w:rPr>
                <w:sz w:val="23"/>
                <w:szCs w:val="23"/>
                <w:color w:val="auto"/>
              </w:rPr>
            </w:pPr>
          </w:p>
        </w:tc>
        <w:tc>
          <w:tcPr>
            <w:tcW w:w="880" w:type="dxa"/>
            <w:vAlign w:val="bottom"/>
            <w:shd w:val="clear" w:color="auto" w:fill="F4F6F6"/>
          </w:tcPr>
          <w:p>
            <w:pPr>
              <w:spacing w:after="0"/>
              <w:rPr>
                <w:sz w:val="23"/>
                <w:szCs w:val="23"/>
                <w:color w:val="auto"/>
              </w:rPr>
            </w:pPr>
          </w:p>
        </w:tc>
        <w:tc>
          <w:tcPr>
            <w:tcW w:w="900" w:type="dxa"/>
            <w:vAlign w:val="bottom"/>
            <w:shd w:val="clear" w:color="auto" w:fill="F4F6F6"/>
          </w:tcPr>
          <w:p>
            <w:pPr>
              <w:jc w:val="right"/>
              <w:spacing w:after="0"/>
              <w:rPr>
                <w:sz w:val="20"/>
                <w:szCs w:val="20"/>
                <w:color w:val="auto"/>
              </w:rPr>
            </w:pPr>
            <w:r>
              <w:rPr>
                <w:rFonts w:ascii="Arial" w:cs="Arial" w:eastAsia="Arial" w:hAnsi="Arial"/>
                <w:sz w:val="13"/>
                <w:szCs w:val="13"/>
                <w:color w:val="auto"/>
              </w:rPr>
              <w:t>36,287</w:t>
            </w:r>
          </w:p>
        </w:tc>
        <w:tc>
          <w:tcPr>
            <w:tcW w:w="160" w:type="dxa"/>
            <w:vAlign w:val="bottom"/>
            <w:shd w:val="clear" w:color="auto" w:fill="F4F6F6"/>
          </w:tcPr>
          <w:p>
            <w:pPr>
              <w:jc w:val="right"/>
              <w:ind w:right="33"/>
              <w:spacing w:after="0"/>
              <w:rPr>
                <w:sz w:val="20"/>
                <w:szCs w:val="20"/>
                <w:color w:val="auto"/>
              </w:rPr>
            </w:pPr>
            <w:r>
              <w:rPr>
                <w:rFonts w:ascii="Arial" w:cs="Arial" w:eastAsia="Arial" w:hAnsi="Arial"/>
                <w:sz w:val="9"/>
                <w:szCs w:val="9"/>
                <w:color w:val="auto"/>
              </w:rPr>
              <w:t>8</w:t>
            </w:r>
          </w:p>
        </w:tc>
        <w:tc>
          <w:tcPr>
            <w:tcW w:w="880" w:type="dxa"/>
            <w:vAlign w:val="bottom"/>
            <w:shd w:val="clear" w:color="auto" w:fill="F4F6F6"/>
          </w:tcPr>
          <w:p>
            <w:pPr>
              <w:jc w:val="center"/>
              <w:ind w:left="137"/>
              <w:spacing w:after="0"/>
              <w:rPr>
                <w:sz w:val="20"/>
                <w:szCs w:val="20"/>
                <w:color w:val="auto"/>
              </w:rPr>
            </w:pPr>
            <w:r>
              <w:rPr>
                <w:rFonts w:ascii="Arial" w:cs="Arial" w:eastAsia="Arial" w:hAnsi="Arial"/>
                <w:sz w:val="13"/>
                <w:szCs w:val="13"/>
                <w:color w:val="auto"/>
                <w:w w:val="98"/>
              </w:rPr>
              <w:t>$1,144,129</w:t>
            </w:r>
          </w:p>
        </w:tc>
        <w:tc>
          <w:tcPr>
            <w:tcW w:w="200" w:type="dxa"/>
            <w:vAlign w:val="bottom"/>
            <w:shd w:val="clear" w:color="auto" w:fill="F4F6F6"/>
          </w:tcPr>
          <w:p>
            <w:pPr>
              <w:spacing w:after="0"/>
              <w:rPr>
                <w:sz w:val="23"/>
                <w:szCs w:val="23"/>
                <w:color w:val="auto"/>
              </w:rPr>
            </w:pPr>
          </w:p>
        </w:tc>
        <w:tc>
          <w:tcPr>
            <w:tcW w:w="1420" w:type="dxa"/>
            <w:vAlign w:val="bottom"/>
            <w:shd w:val="clear" w:color="auto" w:fill="F4F6F6"/>
          </w:tcPr>
          <w:p>
            <w:pPr>
              <w:spacing w:after="0"/>
              <w:rPr>
                <w:sz w:val="23"/>
                <w:szCs w:val="23"/>
                <w:color w:val="auto"/>
              </w:rPr>
            </w:pPr>
          </w:p>
        </w:tc>
        <w:tc>
          <w:tcPr>
            <w:tcW w:w="1080" w:type="dxa"/>
            <w:vAlign w:val="bottom"/>
            <w:shd w:val="clear" w:color="auto" w:fill="F4F6F6"/>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700" w:type="dxa"/>
            <w:vAlign w:val="bottom"/>
            <w:shd w:val="clear" w:color="auto" w:fill="F4F6F6"/>
          </w:tcPr>
          <w:p>
            <w:pPr>
              <w:spacing w:after="0"/>
              <w:rPr>
                <w:sz w:val="13"/>
                <w:szCs w:val="13"/>
                <w:color w:val="auto"/>
              </w:rPr>
            </w:pPr>
          </w:p>
        </w:tc>
        <w:tc>
          <w:tcPr>
            <w:tcW w:w="7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5"/>
              </w:rPr>
              <w:t>Elanco</w:t>
            </w:r>
          </w:p>
        </w:tc>
        <w:tc>
          <w:tcPr>
            <w:tcW w:w="940" w:type="dxa"/>
            <w:vAlign w:val="bottom"/>
            <w:vMerge w:val="restart"/>
            <w:shd w:val="clear" w:color="auto" w:fill="F4F6F6"/>
          </w:tcPr>
          <w:p>
            <w:pPr>
              <w:jc w:val="right"/>
              <w:spacing w:after="0"/>
              <w:rPr>
                <w:sz w:val="20"/>
                <w:szCs w:val="20"/>
                <w:color w:val="auto"/>
              </w:rPr>
            </w:pPr>
            <w:r>
              <w:rPr>
                <w:rFonts w:ascii="Arial" w:cs="Arial" w:eastAsia="Arial" w:hAnsi="Arial"/>
                <w:sz w:val="13"/>
                <w:szCs w:val="13"/>
                <w:color w:val="auto"/>
              </w:rPr>
              <w:t>109,642</w:t>
            </w:r>
          </w:p>
        </w:tc>
        <w:tc>
          <w:tcPr>
            <w:tcW w:w="100" w:type="dxa"/>
            <w:vAlign w:val="bottom"/>
            <w:shd w:val="clear" w:color="auto" w:fill="F4F6F6"/>
          </w:tcPr>
          <w:p>
            <w:pPr>
              <w:spacing w:after="0"/>
              <w:rPr>
                <w:sz w:val="13"/>
                <w:szCs w:val="13"/>
                <w:color w:val="auto"/>
              </w:rPr>
            </w:pPr>
          </w:p>
        </w:tc>
        <w:tc>
          <w:tcPr>
            <w:tcW w:w="40" w:type="dxa"/>
            <w:vAlign w:val="bottom"/>
            <w:shd w:val="clear" w:color="auto" w:fill="F4F6F6"/>
          </w:tcPr>
          <w:p>
            <w:pPr>
              <w:spacing w:after="0"/>
              <w:rPr>
                <w:sz w:val="13"/>
                <w:szCs w:val="13"/>
                <w:color w:val="auto"/>
              </w:rPr>
            </w:pPr>
          </w:p>
        </w:tc>
        <w:tc>
          <w:tcPr>
            <w:tcW w:w="900" w:type="dxa"/>
            <w:vAlign w:val="bottom"/>
            <w:vMerge w:val="restart"/>
            <w:shd w:val="clear" w:color="auto" w:fill="F4F6F6"/>
          </w:tcPr>
          <w:p>
            <w:pPr>
              <w:jc w:val="center"/>
              <w:spacing w:after="0"/>
              <w:rPr>
                <w:sz w:val="20"/>
                <w:szCs w:val="20"/>
                <w:color w:val="auto"/>
              </w:rPr>
            </w:pPr>
            <w:r>
              <w:rPr>
                <w:rFonts w:ascii="Arial" w:cs="Arial" w:eastAsia="Arial" w:hAnsi="Arial"/>
                <w:sz w:val="13"/>
                <w:szCs w:val="13"/>
                <w:color w:val="auto"/>
              </w:rPr>
              <w:t>$31.61</w:t>
            </w:r>
          </w:p>
        </w:tc>
        <w:tc>
          <w:tcPr>
            <w:tcW w:w="60" w:type="dxa"/>
            <w:vAlign w:val="bottom"/>
            <w:shd w:val="clear" w:color="auto" w:fill="F4F6F6"/>
          </w:tcPr>
          <w:p>
            <w:pPr>
              <w:spacing w:after="0"/>
              <w:rPr>
                <w:sz w:val="13"/>
                <w:szCs w:val="13"/>
                <w:color w:val="auto"/>
              </w:rPr>
            </w:pPr>
          </w:p>
        </w:tc>
        <w:tc>
          <w:tcPr>
            <w:tcW w:w="880" w:type="dxa"/>
            <w:vAlign w:val="bottom"/>
            <w:vMerge w:val="restart"/>
            <w:shd w:val="clear" w:color="auto" w:fill="F4F6F6"/>
          </w:tcPr>
          <w:p>
            <w:pPr>
              <w:jc w:val="center"/>
              <w:ind w:right="17"/>
              <w:spacing w:after="0"/>
              <w:rPr>
                <w:sz w:val="20"/>
                <w:szCs w:val="20"/>
                <w:color w:val="auto"/>
              </w:rPr>
            </w:pPr>
            <w:r>
              <w:rPr>
                <w:rFonts w:ascii="Arial" w:cs="Arial" w:eastAsia="Arial" w:hAnsi="Arial"/>
                <w:sz w:val="13"/>
                <w:szCs w:val="13"/>
                <w:color w:val="auto"/>
                <w:w w:val="98"/>
              </w:rPr>
              <w:t>10/20/2028</w:t>
            </w:r>
          </w:p>
        </w:tc>
        <w:tc>
          <w:tcPr>
            <w:tcW w:w="900" w:type="dxa"/>
            <w:vAlign w:val="bottom"/>
            <w:shd w:val="clear" w:color="auto" w:fill="F4F6F6"/>
          </w:tcPr>
          <w:p>
            <w:pPr>
              <w:spacing w:after="0"/>
              <w:rPr>
                <w:sz w:val="13"/>
                <w:szCs w:val="13"/>
                <w:color w:val="auto"/>
              </w:rPr>
            </w:pPr>
          </w:p>
        </w:tc>
        <w:tc>
          <w:tcPr>
            <w:tcW w:w="160" w:type="dxa"/>
            <w:vAlign w:val="bottom"/>
            <w:shd w:val="clear" w:color="auto" w:fill="F4F6F6"/>
          </w:tcPr>
          <w:p>
            <w:pPr>
              <w:spacing w:after="0"/>
              <w:rPr>
                <w:sz w:val="13"/>
                <w:szCs w:val="13"/>
                <w:color w:val="auto"/>
              </w:rPr>
            </w:pPr>
          </w:p>
        </w:tc>
        <w:tc>
          <w:tcPr>
            <w:tcW w:w="880" w:type="dxa"/>
            <w:vAlign w:val="bottom"/>
            <w:shd w:val="clear" w:color="auto" w:fill="F4F6F6"/>
          </w:tcPr>
          <w:p>
            <w:pPr>
              <w:spacing w:after="0"/>
              <w:rPr>
                <w:sz w:val="13"/>
                <w:szCs w:val="13"/>
                <w:color w:val="auto"/>
              </w:rPr>
            </w:pPr>
          </w:p>
        </w:tc>
        <w:tc>
          <w:tcPr>
            <w:tcW w:w="200" w:type="dxa"/>
            <w:vAlign w:val="bottom"/>
            <w:shd w:val="clear" w:color="auto" w:fill="F4F6F6"/>
          </w:tcPr>
          <w:p>
            <w:pPr>
              <w:spacing w:after="0"/>
              <w:rPr>
                <w:sz w:val="13"/>
                <w:szCs w:val="13"/>
                <w:color w:val="auto"/>
              </w:rPr>
            </w:pPr>
          </w:p>
        </w:tc>
        <w:tc>
          <w:tcPr>
            <w:tcW w:w="1420" w:type="dxa"/>
            <w:vAlign w:val="bottom"/>
            <w:shd w:val="clear" w:color="auto" w:fill="F4F6F6"/>
          </w:tcPr>
          <w:p>
            <w:pPr>
              <w:spacing w:after="0"/>
              <w:rPr>
                <w:sz w:val="13"/>
                <w:szCs w:val="13"/>
                <w:color w:val="auto"/>
              </w:rPr>
            </w:pPr>
          </w:p>
        </w:tc>
        <w:tc>
          <w:tcPr>
            <w:tcW w:w="1080" w:type="dxa"/>
            <w:vAlign w:val="bottom"/>
            <w:shd w:val="clear" w:color="auto" w:fill="F4F6F6"/>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00" w:type="dxa"/>
            <w:vAlign w:val="bottom"/>
            <w:tcBorders>
              <w:bottom w:val="single" w:sz="8" w:color="C8C9CB"/>
            </w:tcBorders>
            <w:shd w:val="clear" w:color="auto" w:fill="F4F6F6"/>
          </w:tcPr>
          <w:p>
            <w:pPr>
              <w:spacing w:after="0"/>
              <w:rPr>
                <w:sz w:val="15"/>
                <w:szCs w:val="15"/>
                <w:color w:val="auto"/>
              </w:rPr>
            </w:pPr>
          </w:p>
        </w:tc>
        <w:tc>
          <w:tcPr>
            <w:tcW w:w="76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97"/>
              </w:rPr>
              <w:t>stock option</w:t>
            </w:r>
          </w:p>
        </w:tc>
        <w:tc>
          <w:tcPr>
            <w:tcW w:w="940" w:type="dxa"/>
            <w:vAlign w:val="bottom"/>
            <w:tcBorders>
              <w:bottom w:val="single" w:sz="8" w:color="C8C9CB"/>
            </w:tcBorders>
            <w:vMerge w:val="continue"/>
            <w:shd w:val="clear" w:color="auto" w:fill="F4F6F6"/>
          </w:tcPr>
          <w:p>
            <w:pPr>
              <w:spacing w:after="0"/>
              <w:rPr>
                <w:sz w:val="15"/>
                <w:szCs w:val="15"/>
                <w:color w:val="auto"/>
              </w:rPr>
            </w:pPr>
          </w:p>
        </w:tc>
        <w:tc>
          <w:tcPr>
            <w:tcW w:w="10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0"/>
                <w:szCs w:val="10"/>
                <w:color w:val="auto"/>
              </w:rPr>
              <w:t>9</w:t>
            </w:r>
          </w:p>
        </w:tc>
        <w:tc>
          <w:tcPr>
            <w:tcW w:w="40" w:type="dxa"/>
            <w:vAlign w:val="bottom"/>
            <w:tcBorders>
              <w:bottom w:val="single" w:sz="8" w:color="C8C9CB"/>
            </w:tcBorders>
            <w:shd w:val="clear" w:color="auto" w:fill="F4F6F6"/>
          </w:tcPr>
          <w:p>
            <w:pPr>
              <w:spacing w:after="0"/>
              <w:rPr>
                <w:sz w:val="15"/>
                <w:szCs w:val="15"/>
                <w:color w:val="auto"/>
              </w:rPr>
            </w:pPr>
          </w:p>
        </w:tc>
        <w:tc>
          <w:tcPr>
            <w:tcW w:w="900" w:type="dxa"/>
            <w:vAlign w:val="bottom"/>
            <w:tcBorders>
              <w:bottom w:val="single" w:sz="8" w:color="C8C9CB"/>
            </w:tcBorders>
            <w:vMerge w:val="continue"/>
            <w:shd w:val="clear" w:color="auto" w:fill="F4F6F6"/>
          </w:tcPr>
          <w:p>
            <w:pPr>
              <w:spacing w:after="0"/>
              <w:rPr>
                <w:sz w:val="15"/>
                <w:szCs w:val="15"/>
                <w:color w:val="auto"/>
              </w:rPr>
            </w:pPr>
          </w:p>
        </w:tc>
        <w:tc>
          <w:tcPr>
            <w:tcW w:w="60" w:type="dxa"/>
            <w:vAlign w:val="bottom"/>
            <w:tcBorders>
              <w:bottom w:val="single" w:sz="8" w:color="C8C9CB"/>
            </w:tcBorders>
            <w:shd w:val="clear" w:color="auto" w:fill="F4F6F6"/>
          </w:tcPr>
          <w:p>
            <w:pPr>
              <w:spacing w:after="0"/>
              <w:rPr>
                <w:sz w:val="15"/>
                <w:szCs w:val="15"/>
                <w:color w:val="auto"/>
              </w:rPr>
            </w:pPr>
          </w:p>
        </w:tc>
        <w:tc>
          <w:tcPr>
            <w:tcW w:w="880" w:type="dxa"/>
            <w:vAlign w:val="bottom"/>
            <w:tcBorders>
              <w:bottom w:val="single" w:sz="8" w:color="C8C9CB"/>
            </w:tcBorders>
            <w:vMerge w:val="continue"/>
            <w:shd w:val="clear" w:color="auto" w:fill="F4F6F6"/>
          </w:tcPr>
          <w:p>
            <w:pPr>
              <w:spacing w:after="0"/>
              <w:rPr>
                <w:sz w:val="15"/>
                <w:szCs w:val="15"/>
                <w:color w:val="auto"/>
              </w:rPr>
            </w:pPr>
          </w:p>
        </w:tc>
        <w:tc>
          <w:tcPr>
            <w:tcW w:w="900" w:type="dxa"/>
            <w:vAlign w:val="bottom"/>
            <w:tcBorders>
              <w:bottom w:val="single" w:sz="8" w:color="C8C9CB"/>
            </w:tcBorders>
            <w:shd w:val="clear" w:color="auto" w:fill="F4F6F6"/>
          </w:tcPr>
          <w:p>
            <w:pPr>
              <w:spacing w:after="0"/>
              <w:rPr>
                <w:sz w:val="15"/>
                <w:szCs w:val="15"/>
                <w:color w:val="auto"/>
              </w:rPr>
            </w:pPr>
          </w:p>
        </w:tc>
        <w:tc>
          <w:tcPr>
            <w:tcW w:w="160" w:type="dxa"/>
            <w:vAlign w:val="bottom"/>
            <w:tcBorders>
              <w:bottom w:val="single" w:sz="8" w:color="C8C9CB"/>
            </w:tcBorders>
            <w:shd w:val="clear" w:color="auto" w:fill="F4F6F6"/>
          </w:tcPr>
          <w:p>
            <w:pPr>
              <w:spacing w:after="0"/>
              <w:rPr>
                <w:sz w:val="15"/>
                <w:szCs w:val="15"/>
                <w:color w:val="auto"/>
              </w:rPr>
            </w:pPr>
          </w:p>
        </w:tc>
        <w:tc>
          <w:tcPr>
            <w:tcW w:w="880" w:type="dxa"/>
            <w:vAlign w:val="bottom"/>
            <w:tcBorders>
              <w:bottom w:val="single" w:sz="8" w:color="C8C9CB"/>
            </w:tcBorders>
            <w:shd w:val="clear" w:color="auto" w:fill="F4F6F6"/>
          </w:tcPr>
          <w:p>
            <w:pPr>
              <w:spacing w:after="0"/>
              <w:rPr>
                <w:sz w:val="15"/>
                <w:szCs w:val="15"/>
                <w:color w:val="auto"/>
              </w:rPr>
            </w:pPr>
          </w:p>
        </w:tc>
        <w:tc>
          <w:tcPr>
            <w:tcW w:w="200" w:type="dxa"/>
            <w:vAlign w:val="bottom"/>
            <w:tcBorders>
              <w:bottom w:val="single" w:sz="8" w:color="C8C9CB"/>
            </w:tcBorders>
            <w:shd w:val="clear" w:color="auto" w:fill="F4F6F6"/>
          </w:tcPr>
          <w:p>
            <w:pPr>
              <w:spacing w:after="0"/>
              <w:rPr>
                <w:sz w:val="15"/>
                <w:szCs w:val="15"/>
                <w:color w:val="auto"/>
              </w:rPr>
            </w:pPr>
          </w:p>
        </w:tc>
        <w:tc>
          <w:tcPr>
            <w:tcW w:w="1420" w:type="dxa"/>
            <w:vAlign w:val="bottom"/>
            <w:tcBorders>
              <w:bottom w:val="single" w:sz="8" w:color="C8C9CB"/>
            </w:tcBorders>
            <w:shd w:val="clear" w:color="auto" w:fill="F4F6F6"/>
          </w:tcPr>
          <w:p>
            <w:pPr>
              <w:spacing w:after="0"/>
              <w:rPr>
                <w:sz w:val="15"/>
                <w:szCs w:val="15"/>
                <w:color w:val="auto"/>
              </w:rPr>
            </w:pPr>
          </w:p>
        </w:tc>
        <w:tc>
          <w:tcPr>
            <w:tcW w:w="1080" w:type="dxa"/>
            <w:vAlign w:val="bottom"/>
            <w:tcBorders>
              <w:bottom w:val="single" w:sz="8" w:color="C8C9CB"/>
            </w:tcBorders>
            <w:shd w:val="clear" w:color="auto" w:fill="F4F6F6"/>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20" w:right="100"/>
        <w:spacing w:after="0" w:line="292" w:lineRule="auto"/>
        <w:rPr>
          <w:sz w:val="20"/>
          <w:szCs w:val="20"/>
          <w:color w:val="auto"/>
        </w:rPr>
      </w:pPr>
      <w:r>
        <w:rPr>
          <w:rFonts w:ascii="Arial" w:cs="Arial" w:eastAsia="Arial" w:hAnsi="Arial"/>
          <w:sz w:val="14"/>
          <w:szCs w:val="14"/>
          <w:color w:val="auto"/>
        </w:rPr>
        <w:t xml:space="preserve">1 </w:t>
      </w:r>
      <w:r>
        <w:rPr>
          <w:rFonts w:ascii="Arial" w:cs="Arial" w:eastAsia="Arial" w:hAnsi="Arial"/>
          <w:sz w:val="17"/>
          <w:szCs w:val="17"/>
          <w:color w:val="auto"/>
        </w:rPr>
        <w:t>Shareholder value awards granted for the 2018-2020 performance period will vest on December 31, 2020. The number of shares reported reflects</w:t>
      </w:r>
      <w:r>
        <w:rPr>
          <w:rFonts w:ascii="Arial" w:cs="Arial" w:eastAsia="Arial" w:hAnsi="Arial"/>
          <w:sz w:val="14"/>
          <w:szCs w:val="14"/>
          <w:color w:val="auto"/>
        </w:rPr>
        <w:t xml:space="preserve"> </w:t>
      </w:r>
      <w:r>
        <w:rPr>
          <w:rFonts w:ascii="Arial" w:cs="Arial" w:eastAsia="Arial" w:hAnsi="Arial"/>
          <w:sz w:val="17"/>
          <w:szCs w:val="17"/>
          <w:color w:val="auto"/>
        </w:rPr>
        <w:t>the maximum payout, which will be made if the average closing stock price in November and</w:t>
      </w:r>
    </w:p>
    <w:p>
      <w:pPr>
        <w:sectPr>
          <w:pgSz w:w="11900" w:h="16838" w:orient="portrait"/>
          <w:cols w:equalWidth="0" w:num="1">
            <w:col w:w="11360"/>
          </w:cols>
          <w:pgMar w:left="240" w:top="557" w:right="299" w:bottom="542" w:gutter="0" w:footer="0" w:header="0"/>
        </w:sectPr>
      </w:pP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P55</w:t>
      </w:r>
    </w:p>
    <w:p>
      <w:pPr>
        <w:sectPr>
          <w:pgSz w:w="11900" w:h="16838" w:orient="portrait"/>
          <w:cols w:equalWidth="0" w:num="1">
            <w:col w:w="11360"/>
          </w:cols>
          <w:pgMar w:left="240" w:top="557" w:right="299" w:bottom="542" w:gutter="0" w:footer="0" w:header="0"/>
          <w:type w:val="continuous"/>
        </w:sectPr>
      </w:pPr>
    </w:p>
    <w:bookmarkStart w:id="59" w:name="page60"/>
    <w:bookmarkEnd w:id="59"/>
    <w:p>
      <w:pPr>
        <w:ind w:left="4" w:right="60"/>
        <w:spacing w:after="0" w:line="259" w:lineRule="auto"/>
        <w:rPr>
          <w:sz w:val="20"/>
          <w:szCs w:val="20"/>
          <w:color w:val="auto"/>
        </w:rPr>
      </w:pPr>
      <w:r>
        <w:rPr>
          <w:rFonts w:ascii="Arial" w:cs="Arial" w:eastAsia="Arial" w:hAnsi="Arial"/>
          <w:sz w:val="17"/>
          <w:szCs w:val="17"/>
          <w:color w:val="auto"/>
        </w:rPr>
        <w:t>December 2019 is over $120.65. Actual payouts may vary from 0 to 180 percent of target. Net shares from any payout must be held by executive officers for a minimum of one year. Had the performance period ended December 31, 2018, the payout would have been at 150 percent of target. Dr. Skovronsky was not an executive officer at the time of grant, so he received a 2018-2020 shareholder value award which is not subject to the TSR modifier. As a result, his payout will range from 0 to 150 percent of target. Had the performance period ended December 31, 2018, the payout of Dr. Skovronsky's award would have been at 125 percent of target.</w:t>
      </w:r>
    </w:p>
    <w:p>
      <w:pPr>
        <w:spacing w:after="0" w:line="161" w:lineRule="exact"/>
        <w:rPr>
          <w:sz w:val="20"/>
          <w:szCs w:val="20"/>
          <w:color w:val="auto"/>
        </w:rPr>
      </w:pPr>
    </w:p>
    <w:p>
      <w:pPr>
        <w:ind w:left="4"/>
        <w:spacing w:after="0" w:line="255" w:lineRule="auto"/>
        <w:rPr>
          <w:sz w:val="20"/>
          <w:szCs w:val="20"/>
          <w:color w:val="auto"/>
        </w:rPr>
      </w:pPr>
      <w:r>
        <w:rPr>
          <w:rFonts w:ascii="Arial" w:cs="Arial" w:eastAsia="Arial" w:hAnsi="Arial"/>
          <w:sz w:val="14"/>
          <w:szCs w:val="14"/>
          <w:color w:val="auto"/>
        </w:rPr>
        <w:t xml:space="preserve">2 </w:t>
      </w:r>
      <w:r>
        <w:rPr>
          <w:rFonts w:ascii="Arial" w:cs="Arial" w:eastAsia="Arial" w:hAnsi="Arial"/>
          <w:sz w:val="17"/>
          <w:szCs w:val="17"/>
          <w:color w:val="auto"/>
        </w:rPr>
        <w:t>Shareholder value awards granted for the 2017-2019 performance period will vest on December 31, 2019. The number of shares reported reflects</w:t>
      </w:r>
      <w:r>
        <w:rPr>
          <w:rFonts w:ascii="Arial" w:cs="Arial" w:eastAsia="Arial" w:hAnsi="Arial"/>
          <w:sz w:val="14"/>
          <w:szCs w:val="14"/>
          <w:color w:val="auto"/>
        </w:rPr>
        <w:t xml:space="preserve"> </w:t>
      </w:r>
      <w:r>
        <w:rPr>
          <w:rFonts w:ascii="Arial" w:cs="Arial" w:eastAsia="Arial" w:hAnsi="Arial"/>
          <w:sz w:val="17"/>
          <w:szCs w:val="17"/>
          <w:color w:val="auto"/>
        </w:rPr>
        <w:t>the maximum payout, which will be made if the average closing stock price in November and December 2019 is over $101.79. Actual payouts may vary from 0 to 180 percent of target. Net shares from any payout must be held by executive officers for a minimum of one year. Had the performance period ended December 31, 2018, the payout would have been 180 percent of target. Mr. Smiley and Dr. Skovronsky were not executive officers at the time of grant, so they received a 2017-2019 shareholder value award which is not subject to the TSR modifier. As a result, their payouts will range from 0 to 150 percent of target. Had the performance period ended December 31, 2018, the payout of Mr. Smiley’s and Dr. Skovronsky’s awards would have been at 150 percent of target.</w:t>
      </w:r>
    </w:p>
    <w:p>
      <w:pPr>
        <w:spacing w:after="0" w:line="167" w:lineRule="exact"/>
        <w:rPr>
          <w:sz w:val="20"/>
          <w:szCs w:val="20"/>
          <w:color w:val="auto"/>
        </w:rPr>
      </w:pPr>
    </w:p>
    <w:p>
      <w:pPr>
        <w:ind w:left="4" w:right="80" w:hanging="4"/>
        <w:spacing w:after="0" w:line="257" w:lineRule="auto"/>
        <w:tabs>
          <w:tab w:leader="none" w:pos="241" w:val="left"/>
        </w:tabs>
        <w:numPr>
          <w:ilvl w:val="0"/>
          <w:numId w:val="70"/>
        </w:numPr>
        <w:rPr>
          <w:rFonts w:ascii="Arial" w:cs="Arial" w:eastAsia="Arial" w:hAnsi="Arial"/>
          <w:sz w:val="14"/>
          <w:szCs w:val="14"/>
          <w:color w:val="auto"/>
        </w:rPr>
      </w:pPr>
      <w:r>
        <w:rPr>
          <w:rFonts w:ascii="Arial" w:cs="Arial" w:eastAsia="Arial" w:hAnsi="Arial"/>
          <w:sz w:val="17"/>
          <w:szCs w:val="17"/>
          <w:color w:val="auto"/>
        </w:rPr>
        <w:t>This number represents the maximum value of performance award shares that could pay out for the 2018-2019 performance period, provided performance goals are met. Once the combined cumulative EPS result and associated payout level are determined at the end of the performance period, the associated number of shares will be granted as restricted stock units, vesting in February 2021. Because Dr. Skovronsky was not an executive officer at the time of the annual award cycle, he received a performance award in 2018 that does not include the 13-month vesting period; accordingly, his performance award for 2018-2019 will vest in full as of December 31, 2019. Actual payouts may vary from 0 to 150 percent of target. The number of shares recorded in the table reflects the payout if the combined cumulative EPS for 2018 and 2019 is at least $10.74.</w:t>
      </w:r>
    </w:p>
    <w:p>
      <w:pPr>
        <w:spacing w:after="0" w:line="162" w:lineRule="exact"/>
        <w:rPr>
          <w:sz w:val="20"/>
          <w:szCs w:val="20"/>
          <w:color w:val="auto"/>
        </w:rPr>
      </w:pPr>
    </w:p>
    <w:p>
      <w:pPr>
        <w:jc w:val="both"/>
        <w:ind w:left="4" w:right="260" w:hanging="4"/>
        <w:spacing w:after="0" w:line="263" w:lineRule="auto"/>
        <w:tabs>
          <w:tab w:leader="none" w:pos="241" w:val="left"/>
        </w:tabs>
        <w:numPr>
          <w:ilvl w:val="0"/>
          <w:numId w:val="71"/>
        </w:numPr>
        <w:rPr>
          <w:rFonts w:ascii="Arial" w:cs="Arial" w:eastAsia="Arial" w:hAnsi="Arial"/>
          <w:sz w:val="14"/>
          <w:szCs w:val="14"/>
          <w:color w:val="auto"/>
        </w:rPr>
      </w:pPr>
      <w:r>
        <w:rPr>
          <w:rFonts w:ascii="Arial" w:cs="Arial" w:eastAsia="Arial" w:hAnsi="Arial"/>
          <w:sz w:val="17"/>
          <w:szCs w:val="17"/>
          <w:color w:val="auto"/>
        </w:rPr>
        <w:t>The performance period ended December 31, 2018 for the 2017-2019 performance award resulting in the issuance of restricted stock units for 150 percent of target shares for Mr. Ricks, Mr. Harrington, Mr. Conterno, and Mr. Simmons. These restricted stock units will vest in February 2020. Mr. Smiley and Dr. Skovronsky were not executive officers at the time of grant and are not subject to the 13-month service-vesting holding period; their awards will payout in Lilly stock in February 2019.</w:t>
      </w:r>
    </w:p>
    <w:p>
      <w:pPr>
        <w:spacing w:after="0" w:line="156" w:lineRule="exact"/>
        <w:rPr>
          <w:sz w:val="20"/>
          <w:szCs w:val="20"/>
          <w:color w:val="auto"/>
        </w:rPr>
      </w:pPr>
    </w:p>
    <w:p>
      <w:pPr>
        <w:ind w:left="244" w:hanging="244"/>
        <w:spacing w:after="0"/>
        <w:tabs>
          <w:tab w:leader="none" w:pos="244" w:val="left"/>
        </w:tabs>
        <w:numPr>
          <w:ilvl w:val="0"/>
          <w:numId w:val="72"/>
        </w:numPr>
        <w:rPr>
          <w:rFonts w:ascii="Arial" w:cs="Arial" w:eastAsia="Arial" w:hAnsi="Arial"/>
          <w:sz w:val="14"/>
          <w:szCs w:val="14"/>
          <w:color w:val="auto"/>
        </w:rPr>
      </w:pPr>
      <w:r>
        <w:rPr>
          <w:rFonts w:ascii="Arial" w:cs="Arial" w:eastAsia="Arial" w:hAnsi="Arial"/>
          <w:sz w:val="17"/>
          <w:szCs w:val="17"/>
          <w:color w:val="auto"/>
        </w:rPr>
        <w:t>Restricted stock units vested from the 2016-2018 performance award in February 2019.</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6 </w:t>
      </w:r>
      <w:r>
        <w:rPr>
          <w:rFonts w:ascii="Arial" w:cs="Arial" w:eastAsia="Arial" w:hAnsi="Arial"/>
          <w:sz w:val="17"/>
          <w:szCs w:val="17"/>
          <w:color w:val="auto"/>
        </w:rPr>
        <w:t>This grant was made outside of the normal annual cycle in 2010, before Mr. Smiley became an executive officer, and will vest on October 1, 2020.</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7 </w:t>
      </w:r>
      <w:r>
        <w:rPr>
          <w:rFonts w:ascii="Arial" w:cs="Arial" w:eastAsia="Arial" w:hAnsi="Arial"/>
          <w:sz w:val="17"/>
          <w:szCs w:val="17"/>
          <w:color w:val="auto"/>
        </w:rPr>
        <w:t>This grant was made in 2017 and will vest on December 11, 2021.</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8 </w:t>
      </w:r>
      <w:r>
        <w:rPr>
          <w:rFonts w:ascii="Arial" w:cs="Arial" w:eastAsia="Arial" w:hAnsi="Arial"/>
          <w:sz w:val="17"/>
          <w:szCs w:val="17"/>
          <w:color w:val="auto"/>
        </w:rPr>
        <w:t>Elanco restricted stock units granted on October 20, 2018 to Mr. Simmons as a founders’ award shortly after Elanco’s initial public offering.</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9 </w:t>
      </w:r>
      <w:r>
        <w:rPr>
          <w:rFonts w:ascii="Arial" w:cs="Arial" w:eastAsia="Arial" w:hAnsi="Arial"/>
          <w:sz w:val="17"/>
          <w:szCs w:val="17"/>
          <w:color w:val="auto"/>
        </w:rPr>
        <w:t>Elanco stock options granted on October 20, 2018 to Mr. Simmons as a founders’ award shortly after Elanco’s initial public offering.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6"/>
        <w:spacing w:after="0"/>
        <w:rPr>
          <w:sz w:val="20"/>
          <w:szCs w:val="20"/>
          <w:color w:val="auto"/>
        </w:rPr>
      </w:pPr>
      <w:r>
        <w:rPr>
          <w:rFonts w:ascii="Arial" w:cs="Arial" w:eastAsia="Arial" w:hAnsi="Arial"/>
          <w:sz w:val="17"/>
          <w:szCs w:val="17"/>
          <w:color w:val="auto"/>
        </w:rPr>
        <w:t>P56</w:t>
      </w:r>
    </w:p>
    <w:p>
      <w:pPr>
        <w:sectPr>
          <w:pgSz w:w="11900" w:h="16838" w:orient="portrait"/>
          <w:cols w:equalWidth="0" w:num="1">
            <w:col w:w="11284"/>
          </w:cols>
          <w:pgMar w:left="356" w:top="557" w:right="259" w:bottom="1440" w:gutter="0" w:footer="0" w:header="0"/>
        </w:sectPr>
      </w:pPr>
    </w:p>
    <w:bookmarkStart w:id="60" w:name="page61"/>
    <w:bookmarkEnd w:id="60"/>
    <w:p>
      <w:pPr>
        <w:spacing w:after="0"/>
        <w:rPr>
          <w:sz w:val="20"/>
          <w:szCs w:val="20"/>
          <w:color w:val="auto"/>
        </w:rPr>
      </w:pPr>
      <w:r>
        <w:rPr>
          <w:rFonts w:ascii="Arial" w:cs="Arial" w:eastAsia="Arial" w:hAnsi="Arial"/>
          <w:sz w:val="20"/>
          <w:szCs w:val="20"/>
          <w:b w:val="1"/>
          <w:bCs w:val="1"/>
          <w:color w:val="auto"/>
        </w:rPr>
        <w:t>Options Exercised and Stock Vested in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200" w:type="dxa"/>
            <w:vAlign w:val="bottom"/>
            <w:shd w:val="clear" w:color="auto" w:fill="C8C9CB"/>
          </w:tcPr>
          <w:p>
            <w:pPr>
              <w:spacing w:after="0"/>
              <w:rPr>
                <w:sz w:val="23"/>
                <w:szCs w:val="23"/>
                <w:color w:val="auto"/>
              </w:rPr>
            </w:pPr>
          </w:p>
        </w:tc>
        <w:tc>
          <w:tcPr>
            <w:tcW w:w="3120" w:type="dxa"/>
            <w:vAlign w:val="bottom"/>
            <w:gridSpan w:val="2"/>
            <w:shd w:val="clear" w:color="auto" w:fill="C8C9CB"/>
          </w:tcPr>
          <w:p>
            <w:pPr>
              <w:ind w:left="1080"/>
              <w:spacing w:after="0"/>
              <w:rPr>
                <w:sz w:val="20"/>
                <w:szCs w:val="20"/>
                <w:color w:val="auto"/>
              </w:rPr>
            </w:pPr>
            <w:r>
              <w:rPr>
                <w:rFonts w:ascii="Arial" w:cs="Arial" w:eastAsia="Arial" w:hAnsi="Arial"/>
                <w:sz w:val="14"/>
                <w:szCs w:val="14"/>
                <w:b w:val="1"/>
                <w:bCs w:val="1"/>
                <w:color w:val="00ABE8"/>
              </w:rPr>
              <w:t>Option Awards</w:t>
            </w:r>
          </w:p>
        </w:tc>
        <w:tc>
          <w:tcPr>
            <w:tcW w:w="100" w:type="dxa"/>
            <w:vAlign w:val="bottom"/>
            <w:shd w:val="clear" w:color="auto" w:fill="C8C9CB"/>
          </w:tcPr>
          <w:p>
            <w:pPr>
              <w:spacing w:after="0"/>
              <w:rPr>
                <w:sz w:val="23"/>
                <w:szCs w:val="23"/>
                <w:color w:val="auto"/>
              </w:rPr>
            </w:pPr>
          </w:p>
        </w:tc>
        <w:tc>
          <w:tcPr>
            <w:tcW w:w="1040" w:type="dxa"/>
            <w:vAlign w:val="bottom"/>
            <w:shd w:val="clear" w:color="auto" w:fill="C8C9CB"/>
          </w:tcPr>
          <w:p>
            <w:pPr>
              <w:spacing w:after="0"/>
              <w:rPr>
                <w:sz w:val="23"/>
                <w:szCs w:val="23"/>
                <w:color w:val="auto"/>
              </w:rPr>
            </w:pPr>
          </w:p>
        </w:tc>
        <w:tc>
          <w:tcPr>
            <w:tcW w:w="40" w:type="dxa"/>
            <w:vAlign w:val="bottom"/>
            <w:shd w:val="clear" w:color="auto" w:fill="C8C9CB"/>
          </w:tcPr>
          <w:p>
            <w:pPr>
              <w:spacing w:after="0"/>
              <w:rPr>
                <w:sz w:val="23"/>
                <w:szCs w:val="23"/>
                <w:color w:val="auto"/>
              </w:rPr>
            </w:pPr>
          </w:p>
        </w:tc>
        <w:tc>
          <w:tcPr>
            <w:tcW w:w="2420" w:type="dxa"/>
            <w:vAlign w:val="bottom"/>
            <w:gridSpan w:val="2"/>
            <w:shd w:val="clear" w:color="auto" w:fill="C8C9CB"/>
          </w:tcPr>
          <w:p>
            <w:pPr>
              <w:ind w:left="180"/>
              <w:spacing w:after="0"/>
              <w:rPr>
                <w:sz w:val="20"/>
                <w:szCs w:val="20"/>
                <w:color w:val="auto"/>
              </w:rPr>
            </w:pPr>
            <w:r>
              <w:rPr>
                <w:rFonts w:ascii="Arial" w:cs="Arial" w:eastAsia="Arial" w:hAnsi="Arial"/>
                <w:sz w:val="15"/>
                <w:szCs w:val="15"/>
                <w:b w:val="1"/>
                <w:bCs w:val="1"/>
                <w:color w:val="00ABE8"/>
              </w:rPr>
              <w:t>Stock Awards</w:t>
            </w:r>
          </w:p>
        </w:tc>
        <w:tc>
          <w:tcPr>
            <w:tcW w:w="0" w:type="dxa"/>
            <w:vAlign w:val="bottom"/>
          </w:tcPr>
          <w:p>
            <w:pPr>
              <w:spacing w:after="0"/>
              <w:rPr>
                <w:sz w:val="1"/>
                <w:szCs w:val="1"/>
                <w:color w:val="auto"/>
              </w:rPr>
            </w:pPr>
          </w:p>
        </w:tc>
      </w:tr>
      <w:tr>
        <w:trPr>
          <w:trHeight w:val="176"/>
        </w:trPr>
        <w:tc>
          <w:tcPr>
            <w:tcW w:w="1200" w:type="dxa"/>
            <w:vAlign w:val="bottom"/>
            <w:vMerge w:val="restart"/>
            <w:shd w:val="clear" w:color="auto" w:fill="C8C9CB"/>
          </w:tcPr>
          <w:p>
            <w:pPr>
              <w:ind w:left="420"/>
              <w:spacing w:after="0"/>
              <w:rPr>
                <w:sz w:val="20"/>
                <w:szCs w:val="20"/>
                <w:color w:val="auto"/>
              </w:rPr>
            </w:pPr>
            <w:r>
              <w:rPr>
                <w:rFonts w:ascii="Arial" w:cs="Arial" w:eastAsia="Arial" w:hAnsi="Arial"/>
                <w:sz w:val="14"/>
                <w:szCs w:val="14"/>
                <w:b w:val="1"/>
                <w:bCs w:val="1"/>
                <w:color w:val="00ABE8"/>
              </w:rPr>
              <w:t>Name</w:t>
            </w:r>
          </w:p>
        </w:tc>
        <w:tc>
          <w:tcPr>
            <w:tcW w:w="1760" w:type="dxa"/>
            <w:vAlign w:val="bottom"/>
            <w:shd w:val="clear" w:color="auto" w:fill="C8C9CB"/>
          </w:tcPr>
          <w:p>
            <w:pPr>
              <w:jc w:val="center"/>
              <w:ind w:right="50"/>
              <w:spacing w:after="0"/>
              <w:rPr>
                <w:sz w:val="20"/>
                <w:szCs w:val="20"/>
                <w:color w:val="auto"/>
              </w:rPr>
            </w:pPr>
            <w:r>
              <w:rPr>
                <w:rFonts w:ascii="Arial" w:cs="Arial" w:eastAsia="Arial" w:hAnsi="Arial"/>
                <w:sz w:val="14"/>
                <w:szCs w:val="14"/>
                <w:b w:val="1"/>
                <w:bCs w:val="1"/>
                <w:color w:val="00ABE8"/>
                <w:w w:val="96"/>
              </w:rPr>
              <w:t>Number of Shares</w:t>
            </w:r>
          </w:p>
        </w:tc>
        <w:tc>
          <w:tcPr>
            <w:tcW w:w="1360" w:type="dxa"/>
            <w:vAlign w:val="bottom"/>
            <w:shd w:val="clear" w:color="auto" w:fill="C8C9CB"/>
          </w:tcPr>
          <w:p>
            <w:pPr>
              <w:ind w:left="160"/>
              <w:spacing w:after="0"/>
              <w:rPr>
                <w:sz w:val="20"/>
                <w:szCs w:val="20"/>
                <w:color w:val="auto"/>
              </w:rPr>
            </w:pPr>
            <w:r>
              <w:rPr>
                <w:rFonts w:ascii="Arial" w:cs="Arial" w:eastAsia="Arial" w:hAnsi="Arial"/>
                <w:sz w:val="14"/>
                <w:szCs w:val="14"/>
                <w:b w:val="1"/>
                <w:bCs w:val="1"/>
                <w:color w:val="00ABE8"/>
              </w:rPr>
              <w:t>Value Realized</w:t>
            </w:r>
          </w:p>
        </w:tc>
        <w:tc>
          <w:tcPr>
            <w:tcW w:w="100" w:type="dxa"/>
            <w:vAlign w:val="bottom"/>
            <w:shd w:val="clear" w:color="auto" w:fill="C8C9CB"/>
          </w:tcPr>
          <w:p>
            <w:pPr>
              <w:spacing w:after="0"/>
              <w:rPr>
                <w:sz w:val="15"/>
                <w:szCs w:val="15"/>
                <w:color w:val="auto"/>
              </w:rPr>
            </w:pPr>
          </w:p>
        </w:tc>
        <w:tc>
          <w:tcPr>
            <w:tcW w:w="1940" w:type="dxa"/>
            <w:vAlign w:val="bottom"/>
            <w:gridSpan w:val="3"/>
            <w:shd w:val="clear" w:color="auto" w:fill="C8C9CB"/>
          </w:tcPr>
          <w:p>
            <w:pPr>
              <w:jc w:val="right"/>
              <w:ind w:right="319"/>
              <w:spacing w:after="0"/>
              <w:rPr>
                <w:sz w:val="20"/>
                <w:szCs w:val="20"/>
                <w:color w:val="auto"/>
              </w:rPr>
            </w:pPr>
            <w:r>
              <w:rPr>
                <w:rFonts w:ascii="Arial" w:cs="Arial" w:eastAsia="Arial" w:hAnsi="Arial"/>
                <w:sz w:val="15"/>
                <w:szCs w:val="15"/>
                <w:b w:val="1"/>
                <w:bCs w:val="1"/>
                <w:color w:val="00ABE8"/>
              </w:rPr>
              <w:t>Number of Shares</w:t>
            </w:r>
          </w:p>
        </w:tc>
        <w:tc>
          <w:tcPr>
            <w:tcW w:w="1560" w:type="dxa"/>
            <w:vAlign w:val="bottom"/>
            <w:shd w:val="clear" w:color="auto" w:fill="C8C9CB"/>
          </w:tcPr>
          <w:p>
            <w:pPr>
              <w:ind w:left="200"/>
              <w:spacing w:after="0"/>
              <w:rPr>
                <w:sz w:val="20"/>
                <w:szCs w:val="20"/>
                <w:color w:val="auto"/>
              </w:rPr>
            </w:pPr>
            <w:r>
              <w:rPr>
                <w:rFonts w:ascii="Arial" w:cs="Arial" w:eastAsia="Arial" w:hAnsi="Arial"/>
                <w:sz w:val="14"/>
                <w:szCs w:val="14"/>
                <w:b w:val="1"/>
                <w:bCs w:val="1"/>
                <w:color w:val="00ABE8"/>
              </w:rPr>
              <w:t>Value Realized</w:t>
            </w:r>
          </w:p>
        </w:tc>
        <w:tc>
          <w:tcPr>
            <w:tcW w:w="0" w:type="dxa"/>
            <w:vAlign w:val="bottom"/>
          </w:tcPr>
          <w:p>
            <w:pPr>
              <w:spacing w:after="0"/>
              <w:rPr>
                <w:sz w:val="1"/>
                <w:szCs w:val="1"/>
                <w:color w:val="auto"/>
              </w:rPr>
            </w:pPr>
          </w:p>
        </w:tc>
      </w:tr>
      <w:tr>
        <w:trPr>
          <w:trHeight w:val="203"/>
        </w:trPr>
        <w:tc>
          <w:tcPr>
            <w:tcW w:w="1200" w:type="dxa"/>
            <w:vAlign w:val="bottom"/>
            <w:vMerge w:val="continue"/>
            <w:shd w:val="clear" w:color="auto" w:fill="C8C9CB"/>
          </w:tcPr>
          <w:p>
            <w:pPr>
              <w:spacing w:after="0"/>
              <w:rPr>
                <w:sz w:val="17"/>
                <w:szCs w:val="17"/>
                <w:color w:val="auto"/>
              </w:rPr>
            </w:pPr>
          </w:p>
        </w:tc>
        <w:tc>
          <w:tcPr>
            <w:tcW w:w="1760" w:type="dxa"/>
            <w:vAlign w:val="bottom"/>
            <w:shd w:val="clear" w:color="auto" w:fill="C8C9CB"/>
          </w:tcPr>
          <w:p>
            <w:pPr>
              <w:jc w:val="center"/>
              <w:ind w:right="50"/>
              <w:spacing w:after="0"/>
              <w:rPr>
                <w:sz w:val="20"/>
                <w:szCs w:val="20"/>
                <w:color w:val="auto"/>
              </w:rPr>
            </w:pPr>
            <w:r>
              <w:rPr>
                <w:rFonts w:ascii="Arial" w:cs="Arial" w:eastAsia="Arial" w:hAnsi="Arial"/>
                <w:sz w:val="14"/>
                <w:szCs w:val="14"/>
                <w:b w:val="1"/>
                <w:bCs w:val="1"/>
                <w:color w:val="00ABE8"/>
                <w:w w:val="97"/>
              </w:rPr>
              <w:t>Acquired on Exercise (#)</w:t>
            </w:r>
          </w:p>
        </w:tc>
        <w:tc>
          <w:tcPr>
            <w:tcW w:w="1360" w:type="dxa"/>
            <w:vAlign w:val="bottom"/>
            <w:shd w:val="clear" w:color="auto" w:fill="C8C9CB"/>
          </w:tcPr>
          <w:p>
            <w:pPr>
              <w:ind w:left="140"/>
              <w:spacing w:after="0"/>
              <w:rPr>
                <w:sz w:val="20"/>
                <w:szCs w:val="20"/>
                <w:color w:val="auto"/>
              </w:rPr>
            </w:pPr>
            <w:r>
              <w:rPr>
                <w:rFonts w:ascii="Arial" w:cs="Arial" w:eastAsia="Arial" w:hAnsi="Arial"/>
                <w:sz w:val="14"/>
                <w:szCs w:val="14"/>
                <w:b w:val="1"/>
                <w:bCs w:val="1"/>
                <w:color w:val="00ABE8"/>
              </w:rPr>
              <w:t>on Exercise ($)</w:t>
            </w:r>
          </w:p>
        </w:tc>
        <w:tc>
          <w:tcPr>
            <w:tcW w:w="100" w:type="dxa"/>
            <w:vAlign w:val="bottom"/>
            <w:shd w:val="clear" w:color="auto" w:fill="C8C9CB"/>
          </w:tcPr>
          <w:p>
            <w:pPr>
              <w:spacing w:after="0"/>
              <w:rPr>
                <w:sz w:val="17"/>
                <w:szCs w:val="17"/>
                <w:color w:val="auto"/>
              </w:rPr>
            </w:pPr>
          </w:p>
        </w:tc>
        <w:tc>
          <w:tcPr>
            <w:tcW w:w="1940" w:type="dxa"/>
            <w:vAlign w:val="bottom"/>
            <w:gridSpan w:val="3"/>
            <w:shd w:val="clear" w:color="auto" w:fill="C8C9CB"/>
          </w:tcPr>
          <w:p>
            <w:pPr>
              <w:jc w:val="right"/>
              <w:ind w:right="119"/>
              <w:spacing w:after="0"/>
              <w:rPr>
                <w:sz w:val="20"/>
                <w:szCs w:val="20"/>
                <w:color w:val="auto"/>
              </w:rPr>
            </w:pPr>
            <w:r>
              <w:rPr>
                <w:rFonts w:ascii="Arial" w:cs="Arial" w:eastAsia="Arial" w:hAnsi="Arial"/>
                <w:sz w:val="15"/>
                <w:szCs w:val="15"/>
                <w:b w:val="1"/>
                <w:bCs w:val="1"/>
                <w:color w:val="00ABE8"/>
              </w:rPr>
              <w:t>Acquired on Vesting (#)</w:t>
            </w:r>
          </w:p>
        </w:tc>
        <w:tc>
          <w:tcPr>
            <w:tcW w:w="1560" w:type="dxa"/>
            <w:vAlign w:val="bottom"/>
            <w:shd w:val="clear" w:color="auto" w:fill="C8C9CB"/>
          </w:tcPr>
          <w:p>
            <w:pPr>
              <w:ind w:left="220"/>
              <w:spacing w:after="0" w:line="203" w:lineRule="exact"/>
              <w:rPr>
                <w:sz w:val="20"/>
                <w:szCs w:val="20"/>
                <w:color w:val="auto"/>
              </w:rPr>
            </w:pPr>
            <w:r>
              <w:rPr>
                <w:rFonts w:ascii="Arial" w:cs="Arial" w:eastAsia="Arial" w:hAnsi="Arial"/>
                <w:sz w:val="14"/>
                <w:szCs w:val="14"/>
                <w:b w:val="1"/>
                <w:bCs w:val="1"/>
                <w:color w:val="00ABE8"/>
              </w:rPr>
              <w:t>on Vesting ($)</w:t>
            </w:r>
            <w:r>
              <w:rPr>
                <w:rFonts w:ascii="Arial" w:cs="Arial" w:eastAsia="Arial" w:hAnsi="Arial"/>
                <w:sz w:val="22"/>
                <w:szCs w:val="22"/>
                <w:b w:val="1"/>
                <w:bCs w:val="1"/>
                <w:color w:val="00ABE8"/>
                <w:vertAlign w:val="superscript"/>
              </w:rPr>
              <w:t>1</w:t>
            </w:r>
          </w:p>
        </w:tc>
        <w:tc>
          <w:tcPr>
            <w:tcW w:w="0" w:type="dxa"/>
            <w:vAlign w:val="bottom"/>
          </w:tcPr>
          <w:p>
            <w:pPr>
              <w:spacing w:after="0"/>
              <w:rPr>
                <w:sz w:val="1"/>
                <w:szCs w:val="1"/>
                <w:color w:val="auto"/>
              </w:rPr>
            </w:pPr>
          </w:p>
        </w:tc>
      </w:tr>
      <w:tr>
        <w:trPr>
          <w:trHeight w:val="370"/>
        </w:trPr>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Mr. Ricks</w:t>
            </w:r>
          </w:p>
        </w:tc>
        <w:tc>
          <w:tcPr>
            <w:tcW w:w="1760" w:type="dxa"/>
            <w:vAlign w:val="bottom"/>
            <w:vMerge w:val="restart"/>
          </w:tcPr>
          <w:p>
            <w:pPr>
              <w:jc w:val="center"/>
              <w:ind w:right="50"/>
              <w:spacing w:after="0"/>
              <w:rPr>
                <w:sz w:val="20"/>
                <w:szCs w:val="20"/>
                <w:color w:val="auto"/>
              </w:rPr>
            </w:pPr>
            <w:r>
              <w:rPr>
                <w:rFonts w:ascii="Arial" w:cs="Arial" w:eastAsia="Arial" w:hAnsi="Arial"/>
                <w:sz w:val="14"/>
                <w:szCs w:val="14"/>
                <w:color w:val="auto"/>
              </w:rPr>
              <w:t>0</w:t>
            </w:r>
          </w:p>
        </w:tc>
        <w:tc>
          <w:tcPr>
            <w:tcW w:w="1360" w:type="dxa"/>
            <w:vAlign w:val="bottom"/>
            <w:vMerge w:val="restart"/>
          </w:tcPr>
          <w:p>
            <w:pPr>
              <w:jc w:val="center"/>
              <w:ind w:right="49"/>
              <w:spacing w:after="0"/>
              <w:rPr>
                <w:sz w:val="20"/>
                <w:szCs w:val="20"/>
                <w:color w:val="auto"/>
              </w:rPr>
            </w:pPr>
            <w:r>
              <w:rPr>
                <w:rFonts w:ascii="Arial" w:cs="Arial" w:eastAsia="Arial" w:hAnsi="Arial"/>
                <w:sz w:val="14"/>
                <w:szCs w:val="14"/>
                <w:color w:val="auto"/>
              </w:rPr>
              <w:t>$0</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21,326</w:t>
            </w:r>
          </w:p>
        </w:tc>
        <w:tc>
          <w:tcPr>
            <w:tcW w:w="860" w:type="dxa"/>
            <w:vAlign w:val="bottom"/>
          </w:tcPr>
          <w:p>
            <w:pPr>
              <w:jc w:val="right"/>
              <w:ind w:right="699"/>
              <w:spacing w:after="0"/>
              <w:rPr>
                <w:sz w:val="20"/>
                <w:szCs w:val="20"/>
                <w:color w:val="auto"/>
              </w:rPr>
            </w:pPr>
            <w:r>
              <w:rPr>
                <w:rFonts w:ascii="Arial" w:cs="Arial" w:eastAsia="Arial" w:hAnsi="Arial"/>
                <w:sz w:val="12"/>
                <w:szCs w:val="12"/>
                <w:color w:val="auto"/>
              </w:rPr>
              <w:t>2</w:t>
            </w:r>
          </w:p>
        </w:tc>
        <w:tc>
          <w:tcPr>
            <w:tcW w:w="1560" w:type="dxa"/>
            <w:vAlign w:val="bottom"/>
          </w:tcPr>
          <w:p>
            <w:pPr>
              <w:jc w:val="center"/>
              <w:ind w:right="88"/>
              <w:spacing w:after="0"/>
              <w:rPr>
                <w:sz w:val="20"/>
                <w:szCs w:val="20"/>
                <w:color w:val="auto"/>
              </w:rPr>
            </w:pPr>
            <w:r>
              <w:rPr>
                <w:rFonts w:ascii="Arial" w:cs="Arial" w:eastAsia="Arial" w:hAnsi="Arial"/>
                <w:sz w:val="14"/>
                <w:szCs w:val="14"/>
                <w:color w:val="auto"/>
              </w:rPr>
              <w:t>$1,737,003</w:t>
            </w:r>
          </w:p>
        </w:tc>
        <w:tc>
          <w:tcPr>
            <w:tcW w:w="0" w:type="dxa"/>
            <w:vAlign w:val="bottom"/>
          </w:tcPr>
          <w:p>
            <w:pPr>
              <w:spacing w:after="0"/>
              <w:rPr>
                <w:sz w:val="1"/>
                <w:szCs w:val="1"/>
                <w:color w:val="auto"/>
              </w:rPr>
            </w:pPr>
          </w:p>
        </w:tc>
      </w:tr>
      <w:tr>
        <w:trPr>
          <w:trHeight w:val="54"/>
        </w:trPr>
        <w:tc>
          <w:tcPr>
            <w:tcW w:w="1200" w:type="dxa"/>
            <w:vAlign w:val="bottom"/>
            <w:vMerge w:val="continue"/>
          </w:tcPr>
          <w:p>
            <w:pPr>
              <w:spacing w:after="0"/>
              <w:rPr>
                <w:sz w:val="4"/>
                <w:szCs w:val="4"/>
                <w:color w:val="auto"/>
              </w:rPr>
            </w:pPr>
          </w:p>
        </w:tc>
        <w:tc>
          <w:tcPr>
            <w:tcW w:w="176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200" w:type="dxa"/>
            <w:vAlign w:val="bottom"/>
            <w:tcBorders>
              <w:bottom w:val="single" w:sz="8" w:color="C8C9CB"/>
            </w:tcBorders>
          </w:tcPr>
          <w:p>
            <w:pPr>
              <w:spacing w:after="0"/>
              <w:rPr>
                <w:sz w:val="19"/>
                <w:szCs w:val="19"/>
                <w:color w:val="auto"/>
              </w:rPr>
            </w:pPr>
          </w:p>
        </w:tc>
        <w:tc>
          <w:tcPr>
            <w:tcW w:w="1760" w:type="dxa"/>
            <w:vAlign w:val="bottom"/>
            <w:tcBorders>
              <w:bottom w:val="single" w:sz="8" w:color="C8C9CB"/>
            </w:tcBorders>
          </w:tcPr>
          <w:p>
            <w:pPr>
              <w:spacing w:after="0"/>
              <w:rPr>
                <w:sz w:val="19"/>
                <w:szCs w:val="19"/>
                <w:color w:val="auto"/>
              </w:rPr>
            </w:pPr>
          </w:p>
        </w:tc>
        <w:tc>
          <w:tcPr>
            <w:tcW w:w="1360" w:type="dxa"/>
            <w:vAlign w:val="bottom"/>
            <w:tcBorders>
              <w:bottom w:val="single" w:sz="8" w:color="C8C9CB"/>
            </w:tcBorders>
          </w:tcPr>
          <w:p>
            <w:pPr>
              <w:spacing w:after="0"/>
              <w:rPr>
                <w:sz w:val="19"/>
                <w:szCs w:val="19"/>
                <w:color w:val="auto"/>
              </w:rPr>
            </w:pPr>
          </w:p>
        </w:tc>
        <w:tc>
          <w:tcPr>
            <w:tcW w:w="1180" w:type="dxa"/>
            <w:vAlign w:val="bottom"/>
            <w:tcBorders>
              <w:bottom w:val="single" w:sz="8" w:color="C8C9CB"/>
            </w:tcBorders>
            <w:gridSpan w:val="3"/>
          </w:tcPr>
          <w:p>
            <w:pPr>
              <w:jc w:val="right"/>
              <w:spacing w:after="0"/>
              <w:rPr>
                <w:sz w:val="20"/>
                <w:szCs w:val="20"/>
                <w:color w:val="auto"/>
              </w:rPr>
            </w:pPr>
            <w:r>
              <w:rPr>
                <w:rFonts w:ascii="Arial" w:cs="Arial" w:eastAsia="Arial" w:hAnsi="Arial"/>
                <w:sz w:val="14"/>
                <w:szCs w:val="14"/>
                <w:color w:val="auto"/>
              </w:rPr>
              <w:t>48,164</w:t>
            </w:r>
          </w:p>
        </w:tc>
        <w:tc>
          <w:tcPr>
            <w:tcW w:w="860" w:type="dxa"/>
            <w:vAlign w:val="bottom"/>
            <w:tcBorders>
              <w:bottom w:val="single" w:sz="8" w:color="C8C9CB"/>
            </w:tcBorders>
          </w:tcPr>
          <w:p>
            <w:pPr>
              <w:jc w:val="right"/>
              <w:ind w:right="699"/>
              <w:spacing w:after="0"/>
              <w:rPr>
                <w:sz w:val="20"/>
                <w:szCs w:val="20"/>
                <w:color w:val="auto"/>
              </w:rPr>
            </w:pPr>
            <w:r>
              <w:rPr>
                <w:rFonts w:ascii="Arial" w:cs="Arial" w:eastAsia="Arial" w:hAnsi="Arial"/>
                <w:sz w:val="12"/>
                <w:szCs w:val="12"/>
                <w:color w:val="auto"/>
              </w:rPr>
              <w:t>3</w:t>
            </w:r>
          </w:p>
        </w:tc>
        <w:tc>
          <w:tcPr>
            <w:tcW w:w="1560" w:type="dxa"/>
            <w:vAlign w:val="bottom"/>
            <w:tcBorders>
              <w:bottom w:val="single" w:sz="8" w:color="C8C9CB"/>
            </w:tcBorders>
          </w:tcPr>
          <w:p>
            <w:pPr>
              <w:jc w:val="center"/>
              <w:ind w:right="88"/>
              <w:spacing w:after="0"/>
              <w:rPr>
                <w:sz w:val="20"/>
                <w:szCs w:val="20"/>
                <w:color w:val="auto"/>
              </w:rPr>
            </w:pPr>
            <w:r>
              <w:rPr>
                <w:rFonts w:ascii="Arial" w:cs="Arial" w:eastAsia="Arial" w:hAnsi="Arial"/>
                <w:sz w:val="14"/>
                <w:szCs w:val="14"/>
                <w:color w:val="auto"/>
              </w:rPr>
              <w:t>$5,787,868</w:t>
            </w:r>
          </w:p>
        </w:tc>
        <w:tc>
          <w:tcPr>
            <w:tcW w:w="0" w:type="dxa"/>
            <w:vAlign w:val="bottom"/>
          </w:tcPr>
          <w:p>
            <w:pPr>
              <w:spacing w:after="0"/>
              <w:rPr>
                <w:sz w:val="1"/>
                <w:szCs w:val="1"/>
                <w:color w:val="auto"/>
              </w:rPr>
            </w:pPr>
          </w:p>
        </w:tc>
      </w:tr>
      <w:tr>
        <w:trPr>
          <w:trHeight w:val="260"/>
        </w:trPr>
        <w:tc>
          <w:tcPr>
            <w:tcW w:w="1200" w:type="dxa"/>
            <w:vAlign w:val="bottom"/>
            <w:vMerge w:val="restart"/>
            <w:shd w:val="clear" w:color="auto" w:fill="F4F6F6"/>
          </w:tcPr>
          <w:p>
            <w:pPr>
              <w:ind w:left="40"/>
              <w:spacing w:after="0"/>
              <w:rPr>
                <w:sz w:val="20"/>
                <w:szCs w:val="20"/>
                <w:color w:val="auto"/>
              </w:rPr>
            </w:pPr>
            <w:r>
              <w:rPr>
                <w:rFonts w:ascii="Arial" w:cs="Arial" w:eastAsia="Arial" w:hAnsi="Arial"/>
                <w:sz w:val="14"/>
                <w:szCs w:val="14"/>
                <w:color w:val="auto"/>
              </w:rPr>
              <w:t>Mr. Smiley</w:t>
            </w:r>
          </w:p>
        </w:tc>
        <w:tc>
          <w:tcPr>
            <w:tcW w:w="1760" w:type="dxa"/>
            <w:vAlign w:val="bottom"/>
            <w:vMerge w:val="restart"/>
            <w:shd w:val="clear" w:color="auto" w:fill="F4F6F6"/>
          </w:tcPr>
          <w:p>
            <w:pPr>
              <w:jc w:val="center"/>
              <w:ind w:right="50"/>
              <w:spacing w:after="0"/>
              <w:rPr>
                <w:sz w:val="20"/>
                <w:szCs w:val="20"/>
                <w:color w:val="auto"/>
              </w:rPr>
            </w:pPr>
            <w:r>
              <w:rPr>
                <w:rFonts w:ascii="Arial" w:cs="Arial" w:eastAsia="Arial" w:hAnsi="Arial"/>
                <w:sz w:val="14"/>
                <w:szCs w:val="14"/>
                <w:color w:val="auto"/>
              </w:rPr>
              <w:t>$0</w:t>
            </w:r>
          </w:p>
        </w:tc>
        <w:tc>
          <w:tcPr>
            <w:tcW w:w="1360" w:type="dxa"/>
            <w:vAlign w:val="bottom"/>
            <w:vMerge w:val="restart"/>
            <w:shd w:val="clear" w:color="auto" w:fill="F4F6F6"/>
          </w:tcPr>
          <w:p>
            <w:pPr>
              <w:jc w:val="center"/>
              <w:ind w:right="49"/>
              <w:spacing w:after="0"/>
              <w:rPr>
                <w:sz w:val="20"/>
                <w:szCs w:val="20"/>
                <w:color w:val="auto"/>
              </w:rPr>
            </w:pPr>
            <w:r>
              <w:rPr>
                <w:rFonts w:ascii="Arial" w:cs="Arial" w:eastAsia="Arial" w:hAnsi="Arial"/>
                <w:sz w:val="14"/>
                <w:szCs w:val="14"/>
                <w:color w:val="auto"/>
              </w:rPr>
              <w:t>0</w:t>
            </w:r>
          </w:p>
        </w:tc>
        <w:tc>
          <w:tcPr>
            <w:tcW w:w="100" w:type="dxa"/>
            <w:vAlign w:val="bottom"/>
            <w:shd w:val="clear" w:color="auto" w:fill="F4F6F6"/>
          </w:tcPr>
          <w:p>
            <w:pPr>
              <w:spacing w:after="0"/>
              <w:rPr>
                <w:sz w:val="22"/>
                <w:szCs w:val="22"/>
                <w:color w:val="auto"/>
              </w:rPr>
            </w:pPr>
          </w:p>
        </w:tc>
        <w:tc>
          <w:tcPr>
            <w:tcW w:w="1080" w:type="dxa"/>
            <w:vAlign w:val="bottom"/>
            <w:gridSpan w:val="2"/>
            <w:shd w:val="clear" w:color="auto" w:fill="F4F6F6"/>
          </w:tcPr>
          <w:p>
            <w:pPr>
              <w:jc w:val="right"/>
              <w:spacing w:after="0"/>
              <w:rPr>
                <w:sz w:val="20"/>
                <w:szCs w:val="20"/>
                <w:color w:val="auto"/>
              </w:rPr>
            </w:pPr>
            <w:r>
              <w:rPr>
                <w:rFonts w:ascii="Arial" w:cs="Arial" w:eastAsia="Arial" w:hAnsi="Arial"/>
                <w:sz w:val="14"/>
                <w:szCs w:val="14"/>
                <w:color w:val="auto"/>
              </w:rPr>
              <w:t>8,430</w:t>
            </w:r>
          </w:p>
        </w:tc>
        <w:tc>
          <w:tcPr>
            <w:tcW w:w="860" w:type="dxa"/>
            <w:vAlign w:val="bottom"/>
            <w:shd w:val="clear" w:color="auto" w:fill="F4F6F6"/>
          </w:tcPr>
          <w:p>
            <w:pPr>
              <w:jc w:val="right"/>
              <w:ind w:right="699"/>
              <w:spacing w:after="0"/>
              <w:rPr>
                <w:sz w:val="20"/>
                <w:szCs w:val="20"/>
                <w:color w:val="auto"/>
              </w:rPr>
            </w:pPr>
            <w:r>
              <w:rPr>
                <w:rFonts w:ascii="Arial" w:cs="Arial" w:eastAsia="Arial" w:hAnsi="Arial"/>
                <w:sz w:val="12"/>
                <w:szCs w:val="12"/>
                <w:color w:val="auto"/>
              </w:rPr>
              <w:t>3</w:t>
            </w:r>
          </w:p>
        </w:tc>
        <w:tc>
          <w:tcPr>
            <w:tcW w:w="1560" w:type="dxa"/>
            <w:vAlign w:val="bottom"/>
            <w:shd w:val="clear" w:color="auto" w:fill="F4F6F6"/>
          </w:tcPr>
          <w:p>
            <w:pPr>
              <w:jc w:val="center"/>
              <w:ind w:right="88"/>
              <w:spacing w:after="0"/>
              <w:rPr>
                <w:sz w:val="20"/>
                <w:szCs w:val="20"/>
                <w:color w:val="auto"/>
              </w:rPr>
            </w:pPr>
            <w:r>
              <w:rPr>
                <w:rFonts w:ascii="Arial" w:cs="Arial" w:eastAsia="Arial" w:hAnsi="Arial"/>
                <w:sz w:val="14"/>
                <w:szCs w:val="14"/>
                <w:color w:val="auto"/>
              </w:rPr>
              <w:t>$1,013,033</w:t>
            </w:r>
          </w:p>
        </w:tc>
        <w:tc>
          <w:tcPr>
            <w:tcW w:w="0" w:type="dxa"/>
            <w:vAlign w:val="bottom"/>
          </w:tcPr>
          <w:p>
            <w:pPr>
              <w:spacing w:after="0"/>
              <w:rPr>
                <w:sz w:val="1"/>
                <w:szCs w:val="1"/>
                <w:color w:val="auto"/>
              </w:rPr>
            </w:pPr>
          </w:p>
        </w:tc>
      </w:tr>
      <w:tr>
        <w:trPr>
          <w:trHeight w:val="108"/>
        </w:trPr>
        <w:tc>
          <w:tcPr>
            <w:tcW w:w="1200" w:type="dxa"/>
            <w:vAlign w:val="bottom"/>
            <w:vMerge w:val="continue"/>
            <w:shd w:val="clear" w:color="auto" w:fill="F4F6F6"/>
          </w:tcPr>
          <w:p>
            <w:pPr>
              <w:spacing w:after="0"/>
              <w:rPr>
                <w:sz w:val="9"/>
                <w:szCs w:val="9"/>
                <w:color w:val="auto"/>
              </w:rPr>
            </w:pPr>
          </w:p>
        </w:tc>
        <w:tc>
          <w:tcPr>
            <w:tcW w:w="1760" w:type="dxa"/>
            <w:vAlign w:val="bottom"/>
            <w:vMerge w:val="continue"/>
            <w:shd w:val="clear" w:color="auto" w:fill="F4F6F6"/>
          </w:tcPr>
          <w:p>
            <w:pPr>
              <w:spacing w:after="0"/>
              <w:rPr>
                <w:sz w:val="9"/>
                <w:szCs w:val="9"/>
                <w:color w:val="auto"/>
              </w:rPr>
            </w:pPr>
          </w:p>
        </w:tc>
        <w:tc>
          <w:tcPr>
            <w:tcW w:w="1360" w:type="dxa"/>
            <w:vAlign w:val="bottom"/>
            <w:vMerge w:val="continue"/>
            <w:shd w:val="clear" w:color="auto" w:fill="F4F6F6"/>
          </w:tcPr>
          <w:p>
            <w:pPr>
              <w:spacing w:after="0"/>
              <w:rPr>
                <w:sz w:val="9"/>
                <w:szCs w:val="9"/>
                <w:color w:val="auto"/>
              </w:rPr>
            </w:pPr>
          </w:p>
        </w:tc>
        <w:tc>
          <w:tcPr>
            <w:tcW w:w="100" w:type="dxa"/>
            <w:vAlign w:val="bottom"/>
            <w:shd w:val="clear" w:color="auto" w:fill="F4F6F6"/>
          </w:tcPr>
          <w:p>
            <w:pPr>
              <w:spacing w:after="0"/>
              <w:rPr>
                <w:sz w:val="9"/>
                <w:szCs w:val="9"/>
                <w:color w:val="auto"/>
              </w:rPr>
            </w:pPr>
          </w:p>
        </w:tc>
        <w:tc>
          <w:tcPr>
            <w:tcW w:w="1080" w:type="dxa"/>
            <w:vAlign w:val="bottom"/>
            <w:gridSpan w:val="2"/>
            <w:vMerge w:val="restart"/>
            <w:shd w:val="clear" w:color="auto" w:fill="F4F6F6"/>
          </w:tcPr>
          <w:p>
            <w:pPr>
              <w:jc w:val="right"/>
              <w:spacing w:after="0"/>
              <w:rPr>
                <w:sz w:val="20"/>
                <w:szCs w:val="20"/>
                <w:color w:val="auto"/>
              </w:rPr>
            </w:pPr>
            <w:r>
              <w:rPr>
                <w:rFonts w:ascii="Arial" w:cs="Arial" w:eastAsia="Arial" w:hAnsi="Arial"/>
                <w:sz w:val="14"/>
                <w:szCs w:val="14"/>
                <w:color w:val="auto"/>
              </w:rPr>
              <w:t>7,139</w:t>
            </w:r>
          </w:p>
        </w:tc>
        <w:tc>
          <w:tcPr>
            <w:tcW w:w="860" w:type="dxa"/>
            <w:vAlign w:val="bottom"/>
            <w:vMerge w:val="restart"/>
            <w:shd w:val="clear" w:color="auto" w:fill="F4F6F6"/>
          </w:tcPr>
          <w:p>
            <w:pPr>
              <w:jc w:val="right"/>
              <w:ind w:right="699"/>
              <w:spacing w:after="0"/>
              <w:rPr>
                <w:sz w:val="20"/>
                <w:szCs w:val="20"/>
                <w:color w:val="auto"/>
              </w:rPr>
            </w:pPr>
            <w:r>
              <w:rPr>
                <w:rFonts w:ascii="Arial" w:cs="Arial" w:eastAsia="Arial" w:hAnsi="Arial"/>
                <w:sz w:val="12"/>
                <w:szCs w:val="12"/>
                <w:color w:val="auto"/>
              </w:rPr>
              <w:t>4</w:t>
            </w:r>
          </w:p>
        </w:tc>
        <w:tc>
          <w:tcPr>
            <w:tcW w:w="1560" w:type="dxa"/>
            <w:vAlign w:val="bottom"/>
            <w:vMerge w:val="restart"/>
            <w:shd w:val="clear" w:color="auto" w:fill="F4F6F6"/>
          </w:tcPr>
          <w:p>
            <w:pPr>
              <w:jc w:val="center"/>
              <w:ind w:right="88"/>
              <w:spacing w:after="0"/>
              <w:rPr>
                <w:sz w:val="20"/>
                <w:szCs w:val="20"/>
                <w:color w:val="auto"/>
              </w:rPr>
            </w:pPr>
            <w:r>
              <w:rPr>
                <w:rFonts w:ascii="Arial" w:cs="Arial" w:eastAsia="Arial" w:hAnsi="Arial"/>
                <w:sz w:val="14"/>
                <w:szCs w:val="14"/>
                <w:color w:val="auto"/>
              </w:rPr>
              <w:t>$857,894</w:t>
            </w:r>
          </w:p>
        </w:tc>
        <w:tc>
          <w:tcPr>
            <w:tcW w:w="0" w:type="dxa"/>
            <w:vAlign w:val="bottom"/>
          </w:tcPr>
          <w:p>
            <w:pPr>
              <w:spacing w:after="0"/>
              <w:rPr>
                <w:sz w:val="1"/>
                <w:szCs w:val="1"/>
                <w:color w:val="auto"/>
              </w:rPr>
            </w:pPr>
          </w:p>
        </w:tc>
      </w:tr>
      <w:tr>
        <w:trPr>
          <w:trHeight w:val="166"/>
        </w:trPr>
        <w:tc>
          <w:tcPr>
            <w:tcW w:w="1200" w:type="dxa"/>
            <w:vAlign w:val="bottom"/>
            <w:tcBorders>
              <w:bottom w:val="single" w:sz="8" w:color="C8C9CB"/>
            </w:tcBorders>
            <w:shd w:val="clear" w:color="auto" w:fill="F4F6F6"/>
          </w:tcPr>
          <w:p>
            <w:pPr>
              <w:spacing w:after="0"/>
              <w:rPr>
                <w:sz w:val="14"/>
                <w:szCs w:val="14"/>
                <w:color w:val="auto"/>
              </w:rPr>
            </w:pPr>
          </w:p>
        </w:tc>
        <w:tc>
          <w:tcPr>
            <w:tcW w:w="1760" w:type="dxa"/>
            <w:vAlign w:val="bottom"/>
            <w:tcBorders>
              <w:bottom w:val="single" w:sz="8" w:color="C8C9CB"/>
            </w:tcBorders>
            <w:shd w:val="clear" w:color="auto" w:fill="F4F6F6"/>
          </w:tcPr>
          <w:p>
            <w:pPr>
              <w:spacing w:after="0"/>
              <w:rPr>
                <w:sz w:val="14"/>
                <w:szCs w:val="14"/>
                <w:color w:val="auto"/>
              </w:rPr>
            </w:pPr>
          </w:p>
        </w:tc>
        <w:tc>
          <w:tcPr>
            <w:tcW w:w="1360" w:type="dxa"/>
            <w:vAlign w:val="bottom"/>
            <w:tcBorders>
              <w:bottom w:val="single" w:sz="8" w:color="C8C9CB"/>
            </w:tcBorders>
            <w:shd w:val="clear" w:color="auto" w:fill="F4F6F6"/>
          </w:tcPr>
          <w:p>
            <w:pPr>
              <w:spacing w:after="0"/>
              <w:rPr>
                <w:sz w:val="14"/>
                <w:szCs w:val="14"/>
                <w:color w:val="auto"/>
              </w:rPr>
            </w:pPr>
          </w:p>
        </w:tc>
        <w:tc>
          <w:tcPr>
            <w:tcW w:w="100" w:type="dxa"/>
            <w:vAlign w:val="bottom"/>
            <w:tcBorders>
              <w:bottom w:val="single" w:sz="8" w:color="C8C9CB"/>
            </w:tcBorders>
            <w:shd w:val="clear" w:color="auto" w:fill="F4F6F6"/>
          </w:tcPr>
          <w:p>
            <w:pPr>
              <w:spacing w:after="0"/>
              <w:rPr>
                <w:sz w:val="14"/>
                <w:szCs w:val="14"/>
                <w:color w:val="auto"/>
              </w:rPr>
            </w:pPr>
          </w:p>
        </w:tc>
        <w:tc>
          <w:tcPr>
            <w:tcW w:w="1080" w:type="dxa"/>
            <w:vAlign w:val="bottom"/>
            <w:tcBorders>
              <w:bottom w:val="single" w:sz="8" w:color="C8C9CB"/>
            </w:tcBorders>
            <w:gridSpan w:val="2"/>
            <w:vMerge w:val="continue"/>
            <w:shd w:val="clear" w:color="auto" w:fill="F4F6F6"/>
          </w:tcPr>
          <w:p>
            <w:pPr>
              <w:spacing w:after="0"/>
              <w:rPr>
                <w:sz w:val="14"/>
                <w:szCs w:val="14"/>
                <w:color w:val="auto"/>
              </w:rPr>
            </w:pPr>
          </w:p>
        </w:tc>
        <w:tc>
          <w:tcPr>
            <w:tcW w:w="860" w:type="dxa"/>
            <w:vAlign w:val="bottom"/>
            <w:tcBorders>
              <w:bottom w:val="single" w:sz="8" w:color="C8C9CB"/>
            </w:tcBorders>
            <w:vMerge w:val="continue"/>
            <w:shd w:val="clear" w:color="auto" w:fill="F4F6F6"/>
          </w:tcPr>
          <w:p>
            <w:pPr>
              <w:spacing w:after="0"/>
              <w:rPr>
                <w:sz w:val="14"/>
                <w:szCs w:val="14"/>
                <w:color w:val="auto"/>
              </w:rPr>
            </w:pPr>
          </w:p>
        </w:tc>
        <w:tc>
          <w:tcPr>
            <w:tcW w:w="1560" w:type="dxa"/>
            <w:vAlign w:val="bottom"/>
            <w:tcBorders>
              <w:bottom w:val="single" w:sz="8" w:color="C8C9CB"/>
            </w:tcBorders>
            <w:vMerge w:val="continue"/>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Mr. Harrington</w:t>
            </w:r>
          </w:p>
        </w:tc>
        <w:tc>
          <w:tcPr>
            <w:tcW w:w="1760" w:type="dxa"/>
            <w:vAlign w:val="bottom"/>
            <w:vMerge w:val="restart"/>
          </w:tcPr>
          <w:p>
            <w:pPr>
              <w:jc w:val="center"/>
              <w:ind w:right="50"/>
              <w:spacing w:after="0"/>
              <w:rPr>
                <w:sz w:val="20"/>
                <w:szCs w:val="20"/>
                <w:color w:val="auto"/>
              </w:rPr>
            </w:pPr>
            <w:r>
              <w:rPr>
                <w:rFonts w:ascii="Arial" w:cs="Arial" w:eastAsia="Arial" w:hAnsi="Arial"/>
                <w:sz w:val="14"/>
                <w:szCs w:val="14"/>
                <w:color w:val="auto"/>
              </w:rPr>
              <w:t>0</w:t>
            </w:r>
          </w:p>
        </w:tc>
        <w:tc>
          <w:tcPr>
            <w:tcW w:w="1360" w:type="dxa"/>
            <w:vAlign w:val="bottom"/>
            <w:vMerge w:val="restart"/>
          </w:tcPr>
          <w:p>
            <w:pPr>
              <w:jc w:val="center"/>
              <w:ind w:right="49"/>
              <w:spacing w:after="0"/>
              <w:rPr>
                <w:sz w:val="20"/>
                <w:szCs w:val="20"/>
                <w:color w:val="auto"/>
              </w:rPr>
            </w:pPr>
            <w:r>
              <w:rPr>
                <w:rFonts w:ascii="Arial" w:cs="Arial" w:eastAsia="Arial" w:hAnsi="Arial"/>
                <w:sz w:val="14"/>
                <w:szCs w:val="14"/>
                <w:color w:val="auto"/>
              </w:rPr>
              <w:t>$0</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24,524</w:t>
            </w:r>
          </w:p>
        </w:tc>
        <w:tc>
          <w:tcPr>
            <w:tcW w:w="860" w:type="dxa"/>
            <w:vAlign w:val="bottom"/>
          </w:tcPr>
          <w:p>
            <w:pPr>
              <w:jc w:val="right"/>
              <w:ind w:right="699"/>
              <w:spacing w:after="0"/>
              <w:rPr>
                <w:sz w:val="20"/>
                <w:szCs w:val="20"/>
                <w:color w:val="auto"/>
              </w:rPr>
            </w:pPr>
            <w:r>
              <w:rPr>
                <w:rFonts w:ascii="Arial" w:cs="Arial" w:eastAsia="Arial" w:hAnsi="Arial"/>
                <w:sz w:val="12"/>
                <w:szCs w:val="12"/>
                <w:color w:val="auto"/>
              </w:rPr>
              <w:t>2</w:t>
            </w:r>
          </w:p>
        </w:tc>
        <w:tc>
          <w:tcPr>
            <w:tcW w:w="1560" w:type="dxa"/>
            <w:vAlign w:val="bottom"/>
          </w:tcPr>
          <w:p>
            <w:pPr>
              <w:jc w:val="center"/>
              <w:ind w:right="88"/>
              <w:spacing w:after="0"/>
              <w:rPr>
                <w:sz w:val="20"/>
                <w:szCs w:val="20"/>
                <w:color w:val="auto"/>
              </w:rPr>
            </w:pPr>
            <w:r>
              <w:rPr>
                <w:rFonts w:ascii="Arial" w:cs="Arial" w:eastAsia="Arial" w:hAnsi="Arial"/>
                <w:sz w:val="14"/>
                <w:szCs w:val="14"/>
                <w:color w:val="auto"/>
              </w:rPr>
              <w:t>$1,997,480</w:t>
            </w:r>
          </w:p>
        </w:tc>
        <w:tc>
          <w:tcPr>
            <w:tcW w:w="0" w:type="dxa"/>
            <w:vAlign w:val="bottom"/>
          </w:tcPr>
          <w:p>
            <w:pPr>
              <w:spacing w:after="0"/>
              <w:rPr>
                <w:sz w:val="1"/>
                <w:szCs w:val="1"/>
                <w:color w:val="auto"/>
              </w:rPr>
            </w:pPr>
          </w:p>
        </w:tc>
      </w:tr>
      <w:tr>
        <w:trPr>
          <w:trHeight w:val="108"/>
        </w:trPr>
        <w:tc>
          <w:tcPr>
            <w:tcW w:w="12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color w:val="auto"/>
              </w:rPr>
              <w:t>50,352</w:t>
            </w:r>
          </w:p>
        </w:tc>
        <w:tc>
          <w:tcPr>
            <w:tcW w:w="860" w:type="dxa"/>
            <w:vAlign w:val="bottom"/>
            <w:vMerge w:val="restart"/>
          </w:tcPr>
          <w:p>
            <w:pPr>
              <w:jc w:val="right"/>
              <w:ind w:right="699"/>
              <w:spacing w:after="0"/>
              <w:rPr>
                <w:sz w:val="20"/>
                <w:szCs w:val="20"/>
                <w:color w:val="auto"/>
              </w:rPr>
            </w:pPr>
            <w:r>
              <w:rPr>
                <w:rFonts w:ascii="Arial" w:cs="Arial" w:eastAsia="Arial" w:hAnsi="Arial"/>
                <w:sz w:val="12"/>
                <w:szCs w:val="12"/>
                <w:color w:val="auto"/>
              </w:rPr>
              <w:t>3</w:t>
            </w:r>
          </w:p>
        </w:tc>
        <w:tc>
          <w:tcPr>
            <w:tcW w:w="1560" w:type="dxa"/>
            <w:vAlign w:val="bottom"/>
            <w:vMerge w:val="restart"/>
          </w:tcPr>
          <w:p>
            <w:pPr>
              <w:jc w:val="center"/>
              <w:ind w:right="88"/>
              <w:spacing w:after="0"/>
              <w:rPr>
                <w:sz w:val="20"/>
                <w:szCs w:val="20"/>
                <w:color w:val="auto"/>
              </w:rPr>
            </w:pPr>
            <w:r>
              <w:rPr>
                <w:rFonts w:ascii="Arial" w:cs="Arial" w:eastAsia="Arial" w:hAnsi="Arial"/>
                <w:sz w:val="14"/>
                <w:szCs w:val="14"/>
                <w:color w:val="auto"/>
              </w:rPr>
              <w:t>$6,050,800</w:t>
            </w:r>
          </w:p>
        </w:tc>
        <w:tc>
          <w:tcPr>
            <w:tcW w:w="0" w:type="dxa"/>
            <w:vAlign w:val="bottom"/>
          </w:tcPr>
          <w:p>
            <w:pPr>
              <w:spacing w:after="0"/>
              <w:rPr>
                <w:sz w:val="1"/>
                <w:szCs w:val="1"/>
                <w:color w:val="auto"/>
              </w:rPr>
            </w:pPr>
          </w:p>
        </w:tc>
      </w:tr>
      <w:tr>
        <w:trPr>
          <w:trHeight w:val="166"/>
        </w:trPr>
        <w:tc>
          <w:tcPr>
            <w:tcW w:w="1200" w:type="dxa"/>
            <w:vAlign w:val="bottom"/>
            <w:tcBorders>
              <w:bottom w:val="single" w:sz="8" w:color="C8C9CB"/>
            </w:tcBorders>
          </w:tcPr>
          <w:p>
            <w:pPr>
              <w:spacing w:after="0"/>
              <w:rPr>
                <w:sz w:val="14"/>
                <w:szCs w:val="14"/>
                <w:color w:val="auto"/>
              </w:rPr>
            </w:pPr>
          </w:p>
        </w:tc>
        <w:tc>
          <w:tcPr>
            <w:tcW w:w="1760" w:type="dxa"/>
            <w:vAlign w:val="bottom"/>
            <w:tcBorders>
              <w:bottom w:val="single" w:sz="8" w:color="C8C9CB"/>
            </w:tcBorders>
          </w:tcPr>
          <w:p>
            <w:pPr>
              <w:spacing w:after="0"/>
              <w:rPr>
                <w:sz w:val="14"/>
                <w:szCs w:val="14"/>
                <w:color w:val="auto"/>
              </w:rPr>
            </w:pPr>
          </w:p>
        </w:tc>
        <w:tc>
          <w:tcPr>
            <w:tcW w:w="1360" w:type="dxa"/>
            <w:vAlign w:val="bottom"/>
            <w:tcBorders>
              <w:bottom w:val="single" w:sz="8" w:color="C8C9CB"/>
            </w:tcBorders>
          </w:tcPr>
          <w:p>
            <w:pPr>
              <w:spacing w:after="0"/>
              <w:rPr>
                <w:sz w:val="14"/>
                <w:szCs w:val="14"/>
                <w:color w:val="auto"/>
              </w:rPr>
            </w:pPr>
          </w:p>
        </w:tc>
        <w:tc>
          <w:tcPr>
            <w:tcW w:w="1180" w:type="dxa"/>
            <w:vAlign w:val="bottom"/>
            <w:tcBorders>
              <w:bottom w:val="single" w:sz="8" w:color="C8C9CB"/>
            </w:tcBorders>
            <w:gridSpan w:val="3"/>
            <w:vMerge w:val="continue"/>
          </w:tcPr>
          <w:p>
            <w:pPr>
              <w:spacing w:after="0"/>
              <w:rPr>
                <w:sz w:val="14"/>
                <w:szCs w:val="14"/>
                <w:color w:val="auto"/>
              </w:rPr>
            </w:pPr>
          </w:p>
        </w:tc>
        <w:tc>
          <w:tcPr>
            <w:tcW w:w="860" w:type="dxa"/>
            <w:vAlign w:val="bottom"/>
            <w:tcBorders>
              <w:bottom w:val="single" w:sz="8" w:color="C8C9CB"/>
            </w:tcBorders>
            <w:vMerge w:val="continue"/>
          </w:tcPr>
          <w:p>
            <w:pPr>
              <w:spacing w:after="0"/>
              <w:rPr>
                <w:sz w:val="14"/>
                <w:szCs w:val="14"/>
                <w:color w:val="auto"/>
              </w:rPr>
            </w:pPr>
          </w:p>
        </w:tc>
        <w:tc>
          <w:tcPr>
            <w:tcW w:w="1560" w:type="dxa"/>
            <w:vAlign w:val="bottom"/>
            <w:tcBorders>
              <w:bottom w:val="single" w:sz="8" w:color="C8C9C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200" w:type="dxa"/>
            <w:vAlign w:val="bottom"/>
            <w:shd w:val="clear" w:color="auto" w:fill="F4F6F6"/>
          </w:tcPr>
          <w:p>
            <w:pPr>
              <w:spacing w:after="0"/>
              <w:rPr>
                <w:sz w:val="22"/>
                <w:szCs w:val="22"/>
                <w:color w:val="auto"/>
              </w:rPr>
            </w:pPr>
          </w:p>
        </w:tc>
        <w:tc>
          <w:tcPr>
            <w:tcW w:w="1760" w:type="dxa"/>
            <w:vAlign w:val="bottom"/>
            <w:shd w:val="clear" w:color="auto" w:fill="F4F6F6"/>
          </w:tcPr>
          <w:p>
            <w:pPr>
              <w:spacing w:after="0"/>
              <w:rPr>
                <w:sz w:val="22"/>
                <w:szCs w:val="22"/>
                <w:color w:val="auto"/>
              </w:rPr>
            </w:pPr>
          </w:p>
        </w:tc>
        <w:tc>
          <w:tcPr>
            <w:tcW w:w="1360" w:type="dxa"/>
            <w:vAlign w:val="bottom"/>
            <w:shd w:val="clear" w:color="auto" w:fill="F4F6F6"/>
          </w:tcPr>
          <w:p>
            <w:pPr>
              <w:spacing w:after="0"/>
              <w:rPr>
                <w:sz w:val="22"/>
                <w:szCs w:val="22"/>
                <w:color w:val="auto"/>
              </w:rPr>
            </w:pPr>
          </w:p>
        </w:tc>
        <w:tc>
          <w:tcPr>
            <w:tcW w:w="100" w:type="dxa"/>
            <w:vAlign w:val="bottom"/>
            <w:shd w:val="clear" w:color="auto" w:fill="F4F6F6"/>
          </w:tcPr>
          <w:p>
            <w:pPr>
              <w:spacing w:after="0"/>
              <w:rPr>
                <w:sz w:val="22"/>
                <w:szCs w:val="22"/>
                <w:color w:val="auto"/>
              </w:rPr>
            </w:pPr>
          </w:p>
        </w:tc>
        <w:tc>
          <w:tcPr>
            <w:tcW w:w="1080" w:type="dxa"/>
            <w:vAlign w:val="bottom"/>
            <w:gridSpan w:val="2"/>
            <w:shd w:val="clear" w:color="auto" w:fill="F4F6F6"/>
          </w:tcPr>
          <w:p>
            <w:pPr>
              <w:jc w:val="right"/>
              <w:spacing w:after="0"/>
              <w:rPr>
                <w:sz w:val="20"/>
                <w:szCs w:val="20"/>
                <w:color w:val="auto"/>
              </w:rPr>
            </w:pPr>
            <w:r>
              <w:rPr>
                <w:rFonts w:ascii="Arial" w:cs="Arial" w:eastAsia="Arial" w:hAnsi="Arial"/>
                <w:sz w:val="14"/>
                <w:szCs w:val="14"/>
                <w:color w:val="auto"/>
              </w:rPr>
              <w:t>21,326</w:t>
            </w:r>
          </w:p>
        </w:tc>
        <w:tc>
          <w:tcPr>
            <w:tcW w:w="860" w:type="dxa"/>
            <w:vAlign w:val="bottom"/>
            <w:shd w:val="clear" w:color="auto" w:fill="F4F6F6"/>
          </w:tcPr>
          <w:p>
            <w:pPr>
              <w:jc w:val="right"/>
              <w:ind w:right="699"/>
              <w:spacing w:after="0"/>
              <w:rPr>
                <w:sz w:val="20"/>
                <w:szCs w:val="20"/>
                <w:color w:val="auto"/>
              </w:rPr>
            </w:pPr>
            <w:r>
              <w:rPr>
                <w:rFonts w:ascii="Arial" w:cs="Arial" w:eastAsia="Arial" w:hAnsi="Arial"/>
                <w:sz w:val="12"/>
                <w:szCs w:val="12"/>
                <w:color w:val="auto"/>
              </w:rPr>
              <w:t>2</w:t>
            </w:r>
          </w:p>
        </w:tc>
        <w:tc>
          <w:tcPr>
            <w:tcW w:w="1560" w:type="dxa"/>
            <w:vAlign w:val="bottom"/>
            <w:shd w:val="clear" w:color="auto" w:fill="F4F6F6"/>
          </w:tcPr>
          <w:p>
            <w:pPr>
              <w:jc w:val="center"/>
              <w:ind w:right="88"/>
              <w:spacing w:after="0"/>
              <w:rPr>
                <w:sz w:val="20"/>
                <w:szCs w:val="20"/>
                <w:color w:val="auto"/>
              </w:rPr>
            </w:pPr>
            <w:r>
              <w:rPr>
                <w:rFonts w:ascii="Arial" w:cs="Arial" w:eastAsia="Arial" w:hAnsi="Arial"/>
                <w:sz w:val="14"/>
                <w:szCs w:val="14"/>
                <w:color w:val="auto"/>
              </w:rPr>
              <w:t>$1,737,003</w:t>
            </w:r>
          </w:p>
        </w:tc>
        <w:tc>
          <w:tcPr>
            <w:tcW w:w="0" w:type="dxa"/>
            <w:vAlign w:val="bottom"/>
          </w:tcPr>
          <w:p>
            <w:pPr>
              <w:spacing w:after="0"/>
              <w:rPr>
                <w:sz w:val="1"/>
                <w:szCs w:val="1"/>
                <w:color w:val="auto"/>
              </w:rPr>
            </w:pPr>
          </w:p>
        </w:tc>
      </w:tr>
      <w:tr>
        <w:trPr>
          <w:trHeight w:val="270"/>
        </w:trPr>
        <w:tc>
          <w:tcPr>
            <w:tcW w:w="1200" w:type="dxa"/>
            <w:vAlign w:val="bottom"/>
            <w:shd w:val="clear" w:color="auto" w:fill="F4F6F6"/>
          </w:tcPr>
          <w:p>
            <w:pPr>
              <w:ind w:left="40"/>
              <w:spacing w:after="0"/>
              <w:rPr>
                <w:sz w:val="20"/>
                <w:szCs w:val="20"/>
                <w:color w:val="auto"/>
              </w:rPr>
            </w:pPr>
            <w:r>
              <w:rPr>
                <w:rFonts w:ascii="Arial" w:cs="Arial" w:eastAsia="Arial" w:hAnsi="Arial"/>
                <w:sz w:val="14"/>
                <w:szCs w:val="14"/>
                <w:color w:val="auto"/>
              </w:rPr>
              <w:t>Mr. Conterno</w:t>
            </w:r>
          </w:p>
        </w:tc>
        <w:tc>
          <w:tcPr>
            <w:tcW w:w="1760" w:type="dxa"/>
            <w:vAlign w:val="bottom"/>
            <w:shd w:val="clear" w:color="auto" w:fill="F4F6F6"/>
          </w:tcPr>
          <w:p>
            <w:pPr>
              <w:jc w:val="center"/>
              <w:ind w:right="50"/>
              <w:spacing w:after="0"/>
              <w:rPr>
                <w:sz w:val="20"/>
                <w:szCs w:val="20"/>
                <w:color w:val="auto"/>
              </w:rPr>
            </w:pPr>
            <w:r>
              <w:rPr>
                <w:rFonts w:ascii="Arial" w:cs="Arial" w:eastAsia="Arial" w:hAnsi="Arial"/>
                <w:sz w:val="14"/>
                <w:szCs w:val="14"/>
                <w:color w:val="auto"/>
              </w:rPr>
              <w:t>0</w:t>
            </w:r>
          </w:p>
        </w:tc>
        <w:tc>
          <w:tcPr>
            <w:tcW w:w="1360" w:type="dxa"/>
            <w:vAlign w:val="bottom"/>
            <w:shd w:val="clear" w:color="auto" w:fill="F4F6F6"/>
          </w:tcPr>
          <w:p>
            <w:pPr>
              <w:jc w:val="center"/>
              <w:ind w:right="49"/>
              <w:spacing w:after="0"/>
              <w:rPr>
                <w:sz w:val="20"/>
                <w:szCs w:val="20"/>
                <w:color w:val="auto"/>
              </w:rPr>
            </w:pPr>
            <w:r>
              <w:rPr>
                <w:rFonts w:ascii="Arial" w:cs="Arial" w:eastAsia="Arial" w:hAnsi="Arial"/>
                <w:sz w:val="14"/>
                <w:szCs w:val="14"/>
                <w:color w:val="auto"/>
              </w:rPr>
              <w:t>$0</w:t>
            </w:r>
          </w:p>
        </w:tc>
        <w:tc>
          <w:tcPr>
            <w:tcW w:w="100" w:type="dxa"/>
            <w:vAlign w:val="bottom"/>
            <w:shd w:val="clear" w:color="auto" w:fill="F4F6F6"/>
          </w:tcPr>
          <w:p>
            <w:pPr>
              <w:spacing w:after="0"/>
              <w:rPr>
                <w:sz w:val="23"/>
                <w:szCs w:val="23"/>
                <w:color w:val="auto"/>
              </w:rPr>
            </w:pPr>
          </w:p>
        </w:tc>
        <w:tc>
          <w:tcPr>
            <w:tcW w:w="10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48,164</w:t>
            </w:r>
          </w:p>
        </w:tc>
        <w:tc>
          <w:tcPr>
            <w:tcW w:w="900" w:type="dxa"/>
            <w:vAlign w:val="bottom"/>
            <w:gridSpan w:val="2"/>
            <w:shd w:val="clear" w:color="auto" w:fill="F4F6F6"/>
          </w:tcPr>
          <w:p>
            <w:pPr>
              <w:jc w:val="right"/>
              <w:ind w:right="699"/>
              <w:spacing w:after="0"/>
              <w:rPr>
                <w:sz w:val="20"/>
                <w:szCs w:val="20"/>
                <w:color w:val="auto"/>
              </w:rPr>
            </w:pPr>
            <w:r>
              <w:rPr>
                <w:rFonts w:ascii="Arial" w:cs="Arial" w:eastAsia="Arial" w:hAnsi="Arial"/>
                <w:sz w:val="12"/>
                <w:szCs w:val="12"/>
                <w:color w:val="auto"/>
              </w:rPr>
              <w:t>3</w:t>
            </w:r>
          </w:p>
        </w:tc>
        <w:tc>
          <w:tcPr>
            <w:tcW w:w="1560" w:type="dxa"/>
            <w:vAlign w:val="bottom"/>
            <w:shd w:val="clear" w:color="auto" w:fill="F4F6F6"/>
          </w:tcPr>
          <w:p>
            <w:pPr>
              <w:jc w:val="center"/>
              <w:ind w:right="88"/>
              <w:spacing w:after="0"/>
              <w:rPr>
                <w:sz w:val="20"/>
                <w:szCs w:val="20"/>
                <w:color w:val="auto"/>
              </w:rPr>
            </w:pPr>
            <w:r>
              <w:rPr>
                <w:rFonts w:ascii="Arial" w:cs="Arial" w:eastAsia="Arial" w:hAnsi="Arial"/>
                <w:sz w:val="14"/>
                <w:szCs w:val="14"/>
                <w:color w:val="auto"/>
              </w:rPr>
              <w:t>$5,787,868</w:t>
            </w:r>
          </w:p>
        </w:tc>
        <w:tc>
          <w:tcPr>
            <w:tcW w:w="0" w:type="dxa"/>
            <w:vAlign w:val="bottom"/>
          </w:tcPr>
          <w:p>
            <w:pPr>
              <w:spacing w:after="0"/>
              <w:rPr>
                <w:sz w:val="1"/>
                <w:szCs w:val="1"/>
                <w:color w:val="auto"/>
              </w:rPr>
            </w:pPr>
          </w:p>
        </w:tc>
      </w:tr>
      <w:tr>
        <w:trPr>
          <w:trHeight w:val="274"/>
        </w:trPr>
        <w:tc>
          <w:tcPr>
            <w:tcW w:w="1200" w:type="dxa"/>
            <w:vAlign w:val="bottom"/>
            <w:tcBorders>
              <w:bottom w:val="single" w:sz="8" w:color="C8C9CB"/>
            </w:tcBorders>
            <w:shd w:val="clear" w:color="auto" w:fill="F4F6F6"/>
          </w:tcPr>
          <w:p>
            <w:pPr>
              <w:spacing w:after="0"/>
              <w:rPr>
                <w:sz w:val="23"/>
                <w:szCs w:val="23"/>
                <w:color w:val="auto"/>
              </w:rPr>
            </w:pPr>
          </w:p>
        </w:tc>
        <w:tc>
          <w:tcPr>
            <w:tcW w:w="1760" w:type="dxa"/>
            <w:vAlign w:val="bottom"/>
            <w:tcBorders>
              <w:bottom w:val="single" w:sz="8" w:color="C8C9CB"/>
            </w:tcBorders>
            <w:shd w:val="clear" w:color="auto" w:fill="F4F6F6"/>
          </w:tcPr>
          <w:p>
            <w:pPr>
              <w:spacing w:after="0"/>
              <w:rPr>
                <w:sz w:val="23"/>
                <w:szCs w:val="23"/>
                <w:color w:val="auto"/>
              </w:rPr>
            </w:pPr>
          </w:p>
        </w:tc>
        <w:tc>
          <w:tcPr>
            <w:tcW w:w="1360" w:type="dxa"/>
            <w:vAlign w:val="bottom"/>
            <w:tcBorders>
              <w:bottom w:val="single" w:sz="8" w:color="C8C9CB"/>
            </w:tcBorders>
            <w:shd w:val="clear" w:color="auto" w:fill="F4F6F6"/>
          </w:tcPr>
          <w:p>
            <w:pPr>
              <w:spacing w:after="0"/>
              <w:rPr>
                <w:sz w:val="23"/>
                <w:szCs w:val="23"/>
                <w:color w:val="auto"/>
              </w:rPr>
            </w:pPr>
          </w:p>
        </w:tc>
        <w:tc>
          <w:tcPr>
            <w:tcW w:w="100" w:type="dxa"/>
            <w:vAlign w:val="bottom"/>
            <w:tcBorders>
              <w:bottom w:val="single" w:sz="8" w:color="C8C9CB"/>
            </w:tcBorders>
            <w:shd w:val="clear" w:color="auto" w:fill="F4F6F6"/>
          </w:tcPr>
          <w:p>
            <w:pPr>
              <w:spacing w:after="0"/>
              <w:rPr>
                <w:sz w:val="23"/>
                <w:szCs w:val="23"/>
                <w:color w:val="auto"/>
              </w:rPr>
            </w:pPr>
          </w:p>
        </w:tc>
        <w:tc>
          <w:tcPr>
            <w:tcW w:w="104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20,000</w:t>
            </w:r>
          </w:p>
        </w:tc>
        <w:tc>
          <w:tcPr>
            <w:tcW w:w="40" w:type="dxa"/>
            <w:vAlign w:val="bottom"/>
            <w:tcBorders>
              <w:bottom w:val="single" w:sz="8" w:color="C8C9CB"/>
            </w:tcBorders>
            <w:shd w:val="clear" w:color="auto" w:fill="F4F6F6"/>
          </w:tcPr>
          <w:p>
            <w:pPr>
              <w:spacing w:after="0"/>
              <w:rPr>
                <w:sz w:val="23"/>
                <w:szCs w:val="23"/>
                <w:color w:val="auto"/>
              </w:rPr>
            </w:pPr>
          </w:p>
        </w:tc>
        <w:tc>
          <w:tcPr>
            <w:tcW w:w="860" w:type="dxa"/>
            <w:vAlign w:val="bottom"/>
            <w:tcBorders>
              <w:bottom w:val="single" w:sz="8" w:color="C8C9CB"/>
            </w:tcBorders>
            <w:shd w:val="clear" w:color="auto" w:fill="F4F6F6"/>
          </w:tcPr>
          <w:p>
            <w:pPr>
              <w:jc w:val="right"/>
              <w:ind w:right="699"/>
              <w:spacing w:after="0"/>
              <w:rPr>
                <w:sz w:val="20"/>
                <w:szCs w:val="20"/>
                <w:color w:val="auto"/>
              </w:rPr>
            </w:pPr>
            <w:r>
              <w:rPr>
                <w:rFonts w:ascii="Arial" w:cs="Arial" w:eastAsia="Arial" w:hAnsi="Arial"/>
                <w:sz w:val="12"/>
                <w:szCs w:val="12"/>
                <w:color w:val="auto"/>
              </w:rPr>
              <w:t>5</w:t>
            </w:r>
          </w:p>
        </w:tc>
        <w:tc>
          <w:tcPr>
            <w:tcW w:w="1560" w:type="dxa"/>
            <w:vAlign w:val="bottom"/>
            <w:tcBorders>
              <w:bottom w:val="single" w:sz="8" w:color="C8C9CB"/>
            </w:tcBorders>
            <w:shd w:val="clear" w:color="auto" w:fill="F4F6F6"/>
          </w:tcPr>
          <w:p>
            <w:pPr>
              <w:jc w:val="center"/>
              <w:ind w:right="88"/>
              <w:spacing w:after="0"/>
              <w:rPr>
                <w:sz w:val="20"/>
                <w:szCs w:val="20"/>
                <w:color w:val="auto"/>
              </w:rPr>
            </w:pPr>
            <w:r>
              <w:rPr>
                <w:rFonts w:ascii="Arial" w:cs="Arial" w:eastAsia="Arial" w:hAnsi="Arial"/>
                <w:sz w:val="14"/>
                <w:szCs w:val="14"/>
                <w:color w:val="auto"/>
              </w:rPr>
              <w:t>$1,621,400</w:t>
            </w:r>
          </w:p>
        </w:tc>
        <w:tc>
          <w:tcPr>
            <w:tcW w:w="0" w:type="dxa"/>
            <w:vAlign w:val="bottom"/>
          </w:tcPr>
          <w:p>
            <w:pPr>
              <w:spacing w:after="0"/>
              <w:rPr>
                <w:sz w:val="1"/>
                <w:szCs w:val="1"/>
                <w:color w:val="auto"/>
              </w:rPr>
            </w:pPr>
          </w:p>
        </w:tc>
      </w:tr>
      <w:tr>
        <w:trPr>
          <w:trHeight w:val="260"/>
        </w:trPr>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Dr. Skovronsky</w:t>
            </w:r>
          </w:p>
        </w:tc>
        <w:tc>
          <w:tcPr>
            <w:tcW w:w="1760" w:type="dxa"/>
            <w:vAlign w:val="bottom"/>
            <w:vMerge w:val="restart"/>
          </w:tcPr>
          <w:p>
            <w:pPr>
              <w:jc w:val="center"/>
              <w:ind w:right="50"/>
              <w:spacing w:after="0"/>
              <w:rPr>
                <w:sz w:val="20"/>
                <w:szCs w:val="20"/>
                <w:color w:val="auto"/>
              </w:rPr>
            </w:pPr>
            <w:r>
              <w:rPr>
                <w:rFonts w:ascii="Arial" w:cs="Arial" w:eastAsia="Arial" w:hAnsi="Arial"/>
                <w:sz w:val="14"/>
                <w:szCs w:val="14"/>
                <w:color w:val="auto"/>
              </w:rPr>
              <w:t>0</w:t>
            </w:r>
          </w:p>
        </w:tc>
        <w:tc>
          <w:tcPr>
            <w:tcW w:w="1360" w:type="dxa"/>
            <w:vAlign w:val="bottom"/>
            <w:vMerge w:val="restart"/>
          </w:tcPr>
          <w:p>
            <w:pPr>
              <w:jc w:val="center"/>
              <w:ind w:right="49"/>
              <w:spacing w:after="0"/>
              <w:rPr>
                <w:sz w:val="20"/>
                <w:szCs w:val="20"/>
                <w:color w:val="auto"/>
              </w:rPr>
            </w:pPr>
            <w:r>
              <w:rPr>
                <w:rFonts w:ascii="Arial" w:cs="Arial" w:eastAsia="Arial" w:hAnsi="Arial"/>
                <w:sz w:val="14"/>
                <w:szCs w:val="14"/>
                <w:color w:val="auto"/>
              </w:rPr>
              <w:t>$0</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15,053</w:t>
            </w:r>
          </w:p>
        </w:tc>
        <w:tc>
          <w:tcPr>
            <w:tcW w:w="860" w:type="dxa"/>
            <w:vAlign w:val="bottom"/>
          </w:tcPr>
          <w:p>
            <w:pPr>
              <w:jc w:val="right"/>
              <w:ind w:right="699"/>
              <w:spacing w:after="0"/>
              <w:rPr>
                <w:sz w:val="20"/>
                <w:szCs w:val="20"/>
                <w:color w:val="auto"/>
              </w:rPr>
            </w:pPr>
            <w:r>
              <w:rPr>
                <w:rFonts w:ascii="Arial" w:cs="Arial" w:eastAsia="Arial" w:hAnsi="Arial"/>
                <w:sz w:val="12"/>
                <w:szCs w:val="12"/>
                <w:color w:val="auto"/>
              </w:rPr>
              <w:t>3</w:t>
            </w:r>
          </w:p>
        </w:tc>
        <w:tc>
          <w:tcPr>
            <w:tcW w:w="1560" w:type="dxa"/>
            <w:vAlign w:val="bottom"/>
          </w:tcPr>
          <w:p>
            <w:pPr>
              <w:jc w:val="center"/>
              <w:ind w:right="88"/>
              <w:spacing w:after="0"/>
              <w:rPr>
                <w:sz w:val="20"/>
                <w:szCs w:val="20"/>
                <w:color w:val="auto"/>
              </w:rPr>
            </w:pPr>
            <w:r>
              <w:rPr>
                <w:rFonts w:ascii="Arial" w:cs="Arial" w:eastAsia="Arial" w:hAnsi="Arial"/>
                <w:sz w:val="14"/>
                <w:szCs w:val="14"/>
                <w:color w:val="auto"/>
              </w:rPr>
              <w:t>$1,808,919</w:t>
            </w:r>
          </w:p>
        </w:tc>
        <w:tc>
          <w:tcPr>
            <w:tcW w:w="0" w:type="dxa"/>
            <w:vAlign w:val="bottom"/>
          </w:tcPr>
          <w:p>
            <w:pPr>
              <w:spacing w:after="0"/>
              <w:rPr>
                <w:sz w:val="1"/>
                <w:szCs w:val="1"/>
                <w:color w:val="auto"/>
              </w:rPr>
            </w:pPr>
          </w:p>
        </w:tc>
      </w:tr>
      <w:tr>
        <w:trPr>
          <w:trHeight w:val="108"/>
        </w:trPr>
        <w:tc>
          <w:tcPr>
            <w:tcW w:w="12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color w:val="auto"/>
              </w:rPr>
              <w:t>13,259</w:t>
            </w:r>
          </w:p>
        </w:tc>
        <w:tc>
          <w:tcPr>
            <w:tcW w:w="860" w:type="dxa"/>
            <w:vAlign w:val="bottom"/>
            <w:vMerge w:val="restart"/>
          </w:tcPr>
          <w:p>
            <w:pPr>
              <w:jc w:val="right"/>
              <w:ind w:right="699"/>
              <w:spacing w:after="0"/>
              <w:rPr>
                <w:sz w:val="20"/>
                <w:szCs w:val="20"/>
                <w:color w:val="auto"/>
              </w:rPr>
            </w:pPr>
            <w:r>
              <w:rPr>
                <w:rFonts w:ascii="Arial" w:cs="Arial" w:eastAsia="Arial" w:hAnsi="Arial"/>
                <w:sz w:val="12"/>
                <w:szCs w:val="12"/>
                <w:color w:val="auto"/>
              </w:rPr>
              <w:t>4</w:t>
            </w:r>
          </w:p>
        </w:tc>
        <w:tc>
          <w:tcPr>
            <w:tcW w:w="1560" w:type="dxa"/>
            <w:vAlign w:val="bottom"/>
            <w:vMerge w:val="restart"/>
          </w:tcPr>
          <w:p>
            <w:pPr>
              <w:jc w:val="center"/>
              <w:ind w:right="88"/>
              <w:spacing w:after="0"/>
              <w:rPr>
                <w:sz w:val="20"/>
                <w:szCs w:val="20"/>
                <w:color w:val="auto"/>
              </w:rPr>
            </w:pPr>
            <w:r>
              <w:rPr>
                <w:rFonts w:ascii="Arial" w:cs="Arial" w:eastAsia="Arial" w:hAnsi="Arial"/>
                <w:sz w:val="14"/>
                <w:szCs w:val="14"/>
                <w:color w:val="auto"/>
              </w:rPr>
              <w:t>$1,593,334</w:t>
            </w:r>
          </w:p>
        </w:tc>
        <w:tc>
          <w:tcPr>
            <w:tcW w:w="0" w:type="dxa"/>
            <w:vAlign w:val="bottom"/>
          </w:tcPr>
          <w:p>
            <w:pPr>
              <w:spacing w:after="0"/>
              <w:rPr>
                <w:sz w:val="1"/>
                <w:szCs w:val="1"/>
                <w:color w:val="auto"/>
              </w:rPr>
            </w:pPr>
          </w:p>
        </w:tc>
      </w:tr>
      <w:tr>
        <w:trPr>
          <w:trHeight w:val="166"/>
        </w:trPr>
        <w:tc>
          <w:tcPr>
            <w:tcW w:w="1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200" w:type="dxa"/>
            <w:vAlign w:val="bottom"/>
            <w:shd w:val="clear" w:color="auto" w:fill="F4F6F6"/>
          </w:tcPr>
          <w:p>
            <w:pPr>
              <w:spacing w:after="0"/>
              <w:rPr>
                <w:sz w:val="22"/>
                <w:szCs w:val="22"/>
                <w:color w:val="auto"/>
              </w:rPr>
            </w:pPr>
          </w:p>
        </w:tc>
        <w:tc>
          <w:tcPr>
            <w:tcW w:w="1760" w:type="dxa"/>
            <w:vAlign w:val="bottom"/>
            <w:shd w:val="clear" w:color="auto" w:fill="F4F6F6"/>
          </w:tcPr>
          <w:p>
            <w:pPr>
              <w:spacing w:after="0"/>
              <w:rPr>
                <w:sz w:val="22"/>
                <w:szCs w:val="22"/>
                <w:color w:val="auto"/>
              </w:rPr>
            </w:pPr>
          </w:p>
        </w:tc>
        <w:tc>
          <w:tcPr>
            <w:tcW w:w="1360" w:type="dxa"/>
            <w:vAlign w:val="bottom"/>
            <w:shd w:val="clear" w:color="auto" w:fill="F4F6F6"/>
          </w:tcPr>
          <w:p>
            <w:pPr>
              <w:spacing w:after="0"/>
              <w:rPr>
                <w:sz w:val="22"/>
                <w:szCs w:val="22"/>
                <w:color w:val="auto"/>
              </w:rPr>
            </w:pPr>
          </w:p>
        </w:tc>
        <w:tc>
          <w:tcPr>
            <w:tcW w:w="100" w:type="dxa"/>
            <w:vAlign w:val="bottom"/>
            <w:shd w:val="clear" w:color="auto" w:fill="F4F6F6"/>
          </w:tcPr>
          <w:p>
            <w:pPr>
              <w:spacing w:after="0"/>
              <w:rPr>
                <w:sz w:val="22"/>
                <w:szCs w:val="22"/>
                <w:color w:val="auto"/>
              </w:rPr>
            </w:pPr>
          </w:p>
        </w:tc>
        <w:tc>
          <w:tcPr>
            <w:tcW w:w="1080" w:type="dxa"/>
            <w:vAlign w:val="bottom"/>
            <w:gridSpan w:val="2"/>
            <w:shd w:val="clear" w:color="auto" w:fill="F4F6F6"/>
          </w:tcPr>
          <w:p>
            <w:pPr>
              <w:jc w:val="right"/>
              <w:spacing w:after="0"/>
              <w:rPr>
                <w:sz w:val="20"/>
                <w:szCs w:val="20"/>
                <w:color w:val="auto"/>
              </w:rPr>
            </w:pPr>
            <w:r>
              <w:rPr>
                <w:rFonts w:ascii="Arial" w:cs="Arial" w:eastAsia="Arial" w:hAnsi="Arial"/>
                <w:sz w:val="14"/>
                <w:szCs w:val="14"/>
                <w:color w:val="auto"/>
              </w:rPr>
              <w:t>21,326</w:t>
            </w:r>
          </w:p>
        </w:tc>
        <w:tc>
          <w:tcPr>
            <w:tcW w:w="860" w:type="dxa"/>
            <w:vAlign w:val="bottom"/>
            <w:shd w:val="clear" w:color="auto" w:fill="F4F6F6"/>
          </w:tcPr>
          <w:p>
            <w:pPr>
              <w:jc w:val="right"/>
              <w:ind w:right="699"/>
              <w:spacing w:after="0"/>
              <w:rPr>
                <w:sz w:val="20"/>
                <w:szCs w:val="20"/>
                <w:color w:val="auto"/>
              </w:rPr>
            </w:pPr>
            <w:r>
              <w:rPr>
                <w:rFonts w:ascii="Arial" w:cs="Arial" w:eastAsia="Arial" w:hAnsi="Arial"/>
                <w:sz w:val="12"/>
                <w:szCs w:val="12"/>
                <w:color w:val="auto"/>
              </w:rPr>
              <w:t>2</w:t>
            </w:r>
          </w:p>
        </w:tc>
        <w:tc>
          <w:tcPr>
            <w:tcW w:w="1560" w:type="dxa"/>
            <w:vAlign w:val="bottom"/>
            <w:shd w:val="clear" w:color="auto" w:fill="F4F6F6"/>
          </w:tcPr>
          <w:p>
            <w:pPr>
              <w:jc w:val="center"/>
              <w:ind w:right="88"/>
              <w:spacing w:after="0"/>
              <w:rPr>
                <w:sz w:val="20"/>
                <w:szCs w:val="20"/>
                <w:color w:val="auto"/>
              </w:rPr>
            </w:pPr>
            <w:r>
              <w:rPr>
                <w:rFonts w:ascii="Arial" w:cs="Arial" w:eastAsia="Arial" w:hAnsi="Arial"/>
                <w:sz w:val="14"/>
                <w:szCs w:val="14"/>
                <w:color w:val="auto"/>
              </w:rPr>
              <w:t>$1,737,003</w:t>
            </w:r>
          </w:p>
        </w:tc>
        <w:tc>
          <w:tcPr>
            <w:tcW w:w="0" w:type="dxa"/>
            <w:vAlign w:val="bottom"/>
          </w:tcPr>
          <w:p>
            <w:pPr>
              <w:spacing w:after="0"/>
              <w:rPr>
                <w:sz w:val="1"/>
                <w:szCs w:val="1"/>
                <w:color w:val="auto"/>
              </w:rPr>
            </w:pPr>
          </w:p>
        </w:tc>
      </w:tr>
      <w:tr>
        <w:trPr>
          <w:trHeight w:val="270"/>
        </w:trPr>
        <w:tc>
          <w:tcPr>
            <w:tcW w:w="1200" w:type="dxa"/>
            <w:vAlign w:val="bottom"/>
            <w:shd w:val="clear" w:color="auto" w:fill="F4F6F6"/>
          </w:tcPr>
          <w:p>
            <w:pPr>
              <w:ind w:left="40"/>
              <w:spacing w:after="0"/>
              <w:rPr>
                <w:sz w:val="20"/>
                <w:szCs w:val="20"/>
                <w:color w:val="auto"/>
              </w:rPr>
            </w:pPr>
            <w:r>
              <w:rPr>
                <w:rFonts w:ascii="Arial" w:cs="Arial" w:eastAsia="Arial" w:hAnsi="Arial"/>
                <w:sz w:val="14"/>
                <w:szCs w:val="14"/>
                <w:color w:val="auto"/>
              </w:rPr>
              <w:t>Mr. Simmons</w:t>
            </w:r>
          </w:p>
        </w:tc>
        <w:tc>
          <w:tcPr>
            <w:tcW w:w="1760" w:type="dxa"/>
            <w:vAlign w:val="bottom"/>
            <w:shd w:val="clear" w:color="auto" w:fill="F4F6F6"/>
          </w:tcPr>
          <w:p>
            <w:pPr>
              <w:jc w:val="center"/>
              <w:ind w:right="50"/>
              <w:spacing w:after="0"/>
              <w:rPr>
                <w:sz w:val="20"/>
                <w:szCs w:val="20"/>
                <w:color w:val="auto"/>
              </w:rPr>
            </w:pPr>
            <w:r>
              <w:rPr>
                <w:rFonts w:ascii="Arial" w:cs="Arial" w:eastAsia="Arial" w:hAnsi="Arial"/>
                <w:sz w:val="14"/>
                <w:szCs w:val="14"/>
                <w:color w:val="auto"/>
              </w:rPr>
              <w:t>0</w:t>
            </w:r>
          </w:p>
        </w:tc>
        <w:tc>
          <w:tcPr>
            <w:tcW w:w="1360" w:type="dxa"/>
            <w:vAlign w:val="bottom"/>
            <w:shd w:val="clear" w:color="auto" w:fill="F4F6F6"/>
          </w:tcPr>
          <w:p>
            <w:pPr>
              <w:jc w:val="center"/>
              <w:ind w:right="49"/>
              <w:spacing w:after="0"/>
              <w:rPr>
                <w:sz w:val="20"/>
                <w:szCs w:val="20"/>
                <w:color w:val="auto"/>
              </w:rPr>
            </w:pPr>
            <w:r>
              <w:rPr>
                <w:rFonts w:ascii="Arial" w:cs="Arial" w:eastAsia="Arial" w:hAnsi="Arial"/>
                <w:sz w:val="14"/>
                <w:szCs w:val="14"/>
                <w:color w:val="auto"/>
              </w:rPr>
              <w:t>$0</w:t>
            </w:r>
          </w:p>
        </w:tc>
        <w:tc>
          <w:tcPr>
            <w:tcW w:w="100" w:type="dxa"/>
            <w:vAlign w:val="bottom"/>
            <w:shd w:val="clear" w:color="auto" w:fill="F4F6F6"/>
          </w:tcPr>
          <w:p>
            <w:pPr>
              <w:spacing w:after="0"/>
              <w:rPr>
                <w:sz w:val="23"/>
                <w:szCs w:val="23"/>
                <w:color w:val="auto"/>
              </w:rPr>
            </w:pPr>
          </w:p>
        </w:tc>
        <w:tc>
          <w:tcPr>
            <w:tcW w:w="10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43,785</w:t>
            </w:r>
          </w:p>
        </w:tc>
        <w:tc>
          <w:tcPr>
            <w:tcW w:w="900" w:type="dxa"/>
            <w:vAlign w:val="bottom"/>
            <w:gridSpan w:val="2"/>
            <w:shd w:val="clear" w:color="auto" w:fill="F4F6F6"/>
          </w:tcPr>
          <w:p>
            <w:pPr>
              <w:jc w:val="right"/>
              <w:ind w:right="699"/>
              <w:spacing w:after="0"/>
              <w:rPr>
                <w:sz w:val="20"/>
                <w:szCs w:val="20"/>
                <w:color w:val="auto"/>
              </w:rPr>
            </w:pPr>
            <w:r>
              <w:rPr>
                <w:rFonts w:ascii="Arial" w:cs="Arial" w:eastAsia="Arial" w:hAnsi="Arial"/>
                <w:sz w:val="12"/>
                <w:szCs w:val="12"/>
                <w:color w:val="auto"/>
              </w:rPr>
              <w:t>3</w:t>
            </w:r>
          </w:p>
        </w:tc>
        <w:tc>
          <w:tcPr>
            <w:tcW w:w="1560" w:type="dxa"/>
            <w:vAlign w:val="bottom"/>
            <w:shd w:val="clear" w:color="auto" w:fill="F4F6F6"/>
          </w:tcPr>
          <w:p>
            <w:pPr>
              <w:jc w:val="center"/>
              <w:ind w:right="88"/>
              <w:spacing w:after="0"/>
              <w:rPr>
                <w:sz w:val="20"/>
                <w:szCs w:val="20"/>
                <w:color w:val="auto"/>
              </w:rPr>
            </w:pPr>
            <w:r>
              <w:rPr>
                <w:rFonts w:ascii="Arial" w:cs="Arial" w:eastAsia="Arial" w:hAnsi="Arial"/>
                <w:sz w:val="14"/>
                <w:szCs w:val="14"/>
                <w:color w:val="auto"/>
              </w:rPr>
              <w:t>$5,261,643</w:t>
            </w:r>
          </w:p>
        </w:tc>
        <w:tc>
          <w:tcPr>
            <w:tcW w:w="0" w:type="dxa"/>
            <w:vAlign w:val="bottom"/>
          </w:tcPr>
          <w:p>
            <w:pPr>
              <w:spacing w:after="0"/>
              <w:rPr>
                <w:sz w:val="1"/>
                <w:szCs w:val="1"/>
                <w:color w:val="auto"/>
              </w:rPr>
            </w:pPr>
          </w:p>
        </w:tc>
      </w:tr>
      <w:tr>
        <w:trPr>
          <w:trHeight w:val="275"/>
        </w:trPr>
        <w:tc>
          <w:tcPr>
            <w:tcW w:w="1200" w:type="dxa"/>
            <w:vAlign w:val="bottom"/>
            <w:tcBorders>
              <w:bottom w:val="single" w:sz="8" w:color="C8C9CB"/>
            </w:tcBorders>
            <w:shd w:val="clear" w:color="auto" w:fill="F4F6F6"/>
          </w:tcPr>
          <w:p>
            <w:pPr>
              <w:spacing w:after="0"/>
              <w:rPr>
                <w:sz w:val="23"/>
                <w:szCs w:val="23"/>
                <w:color w:val="auto"/>
              </w:rPr>
            </w:pPr>
          </w:p>
        </w:tc>
        <w:tc>
          <w:tcPr>
            <w:tcW w:w="1760" w:type="dxa"/>
            <w:vAlign w:val="bottom"/>
            <w:tcBorders>
              <w:bottom w:val="single" w:sz="8" w:color="C8C9CB"/>
            </w:tcBorders>
            <w:shd w:val="clear" w:color="auto" w:fill="F4F6F6"/>
          </w:tcPr>
          <w:p>
            <w:pPr>
              <w:spacing w:after="0"/>
              <w:rPr>
                <w:sz w:val="23"/>
                <w:szCs w:val="23"/>
                <w:color w:val="auto"/>
              </w:rPr>
            </w:pPr>
          </w:p>
        </w:tc>
        <w:tc>
          <w:tcPr>
            <w:tcW w:w="1360" w:type="dxa"/>
            <w:vAlign w:val="bottom"/>
            <w:tcBorders>
              <w:bottom w:val="single" w:sz="8" w:color="C8C9CB"/>
            </w:tcBorders>
            <w:shd w:val="clear" w:color="auto" w:fill="F4F6F6"/>
          </w:tcPr>
          <w:p>
            <w:pPr>
              <w:spacing w:after="0"/>
              <w:rPr>
                <w:sz w:val="23"/>
                <w:szCs w:val="23"/>
                <w:color w:val="auto"/>
              </w:rPr>
            </w:pPr>
          </w:p>
        </w:tc>
        <w:tc>
          <w:tcPr>
            <w:tcW w:w="100" w:type="dxa"/>
            <w:vAlign w:val="bottom"/>
            <w:tcBorders>
              <w:bottom w:val="single" w:sz="8" w:color="C8C9CB"/>
            </w:tcBorders>
            <w:shd w:val="clear" w:color="auto" w:fill="F4F6F6"/>
          </w:tcPr>
          <w:p>
            <w:pPr>
              <w:spacing w:after="0"/>
              <w:rPr>
                <w:sz w:val="23"/>
                <w:szCs w:val="23"/>
                <w:color w:val="auto"/>
              </w:rPr>
            </w:pPr>
          </w:p>
        </w:tc>
        <w:tc>
          <w:tcPr>
            <w:tcW w:w="104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5"/>
                <w:szCs w:val="15"/>
                <w:color w:val="auto"/>
              </w:rPr>
              <w:t>20,000</w:t>
            </w:r>
          </w:p>
        </w:tc>
        <w:tc>
          <w:tcPr>
            <w:tcW w:w="900" w:type="dxa"/>
            <w:vAlign w:val="bottom"/>
            <w:tcBorders>
              <w:bottom w:val="single" w:sz="8" w:color="C8C9CB"/>
            </w:tcBorders>
            <w:gridSpan w:val="2"/>
            <w:shd w:val="clear" w:color="auto" w:fill="F4F6F6"/>
          </w:tcPr>
          <w:p>
            <w:pPr>
              <w:jc w:val="right"/>
              <w:ind w:right="699"/>
              <w:spacing w:after="0"/>
              <w:rPr>
                <w:sz w:val="20"/>
                <w:szCs w:val="20"/>
                <w:color w:val="auto"/>
              </w:rPr>
            </w:pPr>
            <w:r>
              <w:rPr>
                <w:rFonts w:ascii="Arial" w:cs="Arial" w:eastAsia="Arial" w:hAnsi="Arial"/>
                <w:sz w:val="12"/>
                <w:szCs w:val="12"/>
                <w:color w:val="auto"/>
              </w:rPr>
              <w:t>6</w:t>
            </w:r>
          </w:p>
        </w:tc>
        <w:tc>
          <w:tcPr>
            <w:tcW w:w="1560" w:type="dxa"/>
            <w:vAlign w:val="bottom"/>
            <w:tcBorders>
              <w:bottom w:val="single" w:sz="8" w:color="C8C9CB"/>
            </w:tcBorders>
            <w:shd w:val="clear" w:color="auto" w:fill="F4F6F6"/>
          </w:tcPr>
          <w:p>
            <w:pPr>
              <w:jc w:val="center"/>
              <w:ind w:right="108"/>
              <w:spacing w:after="0"/>
              <w:rPr>
                <w:sz w:val="20"/>
                <w:szCs w:val="20"/>
                <w:color w:val="auto"/>
              </w:rPr>
            </w:pPr>
            <w:r>
              <w:rPr>
                <w:rFonts w:ascii="Arial" w:cs="Arial" w:eastAsia="Arial" w:hAnsi="Arial"/>
                <w:sz w:val="15"/>
                <w:szCs w:val="15"/>
                <w:color w:val="auto"/>
              </w:rPr>
              <w:t>$1,621,400</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7"/>
          <w:szCs w:val="17"/>
          <w:color w:val="auto"/>
        </w:rPr>
        <w:t>Amounts reflect the market value of Lilly stock on the day the stock vested.</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2 </w:t>
      </w:r>
      <w:r>
        <w:rPr>
          <w:rFonts w:ascii="Arial" w:cs="Arial" w:eastAsia="Arial" w:hAnsi="Arial"/>
          <w:sz w:val="17"/>
          <w:szCs w:val="17"/>
          <w:color w:val="auto"/>
        </w:rPr>
        <w:t>Restricted stock units resulting from the 2015-2017 performance award that vested in February 2018.</w:t>
      </w:r>
    </w:p>
    <w:p>
      <w:pPr>
        <w:spacing w:after="0" w:line="210" w:lineRule="exact"/>
        <w:rPr>
          <w:sz w:val="20"/>
          <w:szCs w:val="20"/>
          <w:color w:val="auto"/>
        </w:rPr>
      </w:pPr>
    </w:p>
    <w:p>
      <w:pPr>
        <w:ind w:left="120" w:right="80"/>
        <w:spacing w:after="0" w:line="263" w:lineRule="auto"/>
        <w:rPr>
          <w:sz w:val="20"/>
          <w:szCs w:val="20"/>
          <w:color w:val="auto"/>
        </w:rPr>
      </w:pPr>
      <w:r>
        <w:rPr>
          <w:rFonts w:ascii="Arial" w:cs="Arial" w:eastAsia="Arial" w:hAnsi="Arial"/>
          <w:sz w:val="14"/>
          <w:szCs w:val="14"/>
          <w:color w:val="auto"/>
        </w:rPr>
        <w:t xml:space="preserve">3 </w:t>
      </w:r>
      <w:r>
        <w:rPr>
          <w:rFonts w:ascii="Arial" w:cs="Arial" w:eastAsia="Arial" w:hAnsi="Arial"/>
          <w:sz w:val="17"/>
          <w:szCs w:val="17"/>
          <w:color w:val="auto"/>
        </w:rPr>
        <w:t>Payout of the 2016-2018 shareholder value award at 125 percent of target, adjusted by Lilly’s three-year cumulative TSR (44.9 percent) relative to</w:t>
      </w:r>
      <w:r>
        <w:rPr>
          <w:rFonts w:ascii="Arial" w:cs="Arial" w:eastAsia="Arial" w:hAnsi="Arial"/>
          <w:sz w:val="14"/>
          <w:szCs w:val="14"/>
          <w:color w:val="auto"/>
        </w:rPr>
        <w:t xml:space="preserve"> </w:t>
      </w:r>
      <w:r>
        <w:rPr>
          <w:rFonts w:ascii="Arial" w:cs="Arial" w:eastAsia="Arial" w:hAnsi="Arial"/>
          <w:sz w:val="17"/>
          <w:szCs w:val="17"/>
          <w:color w:val="auto"/>
        </w:rPr>
        <w:t>its peer companies’ median cumulative TSR of 16.6 percent, resulting in a maximum TSR modifier of 20 percent and a final payout of 150 percent of target. Since Dr. Skovronsky and Mr. Smiley were not executive officers when the 2016-2018 shareholder value award was granted, their awards were not subject to the TSR modifier. As a result, their payout multiple was 125 percent of target.</w:t>
      </w:r>
    </w:p>
    <w:p>
      <w:pPr>
        <w:spacing w:after="0" w:line="156" w:lineRule="exact"/>
        <w:rPr>
          <w:sz w:val="20"/>
          <w:szCs w:val="20"/>
          <w:color w:val="auto"/>
        </w:rPr>
      </w:pPr>
    </w:p>
    <w:p>
      <w:pPr>
        <w:ind w:left="120" w:right="200"/>
        <w:spacing w:after="0" w:line="292" w:lineRule="auto"/>
        <w:rPr>
          <w:sz w:val="20"/>
          <w:szCs w:val="20"/>
          <w:color w:val="auto"/>
        </w:rPr>
      </w:pPr>
      <w:r>
        <w:rPr>
          <w:rFonts w:ascii="Arial" w:cs="Arial" w:eastAsia="Arial" w:hAnsi="Arial"/>
          <w:sz w:val="14"/>
          <w:szCs w:val="14"/>
          <w:color w:val="auto"/>
        </w:rPr>
        <w:t xml:space="preserve">4 </w:t>
      </w:r>
      <w:r>
        <w:rPr>
          <w:rFonts w:ascii="Arial" w:cs="Arial" w:eastAsia="Arial" w:hAnsi="Arial"/>
          <w:sz w:val="17"/>
          <w:szCs w:val="17"/>
          <w:color w:val="auto"/>
        </w:rPr>
        <w:t>Payout of the 2017-2018 performance award at target for Mr. Smiley and Dr. Skovronsky. Neither were executive officers in 2017 at time of grant;</w:t>
      </w:r>
      <w:r>
        <w:rPr>
          <w:rFonts w:ascii="Arial" w:cs="Arial" w:eastAsia="Arial" w:hAnsi="Arial"/>
          <w:sz w:val="14"/>
          <w:szCs w:val="14"/>
          <w:color w:val="auto"/>
        </w:rPr>
        <w:t xml:space="preserve"> </w:t>
      </w:r>
      <w:r>
        <w:rPr>
          <w:rFonts w:ascii="Arial" w:cs="Arial" w:eastAsia="Arial" w:hAnsi="Arial"/>
          <w:sz w:val="17"/>
          <w:szCs w:val="17"/>
          <w:color w:val="auto"/>
        </w:rPr>
        <w:t>therefore, no additional 13-month service-vesting period applied.</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5 </w:t>
      </w:r>
      <w:r>
        <w:rPr>
          <w:rFonts w:ascii="Arial" w:cs="Arial" w:eastAsia="Arial" w:hAnsi="Arial"/>
          <w:sz w:val="17"/>
          <w:szCs w:val="17"/>
          <w:color w:val="auto"/>
        </w:rPr>
        <w:t>This grant was made in 2008 before Mr. Conterno became an executive officer.</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6 </w:t>
      </w:r>
      <w:r>
        <w:rPr>
          <w:rFonts w:ascii="Arial" w:cs="Arial" w:eastAsia="Arial" w:hAnsi="Arial"/>
          <w:sz w:val="17"/>
          <w:szCs w:val="17"/>
          <w:color w:val="auto"/>
        </w:rPr>
        <w:t>This grant was made in 2008 before Mr. Simmons became an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Retirement Benefits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We provide retirement income to eligible U.S. employees, including executive officers, through the following plans:</w:t>
      </w:r>
    </w:p>
    <w:p>
      <w:pPr>
        <w:spacing w:after="0" w:line="39" w:lineRule="exact"/>
        <w:rPr>
          <w:sz w:val="20"/>
          <w:szCs w:val="20"/>
          <w:color w:val="auto"/>
        </w:rPr>
      </w:pPr>
    </w:p>
    <w:p>
      <w:pPr>
        <w:ind w:left="340" w:right="40" w:hanging="332"/>
        <w:spacing w:after="0" w:line="259" w:lineRule="auto"/>
        <w:tabs>
          <w:tab w:leader="none" w:pos="3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401(k) Plan, a defined contribution plan qualified under Sections 401(a) and 401(k) of the Internal Revenue Code. Participants may elect to contribute a portion of their base salary to the plan, and the company provides matching contributions on employees’ contributions up to 6 percent of base salary up to IRS limits. The employee contributions, company contributions, and earnings thereon are paid out in accordance with elections made by the participant. See the "All Other Compensation" column in the Summary Compensation Table for information about company contributions under the 401(k) Plan for the named executive officers.</w:t>
      </w:r>
    </w:p>
    <w:p>
      <w:pPr>
        <w:spacing w:after="0" w:line="12" w:lineRule="exact"/>
        <w:rPr>
          <w:rFonts w:ascii="Arial" w:cs="Arial" w:eastAsia="Arial" w:hAnsi="Arial"/>
          <w:sz w:val="17"/>
          <w:szCs w:val="17"/>
          <w:color w:val="auto"/>
        </w:rPr>
      </w:pPr>
    </w:p>
    <w:p>
      <w:pPr>
        <w:ind w:left="340" w:right="120" w:hanging="332"/>
        <w:spacing w:after="0" w:line="292" w:lineRule="auto"/>
        <w:tabs>
          <w:tab w:leader="none" w:pos="3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Retirement Plan, a tax-qualified defined benefit plan that provides monthly benefits to retirees. See the Pension Benefits in 2018 table below for additional information about the value of these pension benefits.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Sections 401 and 415 of the Internal Revenue Code generally limit the amount of annual pension that can be paid from a tax-qualified plan ($275,000 in 2018 and $280,000 in 2019) as well as the amount of annual earnings that can be used to calculate a pension benefit. However, since 1975 the company has maintained a nonqualified pension plan that pays retirees the difference between the amount payable under the Retirement Plan and the amount they would have received without the Internal Revenue Code limits. The nonqualified pension plan is unfunded and subject to forfeiture in the event of bankruptcy. Likewise the company maintains a nonqualified savings plan that allows participants to contribute up to 6 percent of base salary exceeding the IRS limit. The company matches these contributions in the same manner as described in the 401(k) Plan. For more information, see footnote 3 to the Nonqualified Deferred Compensation in 2018 table.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P57</w:t>
      </w:r>
    </w:p>
    <w:p>
      <w:pPr>
        <w:sectPr>
          <w:pgSz w:w="11900" w:h="16838" w:orient="portrait"/>
          <w:cols w:equalWidth="0" w:num="1">
            <w:col w:w="11380"/>
          </w:cols>
          <w:pgMar w:left="240" w:top="554" w:right="27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The following table shows benefits that the named executive officers have accrued under the Retirement Plan and the nonqualified pension plan.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 Benefits in 2018</w:t>
      </w:r>
    </w:p>
    <w:p>
      <w:pPr>
        <w:spacing w:after="0" w:line="166"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1720" w:type="dxa"/>
            <w:vAlign w:val="bottom"/>
            <w:shd w:val="clear" w:color="auto" w:fill="C8C9CB"/>
          </w:tcPr>
          <w:p>
            <w:pPr>
              <w:spacing w:after="0"/>
              <w:rPr>
                <w:sz w:val="15"/>
                <w:szCs w:val="15"/>
                <w:color w:val="auto"/>
              </w:rPr>
            </w:pPr>
          </w:p>
        </w:tc>
        <w:tc>
          <w:tcPr>
            <w:tcW w:w="1980" w:type="dxa"/>
            <w:vAlign w:val="bottom"/>
            <w:shd w:val="clear" w:color="auto" w:fill="C8C9CB"/>
          </w:tcPr>
          <w:p>
            <w:pPr>
              <w:spacing w:after="0"/>
              <w:rPr>
                <w:sz w:val="15"/>
                <w:szCs w:val="15"/>
                <w:color w:val="auto"/>
              </w:rPr>
            </w:pPr>
          </w:p>
        </w:tc>
        <w:tc>
          <w:tcPr>
            <w:tcW w:w="17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Number of Years of</w:t>
            </w:r>
          </w:p>
        </w:tc>
        <w:tc>
          <w:tcPr>
            <w:tcW w:w="1840" w:type="dxa"/>
            <w:vAlign w:val="bottom"/>
            <w:shd w:val="clear" w:color="auto" w:fill="C8C9CB"/>
          </w:tcPr>
          <w:p>
            <w:pPr>
              <w:jc w:val="right"/>
              <w:ind w:right="289"/>
              <w:spacing w:after="0"/>
              <w:rPr>
                <w:sz w:val="20"/>
                <w:szCs w:val="20"/>
                <w:color w:val="auto"/>
              </w:rPr>
            </w:pPr>
            <w:r>
              <w:rPr>
                <w:rFonts w:ascii="Arial" w:cs="Arial" w:eastAsia="Arial" w:hAnsi="Arial"/>
                <w:sz w:val="14"/>
                <w:szCs w:val="14"/>
                <w:b w:val="1"/>
                <w:bCs w:val="1"/>
                <w:color w:val="00ABE8"/>
              </w:rPr>
              <w:t>Present Value of</w:t>
            </w:r>
          </w:p>
        </w:tc>
        <w:tc>
          <w:tcPr>
            <w:tcW w:w="180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Payments During</w:t>
            </w:r>
          </w:p>
        </w:tc>
      </w:tr>
      <w:tr>
        <w:trPr>
          <w:trHeight w:val="206"/>
        </w:trPr>
        <w:tc>
          <w:tcPr>
            <w:tcW w:w="1720" w:type="dxa"/>
            <w:vAlign w:val="bottom"/>
            <w:shd w:val="clear" w:color="auto" w:fill="C8C9CB"/>
          </w:tcPr>
          <w:p>
            <w:pPr>
              <w:ind w:left="660"/>
              <w:spacing w:after="0"/>
              <w:rPr>
                <w:sz w:val="20"/>
                <w:szCs w:val="20"/>
                <w:color w:val="auto"/>
              </w:rPr>
            </w:pPr>
            <w:r>
              <w:rPr>
                <w:rFonts w:ascii="Arial" w:cs="Arial" w:eastAsia="Arial" w:hAnsi="Arial"/>
                <w:sz w:val="14"/>
                <w:szCs w:val="14"/>
                <w:b w:val="1"/>
                <w:bCs w:val="1"/>
                <w:color w:val="00ABE8"/>
              </w:rPr>
              <w:t>Name</w:t>
            </w:r>
          </w:p>
        </w:tc>
        <w:tc>
          <w:tcPr>
            <w:tcW w:w="19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Plan</w:t>
            </w:r>
          </w:p>
        </w:tc>
        <w:tc>
          <w:tcPr>
            <w:tcW w:w="17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Credited Service</w:t>
            </w:r>
          </w:p>
        </w:tc>
        <w:tc>
          <w:tcPr>
            <w:tcW w:w="1840" w:type="dxa"/>
            <w:vAlign w:val="bottom"/>
            <w:shd w:val="clear" w:color="auto" w:fill="C8C9CB"/>
          </w:tcPr>
          <w:p>
            <w:pPr>
              <w:jc w:val="right"/>
              <w:spacing w:after="0" w:line="205" w:lineRule="exact"/>
              <w:rPr>
                <w:sz w:val="20"/>
                <w:szCs w:val="20"/>
                <w:color w:val="auto"/>
              </w:rPr>
            </w:pPr>
            <w:r>
              <w:rPr>
                <w:rFonts w:ascii="Arial" w:cs="Arial" w:eastAsia="Arial" w:hAnsi="Arial"/>
                <w:sz w:val="14"/>
                <w:szCs w:val="14"/>
                <w:b w:val="1"/>
                <w:bCs w:val="1"/>
                <w:color w:val="00ABE8"/>
              </w:rPr>
              <w:t xml:space="preserve">Accumulated Benefit ($) </w:t>
            </w:r>
            <w:r>
              <w:rPr>
                <w:rFonts w:ascii="Arial" w:cs="Arial" w:eastAsia="Arial" w:hAnsi="Arial"/>
                <w:sz w:val="23"/>
                <w:szCs w:val="23"/>
                <w:b w:val="1"/>
                <w:bCs w:val="1"/>
                <w:color w:val="00ABE8"/>
                <w:vertAlign w:val="superscript"/>
              </w:rPr>
              <w:t>1</w:t>
            </w:r>
          </w:p>
        </w:tc>
        <w:tc>
          <w:tcPr>
            <w:tcW w:w="180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Last Fiscal Year ($)</w:t>
            </w:r>
          </w:p>
        </w:tc>
      </w:tr>
      <w:tr>
        <w:trPr>
          <w:trHeight w:val="262"/>
        </w:trPr>
        <w:tc>
          <w:tcPr>
            <w:tcW w:w="1720" w:type="dxa"/>
            <w:vAlign w:val="bottom"/>
          </w:tcPr>
          <w:p>
            <w:pPr>
              <w:ind w:left="20"/>
              <w:spacing w:after="0"/>
              <w:rPr>
                <w:sz w:val="20"/>
                <w:szCs w:val="20"/>
                <w:color w:val="auto"/>
              </w:rPr>
            </w:pPr>
            <w:r>
              <w:rPr>
                <w:rFonts w:ascii="Arial" w:cs="Arial" w:eastAsia="Arial" w:hAnsi="Arial"/>
                <w:sz w:val="14"/>
                <w:szCs w:val="14"/>
                <w:color w:val="auto"/>
              </w:rPr>
              <w:t>Mr. Ricks</w:t>
            </w:r>
          </w:p>
        </w:tc>
        <w:tc>
          <w:tcPr>
            <w:tcW w:w="1980" w:type="dxa"/>
            <w:vAlign w:val="bottom"/>
          </w:tcPr>
          <w:p>
            <w:pPr>
              <w:jc w:val="right"/>
              <w:spacing w:after="0"/>
              <w:rPr>
                <w:sz w:val="20"/>
                <w:szCs w:val="20"/>
                <w:color w:val="auto"/>
              </w:rPr>
            </w:pPr>
            <w:r>
              <w:rPr>
                <w:rFonts w:ascii="Arial" w:cs="Arial" w:eastAsia="Arial" w:hAnsi="Arial"/>
                <w:sz w:val="14"/>
                <w:szCs w:val="14"/>
                <w:color w:val="auto"/>
              </w:rPr>
              <w:t>retirement plan (pre-2010)</w:t>
            </w:r>
          </w:p>
        </w:tc>
        <w:tc>
          <w:tcPr>
            <w:tcW w:w="1780" w:type="dxa"/>
            <w:vAlign w:val="bottom"/>
          </w:tcPr>
          <w:p>
            <w:pPr>
              <w:jc w:val="center"/>
              <w:spacing w:after="0"/>
              <w:rPr>
                <w:sz w:val="20"/>
                <w:szCs w:val="20"/>
                <w:color w:val="auto"/>
              </w:rPr>
            </w:pPr>
            <w:r>
              <w:rPr>
                <w:rFonts w:ascii="Arial" w:cs="Arial" w:eastAsia="Arial" w:hAnsi="Arial"/>
                <w:sz w:val="14"/>
                <w:szCs w:val="14"/>
                <w:color w:val="auto"/>
              </w:rPr>
              <w:t>14</w:t>
            </w:r>
          </w:p>
        </w:tc>
        <w:tc>
          <w:tcPr>
            <w:tcW w:w="1840" w:type="dxa"/>
            <w:vAlign w:val="bottom"/>
          </w:tcPr>
          <w:p>
            <w:pPr>
              <w:jc w:val="right"/>
              <w:spacing w:after="0"/>
              <w:rPr>
                <w:sz w:val="20"/>
                <w:szCs w:val="20"/>
                <w:color w:val="auto"/>
              </w:rPr>
            </w:pPr>
            <w:r>
              <w:rPr>
                <w:rFonts w:ascii="Arial" w:cs="Arial" w:eastAsia="Arial" w:hAnsi="Arial"/>
                <w:sz w:val="14"/>
                <w:szCs w:val="14"/>
                <w:color w:val="auto"/>
              </w:rPr>
              <w:t>$527,812</w:t>
            </w:r>
          </w:p>
        </w:tc>
        <w:tc>
          <w:tcPr>
            <w:tcW w:w="1800" w:type="dxa"/>
            <w:vAlign w:val="bottom"/>
          </w:tcPr>
          <w:p>
            <w:pPr>
              <w:spacing w:after="0"/>
              <w:rPr>
                <w:sz w:val="22"/>
                <w:szCs w:val="22"/>
                <w:color w:val="auto"/>
              </w:rPr>
            </w:pPr>
          </w:p>
        </w:tc>
      </w:tr>
      <w:tr>
        <w:trPr>
          <w:trHeight w:val="270"/>
        </w:trPr>
        <w:tc>
          <w:tcPr>
            <w:tcW w:w="17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retirement plan (post-2009)</w:t>
            </w:r>
          </w:p>
        </w:tc>
        <w:tc>
          <w:tcPr>
            <w:tcW w:w="1780" w:type="dxa"/>
            <w:vAlign w:val="bottom"/>
          </w:tcPr>
          <w:p>
            <w:pPr>
              <w:jc w:val="center"/>
              <w:spacing w:after="0"/>
              <w:rPr>
                <w:sz w:val="20"/>
                <w:szCs w:val="20"/>
                <w:color w:val="auto"/>
              </w:rPr>
            </w:pPr>
            <w:r>
              <w:rPr>
                <w:rFonts w:ascii="Arial" w:cs="Arial" w:eastAsia="Arial" w:hAnsi="Arial"/>
                <w:sz w:val="14"/>
                <w:szCs w:val="14"/>
                <w:color w:val="auto"/>
              </w:rPr>
              <w:t>9</w:t>
            </w:r>
          </w:p>
        </w:tc>
        <w:tc>
          <w:tcPr>
            <w:tcW w:w="1840" w:type="dxa"/>
            <w:vAlign w:val="bottom"/>
          </w:tcPr>
          <w:p>
            <w:pPr>
              <w:jc w:val="right"/>
              <w:spacing w:after="0"/>
              <w:rPr>
                <w:sz w:val="20"/>
                <w:szCs w:val="20"/>
                <w:color w:val="auto"/>
              </w:rPr>
            </w:pPr>
            <w:r>
              <w:rPr>
                <w:rFonts w:ascii="Arial" w:cs="Arial" w:eastAsia="Arial" w:hAnsi="Arial"/>
                <w:sz w:val="14"/>
                <w:szCs w:val="14"/>
                <w:color w:val="auto"/>
              </w:rPr>
              <w:t>$207,040</w:t>
            </w:r>
          </w:p>
        </w:tc>
        <w:tc>
          <w:tcPr>
            <w:tcW w:w="1800" w:type="dxa"/>
            <w:vAlign w:val="bottom"/>
          </w:tcPr>
          <w:p>
            <w:pPr>
              <w:spacing w:after="0"/>
              <w:rPr>
                <w:sz w:val="23"/>
                <w:szCs w:val="23"/>
                <w:color w:val="auto"/>
              </w:rPr>
            </w:pPr>
          </w:p>
        </w:tc>
      </w:tr>
      <w:tr>
        <w:trPr>
          <w:trHeight w:val="270"/>
        </w:trPr>
        <w:tc>
          <w:tcPr>
            <w:tcW w:w="17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nonqualified plan (pre-2010)</w:t>
            </w:r>
          </w:p>
        </w:tc>
        <w:tc>
          <w:tcPr>
            <w:tcW w:w="1780" w:type="dxa"/>
            <w:vAlign w:val="bottom"/>
          </w:tcPr>
          <w:p>
            <w:pPr>
              <w:jc w:val="center"/>
              <w:spacing w:after="0"/>
              <w:rPr>
                <w:sz w:val="20"/>
                <w:szCs w:val="20"/>
                <w:color w:val="auto"/>
              </w:rPr>
            </w:pPr>
            <w:r>
              <w:rPr>
                <w:rFonts w:ascii="Arial" w:cs="Arial" w:eastAsia="Arial" w:hAnsi="Arial"/>
                <w:sz w:val="14"/>
                <w:szCs w:val="14"/>
                <w:color w:val="auto"/>
              </w:rPr>
              <w:t>14</w:t>
            </w:r>
          </w:p>
        </w:tc>
        <w:tc>
          <w:tcPr>
            <w:tcW w:w="1840" w:type="dxa"/>
            <w:vAlign w:val="bottom"/>
          </w:tcPr>
          <w:p>
            <w:pPr>
              <w:jc w:val="right"/>
              <w:spacing w:after="0"/>
              <w:rPr>
                <w:sz w:val="20"/>
                <w:szCs w:val="20"/>
                <w:color w:val="auto"/>
              </w:rPr>
            </w:pPr>
            <w:r>
              <w:rPr>
                <w:rFonts w:ascii="Arial" w:cs="Arial" w:eastAsia="Arial" w:hAnsi="Arial"/>
                <w:sz w:val="14"/>
                <w:szCs w:val="14"/>
                <w:color w:val="auto"/>
              </w:rPr>
              <w:t>$3,853,382</w:t>
            </w:r>
          </w:p>
        </w:tc>
        <w:tc>
          <w:tcPr>
            <w:tcW w:w="1800" w:type="dxa"/>
            <w:vAlign w:val="bottom"/>
          </w:tcPr>
          <w:p>
            <w:pPr>
              <w:spacing w:after="0"/>
              <w:rPr>
                <w:sz w:val="23"/>
                <w:szCs w:val="23"/>
                <w:color w:val="auto"/>
              </w:rPr>
            </w:pPr>
          </w:p>
        </w:tc>
      </w:tr>
      <w:tr>
        <w:trPr>
          <w:trHeight w:val="270"/>
        </w:trPr>
        <w:tc>
          <w:tcPr>
            <w:tcW w:w="17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nonqualified plan (post-2009)</w:t>
            </w:r>
          </w:p>
        </w:tc>
        <w:tc>
          <w:tcPr>
            <w:tcW w:w="1780" w:type="dxa"/>
            <w:vAlign w:val="bottom"/>
          </w:tcPr>
          <w:p>
            <w:pPr>
              <w:jc w:val="center"/>
              <w:spacing w:after="0"/>
              <w:rPr>
                <w:sz w:val="20"/>
                <w:szCs w:val="20"/>
                <w:color w:val="auto"/>
              </w:rPr>
            </w:pPr>
            <w:r>
              <w:rPr>
                <w:rFonts w:ascii="Arial" w:cs="Arial" w:eastAsia="Arial" w:hAnsi="Arial"/>
                <w:sz w:val="14"/>
                <w:szCs w:val="14"/>
                <w:color w:val="auto"/>
              </w:rPr>
              <w:t>9</w:t>
            </w:r>
          </w:p>
        </w:tc>
        <w:tc>
          <w:tcPr>
            <w:tcW w:w="1840" w:type="dxa"/>
            <w:vAlign w:val="bottom"/>
          </w:tcPr>
          <w:p>
            <w:pPr>
              <w:jc w:val="right"/>
              <w:spacing w:after="0"/>
              <w:rPr>
                <w:sz w:val="20"/>
                <w:szCs w:val="20"/>
                <w:color w:val="auto"/>
              </w:rPr>
            </w:pPr>
            <w:r>
              <w:rPr>
                <w:rFonts w:ascii="Arial" w:cs="Arial" w:eastAsia="Arial" w:hAnsi="Arial"/>
                <w:sz w:val="14"/>
                <w:szCs w:val="14"/>
                <w:color w:val="auto"/>
              </w:rPr>
              <w:t>$1,512,159</w:t>
            </w:r>
          </w:p>
        </w:tc>
        <w:tc>
          <w:tcPr>
            <w:tcW w:w="1800" w:type="dxa"/>
            <w:vAlign w:val="bottom"/>
          </w:tcPr>
          <w:p>
            <w:pPr>
              <w:spacing w:after="0"/>
              <w:rPr>
                <w:sz w:val="23"/>
                <w:szCs w:val="23"/>
                <w:color w:val="auto"/>
              </w:rPr>
            </w:pPr>
          </w:p>
        </w:tc>
      </w:tr>
      <w:tr>
        <w:trPr>
          <w:trHeight w:val="274"/>
        </w:trPr>
        <w:tc>
          <w:tcPr>
            <w:tcW w:w="1720" w:type="dxa"/>
            <w:vAlign w:val="bottom"/>
            <w:tcBorders>
              <w:bottom w:val="single" w:sz="8" w:color="C8C9CB"/>
            </w:tcBorders>
          </w:tcPr>
          <w:p>
            <w:pPr>
              <w:spacing w:after="0"/>
              <w:rPr>
                <w:sz w:val="23"/>
                <w:szCs w:val="23"/>
                <w:color w:val="auto"/>
              </w:rPr>
            </w:pPr>
          </w:p>
        </w:tc>
        <w:tc>
          <w:tcPr>
            <w:tcW w:w="1980" w:type="dxa"/>
            <w:vAlign w:val="bottom"/>
            <w:tcBorders>
              <w:bottom w:val="single" w:sz="8" w:color="C8C9CB"/>
            </w:tcBorders>
          </w:tcPr>
          <w:p>
            <w:pPr>
              <w:jc w:val="right"/>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C8C9CB"/>
            </w:tcBorders>
          </w:tcPr>
          <w:p>
            <w:pPr>
              <w:spacing w:after="0"/>
              <w:rPr>
                <w:sz w:val="23"/>
                <w:szCs w:val="23"/>
                <w:color w:val="auto"/>
              </w:rPr>
            </w:pPr>
          </w:p>
        </w:tc>
        <w:tc>
          <w:tcPr>
            <w:tcW w:w="1840" w:type="dxa"/>
            <w:vAlign w:val="bottom"/>
            <w:tcBorders>
              <w:bottom w:val="single" w:sz="8" w:color="C8C9CB"/>
            </w:tcBorders>
          </w:tcPr>
          <w:p>
            <w:pPr>
              <w:jc w:val="right"/>
              <w:spacing w:after="0"/>
              <w:rPr>
                <w:sz w:val="20"/>
                <w:szCs w:val="20"/>
                <w:color w:val="auto"/>
              </w:rPr>
            </w:pPr>
            <w:r>
              <w:rPr>
                <w:rFonts w:ascii="Arial" w:cs="Arial" w:eastAsia="Arial" w:hAnsi="Arial"/>
                <w:sz w:val="14"/>
                <w:szCs w:val="14"/>
                <w:color w:val="auto"/>
              </w:rPr>
              <w:t>$6,100,393</w:t>
            </w:r>
          </w:p>
        </w:tc>
        <w:tc>
          <w:tcPr>
            <w:tcW w:w="1800" w:type="dxa"/>
            <w:vAlign w:val="bottom"/>
            <w:tcBorders>
              <w:bottom w:val="single" w:sz="8" w:color="C8C9CB"/>
            </w:tcBorders>
          </w:tcPr>
          <w:p>
            <w:pPr>
              <w:jc w:val="center"/>
              <w:spacing w:after="0"/>
              <w:rPr>
                <w:sz w:val="20"/>
                <w:szCs w:val="20"/>
                <w:color w:val="auto"/>
              </w:rPr>
            </w:pPr>
            <w:r>
              <w:rPr>
                <w:rFonts w:ascii="Arial" w:cs="Arial" w:eastAsia="Arial" w:hAnsi="Arial"/>
                <w:sz w:val="14"/>
                <w:szCs w:val="14"/>
                <w:color w:val="auto"/>
              </w:rPr>
              <w:t>$0</w:t>
            </w:r>
          </w:p>
        </w:tc>
      </w:tr>
      <w:tr>
        <w:trPr>
          <w:trHeight w:val="260"/>
        </w:trPr>
        <w:tc>
          <w:tcPr>
            <w:tcW w:w="1720" w:type="dxa"/>
            <w:vAlign w:val="bottom"/>
            <w:shd w:val="clear" w:color="auto" w:fill="F4F6F6"/>
          </w:tcPr>
          <w:p>
            <w:pPr>
              <w:ind w:left="20"/>
              <w:spacing w:after="0"/>
              <w:rPr>
                <w:sz w:val="20"/>
                <w:szCs w:val="20"/>
                <w:color w:val="auto"/>
              </w:rPr>
            </w:pPr>
            <w:r>
              <w:rPr>
                <w:rFonts w:ascii="Arial" w:cs="Arial" w:eastAsia="Arial" w:hAnsi="Arial"/>
                <w:sz w:val="14"/>
                <w:szCs w:val="14"/>
                <w:color w:val="auto"/>
              </w:rPr>
              <w:t>Mr. Smiley</w:t>
            </w:r>
          </w:p>
        </w:tc>
        <w:tc>
          <w:tcPr>
            <w:tcW w:w="19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retirement plan (pre-2010)</w:t>
            </w:r>
          </w:p>
        </w:tc>
        <w:tc>
          <w:tcPr>
            <w:tcW w:w="178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14</w:t>
            </w:r>
          </w:p>
        </w:tc>
        <w:tc>
          <w:tcPr>
            <w:tcW w:w="18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$559,569</w:t>
            </w:r>
          </w:p>
        </w:tc>
        <w:tc>
          <w:tcPr>
            <w:tcW w:w="1800" w:type="dxa"/>
            <w:vAlign w:val="bottom"/>
            <w:shd w:val="clear" w:color="auto" w:fill="F4F6F6"/>
          </w:tcPr>
          <w:p>
            <w:pPr>
              <w:spacing w:after="0"/>
              <w:rPr>
                <w:sz w:val="22"/>
                <w:szCs w:val="22"/>
                <w:color w:val="auto"/>
              </w:rPr>
            </w:pPr>
          </w:p>
        </w:tc>
      </w:tr>
      <w:tr>
        <w:trPr>
          <w:trHeight w:val="270"/>
        </w:trPr>
        <w:tc>
          <w:tcPr>
            <w:tcW w:w="1720" w:type="dxa"/>
            <w:vAlign w:val="bottom"/>
            <w:shd w:val="clear" w:color="auto" w:fill="F4F6F6"/>
          </w:tcPr>
          <w:p>
            <w:pPr>
              <w:spacing w:after="0"/>
              <w:rPr>
                <w:sz w:val="23"/>
                <w:szCs w:val="23"/>
                <w:color w:val="auto"/>
              </w:rPr>
            </w:pPr>
          </w:p>
        </w:tc>
        <w:tc>
          <w:tcPr>
            <w:tcW w:w="19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retirement plan (post-2009)</w:t>
            </w:r>
          </w:p>
        </w:tc>
        <w:tc>
          <w:tcPr>
            <w:tcW w:w="178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9</w:t>
            </w:r>
          </w:p>
        </w:tc>
        <w:tc>
          <w:tcPr>
            <w:tcW w:w="18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$181,324</w:t>
            </w:r>
          </w:p>
        </w:tc>
        <w:tc>
          <w:tcPr>
            <w:tcW w:w="1800" w:type="dxa"/>
            <w:vAlign w:val="bottom"/>
            <w:shd w:val="clear" w:color="auto" w:fill="F4F6F6"/>
          </w:tcPr>
          <w:p>
            <w:pPr>
              <w:spacing w:after="0"/>
              <w:rPr>
                <w:sz w:val="23"/>
                <w:szCs w:val="23"/>
                <w:color w:val="auto"/>
              </w:rPr>
            </w:pPr>
          </w:p>
        </w:tc>
      </w:tr>
      <w:tr>
        <w:trPr>
          <w:trHeight w:val="270"/>
        </w:trPr>
        <w:tc>
          <w:tcPr>
            <w:tcW w:w="1720" w:type="dxa"/>
            <w:vAlign w:val="bottom"/>
            <w:shd w:val="clear" w:color="auto" w:fill="F4F6F6"/>
          </w:tcPr>
          <w:p>
            <w:pPr>
              <w:spacing w:after="0"/>
              <w:rPr>
                <w:sz w:val="23"/>
                <w:szCs w:val="23"/>
                <w:color w:val="auto"/>
              </w:rPr>
            </w:pPr>
          </w:p>
        </w:tc>
        <w:tc>
          <w:tcPr>
            <w:tcW w:w="19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retirement plan (post-2009)</w:t>
            </w:r>
          </w:p>
        </w:tc>
        <w:tc>
          <w:tcPr>
            <w:tcW w:w="178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14</w:t>
            </w:r>
          </w:p>
        </w:tc>
        <w:tc>
          <w:tcPr>
            <w:tcW w:w="18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$1,285,869</w:t>
            </w:r>
          </w:p>
        </w:tc>
        <w:tc>
          <w:tcPr>
            <w:tcW w:w="1800" w:type="dxa"/>
            <w:vAlign w:val="bottom"/>
            <w:shd w:val="clear" w:color="auto" w:fill="F4F6F6"/>
          </w:tcPr>
          <w:p>
            <w:pPr>
              <w:spacing w:after="0"/>
              <w:rPr>
                <w:sz w:val="23"/>
                <w:szCs w:val="23"/>
                <w:color w:val="auto"/>
              </w:rPr>
            </w:pPr>
          </w:p>
        </w:tc>
      </w:tr>
      <w:tr>
        <w:trPr>
          <w:trHeight w:val="270"/>
        </w:trPr>
        <w:tc>
          <w:tcPr>
            <w:tcW w:w="1720" w:type="dxa"/>
            <w:vAlign w:val="bottom"/>
            <w:shd w:val="clear" w:color="auto" w:fill="F4F6F6"/>
          </w:tcPr>
          <w:p>
            <w:pPr>
              <w:spacing w:after="0"/>
              <w:rPr>
                <w:sz w:val="23"/>
                <w:szCs w:val="23"/>
                <w:color w:val="auto"/>
              </w:rPr>
            </w:pPr>
          </w:p>
        </w:tc>
        <w:tc>
          <w:tcPr>
            <w:tcW w:w="19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nonqualified plan (post-2009)</w:t>
            </w:r>
          </w:p>
        </w:tc>
        <w:tc>
          <w:tcPr>
            <w:tcW w:w="178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9</w:t>
            </w:r>
          </w:p>
        </w:tc>
        <w:tc>
          <w:tcPr>
            <w:tcW w:w="18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$407,780</w:t>
            </w:r>
          </w:p>
        </w:tc>
        <w:tc>
          <w:tcPr>
            <w:tcW w:w="1800" w:type="dxa"/>
            <w:vAlign w:val="bottom"/>
            <w:shd w:val="clear" w:color="auto" w:fill="F4F6F6"/>
          </w:tcPr>
          <w:p>
            <w:pPr>
              <w:spacing w:after="0"/>
              <w:rPr>
                <w:sz w:val="23"/>
                <w:szCs w:val="23"/>
                <w:color w:val="auto"/>
              </w:rPr>
            </w:pPr>
          </w:p>
        </w:tc>
      </w:tr>
      <w:tr>
        <w:trPr>
          <w:trHeight w:val="274"/>
        </w:trPr>
        <w:tc>
          <w:tcPr>
            <w:tcW w:w="1720" w:type="dxa"/>
            <w:vAlign w:val="bottom"/>
            <w:tcBorders>
              <w:bottom w:val="single" w:sz="8" w:color="C8C9CB"/>
            </w:tcBorders>
            <w:shd w:val="clear" w:color="auto" w:fill="F4F6F6"/>
          </w:tcPr>
          <w:p>
            <w:pPr>
              <w:spacing w:after="0"/>
              <w:rPr>
                <w:sz w:val="23"/>
                <w:szCs w:val="23"/>
                <w:color w:val="auto"/>
              </w:rPr>
            </w:pPr>
          </w:p>
        </w:tc>
        <w:tc>
          <w:tcPr>
            <w:tcW w:w="198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C8C9CB"/>
            </w:tcBorders>
            <w:shd w:val="clear" w:color="auto" w:fill="F4F6F6"/>
          </w:tcPr>
          <w:p>
            <w:pPr>
              <w:spacing w:after="0"/>
              <w:rPr>
                <w:sz w:val="23"/>
                <w:szCs w:val="23"/>
                <w:color w:val="auto"/>
              </w:rPr>
            </w:pPr>
          </w:p>
        </w:tc>
        <w:tc>
          <w:tcPr>
            <w:tcW w:w="184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$2,434,542</w:t>
            </w:r>
          </w:p>
        </w:tc>
        <w:tc>
          <w:tcPr>
            <w:tcW w:w="180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4"/>
                <w:szCs w:val="14"/>
                <w:color w:val="auto"/>
              </w:rPr>
              <w:t>$0</w:t>
            </w:r>
          </w:p>
        </w:tc>
      </w:tr>
      <w:tr>
        <w:trPr>
          <w:trHeight w:val="260"/>
        </w:trPr>
        <w:tc>
          <w:tcPr>
            <w:tcW w:w="1720" w:type="dxa"/>
            <w:vAlign w:val="bottom"/>
          </w:tcPr>
          <w:p>
            <w:pPr>
              <w:ind w:left="20"/>
              <w:spacing w:after="0"/>
              <w:rPr>
                <w:sz w:val="20"/>
                <w:szCs w:val="20"/>
                <w:color w:val="auto"/>
              </w:rPr>
            </w:pPr>
            <w:r>
              <w:rPr>
                <w:rFonts w:ascii="Arial" w:cs="Arial" w:eastAsia="Arial" w:hAnsi="Arial"/>
                <w:sz w:val="14"/>
                <w:szCs w:val="14"/>
                <w:color w:val="auto"/>
              </w:rPr>
              <w:t>Mr. Harrington</w:t>
            </w:r>
          </w:p>
        </w:tc>
        <w:tc>
          <w:tcPr>
            <w:tcW w:w="1980" w:type="dxa"/>
            <w:vAlign w:val="bottom"/>
          </w:tcPr>
          <w:p>
            <w:pPr>
              <w:jc w:val="right"/>
              <w:spacing w:after="0"/>
              <w:rPr>
                <w:sz w:val="20"/>
                <w:szCs w:val="20"/>
                <w:color w:val="auto"/>
              </w:rPr>
            </w:pPr>
            <w:r>
              <w:rPr>
                <w:rFonts w:ascii="Arial" w:cs="Arial" w:eastAsia="Arial" w:hAnsi="Arial"/>
                <w:sz w:val="14"/>
                <w:szCs w:val="14"/>
                <w:color w:val="auto"/>
              </w:rPr>
              <w:t>retirement plan (pre-2010)</w:t>
            </w:r>
          </w:p>
        </w:tc>
        <w:tc>
          <w:tcPr>
            <w:tcW w:w="1780" w:type="dxa"/>
            <w:vAlign w:val="bottom"/>
          </w:tcPr>
          <w:p>
            <w:pPr>
              <w:jc w:val="center"/>
              <w:spacing w:after="0"/>
              <w:rPr>
                <w:sz w:val="20"/>
                <w:szCs w:val="20"/>
                <w:color w:val="auto"/>
              </w:rPr>
            </w:pPr>
            <w:r>
              <w:rPr>
                <w:rFonts w:ascii="Arial" w:cs="Arial" w:eastAsia="Arial" w:hAnsi="Arial"/>
                <w:sz w:val="14"/>
                <w:szCs w:val="14"/>
                <w:color w:val="auto"/>
              </w:rPr>
              <w:t>18</w:t>
            </w:r>
          </w:p>
        </w:tc>
        <w:tc>
          <w:tcPr>
            <w:tcW w:w="1840" w:type="dxa"/>
            <w:vAlign w:val="bottom"/>
          </w:tcPr>
          <w:p>
            <w:pPr>
              <w:jc w:val="right"/>
              <w:spacing w:after="0"/>
              <w:rPr>
                <w:sz w:val="20"/>
                <w:szCs w:val="20"/>
                <w:color w:val="auto"/>
              </w:rPr>
            </w:pPr>
            <w:r>
              <w:rPr>
                <w:rFonts w:ascii="Arial" w:cs="Arial" w:eastAsia="Arial" w:hAnsi="Arial"/>
                <w:sz w:val="14"/>
                <w:szCs w:val="14"/>
                <w:color w:val="auto"/>
              </w:rPr>
              <w:t>$890,707</w:t>
            </w:r>
          </w:p>
        </w:tc>
        <w:tc>
          <w:tcPr>
            <w:tcW w:w="1800" w:type="dxa"/>
            <w:vAlign w:val="bottom"/>
          </w:tcPr>
          <w:p>
            <w:pPr>
              <w:spacing w:after="0"/>
              <w:rPr>
                <w:sz w:val="22"/>
                <w:szCs w:val="22"/>
                <w:color w:val="auto"/>
              </w:rPr>
            </w:pPr>
          </w:p>
        </w:tc>
      </w:tr>
      <w:tr>
        <w:trPr>
          <w:trHeight w:val="270"/>
        </w:trPr>
        <w:tc>
          <w:tcPr>
            <w:tcW w:w="17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retirement plan (post-2009)</w:t>
            </w:r>
          </w:p>
        </w:tc>
        <w:tc>
          <w:tcPr>
            <w:tcW w:w="1780" w:type="dxa"/>
            <w:vAlign w:val="bottom"/>
          </w:tcPr>
          <w:p>
            <w:pPr>
              <w:jc w:val="center"/>
              <w:spacing w:after="0"/>
              <w:rPr>
                <w:sz w:val="20"/>
                <w:szCs w:val="20"/>
                <w:color w:val="auto"/>
              </w:rPr>
            </w:pPr>
            <w:r>
              <w:rPr>
                <w:rFonts w:ascii="Arial" w:cs="Arial" w:eastAsia="Arial" w:hAnsi="Arial"/>
                <w:sz w:val="14"/>
                <w:szCs w:val="14"/>
                <w:color w:val="auto"/>
              </w:rPr>
              <w:t>9</w:t>
            </w:r>
          </w:p>
        </w:tc>
        <w:tc>
          <w:tcPr>
            <w:tcW w:w="1840" w:type="dxa"/>
            <w:vAlign w:val="bottom"/>
          </w:tcPr>
          <w:p>
            <w:pPr>
              <w:jc w:val="right"/>
              <w:spacing w:after="0"/>
              <w:rPr>
                <w:sz w:val="20"/>
                <w:szCs w:val="20"/>
                <w:color w:val="auto"/>
              </w:rPr>
            </w:pPr>
            <w:r>
              <w:rPr>
                <w:rFonts w:ascii="Arial" w:cs="Arial" w:eastAsia="Arial" w:hAnsi="Arial"/>
                <w:sz w:val="14"/>
                <w:szCs w:val="14"/>
                <w:color w:val="auto"/>
              </w:rPr>
              <w:t>$247,087</w:t>
            </w:r>
          </w:p>
        </w:tc>
        <w:tc>
          <w:tcPr>
            <w:tcW w:w="1800" w:type="dxa"/>
            <w:vAlign w:val="bottom"/>
          </w:tcPr>
          <w:p>
            <w:pPr>
              <w:spacing w:after="0"/>
              <w:rPr>
                <w:sz w:val="23"/>
                <w:szCs w:val="23"/>
                <w:color w:val="auto"/>
              </w:rPr>
            </w:pPr>
          </w:p>
        </w:tc>
      </w:tr>
      <w:tr>
        <w:trPr>
          <w:trHeight w:val="270"/>
        </w:trPr>
        <w:tc>
          <w:tcPr>
            <w:tcW w:w="17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nonqualified plan (pre-2010)</w:t>
            </w:r>
          </w:p>
        </w:tc>
        <w:tc>
          <w:tcPr>
            <w:tcW w:w="1780" w:type="dxa"/>
            <w:vAlign w:val="bottom"/>
          </w:tcPr>
          <w:p>
            <w:pPr>
              <w:jc w:val="center"/>
              <w:spacing w:after="0"/>
              <w:rPr>
                <w:sz w:val="20"/>
                <w:szCs w:val="20"/>
                <w:color w:val="auto"/>
              </w:rPr>
            </w:pPr>
            <w:r>
              <w:rPr>
                <w:rFonts w:ascii="Arial" w:cs="Arial" w:eastAsia="Arial" w:hAnsi="Arial"/>
                <w:sz w:val="14"/>
                <w:szCs w:val="14"/>
                <w:color w:val="auto"/>
              </w:rPr>
              <w:t>18</w:t>
            </w:r>
          </w:p>
        </w:tc>
        <w:tc>
          <w:tcPr>
            <w:tcW w:w="1840" w:type="dxa"/>
            <w:vAlign w:val="bottom"/>
          </w:tcPr>
          <w:p>
            <w:pPr>
              <w:jc w:val="right"/>
              <w:spacing w:after="0"/>
              <w:rPr>
                <w:sz w:val="20"/>
                <w:szCs w:val="20"/>
                <w:color w:val="auto"/>
              </w:rPr>
            </w:pPr>
            <w:r>
              <w:rPr>
                <w:rFonts w:ascii="Arial" w:cs="Arial" w:eastAsia="Arial" w:hAnsi="Arial"/>
                <w:sz w:val="14"/>
                <w:szCs w:val="14"/>
                <w:color w:val="auto"/>
              </w:rPr>
              <w:t>$4,737,581</w:t>
            </w:r>
          </w:p>
        </w:tc>
        <w:tc>
          <w:tcPr>
            <w:tcW w:w="1800" w:type="dxa"/>
            <w:vAlign w:val="bottom"/>
          </w:tcPr>
          <w:p>
            <w:pPr>
              <w:spacing w:after="0"/>
              <w:rPr>
                <w:sz w:val="23"/>
                <w:szCs w:val="23"/>
                <w:color w:val="auto"/>
              </w:rPr>
            </w:pPr>
          </w:p>
        </w:tc>
      </w:tr>
      <w:tr>
        <w:trPr>
          <w:trHeight w:val="270"/>
        </w:trPr>
        <w:tc>
          <w:tcPr>
            <w:tcW w:w="17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nonqualified plan (post-2009)</w:t>
            </w:r>
          </w:p>
        </w:tc>
        <w:tc>
          <w:tcPr>
            <w:tcW w:w="1780" w:type="dxa"/>
            <w:vAlign w:val="bottom"/>
          </w:tcPr>
          <w:p>
            <w:pPr>
              <w:jc w:val="center"/>
              <w:spacing w:after="0"/>
              <w:rPr>
                <w:sz w:val="20"/>
                <w:szCs w:val="20"/>
                <w:color w:val="auto"/>
              </w:rPr>
            </w:pPr>
            <w:r>
              <w:rPr>
                <w:rFonts w:ascii="Arial" w:cs="Arial" w:eastAsia="Arial" w:hAnsi="Arial"/>
                <w:sz w:val="14"/>
                <w:szCs w:val="14"/>
                <w:color w:val="auto"/>
              </w:rPr>
              <w:t>9</w:t>
            </w:r>
          </w:p>
        </w:tc>
        <w:tc>
          <w:tcPr>
            <w:tcW w:w="1840" w:type="dxa"/>
            <w:vAlign w:val="bottom"/>
          </w:tcPr>
          <w:p>
            <w:pPr>
              <w:jc w:val="right"/>
              <w:spacing w:after="0"/>
              <w:rPr>
                <w:sz w:val="20"/>
                <w:szCs w:val="20"/>
                <w:color w:val="auto"/>
              </w:rPr>
            </w:pPr>
            <w:r>
              <w:rPr>
                <w:rFonts w:ascii="Arial" w:cs="Arial" w:eastAsia="Arial" w:hAnsi="Arial"/>
                <w:sz w:val="14"/>
                <w:szCs w:val="14"/>
                <w:color w:val="auto"/>
              </w:rPr>
              <w:t>$1,270,411</w:t>
            </w:r>
          </w:p>
        </w:tc>
        <w:tc>
          <w:tcPr>
            <w:tcW w:w="1800" w:type="dxa"/>
            <w:vAlign w:val="bottom"/>
          </w:tcPr>
          <w:p>
            <w:pPr>
              <w:spacing w:after="0"/>
              <w:rPr>
                <w:sz w:val="23"/>
                <w:szCs w:val="23"/>
                <w:color w:val="auto"/>
              </w:rPr>
            </w:pPr>
          </w:p>
        </w:tc>
      </w:tr>
      <w:tr>
        <w:trPr>
          <w:trHeight w:val="274"/>
        </w:trPr>
        <w:tc>
          <w:tcPr>
            <w:tcW w:w="1720" w:type="dxa"/>
            <w:vAlign w:val="bottom"/>
            <w:tcBorders>
              <w:bottom w:val="single" w:sz="8" w:color="C8C9CB"/>
            </w:tcBorders>
          </w:tcPr>
          <w:p>
            <w:pPr>
              <w:spacing w:after="0"/>
              <w:rPr>
                <w:sz w:val="23"/>
                <w:szCs w:val="23"/>
                <w:color w:val="auto"/>
              </w:rPr>
            </w:pPr>
          </w:p>
        </w:tc>
        <w:tc>
          <w:tcPr>
            <w:tcW w:w="1980" w:type="dxa"/>
            <w:vAlign w:val="bottom"/>
            <w:tcBorders>
              <w:bottom w:val="single" w:sz="8" w:color="C8C9CB"/>
            </w:tcBorders>
          </w:tcPr>
          <w:p>
            <w:pPr>
              <w:jc w:val="right"/>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C8C9CB"/>
            </w:tcBorders>
          </w:tcPr>
          <w:p>
            <w:pPr>
              <w:spacing w:after="0"/>
              <w:rPr>
                <w:sz w:val="23"/>
                <w:szCs w:val="23"/>
                <w:color w:val="auto"/>
              </w:rPr>
            </w:pPr>
          </w:p>
        </w:tc>
        <w:tc>
          <w:tcPr>
            <w:tcW w:w="1840" w:type="dxa"/>
            <w:vAlign w:val="bottom"/>
            <w:tcBorders>
              <w:bottom w:val="single" w:sz="8" w:color="C8C9CB"/>
            </w:tcBorders>
          </w:tcPr>
          <w:p>
            <w:pPr>
              <w:jc w:val="right"/>
              <w:spacing w:after="0"/>
              <w:rPr>
                <w:sz w:val="20"/>
                <w:szCs w:val="20"/>
                <w:color w:val="auto"/>
              </w:rPr>
            </w:pPr>
            <w:r>
              <w:rPr>
                <w:rFonts w:ascii="Arial" w:cs="Arial" w:eastAsia="Arial" w:hAnsi="Arial"/>
                <w:sz w:val="14"/>
                <w:szCs w:val="14"/>
                <w:color w:val="auto"/>
              </w:rPr>
              <w:t>$7,145,786</w:t>
            </w:r>
          </w:p>
        </w:tc>
        <w:tc>
          <w:tcPr>
            <w:tcW w:w="1800" w:type="dxa"/>
            <w:vAlign w:val="bottom"/>
            <w:tcBorders>
              <w:bottom w:val="single" w:sz="8" w:color="C8C9CB"/>
            </w:tcBorders>
          </w:tcPr>
          <w:p>
            <w:pPr>
              <w:jc w:val="center"/>
              <w:spacing w:after="0"/>
              <w:rPr>
                <w:sz w:val="20"/>
                <w:szCs w:val="20"/>
                <w:color w:val="auto"/>
              </w:rPr>
            </w:pPr>
            <w:r>
              <w:rPr>
                <w:rFonts w:ascii="Arial" w:cs="Arial" w:eastAsia="Arial" w:hAnsi="Arial"/>
                <w:sz w:val="14"/>
                <w:szCs w:val="14"/>
                <w:color w:val="auto"/>
              </w:rPr>
              <w:t>$0</w:t>
            </w:r>
          </w:p>
        </w:tc>
      </w:tr>
      <w:tr>
        <w:trPr>
          <w:trHeight w:val="260"/>
        </w:trPr>
        <w:tc>
          <w:tcPr>
            <w:tcW w:w="1720" w:type="dxa"/>
            <w:vAlign w:val="bottom"/>
            <w:shd w:val="clear" w:color="auto" w:fill="F4F6F6"/>
          </w:tcPr>
          <w:p>
            <w:pPr>
              <w:ind w:left="20"/>
              <w:spacing w:after="0"/>
              <w:rPr>
                <w:sz w:val="20"/>
                <w:szCs w:val="20"/>
                <w:color w:val="auto"/>
              </w:rPr>
            </w:pPr>
            <w:r>
              <w:rPr>
                <w:rFonts w:ascii="Arial" w:cs="Arial" w:eastAsia="Arial" w:hAnsi="Arial"/>
                <w:sz w:val="14"/>
                <w:szCs w:val="14"/>
                <w:color w:val="auto"/>
              </w:rPr>
              <w:t>Mr. Conterno</w:t>
            </w:r>
          </w:p>
        </w:tc>
        <w:tc>
          <w:tcPr>
            <w:tcW w:w="19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retirement plan (pre-2010)</w:t>
            </w:r>
          </w:p>
        </w:tc>
        <w:tc>
          <w:tcPr>
            <w:tcW w:w="178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17</w:t>
            </w:r>
          </w:p>
        </w:tc>
        <w:tc>
          <w:tcPr>
            <w:tcW w:w="18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$798,663</w:t>
            </w:r>
          </w:p>
        </w:tc>
        <w:tc>
          <w:tcPr>
            <w:tcW w:w="1800" w:type="dxa"/>
            <w:vAlign w:val="bottom"/>
            <w:shd w:val="clear" w:color="auto" w:fill="F4F6F6"/>
          </w:tcPr>
          <w:p>
            <w:pPr>
              <w:spacing w:after="0"/>
              <w:rPr>
                <w:sz w:val="22"/>
                <w:szCs w:val="22"/>
                <w:color w:val="auto"/>
              </w:rPr>
            </w:pPr>
          </w:p>
        </w:tc>
      </w:tr>
      <w:tr>
        <w:trPr>
          <w:trHeight w:val="270"/>
        </w:trPr>
        <w:tc>
          <w:tcPr>
            <w:tcW w:w="1720" w:type="dxa"/>
            <w:vAlign w:val="bottom"/>
            <w:shd w:val="clear" w:color="auto" w:fill="F4F6F6"/>
          </w:tcPr>
          <w:p>
            <w:pPr>
              <w:spacing w:after="0"/>
              <w:rPr>
                <w:sz w:val="23"/>
                <w:szCs w:val="23"/>
                <w:color w:val="auto"/>
              </w:rPr>
            </w:pPr>
          </w:p>
        </w:tc>
        <w:tc>
          <w:tcPr>
            <w:tcW w:w="19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retirement plan (post-2009)</w:t>
            </w:r>
          </w:p>
        </w:tc>
        <w:tc>
          <w:tcPr>
            <w:tcW w:w="178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9</w:t>
            </w:r>
          </w:p>
        </w:tc>
        <w:tc>
          <w:tcPr>
            <w:tcW w:w="18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$216,397</w:t>
            </w:r>
          </w:p>
        </w:tc>
        <w:tc>
          <w:tcPr>
            <w:tcW w:w="1800" w:type="dxa"/>
            <w:vAlign w:val="bottom"/>
            <w:shd w:val="clear" w:color="auto" w:fill="F4F6F6"/>
          </w:tcPr>
          <w:p>
            <w:pPr>
              <w:spacing w:after="0"/>
              <w:rPr>
                <w:sz w:val="23"/>
                <w:szCs w:val="23"/>
                <w:color w:val="auto"/>
              </w:rPr>
            </w:pPr>
          </w:p>
        </w:tc>
      </w:tr>
      <w:tr>
        <w:trPr>
          <w:trHeight w:val="270"/>
        </w:trPr>
        <w:tc>
          <w:tcPr>
            <w:tcW w:w="1720" w:type="dxa"/>
            <w:vAlign w:val="bottom"/>
            <w:shd w:val="clear" w:color="auto" w:fill="F4F6F6"/>
          </w:tcPr>
          <w:p>
            <w:pPr>
              <w:spacing w:after="0"/>
              <w:rPr>
                <w:sz w:val="23"/>
                <w:szCs w:val="23"/>
                <w:color w:val="auto"/>
              </w:rPr>
            </w:pPr>
          </w:p>
        </w:tc>
        <w:tc>
          <w:tcPr>
            <w:tcW w:w="19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nonqualified plan (pre-2010)</w:t>
            </w:r>
          </w:p>
        </w:tc>
        <w:tc>
          <w:tcPr>
            <w:tcW w:w="178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17</w:t>
            </w:r>
          </w:p>
        </w:tc>
        <w:tc>
          <w:tcPr>
            <w:tcW w:w="18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$3,933,824</w:t>
            </w:r>
          </w:p>
        </w:tc>
        <w:tc>
          <w:tcPr>
            <w:tcW w:w="1800" w:type="dxa"/>
            <w:vAlign w:val="bottom"/>
            <w:shd w:val="clear" w:color="auto" w:fill="F4F6F6"/>
          </w:tcPr>
          <w:p>
            <w:pPr>
              <w:spacing w:after="0"/>
              <w:rPr>
                <w:sz w:val="23"/>
                <w:szCs w:val="23"/>
                <w:color w:val="auto"/>
              </w:rPr>
            </w:pPr>
          </w:p>
        </w:tc>
      </w:tr>
      <w:tr>
        <w:trPr>
          <w:trHeight w:val="270"/>
        </w:trPr>
        <w:tc>
          <w:tcPr>
            <w:tcW w:w="1720" w:type="dxa"/>
            <w:vAlign w:val="bottom"/>
            <w:shd w:val="clear" w:color="auto" w:fill="F4F6F6"/>
          </w:tcPr>
          <w:p>
            <w:pPr>
              <w:spacing w:after="0"/>
              <w:rPr>
                <w:sz w:val="23"/>
                <w:szCs w:val="23"/>
                <w:color w:val="auto"/>
              </w:rPr>
            </w:pPr>
          </w:p>
        </w:tc>
        <w:tc>
          <w:tcPr>
            <w:tcW w:w="19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nonqualified plan (post-2009)</w:t>
            </w:r>
          </w:p>
        </w:tc>
        <w:tc>
          <w:tcPr>
            <w:tcW w:w="178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9</w:t>
            </w:r>
          </w:p>
        </w:tc>
        <w:tc>
          <w:tcPr>
            <w:tcW w:w="18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$1,018,051</w:t>
            </w:r>
          </w:p>
        </w:tc>
        <w:tc>
          <w:tcPr>
            <w:tcW w:w="1800" w:type="dxa"/>
            <w:vAlign w:val="bottom"/>
            <w:shd w:val="clear" w:color="auto" w:fill="F4F6F6"/>
          </w:tcPr>
          <w:p>
            <w:pPr>
              <w:spacing w:after="0"/>
              <w:rPr>
                <w:sz w:val="23"/>
                <w:szCs w:val="23"/>
                <w:color w:val="auto"/>
              </w:rPr>
            </w:pPr>
          </w:p>
        </w:tc>
      </w:tr>
      <w:tr>
        <w:trPr>
          <w:trHeight w:val="274"/>
        </w:trPr>
        <w:tc>
          <w:tcPr>
            <w:tcW w:w="1720" w:type="dxa"/>
            <w:vAlign w:val="bottom"/>
            <w:tcBorders>
              <w:bottom w:val="single" w:sz="8" w:color="C8C9CB"/>
            </w:tcBorders>
            <w:shd w:val="clear" w:color="auto" w:fill="F4F6F6"/>
          </w:tcPr>
          <w:p>
            <w:pPr>
              <w:spacing w:after="0"/>
              <w:rPr>
                <w:sz w:val="23"/>
                <w:szCs w:val="23"/>
                <w:color w:val="auto"/>
              </w:rPr>
            </w:pPr>
          </w:p>
        </w:tc>
        <w:tc>
          <w:tcPr>
            <w:tcW w:w="198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C8C9CB"/>
            </w:tcBorders>
            <w:shd w:val="clear" w:color="auto" w:fill="F4F6F6"/>
          </w:tcPr>
          <w:p>
            <w:pPr>
              <w:spacing w:after="0"/>
              <w:rPr>
                <w:sz w:val="23"/>
                <w:szCs w:val="23"/>
                <w:color w:val="auto"/>
              </w:rPr>
            </w:pPr>
          </w:p>
        </w:tc>
        <w:tc>
          <w:tcPr>
            <w:tcW w:w="184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$5,966,935</w:t>
            </w:r>
          </w:p>
        </w:tc>
        <w:tc>
          <w:tcPr>
            <w:tcW w:w="180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4"/>
                <w:szCs w:val="14"/>
                <w:color w:val="auto"/>
              </w:rPr>
              <w:t>$0</w:t>
            </w:r>
          </w:p>
        </w:tc>
      </w:tr>
      <w:tr>
        <w:trPr>
          <w:trHeight w:val="260"/>
        </w:trPr>
        <w:tc>
          <w:tcPr>
            <w:tcW w:w="172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1980" w:type="dxa"/>
            <w:vAlign w:val="bottom"/>
          </w:tcPr>
          <w:p>
            <w:pPr>
              <w:jc w:val="right"/>
              <w:spacing w:after="0"/>
              <w:rPr>
                <w:sz w:val="20"/>
                <w:szCs w:val="20"/>
                <w:color w:val="auto"/>
              </w:rPr>
            </w:pPr>
            <w:r>
              <w:rPr>
                <w:rFonts w:ascii="Arial" w:cs="Arial" w:eastAsia="Arial" w:hAnsi="Arial"/>
                <w:sz w:val="14"/>
                <w:szCs w:val="14"/>
                <w:color w:val="auto"/>
              </w:rPr>
              <w:t>retirement plan (post-2009)</w:t>
            </w:r>
          </w:p>
        </w:tc>
        <w:tc>
          <w:tcPr>
            <w:tcW w:w="1780" w:type="dxa"/>
            <w:vAlign w:val="bottom"/>
          </w:tcPr>
          <w:p>
            <w:pPr>
              <w:jc w:val="center"/>
              <w:spacing w:after="0"/>
              <w:rPr>
                <w:sz w:val="20"/>
                <w:szCs w:val="20"/>
                <w:color w:val="auto"/>
              </w:rPr>
            </w:pPr>
            <w:r>
              <w:rPr>
                <w:rFonts w:ascii="Arial" w:cs="Arial" w:eastAsia="Arial" w:hAnsi="Arial"/>
                <w:sz w:val="14"/>
                <w:szCs w:val="14"/>
                <w:color w:val="auto"/>
              </w:rPr>
              <w:t>6</w:t>
            </w:r>
          </w:p>
        </w:tc>
        <w:tc>
          <w:tcPr>
            <w:tcW w:w="1840" w:type="dxa"/>
            <w:vAlign w:val="bottom"/>
          </w:tcPr>
          <w:p>
            <w:pPr>
              <w:jc w:val="right"/>
              <w:spacing w:after="0"/>
              <w:rPr>
                <w:sz w:val="20"/>
                <w:szCs w:val="20"/>
                <w:color w:val="auto"/>
              </w:rPr>
            </w:pPr>
            <w:r>
              <w:rPr>
                <w:rFonts w:ascii="Arial" w:cs="Arial" w:eastAsia="Arial" w:hAnsi="Arial"/>
                <w:sz w:val="14"/>
                <w:szCs w:val="14"/>
                <w:color w:val="auto"/>
              </w:rPr>
              <w:t>$111,749</w:t>
            </w:r>
          </w:p>
        </w:tc>
        <w:tc>
          <w:tcPr>
            <w:tcW w:w="1800" w:type="dxa"/>
            <w:vAlign w:val="bottom"/>
          </w:tcPr>
          <w:p>
            <w:pPr>
              <w:spacing w:after="0"/>
              <w:rPr>
                <w:sz w:val="22"/>
                <w:szCs w:val="22"/>
                <w:color w:val="auto"/>
              </w:rPr>
            </w:pPr>
          </w:p>
        </w:tc>
      </w:tr>
      <w:tr>
        <w:trPr>
          <w:trHeight w:val="270"/>
        </w:trPr>
        <w:tc>
          <w:tcPr>
            <w:tcW w:w="17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nonqualified plan (post-2009)</w:t>
            </w:r>
          </w:p>
        </w:tc>
        <w:tc>
          <w:tcPr>
            <w:tcW w:w="1780" w:type="dxa"/>
            <w:vAlign w:val="bottom"/>
          </w:tcPr>
          <w:p>
            <w:pPr>
              <w:jc w:val="center"/>
              <w:spacing w:after="0"/>
              <w:rPr>
                <w:sz w:val="20"/>
                <w:szCs w:val="20"/>
                <w:color w:val="auto"/>
              </w:rPr>
            </w:pPr>
            <w:r>
              <w:rPr>
                <w:rFonts w:ascii="Arial" w:cs="Arial" w:eastAsia="Arial" w:hAnsi="Arial"/>
                <w:sz w:val="14"/>
                <w:szCs w:val="14"/>
                <w:color w:val="auto"/>
              </w:rPr>
              <w:t>6</w:t>
            </w:r>
          </w:p>
        </w:tc>
        <w:tc>
          <w:tcPr>
            <w:tcW w:w="1840" w:type="dxa"/>
            <w:vAlign w:val="bottom"/>
          </w:tcPr>
          <w:p>
            <w:pPr>
              <w:jc w:val="right"/>
              <w:spacing w:after="0"/>
              <w:rPr>
                <w:sz w:val="20"/>
                <w:szCs w:val="20"/>
                <w:color w:val="auto"/>
              </w:rPr>
            </w:pPr>
            <w:r>
              <w:rPr>
                <w:rFonts w:ascii="Arial" w:cs="Arial" w:eastAsia="Arial" w:hAnsi="Arial"/>
                <w:sz w:val="14"/>
                <w:szCs w:val="14"/>
                <w:color w:val="auto"/>
              </w:rPr>
              <w:t>$318,896</w:t>
            </w:r>
          </w:p>
        </w:tc>
        <w:tc>
          <w:tcPr>
            <w:tcW w:w="1800" w:type="dxa"/>
            <w:vAlign w:val="bottom"/>
          </w:tcPr>
          <w:p>
            <w:pPr>
              <w:spacing w:after="0"/>
              <w:rPr>
                <w:sz w:val="23"/>
                <w:szCs w:val="23"/>
                <w:color w:val="auto"/>
              </w:rPr>
            </w:pPr>
          </w:p>
        </w:tc>
      </w:tr>
      <w:tr>
        <w:trPr>
          <w:trHeight w:val="274"/>
        </w:trPr>
        <w:tc>
          <w:tcPr>
            <w:tcW w:w="172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$430,645</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60"/>
        </w:trPr>
        <w:tc>
          <w:tcPr>
            <w:tcW w:w="1720" w:type="dxa"/>
            <w:vAlign w:val="bottom"/>
            <w:shd w:val="clear" w:color="auto" w:fill="F4F6F6"/>
          </w:tcPr>
          <w:p>
            <w:pPr>
              <w:ind w:left="20"/>
              <w:spacing w:after="0"/>
              <w:rPr>
                <w:sz w:val="20"/>
                <w:szCs w:val="20"/>
                <w:color w:val="auto"/>
              </w:rPr>
            </w:pPr>
            <w:r>
              <w:rPr>
                <w:rFonts w:ascii="Arial" w:cs="Arial" w:eastAsia="Arial" w:hAnsi="Arial"/>
                <w:sz w:val="14"/>
                <w:szCs w:val="14"/>
                <w:color w:val="auto"/>
              </w:rPr>
              <w:t>Mr. Simmons</w:t>
            </w:r>
          </w:p>
        </w:tc>
        <w:tc>
          <w:tcPr>
            <w:tcW w:w="198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retirement plan (pre-2010)</w:t>
            </w:r>
          </w:p>
        </w:tc>
        <w:tc>
          <w:tcPr>
            <w:tcW w:w="178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21</w:t>
            </w:r>
          </w:p>
        </w:tc>
        <w:tc>
          <w:tcPr>
            <w:tcW w:w="18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$1,019,096</w:t>
            </w:r>
          </w:p>
        </w:tc>
        <w:tc>
          <w:tcPr>
            <w:tcW w:w="1800" w:type="dxa"/>
            <w:vAlign w:val="bottom"/>
            <w:shd w:val="clear" w:color="auto" w:fill="F4F6F6"/>
          </w:tcPr>
          <w:p>
            <w:pPr>
              <w:spacing w:after="0"/>
              <w:rPr>
                <w:sz w:val="22"/>
                <w:szCs w:val="22"/>
                <w:color w:val="auto"/>
              </w:rPr>
            </w:pPr>
          </w:p>
        </w:tc>
      </w:tr>
      <w:tr>
        <w:trPr>
          <w:trHeight w:val="270"/>
        </w:trPr>
        <w:tc>
          <w:tcPr>
            <w:tcW w:w="1720" w:type="dxa"/>
            <w:vAlign w:val="bottom"/>
            <w:shd w:val="clear" w:color="auto" w:fill="F4F6F6"/>
          </w:tcPr>
          <w:p>
            <w:pPr>
              <w:spacing w:after="0"/>
              <w:rPr>
                <w:sz w:val="23"/>
                <w:szCs w:val="23"/>
                <w:color w:val="auto"/>
              </w:rPr>
            </w:pPr>
          </w:p>
        </w:tc>
        <w:tc>
          <w:tcPr>
            <w:tcW w:w="198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retirement plan (post-2009)</w:t>
            </w:r>
          </w:p>
        </w:tc>
        <w:tc>
          <w:tcPr>
            <w:tcW w:w="178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9</w:t>
            </w:r>
          </w:p>
        </w:tc>
        <w:tc>
          <w:tcPr>
            <w:tcW w:w="18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$207,040</w:t>
            </w:r>
          </w:p>
        </w:tc>
        <w:tc>
          <w:tcPr>
            <w:tcW w:w="1800" w:type="dxa"/>
            <w:vAlign w:val="bottom"/>
            <w:shd w:val="clear" w:color="auto" w:fill="F4F6F6"/>
          </w:tcPr>
          <w:p>
            <w:pPr>
              <w:spacing w:after="0"/>
              <w:rPr>
                <w:sz w:val="23"/>
                <w:szCs w:val="23"/>
                <w:color w:val="auto"/>
              </w:rPr>
            </w:pPr>
          </w:p>
        </w:tc>
      </w:tr>
      <w:tr>
        <w:trPr>
          <w:trHeight w:val="270"/>
        </w:trPr>
        <w:tc>
          <w:tcPr>
            <w:tcW w:w="1720" w:type="dxa"/>
            <w:vAlign w:val="bottom"/>
            <w:shd w:val="clear" w:color="auto" w:fill="F4F6F6"/>
          </w:tcPr>
          <w:p>
            <w:pPr>
              <w:spacing w:after="0"/>
              <w:rPr>
                <w:sz w:val="23"/>
                <w:szCs w:val="23"/>
                <w:color w:val="auto"/>
              </w:rPr>
            </w:pPr>
          </w:p>
        </w:tc>
        <w:tc>
          <w:tcPr>
            <w:tcW w:w="198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nonqualified plan (pre-2010)</w:t>
            </w:r>
          </w:p>
        </w:tc>
        <w:tc>
          <w:tcPr>
            <w:tcW w:w="178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21</w:t>
            </w:r>
          </w:p>
        </w:tc>
        <w:tc>
          <w:tcPr>
            <w:tcW w:w="18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$4,344,461</w:t>
            </w:r>
          </w:p>
        </w:tc>
        <w:tc>
          <w:tcPr>
            <w:tcW w:w="1800" w:type="dxa"/>
            <w:vAlign w:val="bottom"/>
            <w:shd w:val="clear" w:color="auto" w:fill="F4F6F6"/>
          </w:tcPr>
          <w:p>
            <w:pPr>
              <w:spacing w:after="0"/>
              <w:rPr>
                <w:sz w:val="23"/>
                <w:szCs w:val="23"/>
                <w:color w:val="auto"/>
              </w:rPr>
            </w:pPr>
          </w:p>
        </w:tc>
      </w:tr>
      <w:tr>
        <w:trPr>
          <w:trHeight w:val="270"/>
        </w:trPr>
        <w:tc>
          <w:tcPr>
            <w:tcW w:w="1720" w:type="dxa"/>
            <w:vAlign w:val="bottom"/>
            <w:shd w:val="clear" w:color="auto" w:fill="F4F6F6"/>
          </w:tcPr>
          <w:p>
            <w:pPr>
              <w:spacing w:after="0"/>
              <w:rPr>
                <w:sz w:val="23"/>
                <w:szCs w:val="23"/>
                <w:color w:val="auto"/>
              </w:rPr>
            </w:pPr>
          </w:p>
        </w:tc>
        <w:tc>
          <w:tcPr>
            <w:tcW w:w="198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nonqualified plan (post-2009)</w:t>
            </w:r>
          </w:p>
        </w:tc>
        <w:tc>
          <w:tcPr>
            <w:tcW w:w="1780" w:type="dxa"/>
            <w:vAlign w:val="bottom"/>
            <w:shd w:val="clear" w:color="auto" w:fill="F4F6F6"/>
          </w:tcPr>
          <w:p>
            <w:pPr>
              <w:jc w:val="center"/>
              <w:spacing w:after="0"/>
              <w:rPr>
                <w:sz w:val="20"/>
                <w:szCs w:val="20"/>
                <w:color w:val="auto"/>
              </w:rPr>
            </w:pPr>
            <w:r>
              <w:rPr>
                <w:rFonts w:ascii="Arial" w:cs="Arial" w:eastAsia="Arial" w:hAnsi="Arial"/>
                <w:sz w:val="14"/>
                <w:szCs w:val="14"/>
                <w:color w:val="auto"/>
              </w:rPr>
              <w:t>9</w:t>
            </w:r>
          </w:p>
        </w:tc>
        <w:tc>
          <w:tcPr>
            <w:tcW w:w="18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$849,148</w:t>
            </w:r>
          </w:p>
        </w:tc>
        <w:tc>
          <w:tcPr>
            <w:tcW w:w="1800" w:type="dxa"/>
            <w:vAlign w:val="bottom"/>
            <w:shd w:val="clear" w:color="auto" w:fill="F4F6F6"/>
          </w:tcPr>
          <w:p>
            <w:pPr>
              <w:spacing w:after="0"/>
              <w:rPr>
                <w:sz w:val="23"/>
                <w:szCs w:val="23"/>
                <w:color w:val="auto"/>
              </w:rPr>
            </w:pPr>
          </w:p>
        </w:tc>
      </w:tr>
      <w:tr>
        <w:trPr>
          <w:trHeight w:val="274"/>
        </w:trPr>
        <w:tc>
          <w:tcPr>
            <w:tcW w:w="1720" w:type="dxa"/>
            <w:vAlign w:val="bottom"/>
            <w:tcBorders>
              <w:bottom w:val="single" w:sz="8" w:color="C8C9CB"/>
            </w:tcBorders>
            <w:shd w:val="clear" w:color="auto" w:fill="F4F6F6"/>
          </w:tcPr>
          <w:p>
            <w:pPr>
              <w:spacing w:after="0"/>
              <w:rPr>
                <w:sz w:val="23"/>
                <w:szCs w:val="23"/>
                <w:color w:val="auto"/>
              </w:rPr>
            </w:pPr>
          </w:p>
        </w:tc>
        <w:tc>
          <w:tcPr>
            <w:tcW w:w="198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C8C9CB"/>
            </w:tcBorders>
            <w:shd w:val="clear" w:color="auto" w:fill="F4F6F6"/>
          </w:tcPr>
          <w:p>
            <w:pPr>
              <w:spacing w:after="0"/>
              <w:rPr>
                <w:sz w:val="23"/>
                <w:szCs w:val="23"/>
                <w:color w:val="auto"/>
              </w:rPr>
            </w:pPr>
          </w:p>
        </w:tc>
        <w:tc>
          <w:tcPr>
            <w:tcW w:w="184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$6,419,745</w:t>
            </w:r>
          </w:p>
        </w:tc>
        <w:tc>
          <w:tcPr>
            <w:tcW w:w="180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4"/>
                <w:szCs w:val="14"/>
                <w:color w:val="auto"/>
              </w:rPr>
              <w:t>$0</w:t>
            </w:r>
          </w:p>
        </w:tc>
      </w:tr>
    </w:tbl>
    <w:p>
      <w:pPr>
        <w:spacing w:after="0" w:line="174" w:lineRule="exact"/>
        <w:rPr>
          <w:sz w:val="20"/>
          <w:szCs w:val="20"/>
          <w:color w:val="auto"/>
        </w:rPr>
      </w:pPr>
    </w:p>
    <w:p>
      <w:pPr>
        <w:ind w:left="360" w:hanging="244"/>
        <w:spacing w:after="0"/>
        <w:tabs>
          <w:tab w:leader="none" w:pos="360" w:val="left"/>
        </w:tabs>
        <w:numPr>
          <w:ilvl w:val="0"/>
          <w:numId w:val="74"/>
        </w:numPr>
        <w:rPr>
          <w:rFonts w:ascii="Arial" w:cs="Arial" w:eastAsia="Arial" w:hAnsi="Arial"/>
          <w:sz w:val="14"/>
          <w:szCs w:val="14"/>
          <w:color w:val="auto"/>
        </w:rPr>
      </w:pPr>
      <w:r>
        <w:rPr>
          <w:rFonts w:ascii="Arial" w:cs="Arial" w:eastAsia="Arial" w:hAnsi="Arial"/>
          <w:sz w:val="17"/>
          <w:szCs w:val="17"/>
          <w:color w:val="auto"/>
        </w:rPr>
        <w:t>The following standard actuarial assumptions were used to calculate the present value of each individual’s accumulated pension benefit:</w:t>
      </w:r>
    </w:p>
    <w:p>
      <w:pPr>
        <w:sectPr>
          <w:pgSz w:w="11900" w:h="16838" w:orient="portrait"/>
          <w:cols w:equalWidth="0" w:num="1">
            <w:col w:w="11280"/>
          </w:cols>
          <w:pgMar w:left="240" w:top="760" w:right="379" w:bottom="1440" w:gutter="0" w:footer="0" w:header="0"/>
        </w:sectPr>
      </w:pPr>
    </w:p>
    <w:p>
      <w:pPr>
        <w:spacing w:after="0" w:line="18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00ABE8"/>
        </w:rPr>
        <w:t>Discount rate:</w:t>
      </w:r>
    </w:p>
    <w:p>
      <w:pPr>
        <w:spacing w:after="0" w:line="5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00ABE8"/>
        </w:rPr>
        <w:t>Mortality (post-retirement decrement only):</w:t>
      </w:r>
    </w:p>
    <w:p>
      <w:pPr>
        <w:spacing w:after="0" w:line="5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00ABE8"/>
        </w:rPr>
        <w:t>Pre-2010 joint and survivor benefit (% of pension):</w:t>
      </w:r>
    </w:p>
    <w:p>
      <w:pPr>
        <w:spacing w:after="0" w:line="5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00ABE8"/>
        </w:rPr>
        <w:t>Post-2009 benefit payment form:</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640"/>
        <w:spacing w:after="0" w:line="322" w:lineRule="auto"/>
        <w:rPr>
          <w:sz w:val="20"/>
          <w:szCs w:val="20"/>
          <w:color w:val="auto"/>
        </w:rPr>
      </w:pPr>
      <w:r>
        <w:rPr>
          <w:rFonts w:ascii="Arial" w:cs="Arial" w:eastAsia="Arial" w:hAnsi="Arial"/>
          <w:sz w:val="14"/>
          <w:szCs w:val="14"/>
          <w:color w:val="auto"/>
        </w:rPr>
        <w:t>4.52 percent for the qualified plan and 4.36 percent for non-qualified plan RP2006 with generational projection using Scale MP2018</w:t>
      </w:r>
    </w:p>
    <w:p>
      <w:pPr>
        <w:spacing w:after="0"/>
        <w:rPr>
          <w:sz w:val="20"/>
          <w:szCs w:val="20"/>
          <w:color w:val="auto"/>
        </w:rPr>
      </w:pPr>
      <w:r>
        <w:rPr>
          <w:rFonts w:ascii="Arial" w:cs="Arial" w:eastAsia="Arial" w:hAnsi="Arial"/>
          <w:sz w:val="14"/>
          <w:szCs w:val="14"/>
          <w:color w:val="auto"/>
        </w:rPr>
        <w:t>50% until age 62; 25% thereafter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life annuity</w:t>
      </w:r>
    </w:p>
    <w:p>
      <w:pPr>
        <w:spacing w:after="0" w:line="175" w:lineRule="exact"/>
        <w:rPr>
          <w:sz w:val="20"/>
          <w:szCs w:val="20"/>
          <w:color w:val="auto"/>
        </w:rPr>
      </w:pPr>
    </w:p>
    <w:p>
      <w:pPr>
        <w:sectPr>
          <w:pgSz w:w="11900" w:h="16838" w:orient="portrait"/>
          <w:cols w:equalWidth="0" w:num="2">
            <w:col w:w="5280" w:space="720"/>
            <w:col w:w="5280"/>
          </w:cols>
          <w:pgMar w:left="240" w:top="760" w:right="379" w:bottom="1440" w:gutter="0" w:footer="0" w:header="0"/>
          <w:type w:val="continuous"/>
        </w:sectPr>
      </w:pPr>
    </w:p>
    <w:p>
      <w:pPr>
        <w:spacing w:after="0" w:line="263" w:lineRule="auto"/>
        <w:rPr>
          <w:sz w:val="20"/>
          <w:szCs w:val="20"/>
          <w:color w:val="auto"/>
        </w:rPr>
      </w:pPr>
      <w:r>
        <w:rPr>
          <w:rFonts w:ascii="Arial" w:cs="Arial" w:eastAsia="Arial" w:hAnsi="Arial"/>
          <w:sz w:val="17"/>
          <w:szCs w:val="17"/>
          <w:color w:val="auto"/>
        </w:rPr>
        <w:t>The Retirement Plan benefits shown in the table are net present values. The benefits are not payable as a lump sum; they are generally paid as a monthly annuity for the life of the retiree and, if elected, any qualifying survivor. The annual benefit under the retirement plan is calculated using years of service and the average of the annual earnings (salary plus bonus) for the highest five out of the last 10 calendar years of service (final average earnings).</w:t>
      </w:r>
    </w:p>
    <w:p>
      <w:pPr>
        <w:spacing w:after="0" w:line="15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color w:val="00ABE8"/>
        </w:rPr>
        <w:t xml:space="preserve">Post-2009 Plan Information: </w:t>
      </w:r>
      <w:r>
        <w:rPr>
          <w:rFonts w:ascii="Arial" w:cs="Arial" w:eastAsia="Arial" w:hAnsi="Arial"/>
          <w:sz w:val="17"/>
          <w:szCs w:val="17"/>
          <w:color w:val="000000"/>
        </w:rPr>
        <w:t>Following amendment of our Retirement Plan formulas, employees hired on or after February 1, 2008, have accrued</w:t>
      </w:r>
      <w:r>
        <w:rPr>
          <w:rFonts w:ascii="Arial" w:cs="Arial" w:eastAsia="Arial" w:hAnsi="Arial"/>
          <w:sz w:val="17"/>
          <w:szCs w:val="17"/>
          <w:b w:val="1"/>
          <w:bCs w:val="1"/>
          <w:color w:val="00ABE8"/>
        </w:rPr>
        <w:t xml:space="preserve"> </w:t>
      </w:r>
      <w:r>
        <w:rPr>
          <w:rFonts w:ascii="Arial" w:cs="Arial" w:eastAsia="Arial" w:hAnsi="Arial"/>
          <w:sz w:val="17"/>
          <w:szCs w:val="17"/>
          <w:color w:val="000000"/>
        </w:rPr>
        <w:t>retirement benefits only under the new plan formula. Employees hired before that date have accrued benefits under both the old and new plan formulas. All eligible employees, including those hired on or after February 1, 2008, can retire at age 65 with at least five years of service and receive an unreduced benefit. The annual benefit under the new plan formula is equal to 1.2 percent of final average earnings multiplied by years of service. Early</w:t>
      </w:r>
    </w:p>
    <w:p>
      <w:pPr>
        <w:spacing w:after="0" w:line="19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P58</w:t>
      </w:r>
    </w:p>
    <w:p>
      <w:pPr>
        <w:sectPr>
          <w:pgSz w:w="11900" w:h="16838" w:orient="portrait"/>
          <w:cols w:equalWidth="0" w:num="1">
            <w:col w:w="11280"/>
          </w:cols>
          <w:pgMar w:left="240" w:top="760" w:right="379" w:bottom="1440" w:gutter="0" w:footer="0" w:header="0"/>
          <w:type w:val="continuous"/>
        </w:sectPr>
      </w:pPr>
    </w:p>
    <w:bookmarkStart w:id="62" w:name="page63"/>
    <w:bookmarkEnd w:id="62"/>
    <w:p>
      <w:pPr>
        <w:spacing w:after="0" w:line="259" w:lineRule="auto"/>
        <w:rPr>
          <w:sz w:val="20"/>
          <w:szCs w:val="20"/>
          <w:color w:val="auto"/>
        </w:rPr>
      </w:pPr>
      <w:r>
        <w:rPr>
          <w:rFonts w:ascii="Arial" w:cs="Arial" w:eastAsia="Arial" w:hAnsi="Arial"/>
          <w:sz w:val="17"/>
          <w:szCs w:val="17"/>
          <w:color w:val="auto"/>
        </w:rPr>
        <w:t>retirement benefits under this plan formula are reduced 6 percent for each year under age 65. Transition benefits were afforded to employees with 50 points (age plus service) or more as of December 31, 2009. These benefits were intended to ease the transition to the new retirement formula for those employees who were closer to retirement or had been with the company longer at the time the plan was changed. For the transition group, early retirement benefits are reduced 3 percent for each year from age 65 to age 60 and 6 percent for each year under age 60. All named executive officers except Dr. Skovronsky are in this transition group.</w:t>
      </w:r>
    </w:p>
    <w:p>
      <w:pPr>
        <w:spacing w:after="0" w:line="15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b w:val="1"/>
          <w:bCs w:val="1"/>
          <w:color w:val="00ABE8"/>
        </w:rPr>
        <w:t xml:space="preserve">Pre-2010 Plan Information: </w:t>
      </w:r>
      <w:r>
        <w:rPr>
          <w:rFonts w:ascii="Arial" w:cs="Arial" w:eastAsia="Arial" w:hAnsi="Arial"/>
          <w:sz w:val="17"/>
          <w:szCs w:val="17"/>
          <w:color w:val="000000"/>
        </w:rPr>
        <w:t>Employees hired prior to February 1, 2008, accrued benefits under both plan formulas. For these employees, benefits</w:t>
      </w:r>
      <w:r>
        <w:rPr>
          <w:rFonts w:ascii="Arial" w:cs="Arial" w:eastAsia="Arial" w:hAnsi="Arial"/>
          <w:sz w:val="17"/>
          <w:szCs w:val="17"/>
          <w:b w:val="1"/>
          <w:bCs w:val="1"/>
          <w:color w:val="00ABE8"/>
        </w:rPr>
        <w:t xml:space="preserve"> </w:t>
      </w:r>
      <w:r>
        <w:rPr>
          <w:rFonts w:ascii="Arial" w:cs="Arial" w:eastAsia="Arial" w:hAnsi="Arial"/>
          <w:sz w:val="17"/>
          <w:szCs w:val="17"/>
          <w:color w:val="000000"/>
        </w:rPr>
        <w:t>that accrued before January 1, 2010, were calculated under the old plan formula. The amount of the benefit is calculated using actual years of service through December 31, 2009, while total years of service is used to determine eligibility and early retirement reductions. The benefit amount is increased (but not decreased) proportionately, based on final average earnings at termination compared to final average earnings at December 31, 2009. Full retirement benefits are earned by employees with 90 or more points (the sum of his or her age plus years of service). Employees electing early retirement receive reduced benefits as described below:</w:t>
      </w:r>
    </w:p>
    <w:p>
      <w:pPr>
        <w:spacing w:after="0" w:line="16"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benefit for employees with between 80 and 90 points is reduced by 3 percent for each year under 90 points or age 62.</w:t>
      </w:r>
    </w:p>
    <w:p>
      <w:pPr>
        <w:spacing w:after="0" w:line="29" w:lineRule="exact"/>
        <w:rPr>
          <w:rFonts w:ascii="Arial" w:cs="Arial" w:eastAsia="Arial" w:hAnsi="Arial"/>
          <w:sz w:val="17"/>
          <w:szCs w:val="17"/>
          <w:color w:val="auto"/>
        </w:rPr>
      </w:pPr>
    </w:p>
    <w:p>
      <w:pPr>
        <w:ind w:left="340" w:hanging="332"/>
        <w:spacing w:after="0" w:line="265" w:lineRule="auto"/>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benefit for employees who have fewer than 80 points, but who reached age 55 and have at least 10 years of service, is reduced as described above and is further reduced by 6 percent for each year under 80 points or age 65.</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 in 2018</w:t>
      </w:r>
    </w:p>
    <w:p>
      <w:pPr>
        <w:spacing w:after="0" w:line="166" w:lineRule="exact"/>
        <w:rPr>
          <w:sz w:val="20"/>
          <w:szCs w:val="20"/>
          <w:color w:val="auto"/>
        </w:rPr>
      </w:pPr>
    </w:p>
    <w:tbl>
      <w:tblPr>
        <w:tblLayout w:type="fixed"/>
        <w:tblInd w:w="1280" w:type="dxa"/>
        <w:tblCellMar>
          <w:top w:w="0" w:type="dxa"/>
          <w:left w:w="0" w:type="dxa"/>
          <w:bottom w:w="0" w:type="dxa"/>
          <w:right w:w="0" w:type="dxa"/>
        </w:tblCellMar>
      </w:tblPr>
      <w:tr>
        <w:trPr>
          <w:trHeight w:val="174"/>
        </w:trPr>
        <w:tc>
          <w:tcPr>
            <w:tcW w:w="1100" w:type="dxa"/>
            <w:vAlign w:val="bottom"/>
            <w:shd w:val="clear" w:color="auto" w:fill="C8C9CB"/>
          </w:tcPr>
          <w:p>
            <w:pPr>
              <w:spacing w:after="0"/>
              <w:rPr>
                <w:sz w:val="15"/>
                <w:szCs w:val="15"/>
                <w:color w:val="auto"/>
              </w:rPr>
            </w:pPr>
          </w:p>
        </w:tc>
        <w:tc>
          <w:tcPr>
            <w:tcW w:w="1540" w:type="dxa"/>
            <w:vAlign w:val="bottom"/>
            <w:shd w:val="clear" w:color="auto" w:fill="C8C9CB"/>
          </w:tcPr>
          <w:p>
            <w:pPr>
              <w:spacing w:after="0"/>
              <w:rPr>
                <w:sz w:val="15"/>
                <w:szCs w:val="15"/>
                <w:color w:val="auto"/>
              </w:rPr>
            </w:pPr>
          </w:p>
        </w:tc>
        <w:tc>
          <w:tcPr>
            <w:tcW w:w="1220" w:type="dxa"/>
            <w:vAlign w:val="bottom"/>
            <w:shd w:val="clear" w:color="auto" w:fill="C8C9CB"/>
          </w:tcPr>
          <w:p>
            <w:pPr>
              <w:spacing w:after="0"/>
              <w:rPr>
                <w:sz w:val="15"/>
                <w:szCs w:val="15"/>
                <w:color w:val="auto"/>
              </w:rPr>
            </w:pPr>
          </w:p>
        </w:tc>
        <w:tc>
          <w:tcPr>
            <w:tcW w:w="1240" w:type="dxa"/>
            <w:vAlign w:val="bottom"/>
            <w:shd w:val="clear" w:color="auto" w:fill="C8C9CB"/>
          </w:tcPr>
          <w:p>
            <w:pPr>
              <w:spacing w:after="0"/>
              <w:rPr>
                <w:sz w:val="15"/>
                <w:szCs w:val="15"/>
                <w:color w:val="auto"/>
              </w:rPr>
            </w:pPr>
          </w:p>
        </w:tc>
        <w:tc>
          <w:tcPr>
            <w:tcW w:w="1240" w:type="dxa"/>
            <w:vAlign w:val="bottom"/>
            <w:shd w:val="clear" w:color="auto" w:fill="C8C9CB"/>
          </w:tcPr>
          <w:p>
            <w:pPr>
              <w:spacing w:after="0"/>
              <w:rPr>
                <w:sz w:val="15"/>
                <w:szCs w:val="15"/>
                <w:color w:val="auto"/>
              </w:rPr>
            </w:pPr>
          </w:p>
        </w:tc>
        <w:tc>
          <w:tcPr>
            <w:tcW w:w="12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Aggregate</w:t>
            </w:r>
          </w:p>
        </w:tc>
        <w:tc>
          <w:tcPr>
            <w:tcW w:w="1280" w:type="dxa"/>
            <w:vAlign w:val="bottom"/>
            <w:shd w:val="clear" w:color="auto" w:fill="C8C9CB"/>
          </w:tcPr>
          <w:p>
            <w:pPr>
              <w:spacing w:after="0"/>
              <w:rPr>
                <w:sz w:val="15"/>
                <w:szCs w:val="15"/>
                <w:color w:val="auto"/>
              </w:rPr>
            </w:pPr>
          </w:p>
        </w:tc>
      </w:tr>
      <w:tr>
        <w:trPr>
          <w:trHeight w:val="162"/>
        </w:trPr>
        <w:tc>
          <w:tcPr>
            <w:tcW w:w="1100" w:type="dxa"/>
            <w:vAlign w:val="bottom"/>
            <w:shd w:val="clear" w:color="auto" w:fill="C8C9CB"/>
          </w:tcPr>
          <w:p>
            <w:pPr>
              <w:spacing w:after="0"/>
              <w:rPr>
                <w:sz w:val="14"/>
                <w:szCs w:val="14"/>
                <w:color w:val="auto"/>
              </w:rPr>
            </w:pPr>
          </w:p>
        </w:tc>
        <w:tc>
          <w:tcPr>
            <w:tcW w:w="1540" w:type="dxa"/>
            <w:vAlign w:val="bottom"/>
            <w:shd w:val="clear" w:color="auto" w:fill="C8C9CB"/>
          </w:tcPr>
          <w:p>
            <w:pPr>
              <w:spacing w:after="0"/>
              <w:rPr>
                <w:sz w:val="14"/>
                <w:szCs w:val="14"/>
                <w:color w:val="auto"/>
              </w:rPr>
            </w:pPr>
          </w:p>
        </w:tc>
        <w:tc>
          <w:tcPr>
            <w:tcW w:w="122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Executive</w:t>
            </w:r>
          </w:p>
        </w:tc>
        <w:tc>
          <w:tcPr>
            <w:tcW w:w="124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Registrant</w:t>
            </w:r>
          </w:p>
        </w:tc>
        <w:tc>
          <w:tcPr>
            <w:tcW w:w="124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Aggregate</w:t>
            </w:r>
          </w:p>
        </w:tc>
        <w:tc>
          <w:tcPr>
            <w:tcW w:w="12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Withdrawals/</w:t>
            </w:r>
          </w:p>
        </w:tc>
        <w:tc>
          <w:tcPr>
            <w:tcW w:w="12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Aggregate</w:t>
            </w:r>
          </w:p>
        </w:tc>
      </w:tr>
      <w:tr>
        <w:trPr>
          <w:trHeight w:val="162"/>
        </w:trPr>
        <w:tc>
          <w:tcPr>
            <w:tcW w:w="1100" w:type="dxa"/>
            <w:vAlign w:val="bottom"/>
            <w:shd w:val="clear" w:color="auto" w:fill="C8C9CB"/>
          </w:tcPr>
          <w:p>
            <w:pPr>
              <w:spacing w:after="0"/>
              <w:rPr>
                <w:sz w:val="14"/>
                <w:szCs w:val="14"/>
                <w:color w:val="auto"/>
              </w:rPr>
            </w:pPr>
          </w:p>
        </w:tc>
        <w:tc>
          <w:tcPr>
            <w:tcW w:w="1540" w:type="dxa"/>
            <w:vAlign w:val="bottom"/>
            <w:shd w:val="clear" w:color="auto" w:fill="C8C9CB"/>
          </w:tcPr>
          <w:p>
            <w:pPr>
              <w:spacing w:after="0"/>
              <w:rPr>
                <w:sz w:val="14"/>
                <w:szCs w:val="14"/>
                <w:color w:val="auto"/>
              </w:rPr>
            </w:pPr>
          </w:p>
        </w:tc>
        <w:tc>
          <w:tcPr>
            <w:tcW w:w="122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Contributions in</w:t>
            </w:r>
          </w:p>
        </w:tc>
        <w:tc>
          <w:tcPr>
            <w:tcW w:w="124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Contributions in</w:t>
            </w:r>
          </w:p>
        </w:tc>
        <w:tc>
          <w:tcPr>
            <w:tcW w:w="124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Earnings in</w:t>
            </w:r>
          </w:p>
        </w:tc>
        <w:tc>
          <w:tcPr>
            <w:tcW w:w="12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Distributions in</w:t>
            </w:r>
          </w:p>
        </w:tc>
        <w:tc>
          <w:tcPr>
            <w:tcW w:w="12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Balance at Last</w:t>
            </w:r>
          </w:p>
        </w:tc>
      </w:tr>
      <w:tr>
        <w:trPr>
          <w:trHeight w:val="161"/>
        </w:trPr>
        <w:tc>
          <w:tcPr>
            <w:tcW w:w="1100" w:type="dxa"/>
            <w:vAlign w:val="bottom"/>
            <w:shd w:val="clear" w:color="auto" w:fill="C8C9CB"/>
          </w:tcPr>
          <w:p>
            <w:pPr>
              <w:spacing w:after="0"/>
              <w:rPr>
                <w:sz w:val="13"/>
                <w:szCs w:val="13"/>
                <w:color w:val="auto"/>
              </w:rPr>
            </w:pPr>
          </w:p>
        </w:tc>
        <w:tc>
          <w:tcPr>
            <w:tcW w:w="1540" w:type="dxa"/>
            <w:vAlign w:val="bottom"/>
            <w:shd w:val="clear" w:color="auto" w:fill="C8C9CB"/>
          </w:tcPr>
          <w:p>
            <w:pPr>
              <w:spacing w:after="0"/>
              <w:rPr>
                <w:sz w:val="13"/>
                <w:szCs w:val="13"/>
                <w:color w:val="auto"/>
              </w:rPr>
            </w:pPr>
          </w:p>
        </w:tc>
        <w:tc>
          <w:tcPr>
            <w:tcW w:w="122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Last Fiscal Year</w:t>
            </w:r>
          </w:p>
        </w:tc>
        <w:tc>
          <w:tcPr>
            <w:tcW w:w="124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Last Fiscal Year</w:t>
            </w:r>
          </w:p>
        </w:tc>
        <w:tc>
          <w:tcPr>
            <w:tcW w:w="124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Last Fiscal Year</w:t>
            </w:r>
          </w:p>
        </w:tc>
        <w:tc>
          <w:tcPr>
            <w:tcW w:w="12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Last Fiscal Year</w:t>
            </w:r>
          </w:p>
        </w:tc>
        <w:tc>
          <w:tcPr>
            <w:tcW w:w="128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Fiscal Year End</w:t>
            </w:r>
          </w:p>
        </w:tc>
      </w:tr>
      <w:tr>
        <w:trPr>
          <w:trHeight w:val="206"/>
        </w:trPr>
        <w:tc>
          <w:tcPr>
            <w:tcW w:w="1100" w:type="dxa"/>
            <w:vAlign w:val="bottom"/>
            <w:shd w:val="clear" w:color="auto" w:fill="C8C9CB"/>
          </w:tcPr>
          <w:p>
            <w:pPr>
              <w:ind w:left="360"/>
              <w:spacing w:after="0"/>
              <w:rPr>
                <w:sz w:val="20"/>
                <w:szCs w:val="20"/>
                <w:color w:val="auto"/>
              </w:rPr>
            </w:pPr>
            <w:r>
              <w:rPr>
                <w:rFonts w:ascii="Arial" w:cs="Arial" w:eastAsia="Arial" w:hAnsi="Arial"/>
                <w:sz w:val="14"/>
                <w:szCs w:val="14"/>
                <w:b w:val="1"/>
                <w:bCs w:val="1"/>
                <w:color w:val="00ABE8"/>
              </w:rPr>
              <w:t>Name</w:t>
            </w:r>
          </w:p>
        </w:tc>
        <w:tc>
          <w:tcPr>
            <w:tcW w:w="1540" w:type="dxa"/>
            <w:vAlign w:val="bottom"/>
            <w:shd w:val="clear" w:color="auto" w:fill="C8C9CB"/>
          </w:tcPr>
          <w:p>
            <w:pPr>
              <w:jc w:val="right"/>
              <w:ind w:right="557"/>
              <w:spacing w:after="0"/>
              <w:rPr>
                <w:sz w:val="20"/>
                <w:szCs w:val="20"/>
                <w:color w:val="auto"/>
              </w:rPr>
            </w:pPr>
            <w:r>
              <w:rPr>
                <w:rFonts w:ascii="Arial" w:cs="Arial" w:eastAsia="Arial" w:hAnsi="Arial"/>
                <w:sz w:val="14"/>
                <w:szCs w:val="14"/>
                <w:b w:val="1"/>
                <w:bCs w:val="1"/>
                <w:color w:val="00ABE8"/>
              </w:rPr>
              <w:t>Plan</w:t>
            </w:r>
          </w:p>
        </w:tc>
        <w:tc>
          <w:tcPr>
            <w:tcW w:w="1220" w:type="dxa"/>
            <w:vAlign w:val="bottom"/>
            <w:shd w:val="clear" w:color="auto" w:fill="C8C9CB"/>
          </w:tcPr>
          <w:p>
            <w:pPr>
              <w:jc w:val="right"/>
              <w:ind w:right="415"/>
              <w:spacing w:after="0" w:line="205" w:lineRule="exact"/>
              <w:rPr>
                <w:sz w:val="20"/>
                <w:szCs w:val="20"/>
                <w:color w:val="auto"/>
              </w:rPr>
            </w:pPr>
            <w:r>
              <w:rPr>
                <w:rFonts w:ascii="Arial" w:cs="Arial" w:eastAsia="Arial" w:hAnsi="Arial"/>
                <w:sz w:val="14"/>
                <w:szCs w:val="14"/>
                <w:b w:val="1"/>
                <w:bCs w:val="1"/>
                <w:color w:val="00ABE8"/>
              </w:rPr>
              <w:t>($)</w:t>
            </w:r>
            <w:r>
              <w:rPr>
                <w:rFonts w:ascii="Arial" w:cs="Arial" w:eastAsia="Arial" w:hAnsi="Arial"/>
                <w:sz w:val="23"/>
                <w:szCs w:val="23"/>
                <w:b w:val="1"/>
                <w:bCs w:val="1"/>
                <w:color w:val="00ABE8"/>
                <w:vertAlign w:val="superscript"/>
              </w:rPr>
              <w:t>1</w:t>
            </w:r>
          </w:p>
        </w:tc>
        <w:tc>
          <w:tcPr>
            <w:tcW w:w="1240" w:type="dxa"/>
            <w:vAlign w:val="bottom"/>
            <w:shd w:val="clear" w:color="auto" w:fill="C8C9CB"/>
          </w:tcPr>
          <w:p>
            <w:pPr>
              <w:jc w:val="center"/>
              <w:spacing w:after="0" w:line="205" w:lineRule="exact"/>
              <w:rPr>
                <w:sz w:val="20"/>
                <w:szCs w:val="20"/>
                <w:color w:val="auto"/>
              </w:rPr>
            </w:pPr>
            <w:r>
              <w:rPr>
                <w:rFonts w:ascii="Arial" w:cs="Arial" w:eastAsia="Arial" w:hAnsi="Arial"/>
                <w:sz w:val="14"/>
                <w:szCs w:val="14"/>
                <w:b w:val="1"/>
                <w:bCs w:val="1"/>
                <w:color w:val="00ABE8"/>
                <w:w w:val="93"/>
              </w:rPr>
              <w:t>($)</w:t>
            </w:r>
            <w:r>
              <w:rPr>
                <w:rFonts w:ascii="Arial" w:cs="Arial" w:eastAsia="Arial" w:hAnsi="Arial"/>
                <w:sz w:val="23"/>
                <w:szCs w:val="23"/>
                <w:b w:val="1"/>
                <w:bCs w:val="1"/>
                <w:color w:val="00ABE8"/>
                <w:w w:val="93"/>
                <w:vertAlign w:val="superscript"/>
              </w:rPr>
              <w:t>2</w:t>
            </w:r>
          </w:p>
        </w:tc>
        <w:tc>
          <w:tcPr>
            <w:tcW w:w="124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w:t>
            </w:r>
          </w:p>
        </w:tc>
        <w:tc>
          <w:tcPr>
            <w:tcW w:w="126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w:t>
            </w:r>
          </w:p>
        </w:tc>
        <w:tc>
          <w:tcPr>
            <w:tcW w:w="1280" w:type="dxa"/>
            <w:vAlign w:val="bottom"/>
            <w:shd w:val="clear" w:color="auto" w:fill="C8C9CB"/>
          </w:tcPr>
          <w:p>
            <w:pPr>
              <w:jc w:val="right"/>
              <w:ind w:right="435"/>
              <w:spacing w:after="0" w:line="205" w:lineRule="exact"/>
              <w:rPr>
                <w:sz w:val="20"/>
                <w:szCs w:val="20"/>
                <w:color w:val="auto"/>
              </w:rPr>
            </w:pPr>
            <w:r>
              <w:rPr>
                <w:rFonts w:ascii="Arial" w:cs="Arial" w:eastAsia="Arial" w:hAnsi="Arial"/>
                <w:sz w:val="14"/>
                <w:szCs w:val="14"/>
                <w:b w:val="1"/>
                <w:bCs w:val="1"/>
                <w:color w:val="00ABE8"/>
              </w:rPr>
              <w:t>($)</w:t>
            </w:r>
            <w:r>
              <w:rPr>
                <w:rFonts w:ascii="Arial" w:cs="Arial" w:eastAsia="Arial" w:hAnsi="Arial"/>
                <w:sz w:val="23"/>
                <w:szCs w:val="23"/>
                <w:b w:val="1"/>
                <w:bCs w:val="1"/>
                <w:color w:val="00ABE8"/>
                <w:vertAlign w:val="superscript"/>
              </w:rPr>
              <w:t>3</w:t>
            </w:r>
          </w:p>
        </w:tc>
      </w:tr>
      <w:tr>
        <w:trPr>
          <w:trHeight w:val="256"/>
        </w:trPr>
        <w:tc>
          <w:tcPr>
            <w:tcW w:w="1100" w:type="dxa"/>
            <w:vAlign w:val="bottom"/>
          </w:tcPr>
          <w:p>
            <w:pPr>
              <w:ind w:left="20"/>
              <w:spacing w:after="0"/>
              <w:rPr>
                <w:sz w:val="20"/>
                <w:szCs w:val="20"/>
                <w:color w:val="auto"/>
              </w:rPr>
            </w:pPr>
            <w:r>
              <w:rPr>
                <w:rFonts w:ascii="Arial" w:cs="Arial" w:eastAsia="Arial" w:hAnsi="Arial"/>
                <w:sz w:val="13"/>
                <w:szCs w:val="13"/>
                <w:color w:val="auto"/>
              </w:rPr>
              <w:t>Mr. Ricks</w:t>
            </w:r>
          </w:p>
        </w:tc>
        <w:tc>
          <w:tcPr>
            <w:tcW w:w="1540" w:type="dxa"/>
            <w:vAlign w:val="bottom"/>
          </w:tcPr>
          <w:p>
            <w:pPr>
              <w:jc w:val="right"/>
              <w:spacing w:after="0"/>
              <w:rPr>
                <w:sz w:val="20"/>
                <w:szCs w:val="20"/>
                <w:color w:val="auto"/>
              </w:rPr>
            </w:pPr>
            <w:r>
              <w:rPr>
                <w:rFonts w:ascii="Arial" w:cs="Arial" w:eastAsia="Arial" w:hAnsi="Arial"/>
                <w:sz w:val="13"/>
                <w:szCs w:val="13"/>
                <w:color w:val="auto"/>
              </w:rPr>
              <w:t>nonqualified savings</w:t>
            </w:r>
          </w:p>
        </w:tc>
        <w:tc>
          <w:tcPr>
            <w:tcW w:w="1220" w:type="dxa"/>
            <w:vAlign w:val="bottom"/>
          </w:tcPr>
          <w:p>
            <w:pPr>
              <w:jc w:val="center"/>
              <w:ind w:right="95"/>
              <w:spacing w:after="0"/>
              <w:rPr>
                <w:sz w:val="20"/>
                <w:szCs w:val="20"/>
                <w:color w:val="auto"/>
              </w:rPr>
            </w:pPr>
            <w:r>
              <w:rPr>
                <w:rFonts w:ascii="Arial" w:cs="Arial" w:eastAsia="Arial" w:hAnsi="Arial"/>
                <w:sz w:val="13"/>
                <w:szCs w:val="13"/>
                <w:color w:val="auto"/>
                <w:w w:val="97"/>
              </w:rPr>
              <w:t>$67,500</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$67,500</w:t>
            </w:r>
          </w:p>
        </w:tc>
        <w:tc>
          <w:tcPr>
            <w:tcW w:w="1240" w:type="dxa"/>
            <w:vAlign w:val="bottom"/>
          </w:tcPr>
          <w:p>
            <w:pPr>
              <w:jc w:val="center"/>
              <w:ind w:right="155"/>
              <w:spacing w:after="0"/>
              <w:rPr>
                <w:sz w:val="20"/>
                <w:szCs w:val="20"/>
                <w:color w:val="auto"/>
              </w:rPr>
            </w:pPr>
            <w:r>
              <w:rPr>
                <w:rFonts w:ascii="Arial" w:cs="Arial" w:eastAsia="Arial" w:hAnsi="Arial"/>
                <w:sz w:val="13"/>
                <w:szCs w:val="13"/>
                <w:color w:val="auto"/>
                <w:w w:val="92"/>
              </w:rPr>
              <w:t>$215,811</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Pr>
          <w:p>
            <w:pPr>
              <w:jc w:val="center"/>
              <w:ind w:right="95"/>
              <w:spacing w:after="0"/>
              <w:rPr>
                <w:sz w:val="20"/>
                <w:szCs w:val="20"/>
                <w:color w:val="auto"/>
              </w:rPr>
            </w:pPr>
            <w:r>
              <w:rPr>
                <w:rFonts w:ascii="Arial" w:cs="Arial" w:eastAsia="Arial" w:hAnsi="Arial"/>
                <w:sz w:val="13"/>
                <w:szCs w:val="13"/>
                <w:color w:val="auto"/>
                <w:w w:val="95"/>
              </w:rPr>
              <w:t>$972,448</w:t>
            </w:r>
          </w:p>
        </w:tc>
      </w:tr>
      <w:tr>
        <w:trPr>
          <w:trHeight w:val="270"/>
        </w:trPr>
        <w:tc>
          <w:tcPr>
            <w:tcW w:w="1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deferred compensation</w:t>
            </w:r>
          </w:p>
        </w:tc>
        <w:tc>
          <w:tcPr>
            <w:tcW w:w="1220" w:type="dxa"/>
            <w:vAlign w:val="bottom"/>
          </w:tcPr>
          <w:p>
            <w:pPr>
              <w:jc w:val="center"/>
              <w:ind w:right="95"/>
              <w:spacing w:after="0"/>
              <w:rPr>
                <w:sz w:val="20"/>
                <w:szCs w:val="20"/>
                <w:color w:val="auto"/>
              </w:rPr>
            </w:pPr>
            <w:r>
              <w:rPr>
                <w:rFonts w:ascii="Arial" w:cs="Arial" w:eastAsia="Arial" w:hAnsi="Arial"/>
                <w:sz w:val="13"/>
                <w:szCs w:val="13"/>
                <w:color w:val="auto"/>
                <w:w w:val="96"/>
              </w:rPr>
              <w:t>$0</w:t>
            </w:r>
          </w:p>
        </w:tc>
        <w:tc>
          <w:tcPr>
            <w:tcW w:w="1240" w:type="dxa"/>
            <w:vAlign w:val="bottom"/>
          </w:tcPr>
          <w:p>
            <w:pPr>
              <w:spacing w:after="0"/>
              <w:rPr>
                <w:sz w:val="23"/>
                <w:szCs w:val="23"/>
                <w:color w:val="auto"/>
              </w:rPr>
            </w:pPr>
          </w:p>
        </w:tc>
        <w:tc>
          <w:tcPr>
            <w:tcW w:w="1240" w:type="dxa"/>
            <w:vAlign w:val="bottom"/>
          </w:tcPr>
          <w:p>
            <w:pPr>
              <w:jc w:val="center"/>
              <w:ind w:right="155"/>
              <w:spacing w:after="0"/>
              <w:rPr>
                <w:sz w:val="20"/>
                <w:szCs w:val="20"/>
                <w:color w:val="auto"/>
              </w:rPr>
            </w:pPr>
            <w:r>
              <w:rPr>
                <w:rFonts w:ascii="Arial" w:cs="Arial" w:eastAsia="Arial" w:hAnsi="Arial"/>
                <w:sz w:val="13"/>
                <w:szCs w:val="13"/>
                <w:color w:val="auto"/>
                <w:w w:val="96"/>
              </w:rPr>
              <w:t>$0</w:t>
            </w:r>
          </w:p>
        </w:tc>
        <w:tc>
          <w:tcPr>
            <w:tcW w:w="1260" w:type="dxa"/>
            <w:vAlign w:val="bottom"/>
          </w:tcPr>
          <w:p>
            <w:pPr>
              <w:spacing w:after="0"/>
              <w:rPr>
                <w:sz w:val="23"/>
                <w:szCs w:val="23"/>
                <w:color w:val="auto"/>
              </w:rPr>
            </w:pPr>
          </w:p>
        </w:tc>
        <w:tc>
          <w:tcPr>
            <w:tcW w:w="1280" w:type="dxa"/>
            <w:vAlign w:val="bottom"/>
          </w:tcPr>
          <w:p>
            <w:pPr>
              <w:jc w:val="center"/>
              <w:ind w:right="75"/>
              <w:spacing w:after="0"/>
              <w:rPr>
                <w:sz w:val="20"/>
                <w:szCs w:val="20"/>
                <w:color w:val="auto"/>
              </w:rPr>
            </w:pPr>
            <w:r>
              <w:rPr>
                <w:rFonts w:ascii="Arial" w:cs="Arial" w:eastAsia="Arial" w:hAnsi="Arial"/>
                <w:sz w:val="13"/>
                <w:szCs w:val="13"/>
                <w:color w:val="auto"/>
                <w:w w:val="96"/>
              </w:rPr>
              <w:t>$0</w:t>
            </w:r>
          </w:p>
        </w:tc>
      </w:tr>
      <w:tr>
        <w:trPr>
          <w:trHeight w:val="278"/>
        </w:trPr>
        <w:tc>
          <w:tcPr>
            <w:tcW w:w="1100" w:type="dxa"/>
            <w:vAlign w:val="bottom"/>
            <w:tcBorders>
              <w:bottom w:val="single" w:sz="8" w:color="C8C9CB"/>
            </w:tcBorders>
          </w:tcPr>
          <w:p>
            <w:pPr>
              <w:spacing w:after="0"/>
              <w:rPr>
                <w:sz w:val="24"/>
                <w:szCs w:val="24"/>
                <w:color w:val="auto"/>
              </w:rPr>
            </w:pPr>
          </w:p>
        </w:tc>
        <w:tc>
          <w:tcPr>
            <w:tcW w:w="1540" w:type="dxa"/>
            <w:vAlign w:val="bottom"/>
            <w:tcBorders>
              <w:bottom w:val="single" w:sz="8" w:color="C8C9CB"/>
            </w:tcBorders>
          </w:tcPr>
          <w:p>
            <w:pPr>
              <w:jc w:val="right"/>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C8C9CB"/>
            </w:tcBorders>
          </w:tcPr>
          <w:p>
            <w:pPr>
              <w:jc w:val="center"/>
              <w:ind w:right="95"/>
              <w:spacing w:after="0"/>
              <w:rPr>
                <w:sz w:val="20"/>
                <w:szCs w:val="20"/>
                <w:color w:val="auto"/>
              </w:rPr>
            </w:pPr>
            <w:r>
              <w:rPr>
                <w:rFonts w:ascii="Arial" w:cs="Arial" w:eastAsia="Arial" w:hAnsi="Arial"/>
                <w:sz w:val="13"/>
                <w:szCs w:val="13"/>
                <w:color w:val="auto"/>
                <w:w w:val="97"/>
              </w:rPr>
              <w:t>$67,500</w:t>
            </w:r>
          </w:p>
        </w:tc>
        <w:tc>
          <w:tcPr>
            <w:tcW w:w="124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97"/>
              </w:rPr>
              <w:t>$67,500</w:t>
            </w:r>
          </w:p>
        </w:tc>
        <w:tc>
          <w:tcPr>
            <w:tcW w:w="1240" w:type="dxa"/>
            <w:vAlign w:val="bottom"/>
            <w:tcBorders>
              <w:bottom w:val="single" w:sz="8" w:color="C8C9CB"/>
            </w:tcBorders>
          </w:tcPr>
          <w:p>
            <w:pPr>
              <w:jc w:val="center"/>
              <w:ind w:right="155"/>
              <w:spacing w:after="0"/>
              <w:rPr>
                <w:sz w:val="20"/>
                <w:szCs w:val="20"/>
                <w:color w:val="auto"/>
              </w:rPr>
            </w:pPr>
            <w:r>
              <w:rPr>
                <w:rFonts w:ascii="Arial" w:cs="Arial" w:eastAsia="Arial" w:hAnsi="Arial"/>
                <w:sz w:val="13"/>
                <w:szCs w:val="13"/>
                <w:color w:val="auto"/>
                <w:w w:val="92"/>
              </w:rPr>
              <w:t>$215,811</w:t>
            </w:r>
          </w:p>
        </w:tc>
        <w:tc>
          <w:tcPr>
            <w:tcW w:w="126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Borders>
              <w:bottom w:val="single" w:sz="8" w:color="C8C9CB"/>
            </w:tcBorders>
          </w:tcPr>
          <w:p>
            <w:pPr>
              <w:jc w:val="center"/>
              <w:ind w:right="95"/>
              <w:spacing w:after="0"/>
              <w:rPr>
                <w:sz w:val="20"/>
                <w:szCs w:val="20"/>
                <w:color w:val="auto"/>
              </w:rPr>
            </w:pPr>
            <w:r>
              <w:rPr>
                <w:rFonts w:ascii="Arial" w:cs="Arial" w:eastAsia="Arial" w:hAnsi="Arial"/>
                <w:sz w:val="13"/>
                <w:szCs w:val="13"/>
                <w:color w:val="auto"/>
                <w:w w:val="95"/>
              </w:rPr>
              <w:t>$972,448</w:t>
            </w:r>
          </w:p>
        </w:tc>
      </w:tr>
      <w:tr>
        <w:trPr>
          <w:trHeight w:val="256"/>
        </w:trPr>
        <w:tc>
          <w:tcPr>
            <w:tcW w:w="1100" w:type="dxa"/>
            <w:vAlign w:val="bottom"/>
            <w:shd w:val="clear" w:color="auto" w:fill="F4F6F6"/>
          </w:tcPr>
          <w:p>
            <w:pPr>
              <w:ind w:left="20"/>
              <w:spacing w:after="0"/>
              <w:rPr>
                <w:sz w:val="20"/>
                <w:szCs w:val="20"/>
                <w:color w:val="auto"/>
              </w:rPr>
            </w:pPr>
            <w:r>
              <w:rPr>
                <w:rFonts w:ascii="Arial" w:cs="Arial" w:eastAsia="Arial" w:hAnsi="Arial"/>
                <w:sz w:val="13"/>
                <w:szCs w:val="13"/>
                <w:color w:val="auto"/>
              </w:rPr>
              <w:t>Mr. Smiley</w:t>
            </w:r>
          </w:p>
        </w:tc>
        <w:tc>
          <w:tcPr>
            <w:tcW w:w="1540" w:type="dxa"/>
            <w:vAlign w:val="bottom"/>
            <w:shd w:val="clear" w:color="auto" w:fill="F4F6F6"/>
          </w:tcPr>
          <w:p>
            <w:pPr>
              <w:jc w:val="right"/>
              <w:spacing w:after="0"/>
              <w:rPr>
                <w:sz w:val="20"/>
                <w:szCs w:val="20"/>
                <w:color w:val="auto"/>
              </w:rPr>
            </w:pPr>
            <w:r>
              <w:rPr>
                <w:rFonts w:ascii="Arial" w:cs="Arial" w:eastAsia="Arial" w:hAnsi="Arial"/>
                <w:sz w:val="13"/>
                <w:szCs w:val="13"/>
                <w:color w:val="auto"/>
              </w:rPr>
              <w:t>nonqualified savings</w:t>
            </w:r>
          </w:p>
        </w:tc>
        <w:tc>
          <w:tcPr>
            <w:tcW w:w="1220" w:type="dxa"/>
            <w:vAlign w:val="bottom"/>
            <w:shd w:val="clear" w:color="auto" w:fill="F4F6F6"/>
          </w:tcPr>
          <w:p>
            <w:pPr>
              <w:jc w:val="center"/>
              <w:ind w:right="95"/>
              <w:spacing w:after="0"/>
              <w:rPr>
                <w:sz w:val="20"/>
                <w:szCs w:val="20"/>
                <w:color w:val="auto"/>
              </w:rPr>
            </w:pPr>
            <w:r>
              <w:rPr>
                <w:rFonts w:ascii="Arial" w:cs="Arial" w:eastAsia="Arial" w:hAnsi="Arial"/>
                <w:sz w:val="13"/>
                <w:szCs w:val="13"/>
                <w:color w:val="auto"/>
                <w:w w:val="97"/>
              </w:rPr>
              <w:t>$36,000</w:t>
            </w:r>
          </w:p>
        </w:tc>
        <w:tc>
          <w:tcPr>
            <w:tcW w:w="12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7"/>
              </w:rPr>
              <w:t>$36,000</w:t>
            </w:r>
          </w:p>
        </w:tc>
        <w:tc>
          <w:tcPr>
            <w:tcW w:w="1240" w:type="dxa"/>
            <w:vAlign w:val="bottom"/>
            <w:shd w:val="clear" w:color="auto" w:fill="F4F6F6"/>
          </w:tcPr>
          <w:p>
            <w:pPr>
              <w:jc w:val="center"/>
              <w:ind w:right="155"/>
              <w:spacing w:after="0"/>
              <w:rPr>
                <w:sz w:val="20"/>
                <w:szCs w:val="20"/>
                <w:color w:val="auto"/>
              </w:rPr>
            </w:pPr>
            <w:r>
              <w:rPr>
                <w:rFonts w:ascii="Arial" w:cs="Arial" w:eastAsia="Arial" w:hAnsi="Arial"/>
                <w:sz w:val="13"/>
                <w:szCs w:val="13"/>
                <w:color w:val="auto"/>
                <w:w w:val="94"/>
              </w:rPr>
              <w:t>($2,151)</w:t>
            </w:r>
          </w:p>
        </w:tc>
        <w:tc>
          <w:tcPr>
            <w:tcW w:w="12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shd w:val="clear" w:color="auto" w:fill="F4F6F6"/>
          </w:tcPr>
          <w:p>
            <w:pPr>
              <w:jc w:val="center"/>
              <w:ind w:right="95"/>
              <w:spacing w:after="0"/>
              <w:rPr>
                <w:sz w:val="20"/>
                <w:szCs w:val="20"/>
                <w:color w:val="auto"/>
              </w:rPr>
            </w:pPr>
            <w:r>
              <w:rPr>
                <w:rFonts w:ascii="Arial" w:cs="Arial" w:eastAsia="Arial" w:hAnsi="Arial"/>
                <w:sz w:val="13"/>
                <w:szCs w:val="13"/>
                <w:color w:val="auto"/>
                <w:w w:val="95"/>
              </w:rPr>
              <w:t>$278,829</w:t>
            </w:r>
          </w:p>
        </w:tc>
      </w:tr>
      <w:tr>
        <w:trPr>
          <w:trHeight w:val="270"/>
        </w:trPr>
        <w:tc>
          <w:tcPr>
            <w:tcW w:w="1100" w:type="dxa"/>
            <w:vAlign w:val="bottom"/>
            <w:shd w:val="clear" w:color="auto" w:fill="F4F6F6"/>
          </w:tcPr>
          <w:p>
            <w:pPr>
              <w:spacing w:after="0"/>
              <w:rPr>
                <w:sz w:val="23"/>
                <w:szCs w:val="23"/>
                <w:color w:val="auto"/>
              </w:rPr>
            </w:pPr>
          </w:p>
        </w:tc>
        <w:tc>
          <w:tcPr>
            <w:tcW w:w="1540" w:type="dxa"/>
            <w:vAlign w:val="bottom"/>
            <w:shd w:val="clear" w:color="auto" w:fill="F4F6F6"/>
          </w:tcPr>
          <w:p>
            <w:pPr>
              <w:jc w:val="right"/>
              <w:spacing w:after="0"/>
              <w:rPr>
                <w:sz w:val="20"/>
                <w:szCs w:val="20"/>
                <w:color w:val="auto"/>
              </w:rPr>
            </w:pPr>
            <w:r>
              <w:rPr>
                <w:rFonts w:ascii="Arial" w:cs="Arial" w:eastAsia="Arial" w:hAnsi="Arial"/>
                <w:sz w:val="13"/>
                <w:szCs w:val="13"/>
                <w:color w:val="auto"/>
              </w:rPr>
              <w:t>deferred compensation</w:t>
            </w:r>
          </w:p>
        </w:tc>
        <w:tc>
          <w:tcPr>
            <w:tcW w:w="1220" w:type="dxa"/>
            <w:vAlign w:val="bottom"/>
            <w:shd w:val="clear" w:color="auto" w:fill="F4F6F6"/>
          </w:tcPr>
          <w:p>
            <w:pPr>
              <w:jc w:val="center"/>
              <w:ind w:right="95"/>
              <w:spacing w:after="0"/>
              <w:rPr>
                <w:sz w:val="20"/>
                <w:szCs w:val="20"/>
                <w:color w:val="auto"/>
              </w:rPr>
            </w:pPr>
            <w:r>
              <w:rPr>
                <w:rFonts w:ascii="Arial" w:cs="Arial" w:eastAsia="Arial" w:hAnsi="Arial"/>
                <w:sz w:val="13"/>
                <w:szCs w:val="13"/>
                <w:color w:val="auto"/>
                <w:w w:val="96"/>
              </w:rPr>
              <w:t>$0</w:t>
            </w:r>
          </w:p>
        </w:tc>
        <w:tc>
          <w:tcPr>
            <w:tcW w:w="1240" w:type="dxa"/>
            <w:vAlign w:val="bottom"/>
            <w:shd w:val="clear" w:color="auto" w:fill="F4F6F6"/>
          </w:tcPr>
          <w:p>
            <w:pPr>
              <w:spacing w:after="0"/>
              <w:rPr>
                <w:sz w:val="23"/>
                <w:szCs w:val="23"/>
                <w:color w:val="auto"/>
              </w:rPr>
            </w:pPr>
          </w:p>
        </w:tc>
        <w:tc>
          <w:tcPr>
            <w:tcW w:w="1240" w:type="dxa"/>
            <w:vAlign w:val="bottom"/>
            <w:shd w:val="clear" w:color="auto" w:fill="F4F6F6"/>
          </w:tcPr>
          <w:p>
            <w:pPr>
              <w:jc w:val="center"/>
              <w:ind w:right="155"/>
              <w:spacing w:after="0"/>
              <w:rPr>
                <w:sz w:val="20"/>
                <w:szCs w:val="20"/>
                <w:color w:val="auto"/>
              </w:rPr>
            </w:pPr>
            <w:r>
              <w:rPr>
                <w:rFonts w:ascii="Arial" w:cs="Arial" w:eastAsia="Arial" w:hAnsi="Arial"/>
                <w:sz w:val="13"/>
                <w:szCs w:val="13"/>
                <w:color w:val="auto"/>
                <w:w w:val="96"/>
              </w:rPr>
              <w:t>$0</w:t>
            </w:r>
          </w:p>
        </w:tc>
        <w:tc>
          <w:tcPr>
            <w:tcW w:w="1260" w:type="dxa"/>
            <w:vAlign w:val="bottom"/>
            <w:shd w:val="clear" w:color="auto" w:fill="F4F6F6"/>
          </w:tcPr>
          <w:p>
            <w:pPr>
              <w:spacing w:after="0"/>
              <w:rPr>
                <w:sz w:val="23"/>
                <w:szCs w:val="23"/>
                <w:color w:val="auto"/>
              </w:rPr>
            </w:pPr>
          </w:p>
        </w:tc>
        <w:tc>
          <w:tcPr>
            <w:tcW w:w="1280" w:type="dxa"/>
            <w:vAlign w:val="bottom"/>
            <w:shd w:val="clear" w:color="auto" w:fill="F4F6F6"/>
          </w:tcPr>
          <w:p>
            <w:pPr>
              <w:jc w:val="center"/>
              <w:ind w:right="75"/>
              <w:spacing w:after="0"/>
              <w:rPr>
                <w:sz w:val="20"/>
                <w:szCs w:val="20"/>
                <w:color w:val="auto"/>
              </w:rPr>
            </w:pPr>
            <w:r>
              <w:rPr>
                <w:rFonts w:ascii="Arial" w:cs="Arial" w:eastAsia="Arial" w:hAnsi="Arial"/>
                <w:sz w:val="13"/>
                <w:szCs w:val="13"/>
                <w:color w:val="auto"/>
                <w:w w:val="96"/>
              </w:rPr>
              <w:t>$0</w:t>
            </w:r>
          </w:p>
        </w:tc>
      </w:tr>
      <w:tr>
        <w:trPr>
          <w:trHeight w:val="278"/>
        </w:trPr>
        <w:tc>
          <w:tcPr>
            <w:tcW w:w="1100" w:type="dxa"/>
            <w:vAlign w:val="bottom"/>
            <w:tcBorders>
              <w:bottom w:val="single" w:sz="8" w:color="C8C9CB"/>
            </w:tcBorders>
            <w:shd w:val="clear" w:color="auto" w:fill="F4F6F6"/>
          </w:tcPr>
          <w:p>
            <w:pPr>
              <w:spacing w:after="0"/>
              <w:rPr>
                <w:sz w:val="24"/>
                <w:szCs w:val="24"/>
                <w:color w:val="auto"/>
              </w:rPr>
            </w:pPr>
          </w:p>
        </w:tc>
        <w:tc>
          <w:tcPr>
            <w:tcW w:w="154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C8C9CB"/>
            </w:tcBorders>
            <w:shd w:val="clear" w:color="auto" w:fill="F4F6F6"/>
          </w:tcPr>
          <w:p>
            <w:pPr>
              <w:jc w:val="center"/>
              <w:ind w:right="95"/>
              <w:spacing w:after="0"/>
              <w:rPr>
                <w:sz w:val="20"/>
                <w:szCs w:val="20"/>
                <w:color w:val="auto"/>
              </w:rPr>
            </w:pPr>
            <w:r>
              <w:rPr>
                <w:rFonts w:ascii="Arial" w:cs="Arial" w:eastAsia="Arial" w:hAnsi="Arial"/>
                <w:sz w:val="13"/>
                <w:szCs w:val="13"/>
                <w:color w:val="auto"/>
                <w:w w:val="97"/>
              </w:rPr>
              <w:t>$36,000</w:t>
            </w:r>
          </w:p>
        </w:tc>
        <w:tc>
          <w:tcPr>
            <w:tcW w:w="124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97"/>
              </w:rPr>
              <w:t>$36,000</w:t>
            </w:r>
          </w:p>
        </w:tc>
        <w:tc>
          <w:tcPr>
            <w:tcW w:w="1240" w:type="dxa"/>
            <w:vAlign w:val="bottom"/>
            <w:tcBorders>
              <w:bottom w:val="single" w:sz="8" w:color="C8C9CB"/>
            </w:tcBorders>
            <w:shd w:val="clear" w:color="auto" w:fill="F4F6F6"/>
          </w:tcPr>
          <w:p>
            <w:pPr>
              <w:jc w:val="center"/>
              <w:ind w:right="155"/>
              <w:spacing w:after="0"/>
              <w:rPr>
                <w:sz w:val="20"/>
                <w:szCs w:val="20"/>
                <w:color w:val="auto"/>
              </w:rPr>
            </w:pPr>
            <w:r>
              <w:rPr>
                <w:rFonts w:ascii="Arial" w:cs="Arial" w:eastAsia="Arial" w:hAnsi="Arial"/>
                <w:sz w:val="13"/>
                <w:szCs w:val="13"/>
                <w:color w:val="auto"/>
                <w:w w:val="94"/>
              </w:rPr>
              <w:t>($2,151)</w:t>
            </w:r>
          </w:p>
        </w:tc>
        <w:tc>
          <w:tcPr>
            <w:tcW w:w="126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Borders>
              <w:bottom w:val="single" w:sz="8" w:color="C8C9CB"/>
            </w:tcBorders>
            <w:shd w:val="clear" w:color="auto" w:fill="F4F6F6"/>
          </w:tcPr>
          <w:p>
            <w:pPr>
              <w:jc w:val="center"/>
              <w:ind w:right="95"/>
              <w:spacing w:after="0"/>
              <w:rPr>
                <w:sz w:val="20"/>
                <w:szCs w:val="20"/>
                <w:color w:val="auto"/>
              </w:rPr>
            </w:pPr>
            <w:r>
              <w:rPr>
                <w:rFonts w:ascii="Arial" w:cs="Arial" w:eastAsia="Arial" w:hAnsi="Arial"/>
                <w:sz w:val="13"/>
                <w:szCs w:val="13"/>
                <w:color w:val="auto"/>
                <w:w w:val="95"/>
              </w:rPr>
              <w:t>$278,829</w:t>
            </w:r>
          </w:p>
        </w:tc>
      </w:tr>
      <w:tr>
        <w:trPr>
          <w:trHeight w:val="256"/>
        </w:trPr>
        <w:tc>
          <w:tcPr>
            <w:tcW w:w="1100" w:type="dxa"/>
            <w:vAlign w:val="bottom"/>
          </w:tcPr>
          <w:p>
            <w:pPr>
              <w:ind w:left="20"/>
              <w:spacing w:after="0"/>
              <w:rPr>
                <w:sz w:val="20"/>
                <w:szCs w:val="20"/>
                <w:color w:val="auto"/>
              </w:rPr>
            </w:pPr>
            <w:r>
              <w:rPr>
                <w:rFonts w:ascii="Arial" w:cs="Arial" w:eastAsia="Arial" w:hAnsi="Arial"/>
                <w:sz w:val="13"/>
                <w:szCs w:val="13"/>
                <w:color w:val="auto"/>
              </w:rPr>
              <w:t>Mr. Harrington</w:t>
            </w:r>
          </w:p>
        </w:tc>
        <w:tc>
          <w:tcPr>
            <w:tcW w:w="1540" w:type="dxa"/>
            <w:vAlign w:val="bottom"/>
          </w:tcPr>
          <w:p>
            <w:pPr>
              <w:jc w:val="right"/>
              <w:spacing w:after="0"/>
              <w:rPr>
                <w:sz w:val="20"/>
                <w:szCs w:val="20"/>
                <w:color w:val="auto"/>
              </w:rPr>
            </w:pPr>
            <w:r>
              <w:rPr>
                <w:rFonts w:ascii="Arial" w:cs="Arial" w:eastAsia="Arial" w:hAnsi="Arial"/>
                <w:sz w:val="13"/>
                <w:szCs w:val="13"/>
                <w:color w:val="auto"/>
              </w:rPr>
              <w:t>nonqualified savings</w:t>
            </w:r>
          </w:p>
        </w:tc>
        <w:tc>
          <w:tcPr>
            <w:tcW w:w="1220" w:type="dxa"/>
            <w:vAlign w:val="bottom"/>
          </w:tcPr>
          <w:p>
            <w:pPr>
              <w:jc w:val="center"/>
              <w:ind w:right="95"/>
              <w:spacing w:after="0"/>
              <w:rPr>
                <w:sz w:val="20"/>
                <w:szCs w:val="20"/>
                <w:color w:val="auto"/>
              </w:rPr>
            </w:pPr>
            <w:r>
              <w:rPr>
                <w:rFonts w:ascii="Arial" w:cs="Arial" w:eastAsia="Arial" w:hAnsi="Arial"/>
                <w:sz w:val="13"/>
                <w:szCs w:val="13"/>
                <w:color w:val="auto"/>
                <w:w w:val="97"/>
              </w:rPr>
              <w:t>$35,118</w:t>
            </w:r>
          </w:p>
        </w:tc>
        <w:tc>
          <w:tcPr>
            <w:tcW w:w="1240" w:type="dxa"/>
            <w:vAlign w:val="bottom"/>
          </w:tcPr>
          <w:p>
            <w:pPr>
              <w:jc w:val="center"/>
              <w:spacing w:after="0"/>
              <w:rPr>
                <w:sz w:val="20"/>
                <w:szCs w:val="20"/>
                <w:color w:val="auto"/>
              </w:rPr>
            </w:pPr>
            <w:r>
              <w:rPr>
                <w:rFonts w:ascii="Arial" w:cs="Arial" w:eastAsia="Arial" w:hAnsi="Arial"/>
                <w:sz w:val="13"/>
                <w:szCs w:val="13"/>
                <w:color w:val="auto"/>
                <w:w w:val="93"/>
              </w:rPr>
              <w:t>$35,118</w:t>
            </w:r>
          </w:p>
        </w:tc>
        <w:tc>
          <w:tcPr>
            <w:tcW w:w="1240" w:type="dxa"/>
            <w:vAlign w:val="bottom"/>
          </w:tcPr>
          <w:p>
            <w:pPr>
              <w:jc w:val="center"/>
              <w:ind w:right="155"/>
              <w:spacing w:after="0"/>
              <w:rPr>
                <w:sz w:val="20"/>
                <w:szCs w:val="20"/>
                <w:color w:val="auto"/>
              </w:rPr>
            </w:pPr>
            <w:r>
              <w:rPr>
                <w:rFonts w:ascii="Arial" w:cs="Arial" w:eastAsia="Arial" w:hAnsi="Arial"/>
                <w:sz w:val="13"/>
                <w:szCs w:val="13"/>
                <w:color w:val="auto"/>
                <w:w w:val="96"/>
              </w:rPr>
              <w:t>($24,042)</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Pr>
          <w:p>
            <w:pPr>
              <w:jc w:val="center"/>
              <w:ind w:right="95"/>
              <w:spacing w:after="0"/>
              <w:rPr>
                <w:sz w:val="20"/>
                <w:szCs w:val="20"/>
                <w:color w:val="auto"/>
              </w:rPr>
            </w:pPr>
            <w:r>
              <w:rPr>
                <w:rFonts w:ascii="Arial" w:cs="Arial" w:eastAsia="Arial" w:hAnsi="Arial"/>
                <w:sz w:val="13"/>
                <w:szCs w:val="13"/>
                <w:color w:val="auto"/>
                <w:w w:val="95"/>
              </w:rPr>
              <w:t>$565,716</w:t>
            </w:r>
          </w:p>
        </w:tc>
      </w:tr>
      <w:tr>
        <w:trPr>
          <w:trHeight w:val="270"/>
        </w:trPr>
        <w:tc>
          <w:tcPr>
            <w:tcW w:w="1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deferred compensation</w:t>
            </w:r>
          </w:p>
        </w:tc>
        <w:tc>
          <w:tcPr>
            <w:tcW w:w="1220" w:type="dxa"/>
            <w:vAlign w:val="bottom"/>
          </w:tcPr>
          <w:p>
            <w:pPr>
              <w:jc w:val="center"/>
              <w:ind w:right="95"/>
              <w:spacing w:after="0"/>
              <w:rPr>
                <w:sz w:val="20"/>
                <w:szCs w:val="20"/>
                <w:color w:val="auto"/>
              </w:rPr>
            </w:pPr>
            <w:r>
              <w:rPr>
                <w:rFonts w:ascii="Arial" w:cs="Arial" w:eastAsia="Arial" w:hAnsi="Arial"/>
                <w:sz w:val="13"/>
                <w:szCs w:val="13"/>
                <w:color w:val="auto"/>
                <w:w w:val="97"/>
              </w:rPr>
              <w:t>$25,000</w:t>
            </w:r>
          </w:p>
        </w:tc>
        <w:tc>
          <w:tcPr>
            <w:tcW w:w="1240" w:type="dxa"/>
            <w:vAlign w:val="bottom"/>
          </w:tcPr>
          <w:p>
            <w:pPr>
              <w:spacing w:after="0"/>
              <w:rPr>
                <w:sz w:val="23"/>
                <w:szCs w:val="23"/>
                <w:color w:val="auto"/>
              </w:rPr>
            </w:pPr>
          </w:p>
        </w:tc>
        <w:tc>
          <w:tcPr>
            <w:tcW w:w="1240" w:type="dxa"/>
            <w:vAlign w:val="bottom"/>
          </w:tcPr>
          <w:p>
            <w:pPr>
              <w:jc w:val="center"/>
              <w:ind w:right="155"/>
              <w:spacing w:after="0"/>
              <w:rPr>
                <w:sz w:val="20"/>
                <w:szCs w:val="20"/>
                <w:color w:val="auto"/>
              </w:rPr>
            </w:pPr>
            <w:r>
              <w:rPr>
                <w:rFonts w:ascii="Arial" w:cs="Arial" w:eastAsia="Arial" w:hAnsi="Arial"/>
                <w:sz w:val="13"/>
                <w:szCs w:val="13"/>
                <w:color w:val="auto"/>
                <w:w w:val="95"/>
              </w:rPr>
              <w:t>$6,274</w:t>
            </w:r>
          </w:p>
        </w:tc>
        <w:tc>
          <w:tcPr>
            <w:tcW w:w="1260" w:type="dxa"/>
            <w:vAlign w:val="bottom"/>
          </w:tcPr>
          <w:p>
            <w:pPr>
              <w:spacing w:after="0"/>
              <w:rPr>
                <w:sz w:val="23"/>
                <w:szCs w:val="23"/>
                <w:color w:val="auto"/>
              </w:rPr>
            </w:pPr>
          </w:p>
        </w:tc>
        <w:tc>
          <w:tcPr>
            <w:tcW w:w="1280" w:type="dxa"/>
            <w:vAlign w:val="bottom"/>
          </w:tcPr>
          <w:p>
            <w:pPr>
              <w:jc w:val="center"/>
              <w:ind w:right="95"/>
              <w:spacing w:after="0"/>
              <w:rPr>
                <w:sz w:val="20"/>
                <w:szCs w:val="20"/>
                <w:color w:val="auto"/>
              </w:rPr>
            </w:pPr>
            <w:r>
              <w:rPr>
                <w:rFonts w:ascii="Arial" w:cs="Arial" w:eastAsia="Arial" w:hAnsi="Arial"/>
                <w:sz w:val="13"/>
                <w:szCs w:val="13"/>
                <w:color w:val="auto"/>
                <w:w w:val="95"/>
              </w:rPr>
              <w:t>$211,951</w:t>
            </w:r>
          </w:p>
        </w:tc>
      </w:tr>
      <w:tr>
        <w:trPr>
          <w:trHeight w:val="278"/>
        </w:trPr>
        <w:tc>
          <w:tcPr>
            <w:tcW w:w="1100" w:type="dxa"/>
            <w:vAlign w:val="bottom"/>
            <w:tcBorders>
              <w:bottom w:val="single" w:sz="8" w:color="C8C9CB"/>
            </w:tcBorders>
          </w:tcPr>
          <w:p>
            <w:pPr>
              <w:spacing w:after="0"/>
              <w:rPr>
                <w:sz w:val="24"/>
                <w:szCs w:val="24"/>
                <w:color w:val="auto"/>
              </w:rPr>
            </w:pPr>
          </w:p>
        </w:tc>
        <w:tc>
          <w:tcPr>
            <w:tcW w:w="1540" w:type="dxa"/>
            <w:vAlign w:val="bottom"/>
            <w:tcBorders>
              <w:bottom w:val="single" w:sz="8" w:color="C8C9CB"/>
            </w:tcBorders>
          </w:tcPr>
          <w:p>
            <w:pPr>
              <w:jc w:val="right"/>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C8C9CB"/>
            </w:tcBorders>
          </w:tcPr>
          <w:p>
            <w:pPr>
              <w:jc w:val="center"/>
              <w:ind w:right="95"/>
              <w:spacing w:after="0"/>
              <w:rPr>
                <w:sz w:val="20"/>
                <w:szCs w:val="20"/>
                <w:color w:val="auto"/>
              </w:rPr>
            </w:pPr>
            <w:r>
              <w:rPr>
                <w:rFonts w:ascii="Arial" w:cs="Arial" w:eastAsia="Arial" w:hAnsi="Arial"/>
                <w:sz w:val="13"/>
                <w:szCs w:val="13"/>
                <w:color w:val="auto"/>
                <w:w w:val="97"/>
              </w:rPr>
              <w:t>$60,118</w:t>
            </w:r>
          </w:p>
        </w:tc>
        <w:tc>
          <w:tcPr>
            <w:tcW w:w="124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93"/>
              </w:rPr>
              <w:t>$35,118</w:t>
            </w:r>
          </w:p>
        </w:tc>
        <w:tc>
          <w:tcPr>
            <w:tcW w:w="1240" w:type="dxa"/>
            <w:vAlign w:val="bottom"/>
            <w:tcBorders>
              <w:bottom w:val="single" w:sz="8" w:color="C8C9CB"/>
            </w:tcBorders>
          </w:tcPr>
          <w:p>
            <w:pPr>
              <w:jc w:val="center"/>
              <w:ind w:right="155"/>
              <w:spacing w:after="0"/>
              <w:rPr>
                <w:sz w:val="20"/>
                <w:szCs w:val="20"/>
                <w:color w:val="auto"/>
              </w:rPr>
            </w:pPr>
            <w:r>
              <w:rPr>
                <w:rFonts w:ascii="Arial" w:cs="Arial" w:eastAsia="Arial" w:hAnsi="Arial"/>
                <w:sz w:val="13"/>
                <w:szCs w:val="13"/>
                <w:color w:val="auto"/>
                <w:w w:val="96"/>
              </w:rPr>
              <w:t>($17,768)</w:t>
            </w:r>
          </w:p>
        </w:tc>
        <w:tc>
          <w:tcPr>
            <w:tcW w:w="1260" w:type="dxa"/>
            <w:vAlign w:val="bottom"/>
            <w:tcBorders>
              <w:bottom w:val="single" w:sz="8" w:color="C8C9CB"/>
            </w:tcBorders>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Borders>
              <w:bottom w:val="single" w:sz="8" w:color="C8C9CB"/>
            </w:tcBorders>
          </w:tcPr>
          <w:p>
            <w:pPr>
              <w:jc w:val="center"/>
              <w:ind w:right="95"/>
              <w:spacing w:after="0"/>
              <w:rPr>
                <w:sz w:val="20"/>
                <w:szCs w:val="20"/>
                <w:color w:val="auto"/>
              </w:rPr>
            </w:pPr>
            <w:r>
              <w:rPr>
                <w:rFonts w:ascii="Arial" w:cs="Arial" w:eastAsia="Arial" w:hAnsi="Arial"/>
                <w:sz w:val="13"/>
                <w:szCs w:val="13"/>
                <w:color w:val="auto"/>
                <w:w w:val="95"/>
              </w:rPr>
              <w:t>$777,667</w:t>
            </w:r>
          </w:p>
        </w:tc>
      </w:tr>
      <w:tr>
        <w:trPr>
          <w:trHeight w:val="256"/>
        </w:trPr>
        <w:tc>
          <w:tcPr>
            <w:tcW w:w="1100" w:type="dxa"/>
            <w:vAlign w:val="bottom"/>
            <w:shd w:val="clear" w:color="auto" w:fill="F4F6F6"/>
          </w:tcPr>
          <w:p>
            <w:pPr>
              <w:ind w:left="20"/>
              <w:spacing w:after="0"/>
              <w:rPr>
                <w:sz w:val="20"/>
                <w:szCs w:val="20"/>
                <w:color w:val="auto"/>
              </w:rPr>
            </w:pPr>
            <w:r>
              <w:rPr>
                <w:rFonts w:ascii="Arial" w:cs="Arial" w:eastAsia="Arial" w:hAnsi="Arial"/>
                <w:sz w:val="13"/>
                <w:szCs w:val="13"/>
                <w:color w:val="auto"/>
              </w:rPr>
              <w:t>Mr. Conterno</w:t>
            </w:r>
          </w:p>
        </w:tc>
        <w:tc>
          <w:tcPr>
            <w:tcW w:w="1540" w:type="dxa"/>
            <w:vAlign w:val="bottom"/>
            <w:shd w:val="clear" w:color="auto" w:fill="F4F6F6"/>
          </w:tcPr>
          <w:p>
            <w:pPr>
              <w:jc w:val="right"/>
              <w:spacing w:after="0"/>
              <w:rPr>
                <w:sz w:val="20"/>
                <w:szCs w:val="20"/>
                <w:color w:val="auto"/>
              </w:rPr>
            </w:pPr>
            <w:r>
              <w:rPr>
                <w:rFonts w:ascii="Arial" w:cs="Arial" w:eastAsia="Arial" w:hAnsi="Arial"/>
                <w:sz w:val="13"/>
                <w:szCs w:val="13"/>
                <w:color w:val="auto"/>
              </w:rPr>
              <w:t>nonqualified savings</w:t>
            </w:r>
          </w:p>
        </w:tc>
        <w:tc>
          <w:tcPr>
            <w:tcW w:w="1220" w:type="dxa"/>
            <w:vAlign w:val="bottom"/>
            <w:shd w:val="clear" w:color="auto" w:fill="F4F6F6"/>
          </w:tcPr>
          <w:p>
            <w:pPr>
              <w:jc w:val="center"/>
              <w:ind w:right="95"/>
              <w:spacing w:after="0"/>
              <w:rPr>
                <w:sz w:val="20"/>
                <w:szCs w:val="20"/>
                <w:color w:val="auto"/>
              </w:rPr>
            </w:pPr>
            <w:r>
              <w:rPr>
                <w:rFonts w:ascii="Arial" w:cs="Arial" w:eastAsia="Arial" w:hAnsi="Arial"/>
                <w:sz w:val="13"/>
                <w:szCs w:val="13"/>
                <w:color w:val="auto"/>
                <w:w w:val="97"/>
              </w:rPr>
              <w:t>$31,181</w:t>
            </w:r>
          </w:p>
        </w:tc>
        <w:tc>
          <w:tcPr>
            <w:tcW w:w="12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7"/>
              </w:rPr>
              <w:t>$31,181</w:t>
            </w:r>
          </w:p>
        </w:tc>
        <w:tc>
          <w:tcPr>
            <w:tcW w:w="1240" w:type="dxa"/>
            <w:vAlign w:val="bottom"/>
            <w:shd w:val="clear" w:color="auto" w:fill="F4F6F6"/>
          </w:tcPr>
          <w:p>
            <w:pPr>
              <w:jc w:val="center"/>
              <w:ind w:right="155"/>
              <w:spacing w:after="0"/>
              <w:rPr>
                <w:sz w:val="20"/>
                <w:szCs w:val="20"/>
                <w:color w:val="auto"/>
              </w:rPr>
            </w:pPr>
            <w:r>
              <w:rPr>
                <w:rFonts w:ascii="Arial" w:cs="Arial" w:eastAsia="Arial" w:hAnsi="Arial"/>
                <w:sz w:val="13"/>
                <w:szCs w:val="13"/>
                <w:color w:val="auto"/>
                <w:w w:val="97"/>
              </w:rPr>
              <w:t>$53,012</w:t>
            </w:r>
          </w:p>
        </w:tc>
        <w:tc>
          <w:tcPr>
            <w:tcW w:w="12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shd w:val="clear" w:color="auto" w:fill="F4F6F6"/>
          </w:tcPr>
          <w:p>
            <w:pPr>
              <w:jc w:val="center"/>
              <w:ind w:right="95"/>
              <w:spacing w:after="0"/>
              <w:rPr>
                <w:sz w:val="20"/>
                <w:szCs w:val="20"/>
                <w:color w:val="auto"/>
              </w:rPr>
            </w:pPr>
            <w:r>
              <w:rPr>
                <w:rFonts w:ascii="Arial" w:cs="Arial" w:eastAsia="Arial" w:hAnsi="Arial"/>
                <w:sz w:val="13"/>
                <w:szCs w:val="13"/>
                <w:color w:val="auto"/>
                <w:w w:val="98"/>
              </w:rPr>
              <w:t>$1,018,044</w:t>
            </w:r>
          </w:p>
        </w:tc>
      </w:tr>
      <w:tr>
        <w:trPr>
          <w:trHeight w:val="270"/>
        </w:trPr>
        <w:tc>
          <w:tcPr>
            <w:tcW w:w="1100" w:type="dxa"/>
            <w:vAlign w:val="bottom"/>
            <w:shd w:val="clear" w:color="auto" w:fill="F4F6F6"/>
          </w:tcPr>
          <w:p>
            <w:pPr>
              <w:spacing w:after="0"/>
              <w:rPr>
                <w:sz w:val="23"/>
                <w:szCs w:val="23"/>
                <w:color w:val="auto"/>
              </w:rPr>
            </w:pPr>
          </w:p>
        </w:tc>
        <w:tc>
          <w:tcPr>
            <w:tcW w:w="1540" w:type="dxa"/>
            <w:vAlign w:val="bottom"/>
            <w:shd w:val="clear" w:color="auto" w:fill="F4F6F6"/>
          </w:tcPr>
          <w:p>
            <w:pPr>
              <w:jc w:val="right"/>
              <w:spacing w:after="0"/>
              <w:rPr>
                <w:sz w:val="20"/>
                <w:szCs w:val="20"/>
                <w:color w:val="auto"/>
              </w:rPr>
            </w:pPr>
            <w:r>
              <w:rPr>
                <w:rFonts w:ascii="Arial" w:cs="Arial" w:eastAsia="Arial" w:hAnsi="Arial"/>
                <w:sz w:val="13"/>
                <w:szCs w:val="13"/>
                <w:color w:val="auto"/>
              </w:rPr>
              <w:t>deferred compensation</w:t>
            </w:r>
          </w:p>
        </w:tc>
        <w:tc>
          <w:tcPr>
            <w:tcW w:w="1220" w:type="dxa"/>
            <w:vAlign w:val="bottom"/>
            <w:shd w:val="clear" w:color="auto" w:fill="F4F6F6"/>
          </w:tcPr>
          <w:p>
            <w:pPr>
              <w:jc w:val="center"/>
              <w:ind w:right="95"/>
              <w:spacing w:after="0"/>
              <w:rPr>
                <w:sz w:val="20"/>
                <w:szCs w:val="20"/>
                <w:color w:val="auto"/>
              </w:rPr>
            </w:pPr>
            <w:r>
              <w:rPr>
                <w:rFonts w:ascii="Arial" w:cs="Arial" w:eastAsia="Arial" w:hAnsi="Arial"/>
                <w:sz w:val="13"/>
                <w:szCs w:val="13"/>
                <w:color w:val="auto"/>
                <w:w w:val="99"/>
              </w:rPr>
              <w:t>$100,000</w:t>
            </w:r>
          </w:p>
        </w:tc>
        <w:tc>
          <w:tcPr>
            <w:tcW w:w="1240" w:type="dxa"/>
            <w:vAlign w:val="bottom"/>
            <w:shd w:val="clear" w:color="auto" w:fill="F4F6F6"/>
          </w:tcPr>
          <w:p>
            <w:pPr>
              <w:spacing w:after="0"/>
              <w:rPr>
                <w:sz w:val="23"/>
                <w:szCs w:val="23"/>
                <w:color w:val="auto"/>
              </w:rPr>
            </w:pPr>
          </w:p>
        </w:tc>
        <w:tc>
          <w:tcPr>
            <w:tcW w:w="1240" w:type="dxa"/>
            <w:vAlign w:val="bottom"/>
            <w:shd w:val="clear" w:color="auto" w:fill="F4F6F6"/>
          </w:tcPr>
          <w:p>
            <w:pPr>
              <w:jc w:val="center"/>
              <w:ind w:right="155"/>
              <w:spacing w:after="0"/>
              <w:rPr>
                <w:sz w:val="20"/>
                <w:szCs w:val="20"/>
                <w:color w:val="auto"/>
              </w:rPr>
            </w:pPr>
            <w:r>
              <w:rPr>
                <w:rFonts w:ascii="Arial" w:cs="Arial" w:eastAsia="Arial" w:hAnsi="Arial"/>
                <w:sz w:val="13"/>
                <w:szCs w:val="13"/>
                <w:color w:val="auto"/>
                <w:w w:val="97"/>
              </w:rPr>
              <w:t>$42,826</w:t>
            </w:r>
          </w:p>
        </w:tc>
        <w:tc>
          <w:tcPr>
            <w:tcW w:w="1260" w:type="dxa"/>
            <w:vAlign w:val="bottom"/>
            <w:shd w:val="clear" w:color="auto" w:fill="F4F6F6"/>
          </w:tcPr>
          <w:p>
            <w:pPr>
              <w:spacing w:after="0"/>
              <w:rPr>
                <w:sz w:val="23"/>
                <w:szCs w:val="23"/>
                <w:color w:val="auto"/>
              </w:rPr>
            </w:pPr>
          </w:p>
        </w:tc>
        <w:tc>
          <w:tcPr>
            <w:tcW w:w="1280" w:type="dxa"/>
            <w:vAlign w:val="bottom"/>
            <w:shd w:val="clear" w:color="auto" w:fill="F4F6F6"/>
          </w:tcPr>
          <w:p>
            <w:pPr>
              <w:jc w:val="center"/>
              <w:ind w:right="95"/>
              <w:spacing w:after="0"/>
              <w:rPr>
                <w:sz w:val="20"/>
                <w:szCs w:val="20"/>
                <w:color w:val="auto"/>
              </w:rPr>
            </w:pPr>
            <w:r>
              <w:rPr>
                <w:rFonts w:ascii="Arial" w:cs="Arial" w:eastAsia="Arial" w:hAnsi="Arial"/>
                <w:sz w:val="13"/>
                <w:szCs w:val="13"/>
                <w:color w:val="auto"/>
                <w:w w:val="98"/>
              </w:rPr>
              <w:t>$1,433,769</w:t>
            </w:r>
          </w:p>
        </w:tc>
      </w:tr>
      <w:tr>
        <w:trPr>
          <w:trHeight w:val="278"/>
        </w:trPr>
        <w:tc>
          <w:tcPr>
            <w:tcW w:w="1100" w:type="dxa"/>
            <w:vAlign w:val="bottom"/>
            <w:tcBorders>
              <w:bottom w:val="single" w:sz="8" w:color="C8C9CB"/>
            </w:tcBorders>
            <w:shd w:val="clear" w:color="auto" w:fill="F4F6F6"/>
          </w:tcPr>
          <w:p>
            <w:pPr>
              <w:spacing w:after="0"/>
              <w:rPr>
                <w:sz w:val="24"/>
                <w:szCs w:val="24"/>
                <w:color w:val="auto"/>
              </w:rPr>
            </w:pPr>
          </w:p>
        </w:tc>
        <w:tc>
          <w:tcPr>
            <w:tcW w:w="154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C8C9CB"/>
            </w:tcBorders>
            <w:shd w:val="clear" w:color="auto" w:fill="F4F6F6"/>
          </w:tcPr>
          <w:p>
            <w:pPr>
              <w:jc w:val="center"/>
              <w:ind w:right="95"/>
              <w:spacing w:after="0"/>
              <w:rPr>
                <w:sz w:val="20"/>
                <w:szCs w:val="20"/>
                <w:color w:val="auto"/>
              </w:rPr>
            </w:pPr>
            <w:r>
              <w:rPr>
                <w:rFonts w:ascii="Arial" w:cs="Arial" w:eastAsia="Arial" w:hAnsi="Arial"/>
                <w:sz w:val="13"/>
                <w:szCs w:val="13"/>
                <w:color w:val="auto"/>
                <w:w w:val="99"/>
              </w:rPr>
              <w:t>$131,181</w:t>
            </w:r>
          </w:p>
        </w:tc>
        <w:tc>
          <w:tcPr>
            <w:tcW w:w="124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97"/>
              </w:rPr>
              <w:t>$31,181</w:t>
            </w:r>
          </w:p>
        </w:tc>
        <w:tc>
          <w:tcPr>
            <w:tcW w:w="1240" w:type="dxa"/>
            <w:vAlign w:val="bottom"/>
            <w:tcBorders>
              <w:bottom w:val="single" w:sz="8" w:color="C8C9CB"/>
            </w:tcBorders>
            <w:shd w:val="clear" w:color="auto" w:fill="F4F6F6"/>
          </w:tcPr>
          <w:p>
            <w:pPr>
              <w:jc w:val="center"/>
              <w:ind w:right="155"/>
              <w:spacing w:after="0"/>
              <w:rPr>
                <w:sz w:val="20"/>
                <w:szCs w:val="20"/>
                <w:color w:val="auto"/>
              </w:rPr>
            </w:pPr>
            <w:r>
              <w:rPr>
                <w:rFonts w:ascii="Arial" w:cs="Arial" w:eastAsia="Arial" w:hAnsi="Arial"/>
                <w:sz w:val="13"/>
                <w:szCs w:val="13"/>
                <w:color w:val="auto"/>
                <w:w w:val="97"/>
              </w:rPr>
              <w:t>$95,838</w:t>
            </w:r>
          </w:p>
        </w:tc>
        <w:tc>
          <w:tcPr>
            <w:tcW w:w="126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Borders>
              <w:bottom w:val="single" w:sz="8" w:color="C8C9CB"/>
            </w:tcBorders>
            <w:shd w:val="clear" w:color="auto" w:fill="F4F6F6"/>
          </w:tcPr>
          <w:p>
            <w:pPr>
              <w:jc w:val="center"/>
              <w:ind w:right="95"/>
              <w:spacing w:after="0"/>
              <w:rPr>
                <w:sz w:val="20"/>
                <w:szCs w:val="20"/>
                <w:color w:val="auto"/>
              </w:rPr>
            </w:pPr>
            <w:r>
              <w:rPr>
                <w:rFonts w:ascii="Arial" w:cs="Arial" w:eastAsia="Arial" w:hAnsi="Arial"/>
                <w:sz w:val="13"/>
                <w:szCs w:val="13"/>
                <w:color w:val="auto"/>
                <w:w w:val="98"/>
              </w:rPr>
              <w:t>$2,451,813</w:t>
            </w:r>
          </w:p>
        </w:tc>
      </w:tr>
      <w:tr>
        <w:trPr>
          <w:trHeight w:val="256"/>
        </w:trPr>
        <w:tc>
          <w:tcPr>
            <w:tcW w:w="1100" w:type="dxa"/>
            <w:vAlign w:val="bottom"/>
          </w:tcPr>
          <w:p>
            <w:pPr>
              <w:ind w:left="20"/>
              <w:spacing w:after="0"/>
              <w:rPr>
                <w:sz w:val="20"/>
                <w:szCs w:val="20"/>
                <w:color w:val="auto"/>
              </w:rPr>
            </w:pPr>
            <w:r>
              <w:rPr>
                <w:rFonts w:ascii="Arial" w:cs="Arial" w:eastAsia="Arial" w:hAnsi="Arial"/>
                <w:sz w:val="13"/>
                <w:szCs w:val="13"/>
                <w:color w:val="auto"/>
              </w:rPr>
              <w:t>Dr. Skovronsky</w:t>
            </w:r>
          </w:p>
        </w:tc>
        <w:tc>
          <w:tcPr>
            <w:tcW w:w="1540" w:type="dxa"/>
            <w:vAlign w:val="bottom"/>
          </w:tcPr>
          <w:p>
            <w:pPr>
              <w:jc w:val="right"/>
              <w:spacing w:after="0"/>
              <w:rPr>
                <w:sz w:val="20"/>
                <w:szCs w:val="20"/>
                <w:color w:val="auto"/>
              </w:rPr>
            </w:pPr>
            <w:r>
              <w:rPr>
                <w:rFonts w:ascii="Arial" w:cs="Arial" w:eastAsia="Arial" w:hAnsi="Arial"/>
                <w:sz w:val="13"/>
                <w:szCs w:val="13"/>
                <w:color w:val="auto"/>
              </w:rPr>
              <w:t>nonqualified savings</w:t>
            </w:r>
          </w:p>
        </w:tc>
        <w:tc>
          <w:tcPr>
            <w:tcW w:w="1220" w:type="dxa"/>
            <w:vAlign w:val="bottom"/>
          </w:tcPr>
          <w:p>
            <w:pPr>
              <w:jc w:val="center"/>
              <w:ind w:right="95"/>
              <w:spacing w:after="0"/>
              <w:rPr>
                <w:sz w:val="20"/>
                <w:szCs w:val="20"/>
                <w:color w:val="auto"/>
              </w:rPr>
            </w:pPr>
            <w:r>
              <w:rPr>
                <w:rFonts w:ascii="Arial" w:cs="Arial" w:eastAsia="Arial" w:hAnsi="Arial"/>
                <w:sz w:val="13"/>
                <w:szCs w:val="13"/>
                <w:color w:val="auto"/>
                <w:w w:val="97"/>
              </w:rPr>
              <w:t>$33,750</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$33,750</w:t>
            </w:r>
          </w:p>
        </w:tc>
        <w:tc>
          <w:tcPr>
            <w:tcW w:w="1240" w:type="dxa"/>
            <w:vAlign w:val="bottom"/>
          </w:tcPr>
          <w:p>
            <w:pPr>
              <w:jc w:val="center"/>
              <w:ind w:right="155"/>
              <w:spacing w:after="0"/>
              <w:rPr>
                <w:sz w:val="20"/>
                <w:szCs w:val="20"/>
                <w:color w:val="auto"/>
              </w:rPr>
            </w:pPr>
            <w:r>
              <w:rPr>
                <w:rFonts w:ascii="Arial" w:cs="Arial" w:eastAsia="Arial" w:hAnsi="Arial"/>
                <w:sz w:val="13"/>
                <w:szCs w:val="13"/>
                <w:color w:val="auto"/>
                <w:w w:val="96"/>
              </w:rPr>
              <w:t>($19,029)</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Pr>
          <w:p>
            <w:pPr>
              <w:jc w:val="center"/>
              <w:ind w:right="95"/>
              <w:spacing w:after="0"/>
              <w:rPr>
                <w:sz w:val="20"/>
                <w:szCs w:val="20"/>
                <w:color w:val="auto"/>
              </w:rPr>
            </w:pPr>
            <w:r>
              <w:rPr>
                <w:rFonts w:ascii="Arial" w:cs="Arial" w:eastAsia="Arial" w:hAnsi="Arial"/>
                <w:sz w:val="13"/>
                <w:szCs w:val="13"/>
                <w:color w:val="auto"/>
                <w:w w:val="95"/>
              </w:rPr>
              <w:t>$294,714</w:t>
            </w:r>
          </w:p>
        </w:tc>
      </w:tr>
      <w:tr>
        <w:trPr>
          <w:trHeight w:val="270"/>
        </w:trPr>
        <w:tc>
          <w:tcPr>
            <w:tcW w:w="1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deferred compensation</w:t>
            </w:r>
          </w:p>
        </w:tc>
        <w:tc>
          <w:tcPr>
            <w:tcW w:w="1220" w:type="dxa"/>
            <w:vAlign w:val="bottom"/>
          </w:tcPr>
          <w:p>
            <w:pPr>
              <w:jc w:val="center"/>
              <w:ind w:right="95"/>
              <w:spacing w:after="0"/>
              <w:rPr>
                <w:sz w:val="20"/>
                <w:szCs w:val="20"/>
                <w:color w:val="auto"/>
              </w:rPr>
            </w:pPr>
            <w:r>
              <w:rPr>
                <w:rFonts w:ascii="Arial" w:cs="Arial" w:eastAsia="Arial" w:hAnsi="Arial"/>
                <w:sz w:val="13"/>
                <w:szCs w:val="13"/>
                <w:color w:val="auto"/>
                <w:w w:val="96"/>
              </w:rPr>
              <w:t>$0</w:t>
            </w:r>
          </w:p>
        </w:tc>
        <w:tc>
          <w:tcPr>
            <w:tcW w:w="1240" w:type="dxa"/>
            <w:vAlign w:val="bottom"/>
          </w:tcPr>
          <w:p>
            <w:pPr>
              <w:spacing w:after="0"/>
              <w:rPr>
                <w:sz w:val="23"/>
                <w:szCs w:val="23"/>
                <w:color w:val="auto"/>
              </w:rPr>
            </w:pPr>
          </w:p>
        </w:tc>
        <w:tc>
          <w:tcPr>
            <w:tcW w:w="1240" w:type="dxa"/>
            <w:vAlign w:val="bottom"/>
          </w:tcPr>
          <w:p>
            <w:pPr>
              <w:jc w:val="center"/>
              <w:ind w:right="155"/>
              <w:spacing w:after="0"/>
              <w:rPr>
                <w:sz w:val="20"/>
                <w:szCs w:val="20"/>
                <w:color w:val="auto"/>
              </w:rPr>
            </w:pPr>
            <w:r>
              <w:rPr>
                <w:rFonts w:ascii="Arial" w:cs="Arial" w:eastAsia="Arial" w:hAnsi="Arial"/>
                <w:sz w:val="13"/>
                <w:szCs w:val="13"/>
                <w:color w:val="auto"/>
                <w:w w:val="96"/>
              </w:rPr>
              <w:t>$0</w:t>
            </w:r>
          </w:p>
        </w:tc>
        <w:tc>
          <w:tcPr>
            <w:tcW w:w="1260" w:type="dxa"/>
            <w:vAlign w:val="bottom"/>
          </w:tcPr>
          <w:p>
            <w:pPr>
              <w:spacing w:after="0"/>
              <w:rPr>
                <w:sz w:val="23"/>
                <w:szCs w:val="23"/>
                <w:color w:val="auto"/>
              </w:rPr>
            </w:pPr>
          </w:p>
        </w:tc>
        <w:tc>
          <w:tcPr>
            <w:tcW w:w="1280" w:type="dxa"/>
            <w:vAlign w:val="bottom"/>
          </w:tcPr>
          <w:p>
            <w:pPr>
              <w:jc w:val="center"/>
              <w:ind w:right="75"/>
              <w:spacing w:after="0"/>
              <w:rPr>
                <w:sz w:val="20"/>
                <w:szCs w:val="20"/>
                <w:color w:val="auto"/>
              </w:rPr>
            </w:pPr>
            <w:r>
              <w:rPr>
                <w:rFonts w:ascii="Arial" w:cs="Arial" w:eastAsia="Arial" w:hAnsi="Arial"/>
                <w:sz w:val="13"/>
                <w:szCs w:val="13"/>
                <w:color w:val="auto"/>
                <w:w w:val="96"/>
              </w:rPr>
              <w:t>$0</w:t>
            </w:r>
          </w:p>
        </w:tc>
      </w:tr>
      <w:tr>
        <w:trPr>
          <w:trHeight w:val="278"/>
        </w:trPr>
        <w:tc>
          <w:tcPr>
            <w:tcW w:w="1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color w:val="auto"/>
                <w:w w:val="97"/>
              </w:rPr>
              <w:t>$33,750</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$33,750</w:t>
            </w: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3"/>
                <w:szCs w:val="13"/>
                <w:color w:val="auto"/>
                <w:w w:val="96"/>
              </w:rPr>
              <w:t>($19,029)</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color w:val="auto"/>
                <w:w w:val="95"/>
              </w:rPr>
              <w:t>$294,714</w:t>
            </w:r>
          </w:p>
        </w:tc>
      </w:tr>
      <w:tr>
        <w:trPr>
          <w:trHeight w:val="256"/>
        </w:trPr>
        <w:tc>
          <w:tcPr>
            <w:tcW w:w="1100" w:type="dxa"/>
            <w:vAlign w:val="bottom"/>
            <w:shd w:val="clear" w:color="auto" w:fill="F4F6F6"/>
          </w:tcPr>
          <w:p>
            <w:pPr>
              <w:ind w:left="20"/>
              <w:spacing w:after="0"/>
              <w:rPr>
                <w:sz w:val="20"/>
                <w:szCs w:val="20"/>
                <w:color w:val="auto"/>
              </w:rPr>
            </w:pPr>
            <w:r>
              <w:rPr>
                <w:rFonts w:ascii="Arial" w:cs="Arial" w:eastAsia="Arial" w:hAnsi="Arial"/>
                <w:sz w:val="13"/>
                <w:szCs w:val="13"/>
                <w:color w:val="auto"/>
              </w:rPr>
              <w:t>Mr. Simmons</w:t>
            </w:r>
          </w:p>
        </w:tc>
        <w:tc>
          <w:tcPr>
            <w:tcW w:w="1540" w:type="dxa"/>
            <w:vAlign w:val="bottom"/>
            <w:shd w:val="clear" w:color="auto" w:fill="F4F6F6"/>
          </w:tcPr>
          <w:p>
            <w:pPr>
              <w:jc w:val="right"/>
              <w:spacing w:after="0"/>
              <w:rPr>
                <w:sz w:val="20"/>
                <w:szCs w:val="20"/>
                <w:color w:val="auto"/>
              </w:rPr>
            </w:pPr>
            <w:r>
              <w:rPr>
                <w:rFonts w:ascii="Arial" w:cs="Arial" w:eastAsia="Arial" w:hAnsi="Arial"/>
                <w:sz w:val="13"/>
                <w:szCs w:val="13"/>
                <w:color w:val="auto"/>
              </w:rPr>
              <w:t>nonqualified savings</w:t>
            </w:r>
          </w:p>
        </w:tc>
        <w:tc>
          <w:tcPr>
            <w:tcW w:w="1220" w:type="dxa"/>
            <w:vAlign w:val="bottom"/>
            <w:shd w:val="clear" w:color="auto" w:fill="F4F6F6"/>
          </w:tcPr>
          <w:p>
            <w:pPr>
              <w:jc w:val="center"/>
              <w:ind w:right="95"/>
              <w:spacing w:after="0"/>
              <w:rPr>
                <w:sz w:val="20"/>
                <w:szCs w:val="20"/>
                <w:color w:val="auto"/>
              </w:rPr>
            </w:pPr>
            <w:r>
              <w:rPr>
                <w:rFonts w:ascii="Arial" w:cs="Arial" w:eastAsia="Arial" w:hAnsi="Arial"/>
                <w:sz w:val="13"/>
                <w:szCs w:val="13"/>
                <w:color w:val="auto"/>
                <w:w w:val="97"/>
              </w:rPr>
              <w:t>$30,011</w:t>
            </w:r>
          </w:p>
        </w:tc>
        <w:tc>
          <w:tcPr>
            <w:tcW w:w="124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3"/>
              </w:rPr>
              <w:t>$30,011</w:t>
            </w:r>
          </w:p>
        </w:tc>
        <w:tc>
          <w:tcPr>
            <w:tcW w:w="1240" w:type="dxa"/>
            <w:vAlign w:val="bottom"/>
            <w:shd w:val="clear" w:color="auto" w:fill="F4F6F6"/>
          </w:tcPr>
          <w:p>
            <w:pPr>
              <w:jc w:val="center"/>
              <w:ind w:right="155"/>
              <w:spacing w:after="0"/>
              <w:rPr>
                <w:sz w:val="20"/>
                <w:szCs w:val="20"/>
                <w:color w:val="auto"/>
              </w:rPr>
            </w:pPr>
            <w:r>
              <w:rPr>
                <w:rFonts w:ascii="Arial" w:cs="Arial" w:eastAsia="Arial" w:hAnsi="Arial"/>
                <w:sz w:val="13"/>
                <w:szCs w:val="13"/>
                <w:color w:val="auto"/>
                <w:w w:val="97"/>
              </w:rPr>
              <w:t>$21,215</w:t>
            </w:r>
          </w:p>
        </w:tc>
        <w:tc>
          <w:tcPr>
            <w:tcW w:w="1260" w:type="dxa"/>
            <w:vAlign w:val="bottom"/>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shd w:val="clear" w:color="auto" w:fill="F4F6F6"/>
          </w:tcPr>
          <w:p>
            <w:pPr>
              <w:jc w:val="center"/>
              <w:ind w:right="95"/>
              <w:spacing w:after="0"/>
              <w:rPr>
                <w:sz w:val="20"/>
                <w:szCs w:val="20"/>
                <w:color w:val="auto"/>
              </w:rPr>
            </w:pPr>
            <w:r>
              <w:rPr>
                <w:rFonts w:ascii="Arial" w:cs="Arial" w:eastAsia="Arial" w:hAnsi="Arial"/>
                <w:sz w:val="13"/>
                <w:szCs w:val="13"/>
                <w:color w:val="auto"/>
                <w:w w:val="95"/>
              </w:rPr>
              <w:t>$803,403</w:t>
            </w:r>
          </w:p>
        </w:tc>
      </w:tr>
      <w:tr>
        <w:trPr>
          <w:trHeight w:val="270"/>
        </w:trPr>
        <w:tc>
          <w:tcPr>
            <w:tcW w:w="1100" w:type="dxa"/>
            <w:vAlign w:val="bottom"/>
            <w:shd w:val="clear" w:color="auto" w:fill="F4F6F6"/>
          </w:tcPr>
          <w:p>
            <w:pPr>
              <w:spacing w:after="0"/>
              <w:rPr>
                <w:sz w:val="23"/>
                <w:szCs w:val="23"/>
                <w:color w:val="auto"/>
              </w:rPr>
            </w:pPr>
          </w:p>
        </w:tc>
        <w:tc>
          <w:tcPr>
            <w:tcW w:w="1540" w:type="dxa"/>
            <w:vAlign w:val="bottom"/>
            <w:shd w:val="clear" w:color="auto" w:fill="F4F6F6"/>
          </w:tcPr>
          <w:p>
            <w:pPr>
              <w:jc w:val="right"/>
              <w:spacing w:after="0"/>
              <w:rPr>
                <w:sz w:val="20"/>
                <w:szCs w:val="20"/>
                <w:color w:val="auto"/>
              </w:rPr>
            </w:pPr>
            <w:r>
              <w:rPr>
                <w:rFonts w:ascii="Arial" w:cs="Arial" w:eastAsia="Arial" w:hAnsi="Arial"/>
                <w:sz w:val="13"/>
                <w:szCs w:val="13"/>
                <w:color w:val="auto"/>
              </w:rPr>
              <w:t>deferred compensation</w:t>
            </w:r>
          </w:p>
        </w:tc>
        <w:tc>
          <w:tcPr>
            <w:tcW w:w="1220" w:type="dxa"/>
            <w:vAlign w:val="bottom"/>
            <w:shd w:val="clear" w:color="auto" w:fill="F4F6F6"/>
          </w:tcPr>
          <w:p>
            <w:pPr>
              <w:jc w:val="center"/>
              <w:ind w:right="95"/>
              <w:spacing w:after="0"/>
              <w:rPr>
                <w:sz w:val="20"/>
                <w:szCs w:val="20"/>
                <w:color w:val="auto"/>
              </w:rPr>
            </w:pPr>
            <w:r>
              <w:rPr>
                <w:rFonts w:ascii="Arial" w:cs="Arial" w:eastAsia="Arial" w:hAnsi="Arial"/>
                <w:sz w:val="13"/>
                <w:szCs w:val="13"/>
                <w:color w:val="auto"/>
                <w:w w:val="96"/>
              </w:rPr>
              <w:t>$0</w:t>
            </w:r>
          </w:p>
        </w:tc>
        <w:tc>
          <w:tcPr>
            <w:tcW w:w="1240" w:type="dxa"/>
            <w:vAlign w:val="bottom"/>
            <w:shd w:val="clear" w:color="auto" w:fill="F4F6F6"/>
          </w:tcPr>
          <w:p>
            <w:pPr>
              <w:spacing w:after="0"/>
              <w:rPr>
                <w:sz w:val="23"/>
                <w:szCs w:val="23"/>
                <w:color w:val="auto"/>
              </w:rPr>
            </w:pPr>
          </w:p>
        </w:tc>
        <w:tc>
          <w:tcPr>
            <w:tcW w:w="1240" w:type="dxa"/>
            <w:vAlign w:val="bottom"/>
            <w:shd w:val="clear" w:color="auto" w:fill="F4F6F6"/>
          </w:tcPr>
          <w:p>
            <w:pPr>
              <w:jc w:val="center"/>
              <w:ind w:right="155"/>
              <w:spacing w:after="0"/>
              <w:rPr>
                <w:sz w:val="20"/>
                <w:szCs w:val="20"/>
                <w:color w:val="auto"/>
              </w:rPr>
            </w:pPr>
            <w:r>
              <w:rPr>
                <w:rFonts w:ascii="Arial" w:cs="Arial" w:eastAsia="Arial" w:hAnsi="Arial"/>
                <w:sz w:val="13"/>
                <w:szCs w:val="13"/>
                <w:color w:val="auto"/>
                <w:w w:val="97"/>
              </w:rPr>
              <w:t>$54,151</w:t>
            </w:r>
          </w:p>
        </w:tc>
        <w:tc>
          <w:tcPr>
            <w:tcW w:w="1260" w:type="dxa"/>
            <w:vAlign w:val="bottom"/>
            <w:shd w:val="clear" w:color="auto" w:fill="F4F6F6"/>
          </w:tcPr>
          <w:p>
            <w:pPr>
              <w:spacing w:after="0"/>
              <w:rPr>
                <w:sz w:val="23"/>
                <w:szCs w:val="23"/>
                <w:color w:val="auto"/>
              </w:rPr>
            </w:pPr>
          </w:p>
        </w:tc>
        <w:tc>
          <w:tcPr>
            <w:tcW w:w="1280" w:type="dxa"/>
            <w:vAlign w:val="bottom"/>
            <w:shd w:val="clear" w:color="auto" w:fill="F4F6F6"/>
          </w:tcPr>
          <w:p>
            <w:pPr>
              <w:jc w:val="center"/>
              <w:ind w:right="95"/>
              <w:spacing w:after="0"/>
              <w:rPr>
                <w:sz w:val="20"/>
                <w:szCs w:val="20"/>
                <w:color w:val="auto"/>
              </w:rPr>
            </w:pPr>
            <w:r>
              <w:rPr>
                <w:rFonts w:ascii="Arial" w:cs="Arial" w:eastAsia="Arial" w:hAnsi="Arial"/>
                <w:sz w:val="13"/>
                <w:szCs w:val="13"/>
                <w:color w:val="auto"/>
                <w:w w:val="98"/>
              </w:rPr>
              <w:t>$1,789,759</w:t>
            </w:r>
          </w:p>
        </w:tc>
      </w:tr>
      <w:tr>
        <w:trPr>
          <w:trHeight w:val="278"/>
        </w:trPr>
        <w:tc>
          <w:tcPr>
            <w:tcW w:w="1100" w:type="dxa"/>
            <w:vAlign w:val="bottom"/>
            <w:tcBorders>
              <w:bottom w:val="single" w:sz="8" w:color="C8C9CB"/>
            </w:tcBorders>
            <w:shd w:val="clear" w:color="auto" w:fill="F4F6F6"/>
          </w:tcPr>
          <w:p>
            <w:pPr>
              <w:spacing w:after="0"/>
              <w:rPr>
                <w:sz w:val="24"/>
                <w:szCs w:val="24"/>
                <w:color w:val="auto"/>
              </w:rPr>
            </w:pPr>
          </w:p>
        </w:tc>
        <w:tc>
          <w:tcPr>
            <w:tcW w:w="154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C8C9CB"/>
            </w:tcBorders>
            <w:shd w:val="clear" w:color="auto" w:fill="F4F6F6"/>
          </w:tcPr>
          <w:p>
            <w:pPr>
              <w:jc w:val="center"/>
              <w:ind w:right="95"/>
              <w:spacing w:after="0"/>
              <w:rPr>
                <w:sz w:val="20"/>
                <w:szCs w:val="20"/>
                <w:color w:val="auto"/>
              </w:rPr>
            </w:pPr>
            <w:r>
              <w:rPr>
                <w:rFonts w:ascii="Arial" w:cs="Arial" w:eastAsia="Arial" w:hAnsi="Arial"/>
                <w:sz w:val="13"/>
                <w:szCs w:val="13"/>
                <w:color w:val="auto"/>
                <w:w w:val="97"/>
              </w:rPr>
              <w:t>$30,011</w:t>
            </w:r>
          </w:p>
        </w:tc>
        <w:tc>
          <w:tcPr>
            <w:tcW w:w="124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93"/>
              </w:rPr>
              <w:t>$30,011</w:t>
            </w:r>
          </w:p>
        </w:tc>
        <w:tc>
          <w:tcPr>
            <w:tcW w:w="1240" w:type="dxa"/>
            <w:vAlign w:val="bottom"/>
            <w:tcBorders>
              <w:bottom w:val="single" w:sz="8" w:color="C8C9CB"/>
            </w:tcBorders>
            <w:shd w:val="clear" w:color="auto" w:fill="F4F6F6"/>
          </w:tcPr>
          <w:p>
            <w:pPr>
              <w:jc w:val="center"/>
              <w:ind w:right="155"/>
              <w:spacing w:after="0"/>
              <w:rPr>
                <w:sz w:val="20"/>
                <w:szCs w:val="20"/>
                <w:color w:val="auto"/>
              </w:rPr>
            </w:pPr>
            <w:r>
              <w:rPr>
                <w:rFonts w:ascii="Arial" w:cs="Arial" w:eastAsia="Arial" w:hAnsi="Arial"/>
                <w:sz w:val="13"/>
                <w:szCs w:val="13"/>
                <w:color w:val="auto"/>
                <w:w w:val="97"/>
              </w:rPr>
              <w:t>$75,366</w:t>
            </w:r>
          </w:p>
        </w:tc>
        <w:tc>
          <w:tcPr>
            <w:tcW w:w="1260" w:type="dxa"/>
            <w:vAlign w:val="bottom"/>
            <w:tcBorders>
              <w:bottom w:val="single" w:sz="8" w:color="C8C9CB"/>
            </w:tcBorders>
            <w:shd w:val="clear" w:color="auto" w:fill="F4F6F6"/>
          </w:tcPr>
          <w:p>
            <w:pPr>
              <w:jc w:val="center"/>
              <w:spacing w:after="0"/>
              <w:rPr>
                <w:sz w:val="20"/>
                <w:szCs w:val="20"/>
                <w:color w:val="auto"/>
              </w:rPr>
            </w:pPr>
            <w:r>
              <w:rPr>
                <w:rFonts w:ascii="Arial" w:cs="Arial" w:eastAsia="Arial" w:hAnsi="Arial"/>
                <w:sz w:val="13"/>
                <w:szCs w:val="13"/>
                <w:color w:val="auto"/>
                <w:w w:val="96"/>
              </w:rPr>
              <w:t>$0</w:t>
            </w:r>
          </w:p>
        </w:tc>
        <w:tc>
          <w:tcPr>
            <w:tcW w:w="1280" w:type="dxa"/>
            <w:vAlign w:val="bottom"/>
            <w:tcBorders>
              <w:bottom w:val="single" w:sz="8" w:color="C8C9CB"/>
            </w:tcBorders>
            <w:shd w:val="clear" w:color="auto" w:fill="F4F6F6"/>
          </w:tcPr>
          <w:p>
            <w:pPr>
              <w:jc w:val="center"/>
              <w:ind w:right="95"/>
              <w:spacing w:after="0"/>
              <w:rPr>
                <w:sz w:val="20"/>
                <w:szCs w:val="20"/>
                <w:color w:val="auto"/>
              </w:rPr>
            </w:pPr>
            <w:r>
              <w:rPr>
                <w:rFonts w:ascii="Arial" w:cs="Arial" w:eastAsia="Arial" w:hAnsi="Arial"/>
                <w:sz w:val="13"/>
                <w:szCs w:val="13"/>
                <w:color w:val="auto"/>
                <w:w w:val="98"/>
              </w:rPr>
              <w:t>$2,593,162</w:t>
            </w:r>
          </w:p>
        </w:tc>
      </w:tr>
    </w:tbl>
    <w:p>
      <w:pPr>
        <w:spacing w:after="0" w:line="174" w:lineRule="exact"/>
        <w:rPr>
          <w:sz w:val="20"/>
          <w:szCs w:val="20"/>
          <w:color w:val="auto"/>
        </w:rPr>
      </w:pPr>
    </w:p>
    <w:p>
      <w:pPr>
        <w:ind w:left="120" w:right="280" w:hanging="4"/>
        <w:spacing w:after="0" w:line="292" w:lineRule="auto"/>
        <w:tabs>
          <w:tab w:leader="none" w:pos="357" w:val="left"/>
        </w:tabs>
        <w:numPr>
          <w:ilvl w:val="0"/>
          <w:numId w:val="76"/>
        </w:numPr>
        <w:rPr>
          <w:rFonts w:ascii="Arial" w:cs="Arial" w:eastAsia="Arial" w:hAnsi="Arial"/>
          <w:sz w:val="14"/>
          <w:szCs w:val="14"/>
          <w:color w:val="auto"/>
        </w:rPr>
      </w:pPr>
      <w:r>
        <w:rPr>
          <w:rFonts w:ascii="Arial" w:cs="Arial" w:eastAsia="Arial" w:hAnsi="Arial"/>
          <w:sz w:val="17"/>
          <w:szCs w:val="17"/>
          <w:color w:val="auto"/>
        </w:rPr>
        <w:t>The amounts in this column are also included in the Summary Compensation Table, in the “Salary” column (nonqualified savings) or the “Non-Equity Incentive Plan Compensation” column (deferred compensation).</w:t>
      </w:r>
    </w:p>
    <w:p>
      <w:pPr>
        <w:spacing w:after="0" w:line="132" w:lineRule="exact"/>
        <w:rPr>
          <w:sz w:val="20"/>
          <w:szCs w:val="20"/>
          <w:color w:val="auto"/>
        </w:rPr>
      </w:pPr>
    </w:p>
    <w:p>
      <w:pPr>
        <w:ind w:left="120" w:right="200" w:hanging="4"/>
        <w:spacing w:after="0" w:line="292" w:lineRule="auto"/>
        <w:tabs>
          <w:tab w:leader="none" w:pos="357" w:val="left"/>
        </w:tabs>
        <w:numPr>
          <w:ilvl w:val="0"/>
          <w:numId w:val="77"/>
        </w:numPr>
        <w:rPr>
          <w:rFonts w:ascii="Arial" w:cs="Arial" w:eastAsia="Arial" w:hAnsi="Arial"/>
          <w:sz w:val="14"/>
          <w:szCs w:val="14"/>
          <w:color w:val="auto"/>
        </w:rPr>
      </w:pPr>
      <w:r>
        <w:rPr>
          <w:rFonts w:ascii="Arial" w:cs="Arial" w:eastAsia="Arial" w:hAnsi="Arial"/>
          <w:sz w:val="17"/>
          <w:szCs w:val="17"/>
          <w:color w:val="auto"/>
        </w:rPr>
        <w:t>The amounts in this column are also included in the Summary Compensation Table, in the “All Other Compensation” column as a portion of the savings plan match.</w:t>
      </w: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P59</w:t>
      </w:r>
    </w:p>
    <w:p>
      <w:pPr>
        <w:sectPr>
          <w:pgSz w:w="11900" w:h="16838" w:orient="portrait"/>
          <w:cols w:equalWidth="0" w:num="1">
            <w:col w:w="11340"/>
          </w:cols>
          <w:pgMar w:left="240" w:top="557" w:right="319" w:bottom="1440" w:gutter="0" w:footer="0" w:header="0"/>
        </w:sectPr>
      </w:pPr>
    </w:p>
    <w:bookmarkStart w:id="63" w:name="page64"/>
    <w:bookmarkEnd w:id="63"/>
    <w:p>
      <w:pPr>
        <w:ind w:left="120" w:right="520" w:hanging="4"/>
        <w:spacing w:after="0" w:line="292" w:lineRule="auto"/>
        <w:tabs>
          <w:tab w:leader="none" w:pos="357" w:val="left"/>
        </w:tabs>
        <w:numPr>
          <w:ilvl w:val="0"/>
          <w:numId w:val="78"/>
        </w:numPr>
        <w:rPr>
          <w:rFonts w:ascii="Arial" w:cs="Arial" w:eastAsia="Arial" w:hAnsi="Arial"/>
          <w:sz w:val="14"/>
          <w:szCs w:val="14"/>
          <w:color w:val="auto"/>
        </w:rPr>
      </w:pPr>
      <w:r>
        <w:rPr>
          <w:rFonts w:ascii="Arial" w:cs="Arial" w:eastAsia="Arial" w:hAnsi="Arial"/>
          <w:sz w:val="17"/>
          <w:szCs w:val="17"/>
          <w:color w:val="auto"/>
        </w:rPr>
        <w:t>Of the totals in this column, the following amounts have previously been reported in the Summary Compensation Table for this year and for previous years:</w:t>
      </w:r>
    </w:p>
    <w:p>
      <w:pPr>
        <w:spacing w:after="0" w:line="93" w:lineRule="exact"/>
        <w:rPr>
          <w:sz w:val="20"/>
          <w:szCs w:val="20"/>
          <w:color w:val="auto"/>
        </w:rPr>
      </w:pPr>
    </w:p>
    <w:tbl>
      <w:tblPr>
        <w:tblLayout w:type="fixed"/>
        <w:tblInd w:w="3020" w:type="dxa"/>
        <w:tblCellMar>
          <w:top w:w="0" w:type="dxa"/>
          <w:left w:w="0" w:type="dxa"/>
          <w:bottom w:w="0" w:type="dxa"/>
          <w:right w:w="0" w:type="dxa"/>
        </w:tblCellMar>
      </w:tblPr>
      <w:tr>
        <w:trPr>
          <w:trHeight w:val="216"/>
        </w:trPr>
        <w:tc>
          <w:tcPr>
            <w:tcW w:w="152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Name</w:t>
            </w:r>
          </w:p>
        </w:tc>
        <w:tc>
          <w:tcPr>
            <w:tcW w:w="1300" w:type="dxa"/>
            <w:vAlign w:val="bottom"/>
            <w:shd w:val="clear" w:color="auto" w:fill="C8C9CB"/>
          </w:tcPr>
          <w:p>
            <w:pPr>
              <w:jc w:val="center"/>
              <w:ind w:left="288"/>
              <w:spacing w:after="0"/>
              <w:rPr>
                <w:sz w:val="20"/>
                <w:szCs w:val="20"/>
                <w:color w:val="auto"/>
              </w:rPr>
            </w:pPr>
            <w:r>
              <w:rPr>
                <w:rFonts w:ascii="Arial" w:cs="Arial" w:eastAsia="Arial" w:hAnsi="Arial"/>
                <w:sz w:val="14"/>
                <w:szCs w:val="14"/>
                <w:b w:val="1"/>
                <w:bCs w:val="1"/>
                <w:color w:val="00ABE8"/>
              </w:rPr>
              <w:t>2018 ($)</w:t>
            </w:r>
          </w:p>
        </w:tc>
        <w:tc>
          <w:tcPr>
            <w:tcW w:w="1640" w:type="dxa"/>
            <w:vAlign w:val="bottom"/>
            <w:shd w:val="clear" w:color="auto" w:fill="C8C9CB"/>
          </w:tcPr>
          <w:p>
            <w:pPr>
              <w:jc w:val="center"/>
              <w:spacing w:after="0"/>
              <w:rPr>
                <w:sz w:val="20"/>
                <w:szCs w:val="20"/>
                <w:color w:val="auto"/>
              </w:rPr>
            </w:pPr>
            <w:r>
              <w:rPr>
                <w:rFonts w:ascii="Arial" w:cs="Arial" w:eastAsia="Arial" w:hAnsi="Arial"/>
                <w:sz w:val="14"/>
                <w:szCs w:val="14"/>
                <w:b w:val="1"/>
                <w:bCs w:val="1"/>
                <w:color w:val="00ABE8"/>
              </w:rPr>
              <w:t>Previous Years ($)</w:t>
            </w:r>
          </w:p>
        </w:tc>
        <w:tc>
          <w:tcPr>
            <w:tcW w:w="1260" w:type="dxa"/>
            <w:vAlign w:val="bottom"/>
            <w:shd w:val="clear" w:color="auto" w:fill="C8C9CB"/>
          </w:tcPr>
          <w:p>
            <w:pPr>
              <w:ind w:left="300"/>
              <w:spacing w:after="0"/>
              <w:rPr>
                <w:sz w:val="20"/>
                <w:szCs w:val="20"/>
                <w:color w:val="auto"/>
              </w:rPr>
            </w:pPr>
            <w:r>
              <w:rPr>
                <w:rFonts w:ascii="Arial" w:cs="Arial" w:eastAsia="Arial" w:hAnsi="Arial"/>
                <w:sz w:val="14"/>
                <w:szCs w:val="14"/>
                <w:b w:val="1"/>
                <w:bCs w:val="1"/>
                <w:color w:val="00ABE8"/>
              </w:rPr>
              <w:t>Total ($)</w:t>
            </w:r>
          </w:p>
        </w:tc>
      </w:tr>
      <w:tr>
        <w:trPr>
          <w:trHeight w:val="208"/>
        </w:trPr>
        <w:tc>
          <w:tcPr>
            <w:tcW w:w="1520" w:type="dxa"/>
            <w:vAlign w:val="bottom"/>
          </w:tcPr>
          <w:p>
            <w:pPr>
              <w:ind w:left="20"/>
              <w:spacing w:after="0"/>
              <w:rPr>
                <w:sz w:val="20"/>
                <w:szCs w:val="20"/>
                <w:color w:val="auto"/>
              </w:rPr>
            </w:pPr>
            <w:r>
              <w:rPr>
                <w:rFonts w:ascii="Arial" w:cs="Arial" w:eastAsia="Arial" w:hAnsi="Arial"/>
                <w:sz w:val="14"/>
                <w:szCs w:val="14"/>
                <w:color w:val="auto"/>
              </w:rPr>
              <w:t>Mr. Ricks</w:t>
            </w:r>
          </w:p>
        </w:tc>
        <w:tc>
          <w:tcPr>
            <w:tcW w:w="1300" w:type="dxa"/>
            <w:vAlign w:val="bottom"/>
          </w:tcPr>
          <w:p>
            <w:pPr>
              <w:jc w:val="center"/>
              <w:ind w:left="268"/>
              <w:spacing w:after="0"/>
              <w:rPr>
                <w:sz w:val="20"/>
                <w:szCs w:val="20"/>
                <w:color w:val="auto"/>
              </w:rPr>
            </w:pPr>
            <w:r>
              <w:rPr>
                <w:rFonts w:ascii="Arial" w:cs="Arial" w:eastAsia="Arial" w:hAnsi="Arial"/>
                <w:sz w:val="14"/>
                <w:szCs w:val="14"/>
                <w:color w:val="auto"/>
              </w:rPr>
              <w:t>$135,000</w:t>
            </w:r>
          </w:p>
        </w:tc>
        <w:tc>
          <w:tcPr>
            <w:tcW w:w="1640" w:type="dxa"/>
            <w:vAlign w:val="bottom"/>
          </w:tcPr>
          <w:p>
            <w:pPr>
              <w:jc w:val="center"/>
              <w:spacing w:after="0"/>
              <w:rPr>
                <w:sz w:val="20"/>
                <w:szCs w:val="20"/>
                <w:color w:val="auto"/>
              </w:rPr>
            </w:pPr>
            <w:r>
              <w:rPr>
                <w:rFonts w:ascii="Arial" w:cs="Arial" w:eastAsia="Arial" w:hAnsi="Arial"/>
                <w:sz w:val="14"/>
                <w:szCs w:val="14"/>
                <w:color w:val="auto"/>
              </w:rPr>
              <w:t>135,600</w:t>
            </w:r>
          </w:p>
        </w:tc>
        <w:tc>
          <w:tcPr>
            <w:tcW w:w="1260" w:type="dxa"/>
            <w:vAlign w:val="bottom"/>
          </w:tcPr>
          <w:p>
            <w:pPr>
              <w:jc w:val="center"/>
              <w:ind w:right="28"/>
              <w:spacing w:after="0"/>
              <w:rPr>
                <w:sz w:val="20"/>
                <w:szCs w:val="20"/>
                <w:color w:val="auto"/>
              </w:rPr>
            </w:pPr>
            <w:r>
              <w:rPr>
                <w:rFonts w:ascii="Arial" w:cs="Arial" w:eastAsia="Arial" w:hAnsi="Arial"/>
                <w:sz w:val="14"/>
                <w:szCs w:val="14"/>
                <w:color w:val="auto"/>
              </w:rPr>
              <w:t>$270,600</w:t>
            </w:r>
          </w:p>
        </w:tc>
      </w:tr>
      <w:tr>
        <w:trPr>
          <w:trHeight w:val="216"/>
        </w:trPr>
        <w:tc>
          <w:tcPr>
            <w:tcW w:w="1520" w:type="dxa"/>
            <w:vAlign w:val="bottom"/>
          </w:tcPr>
          <w:p>
            <w:pPr>
              <w:ind w:left="20"/>
              <w:spacing w:after="0"/>
              <w:rPr>
                <w:sz w:val="20"/>
                <w:szCs w:val="20"/>
                <w:color w:val="auto"/>
              </w:rPr>
            </w:pPr>
            <w:r>
              <w:rPr>
                <w:rFonts w:ascii="Arial" w:cs="Arial" w:eastAsia="Arial" w:hAnsi="Arial"/>
                <w:sz w:val="14"/>
                <w:szCs w:val="14"/>
                <w:color w:val="auto"/>
              </w:rPr>
              <w:t>Mr. Smiley</w:t>
            </w:r>
          </w:p>
        </w:tc>
        <w:tc>
          <w:tcPr>
            <w:tcW w:w="1300" w:type="dxa"/>
            <w:vAlign w:val="bottom"/>
          </w:tcPr>
          <w:p>
            <w:pPr>
              <w:jc w:val="center"/>
              <w:ind w:left="268"/>
              <w:spacing w:after="0"/>
              <w:rPr>
                <w:sz w:val="20"/>
                <w:szCs w:val="20"/>
                <w:color w:val="auto"/>
              </w:rPr>
            </w:pPr>
            <w:r>
              <w:rPr>
                <w:rFonts w:ascii="Arial" w:cs="Arial" w:eastAsia="Arial" w:hAnsi="Arial"/>
                <w:sz w:val="14"/>
                <w:szCs w:val="14"/>
                <w:color w:val="auto"/>
              </w:rPr>
              <w:t>$72,000</w:t>
            </w:r>
          </w:p>
        </w:tc>
        <w:tc>
          <w:tcPr>
            <w:tcW w:w="1640" w:type="dxa"/>
            <w:vAlign w:val="bottom"/>
          </w:tcPr>
          <w:p>
            <w:pPr>
              <w:jc w:val="center"/>
              <w:spacing w:after="0"/>
              <w:rPr>
                <w:sz w:val="20"/>
                <w:szCs w:val="20"/>
                <w:color w:val="auto"/>
              </w:rPr>
            </w:pPr>
            <w:r>
              <w:rPr>
                <w:rFonts w:ascii="Arial" w:cs="Arial" w:eastAsia="Arial" w:hAnsi="Arial"/>
                <w:sz w:val="14"/>
                <w:szCs w:val="14"/>
                <w:color w:val="auto"/>
              </w:rPr>
              <w:t>N/A</w:t>
            </w:r>
          </w:p>
        </w:tc>
        <w:tc>
          <w:tcPr>
            <w:tcW w:w="1260" w:type="dxa"/>
            <w:vAlign w:val="bottom"/>
          </w:tcPr>
          <w:p>
            <w:pPr>
              <w:jc w:val="center"/>
              <w:ind w:right="28"/>
              <w:spacing w:after="0"/>
              <w:rPr>
                <w:sz w:val="20"/>
                <w:szCs w:val="20"/>
                <w:color w:val="auto"/>
              </w:rPr>
            </w:pPr>
            <w:r>
              <w:rPr>
                <w:rFonts w:ascii="Arial" w:cs="Arial" w:eastAsia="Arial" w:hAnsi="Arial"/>
                <w:sz w:val="14"/>
                <w:szCs w:val="14"/>
                <w:color w:val="auto"/>
              </w:rPr>
              <w:t>$72,000</w:t>
            </w:r>
          </w:p>
        </w:tc>
      </w:tr>
      <w:tr>
        <w:trPr>
          <w:trHeight w:val="216"/>
        </w:trPr>
        <w:tc>
          <w:tcPr>
            <w:tcW w:w="1520" w:type="dxa"/>
            <w:vAlign w:val="bottom"/>
          </w:tcPr>
          <w:p>
            <w:pPr>
              <w:ind w:left="20"/>
              <w:spacing w:after="0"/>
              <w:rPr>
                <w:sz w:val="20"/>
                <w:szCs w:val="20"/>
                <w:color w:val="auto"/>
              </w:rPr>
            </w:pPr>
            <w:r>
              <w:rPr>
                <w:rFonts w:ascii="Arial" w:cs="Arial" w:eastAsia="Arial" w:hAnsi="Arial"/>
                <w:sz w:val="14"/>
                <w:szCs w:val="14"/>
                <w:color w:val="auto"/>
              </w:rPr>
              <w:t>Mr. Harrington</w:t>
            </w:r>
          </w:p>
        </w:tc>
        <w:tc>
          <w:tcPr>
            <w:tcW w:w="1300" w:type="dxa"/>
            <w:vAlign w:val="bottom"/>
          </w:tcPr>
          <w:p>
            <w:pPr>
              <w:jc w:val="center"/>
              <w:ind w:left="268"/>
              <w:spacing w:after="0"/>
              <w:rPr>
                <w:sz w:val="20"/>
                <w:szCs w:val="20"/>
                <w:color w:val="auto"/>
              </w:rPr>
            </w:pPr>
            <w:r>
              <w:rPr>
                <w:rFonts w:ascii="Arial" w:cs="Arial" w:eastAsia="Arial" w:hAnsi="Arial"/>
                <w:sz w:val="14"/>
                <w:szCs w:val="14"/>
                <w:color w:val="auto"/>
              </w:rPr>
              <w:t>$95,236</w:t>
            </w:r>
          </w:p>
        </w:tc>
        <w:tc>
          <w:tcPr>
            <w:tcW w:w="1640" w:type="dxa"/>
            <w:vAlign w:val="bottom"/>
          </w:tcPr>
          <w:p>
            <w:pPr>
              <w:jc w:val="center"/>
              <w:spacing w:after="0"/>
              <w:rPr>
                <w:sz w:val="20"/>
                <w:szCs w:val="20"/>
                <w:color w:val="auto"/>
              </w:rPr>
            </w:pPr>
            <w:r>
              <w:rPr>
                <w:rFonts w:ascii="Arial" w:cs="Arial" w:eastAsia="Arial" w:hAnsi="Arial"/>
                <w:sz w:val="14"/>
                <w:szCs w:val="14"/>
                <w:color w:val="auto"/>
              </w:rPr>
              <w:t>$346,924</w:t>
            </w:r>
          </w:p>
        </w:tc>
        <w:tc>
          <w:tcPr>
            <w:tcW w:w="1260" w:type="dxa"/>
            <w:vAlign w:val="bottom"/>
          </w:tcPr>
          <w:p>
            <w:pPr>
              <w:jc w:val="center"/>
              <w:ind w:right="28"/>
              <w:spacing w:after="0"/>
              <w:rPr>
                <w:sz w:val="20"/>
                <w:szCs w:val="20"/>
                <w:color w:val="auto"/>
              </w:rPr>
            </w:pPr>
            <w:r>
              <w:rPr>
                <w:rFonts w:ascii="Arial" w:cs="Arial" w:eastAsia="Arial" w:hAnsi="Arial"/>
                <w:sz w:val="14"/>
                <w:szCs w:val="14"/>
                <w:color w:val="auto"/>
              </w:rPr>
              <w:t>$442,160</w:t>
            </w:r>
          </w:p>
        </w:tc>
      </w:tr>
      <w:tr>
        <w:trPr>
          <w:trHeight w:val="216"/>
        </w:trPr>
        <w:tc>
          <w:tcPr>
            <w:tcW w:w="1520" w:type="dxa"/>
            <w:vAlign w:val="bottom"/>
          </w:tcPr>
          <w:p>
            <w:pPr>
              <w:ind w:left="20"/>
              <w:spacing w:after="0"/>
              <w:rPr>
                <w:sz w:val="20"/>
                <w:szCs w:val="20"/>
                <w:color w:val="auto"/>
              </w:rPr>
            </w:pPr>
            <w:r>
              <w:rPr>
                <w:rFonts w:ascii="Arial" w:cs="Arial" w:eastAsia="Arial" w:hAnsi="Arial"/>
                <w:sz w:val="14"/>
                <w:szCs w:val="14"/>
                <w:color w:val="auto"/>
              </w:rPr>
              <w:t>Mr. Conterno</w:t>
            </w:r>
          </w:p>
        </w:tc>
        <w:tc>
          <w:tcPr>
            <w:tcW w:w="1300" w:type="dxa"/>
            <w:vAlign w:val="bottom"/>
          </w:tcPr>
          <w:p>
            <w:pPr>
              <w:jc w:val="center"/>
              <w:ind w:left="268"/>
              <w:spacing w:after="0"/>
              <w:rPr>
                <w:sz w:val="20"/>
                <w:szCs w:val="20"/>
                <w:color w:val="auto"/>
              </w:rPr>
            </w:pPr>
            <w:r>
              <w:rPr>
                <w:rFonts w:ascii="Arial" w:cs="Arial" w:eastAsia="Arial" w:hAnsi="Arial"/>
                <w:sz w:val="14"/>
                <w:szCs w:val="14"/>
                <w:color w:val="auto"/>
              </w:rPr>
              <w:t>$162,362</w:t>
            </w:r>
          </w:p>
        </w:tc>
        <w:tc>
          <w:tcPr>
            <w:tcW w:w="1640" w:type="dxa"/>
            <w:vAlign w:val="bottom"/>
          </w:tcPr>
          <w:p>
            <w:pPr>
              <w:jc w:val="center"/>
              <w:spacing w:after="0"/>
              <w:rPr>
                <w:sz w:val="20"/>
                <w:szCs w:val="20"/>
                <w:color w:val="auto"/>
              </w:rPr>
            </w:pPr>
            <w:r>
              <w:rPr>
                <w:rFonts w:ascii="Arial" w:cs="Arial" w:eastAsia="Arial" w:hAnsi="Arial"/>
                <w:sz w:val="14"/>
                <w:szCs w:val="14"/>
                <w:color w:val="auto"/>
              </w:rPr>
              <w:t>$919,640</w:t>
            </w:r>
          </w:p>
        </w:tc>
        <w:tc>
          <w:tcPr>
            <w:tcW w:w="1260" w:type="dxa"/>
            <w:vAlign w:val="bottom"/>
          </w:tcPr>
          <w:p>
            <w:pPr>
              <w:jc w:val="center"/>
              <w:ind w:right="28"/>
              <w:spacing w:after="0"/>
              <w:rPr>
                <w:sz w:val="20"/>
                <w:szCs w:val="20"/>
                <w:color w:val="auto"/>
              </w:rPr>
            </w:pPr>
            <w:r>
              <w:rPr>
                <w:rFonts w:ascii="Arial" w:cs="Arial" w:eastAsia="Arial" w:hAnsi="Arial"/>
                <w:sz w:val="14"/>
                <w:szCs w:val="14"/>
                <w:color w:val="auto"/>
              </w:rPr>
              <w:t>$1,082,002</w:t>
            </w:r>
          </w:p>
        </w:tc>
      </w:tr>
      <w:tr>
        <w:trPr>
          <w:trHeight w:val="216"/>
        </w:trPr>
        <w:tc>
          <w:tcPr>
            <w:tcW w:w="152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1300" w:type="dxa"/>
            <w:vAlign w:val="bottom"/>
          </w:tcPr>
          <w:p>
            <w:pPr>
              <w:jc w:val="center"/>
              <w:ind w:left="268"/>
              <w:spacing w:after="0"/>
              <w:rPr>
                <w:sz w:val="20"/>
                <w:szCs w:val="20"/>
                <w:color w:val="auto"/>
              </w:rPr>
            </w:pPr>
            <w:r>
              <w:rPr>
                <w:rFonts w:ascii="Arial" w:cs="Arial" w:eastAsia="Arial" w:hAnsi="Arial"/>
                <w:sz w:val="14"/>
                <w:szCs w:val="14"/>
                <w:color w:val="auto"/>
              </w:rPr>
              <w:t>$67,500</w:t>
            </w:r>
          </w:p>
        </w:tc>
        <w:tc>
          <w:tcPr>
            <w:tcW w:w="1640" w:type="dxa"/>
            <w:vAlign w:val="bottom"/>
          </w:tcPr>
          <w:p>
            <w:pPr>
              <w:jc w:val="center"/>
              <w:spacing w:after="0"/>
              <w:rPr>
                <w:sz w:val="20"/>
                <w:szCs w:val="20"/>
                <w:color w:val="auto"/>
              </w:rPr>
            </w:pPr>
            <w:r>
              <w:rPr>
                <w:rFonts w:ascii="Arial" w:cs="Arial" w:eastAsia="Arial" w:hAnsi="Arial"/>
                <w:sz w:val="14"/>
                <w:szCs w:val="14"/>
                <w:color w:val="auto"/>
              </w:rPr>
              <w:t>N/A</w:t>
            </w:r>
          </w:p>
        </w:tc>
        <w:tc>
          <w:tcPr>
            <w:tcW w:w="1260" w:type="dxa"/>
            <w:vAlign w:val="bottom"/>
          </w:tcPr>
          <w:p>
            <w:pPr>
              <w:jc w:val="center"/>
              <w:ind w:right="28"/>
              <w:spacing w:after="0"/>
              <w:rPr>
                <w:sz w:val="20"/>
                <w:szCs w:val="20"/>
                <w:color w:val="auto"/>
              </w:rPr>
            </w:pPr>
            <w:r>
              <w:rPr>
                <w:rFonts w:ascii="Arial" w:cs="Arial" w:eastAsia="Arial" w:hAnsi="Arial"/>
                <w:sz w:val="14"/>
                <w:szCs w:val="14"/>
                <w:color w:val="auto"/>
              </w:rPr>
              <w:t>$67,500</w:t>
            </w:r>
          </w:p>
        </w:tc>
      </w:tr>
      <w:tr>
        <w:trPr>
          <w:trHeight w:val="216"/>
        </w:trPr>
        <w:tc>
          <w:tcPr>
            <w:tcW w:w="1520" w:type="dxa"/>
            <w:vAlign w:val="bottom"/>
          </w:tcPr>
          <w:p>
            <w:pPr>
              <w:ind w:left="20"/>
              <w:spacing w:after="0"/>
              <w:rPr>
                <w:sz w:val="20"/>
                <w:szCs w:val="20"/>
                <w:color w:val="auto"/>
              </w:rPr>
            </w:pPr>
            <w:r>
              <w:rPr>
                <w:rFonts w:ascii="Arial" w:cs="Arial" w:eastAsia="Arial" w:hAnsi="Arial"/>
                <w:sz w:val="14"/>
                <w:szCs w:val="14"/>
                <w:color w:val="auto"/>
              </w:rPr>
              <w:t>Mr. Simmons</w:t>
            </w:r>
          </w:p>
        </w:tc>
        <w:tc>
          <w:tcPr>
            <w:tcW w:w="1300" w:type="dxa"/>
            <w:vAlign w:val="bottom"/>
          </w:tcPr>
          <w:p>
            <w:pPr>
              <w:jc w:val="center"/>
              <w:ind w:left="268"/>
              <w:spacing w:after="0"/>
              <w:rPr>
                <w:sz w:val="20"/>
                <w:szCs w:val="20"/>
                <w:color w:val="auto"/>
              </w:rPr>
            </w:pPr>
            <w:r>
              <w:rPr>
                <w:rFonts w:ascii="Arial" w:cs="Arial" w:eastAsia="Arial" w:hAnsi="Arial"/>
                <w:sz w:val="14"/>
                <w:szCs w:val="14"/>
                <w:color w:val="auto"/>
              </w:rPr>
              <w:t>$60,022</w:t>
            </w:r>
          </w:p>
        </w:tc>
        <w:tc>
          <w:tcPr>
            <w:tcW w:w="1640" w:type="dxa"/>
            <w:vAlign w:val="bottom"/>
          </w:tcPr>
          <w:p>
            <w:pPr>
              <w:jc w:val="center"/>
              <w:spacing w:after="0"/>
              <w:rPr>
                <w:sz w:val="20"/>
                <w:szCs w:val="20"/>
                <w:color w:val="auto"/>
              </w:rPr>
            </w:pPr>
            <w:r>
              <w:rPr>
                <w:rFonts w:ascii="Arial" w:cs="Arial" w:eastAsia="Arial" w:hAnsi="Arial"/>
                <w:sz w:val="14"/>
                <w:szCs w:val="14"/>
                <w:color w:val="auto"/>
              </w:rPr>
              <w:t>$50,174</w:t>
            </w:r>
          </w:p>
        </w:tc>
        <w:tc>
          <w:tcPr>
            <w:tcW w:w="1260" w:type="dxa"/>
            <w:vAlign w:val="bottom"/>
          </w:tcPr>
          <w:p>
            <w:pPr>
              <w:jc w:val="center"/>
              <w:ind w:right="28"/>
              <w:spacing w:after="0"/>
              <w:rPr>
                <w:sz w:val="20"/>
                <w:szCs w:val="20"/>
                <w:color w:val="auto"/>
              </w:rPr>
            </w:pPr>
            <w:r>
              <w:rPr>
                <w:rFonts w:ascii="Arial" w:cs="Arial" w:eastAsia="Arial" w:hAnsi="Arial"/>
                <w:sz w:val="14"/>
                <w:szCs w:val="14"/>
                <w:color w:val="auto"/>
              </w:rPr>
              <w:t>$110,196</w:t>
            </w:r>
          </w:p>
        </w:tc>
      </w:tr>
    </w:tbl>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Nonqualified Deferred Compensation in 2018 table above shows information about two company programs: the nonqualified savings plan and the Deferred Compensation Plan. The nonqualified savings plan is designed to allow each employee to contribute up to 6 percent of his or her base salary and receive a company match, beyond the contribution limits prescribed by the IRS with regard to 401(k) plans. This plan is administered in the same manner as the 401(k) Plan, with the same participation and investment elections. Executive officers and other U.S. executives may also defer receipt of all or part of their cash compensation under the Deferred Compensation Plan. Amounts deferred by executives under this plan are credited with interest at 120 percent of the applicable federal long-term rate as established the preceding December by the U.S. Treasury Department under Section 1274(d) of the Internal Revenue Code with monthly compounding, which was 3.1 percent for 2018 and is 3.9 percent for 2019. Participants may elect to receive the funds in a lump sum or in up to 10 annual installments following termination of employment, but may not make withdrawals while employed by the company, except in the event of hardship as approved by the Compensation Committee. All deferral elections and associated distribution schedules are irrevocable. Both plans are unfunded and subject to forfeiture in the event of bankruptcy.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Payments Upon Termination or Change in Control (as of December 31, 2018)</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following table describes the potential payments and benefits under the company’s compensation and benefit plans and arrangements to which the named executive officers would be entitled upon termination of employment. Except for certain terminations following a change in control of the company, as described below, there are no agreements, arrangements, or plans that entitle named executive officers to severance, perquisites, or other enhanced benefits upon termination of their employment. Any agreement to provide such payments or benefits to a terminating executive officer (other than following a change in control) would be at the discretion of the Compensation Committee.</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P60</w:t>
      </w:r>
    </w:p>
    <w:p>
      <w:pPr>
        <w:sectPr>
          <w:pgSz w:w="11900" w:h="16838" w:orient="portrait"/>
          <w:cols w:equalWidth="0" w:num="1">
            <w:col w:w="11360"/>
          </w:cols>
          <w:pgMar w:left="240" w:top="557" w:right="299" w:bottom="1440" w:gutter="0" w:footer="0" w:header="0"/>
        </w:sectPr>
      </w:pPr>
    </w:p>
    <w:bookmarkStart w:id="64" w:name="page65"/>
    <w:bookmarkEnd w:id="64"/>
    <w:tbl>
      <w:tblPr>
        <w:tblLayout w:type="fixed"/>
        <w:tblInd w:w="1680" w:type="dxa"/>
        <w:tblCellMar>
          <w:top w:w="0" w:type="dxa"/>
          <w:left w:w="0" w:type="dxa"/>
          <w:bottom w:w="0" w:type="dxa"/>
          <w:right w:w="0" w:type="dxa"/>
        </w:tblCellMar>
      </w:tblPr>
      <w:tr>
        <w:trPr>
          <w:trHeight w:val="174"/>
        </w:trPr>
        <w:tc>
          <w:tcPr>
            <w:tcW w:w="240" w:type="dxa"/>
            <w:vAlign w:val="bottom"/>
            <w:shd w:val="clear" w:color="auto" w:fill="C0C0C0"/>
          </w:tcPr>
          <w:p>
            <w:pPr>
              <w:spacing w:after="0"/>
              <w:rPr>
                <w:sz w:val="15"/>
                <w:szCs w:val="15"/>
                <w:color w:val="auto"/>
              </w:rPr>
            </w:pPr>
          </w:p>
        </w:tc>
        <w:tc>
          <w:tcPr>
            <w:tcW w:w="1800" w:type="dxa"/>
            <w:vAlign w:val="bottom"/>
            <w:shd w:val="clear" w:color="auto" w:fill="C0C0C0"/>
          </w:tcPr>
          <w:p>
            <w:pPr>
              <w:spacing w:after="0"/>
              <w:rPr>
                <w:sz w:val="15"/>
                <w:szCs w:val="15"/>
                <w:color w:val="auto"/>
              </w:rPr>
            </w:pPr>
          </w:p>
        </w:tc>
        <w:tc>
          <w:tcPr>
            <w:tcW w:w="880" w:type="dxa"/>
            <w:vAlign w:val="bottom"/>
            <w:shd w:val="clear" w:color="auto" w:fill="C0C0C0"/>
          </w:tcPr>
          <w:p>
            <w:pPr>
              <w:spacing w:after="0"/>
              <w:rPr>
                <w:sz w:val="15"/>
                <w:szCs w:val="15"/>
                <w:color w:val="auto"/>
              </w:rPr>
            </w:pPr>
          </w:p>
        </w:tc>
        <w:tc>
          <w:tcPr>
            <w:tcW w:w="134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00ABE8"/>
              </w:rPr>
              <w:t>Continuation of</w:t>
            </w:r>
          </w:p>
        </w:tc>
        <w:tc>
          <w:tcPr>
            <w:tcW w:w="2880" w:type="dxa"/>
            <w:vAlign w:val="bottom"/>
            <w:shd w:val="clear" w:color="auto" w:fill="C0C0C0"/>
          </w:tcPr>
          <w:p>
            <w:pPr>
              <w:spacing w:after="0"/>
              <w:rPr>
                <w:sz w:val="15"/>
                <w:szCs w:val="15"/>
                <w:color w:val="auto"/>
              </w:rPr>
            </w:pPr>
          </w:p>
        </w:tc>
        <w:tc>
          <w:tcPr>
            <w:tcW w:w="920" w:type="dxa"/>
            <w:vAlign w:val="bottom"/>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shd w:val="clear" w:color="auto" w:fill="C0C0C0"/>
          </w:tcPr>
          <w:p>
            <w:pPr>
              <w:spacing w:after="0"/>
              <w:rPr>
                <w:sz w:val="14"/>
                <w:szCs w:val="14"/>
                <w:color w:val="auto"/>
              </w:rPr>
            </w:pPr>
          </w:p>
        </w:tc>
        <w:tc>
          <w:tcPr>
            <w:tcW w:w="1800" w:type="dxa"/>
            <w:vAlign w:val="bottom"/>
            <w:shd w:val="clear" w:color="auto" w:fill="C0C0C0"/>
          </w:tcPr>
          <w:p>
            <w:pPr>
              <w:spacing w:after="0"/>
              <w:rPr>
                <w:sz w:val="14"/>
                <w:szCs w:val="14"/>
                <w:color w:val="auto"/>
              </w:rPr>
            </w:pPr>
          </w:p>
        </w:tc>
        <w:tc>
          <w:tcPr>
            <w:tcW w:w="880" w:type="dxa"/>
            <w:vAlign w:val="bottom"/>
            <w:shd w:val="clear" w:color="auto" w:fill="C0C0C0"/>
          </w:tcPr>
          <w:p>
            <w:pPr>
              <w:jc w:val="right"/>
              <w:ind w:right="208"/>
              <w:spacing w:after="0"/>
              <w:rPr>
                <w:sz w:val="20"/>
                <w:szCs w:val="20"/>
                <w:color w:val="auto"/>
              </w:rPr>
            </w:pPr>
            <w:r>
              <w:rPr>
                <w:rFonts w:ascii="Arial" w:cs="Arial" w:eastAsia="Arial" w:hAnsi="Arial"/>
                <w:sz w:val="14"/>
                <w:szCs w:val="14"/>
                <w:b w:val="1"/>
                <w:bCs w:val="1"/>
                <w:color w:val="00ABE8"/>
              </w:rPr>
              <w:t>Cash</w:t>
            </w:r>
          </w:p>
        </w:tc>
        <w:tc>
          <w:tcPr>
            <w:tcW w:w="134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00ABE8"/>
              </w:rPr>
              <w:t>Medical / Welfare</w:t>
            </w:r>
          </w:p>
        </w:tc>
        <w:tc>
          <w:tcPr>
            <w:tcW w:w="2880" w:type="dxa"/>
            <w:vAlign w:val="bottom"/>
            <w:shd w:val="clear" w:color="auto" w:fill="C0C0C0"/>
          </w:tcPr>
          <w:p>
            <w:pPr>
              <w:jc w:val="center"/>
              <w:ind w:right="128"/>
              <w:spacing w:after="0"/>
              <w:rPr>
                <w:sz w:val="20"/>
                <w:szCs w:val="20"/>
                <w:color w:val="auto"/>
              </w:rPr>
            </w:pPr>
            <w:r>
              <w:rPr>
                <w:rFonts w:ascii="Arial" w:cs="Arial" w:eastAsia="Arial" w:hAnsi="Arial"/>
                <w:sz w:val="14"/>
                <w:szCs w:val="14"/>
                <w:b w:val="1"/>
                <w:bCs w:val="1"/>
                <w:color w:val="00ABE8"/>
              </w:rPr>
              <w:t>Acceleration and Continuation of</w:t>
            </w:r>
          </w:p>
        </w:tc>
        <w:tc>
          <w:tcPr>
            <w:tcW w:w="9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00ABE8"/>
              </w:rPr>
              <w:t>Total</w:t>
            </w:r>
          </w:p>
        </w:tc>
        <w:tc>
          <w:tcPr>
            <w:tcW w:w="0" w:type="dxa"/>
            <w:vAlign w:val="bottom"/>
          </w:tcPr>
          <w:p>
            <w:pPr>
              <w:spacing w:after="0"/>
              <w:rPr>
                <w:sz w:val="1"/>
                <w:szCs w:val="1"/>
                <w:color w:val="auto"/>
              </w:rPr>
            </w:pPr>
          </w:p>
        </w:tc>
      </w:tr>
      <w:tr>
        <w:trPr>
          <w:trHeight w:val="161"/>
        </w:trPr>
        <w:tc>
          <w:tcPr>
            <w:tcW w:w="240" w:type="dxa"/>
            <w:vAlign w:val="bottom"/>
            <w:shd w:val="clear" w:color="auto" w:fill="C0C0C0"/>
          </w:tcPr>
          <w:p>
            <w:pPr>
              <w:spacing w:after="0"/>
              <w:rPr>
                <w:sz w:val="13"/>
                <w:szCs w:val="13"/>
                <w:color w:val="auto"/>
              </w:rPr>
            </w:pPr>
          </w:p>
        </w:tc>
        <w:tc>
          <w:tcPr>
            <w:tcW w:w="1800" w:type="dxa"/>
            <w:vAlign w:val="bottom"/>
            <w:shd w:val="clear" w:color="auto" w:fill="C0C0C0"/>
          </w:tcPr>
          <w:p>
            <w:pPr>
              <w:spacing w:after="0"/>
              <w:rPr>
                <w:sz w:val="13"/>
                <w:szCs w:val="13"/>
                <w:color w:val="auto"/>
              </w:rPr>
            </w:pPr>
          </w:p>
        </w:tc>
        <w:tc>
          <w:tcPr>
            <w:tcW w:w="880" w:type="dxa"/>
            <w:vAlign w:val="bottom"/>
            <w:shd w:val="clear" w:color="auto" w:fill="C0C0C0"/>
          </w:tcPr>
          <w:p>
            <w:pPr>
              <w:jc w:val="right"/>
              <w:ind w:right="28"/>
              <w:spacing w:after="0"/>
              <w:rPr>
                <w:sz w:val="20"/>
                <w:szCs w:val="20"/>
                <w:color w:val="auto"/>
              </w:rPr>
            </w:pPr>
            <w:r>
              <w:rPr>
                <w:rFonts w:ascii="Arial" w:cs="Arial" w:eastAsia="Arial" w:hAnsi="Arial"/>
                <w:sz w:val="14"/>
                <w:szCs w:val="14"/>
                <w:b w:val="1"/>
                <w:bCs w:val="1"/>
                <w:color w:val="00ABE8"/>
              </w:rPr>
              <w:t>Severance</w:t>
            </w:r>
          </w:p>
        </w:tc>
        <w:tc>
          <w:tcPr>
            <w:tcW w:w="1340" w:type="dxa"/>
            <w:vAlign w:val="bottom"/>
            <w:shd w:val="clear" w:color="auto" w:fill="C0C0C0"/>
          </w:tcPr>
          <w:p>
            <w:pPr>
              <w:jc w:val="center"/>
              <w:ind w:right="8"/>
              <w:spacing w:after="0"/>
              <w:rPr>
                <w:sz w:val="20"/>
                <w:szCs w:val="20"/>
                <w:color w:val="auto"/>
              </w:rPr>
            </w:pPr>
            <w:r>
              <w:rPr>
                <w:rFonts w:ascii="Arial" w:cs="Arial" w:eastAsia="Arial" w:hAnsi="Arial"/>
                <w:sz w:val="14"/>
                <w:szCs w:val="14"/>
                <w:b w:val="1"/>
                <w:bCs w:val="1"/>
                <w:color w:val="00ABE8"/>
              </w:rPr>
              <w:t>Benefits</w:t>
            </w:r>
          </w:p>
        </w:tc>
        <w:tc>
          <w:tcPr>
            <w:tcW w:w="2880" w:type="dxa"/>
            <w:vAlign w:val="bottom"/>
            <w:shd w:val="clear" w:color="auto" w:fill="C0C0C0"/>
          </w:tcPr>
          <w:p>
            <w:pPr>
              <w:jc w:val="center"/>
              <w:ind w:right="128"/>
              <w:spacing w:after="0"/>
              <w:rPr>
                <w:sz w:val="20"/>
                <w:szCs w:val="20"/>
                <w:color w:val="auto"/>
              </w:rPr>
            </w:pPr>
            <w:r>
              <w:rPr>
                <w:rFonts w:ascii="Arial" w:cs="Arial" w:eastAsia="Arial" w:hAnsi="Arial"/>
                <w:sz w:val="14"/>
                <w:szCs w:val="14"/>
                <w:b w:val="1"/>
                <w:bCs w:val="1"/>
                <w:color w:val="00ABE8"/>
              </w:rPr>
              <w:t>Equity Awards (unamortized expense</w:t>
            </w:r>
          </w:p>
        </w:tc>
        <w:tc>
          <w:tcPr>
            <w:tcW w:w="9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00ABE8"/>
              </w:rPr>
              <w:t>Termination</w:t>
            </w:r>
          </w:p>
        </w:tc>
        <w:tc>
          <w:tcPr>
            <w:tcW w:w="0" w:type="dxa"/>
            <w:vAlign w:val="bottom"/>
          </w:tcPr>
          <w:p>
            <w:pPr>
              <w:spacing w:after="0"/>
              <w:rPr>
                <w:sz w:val="1"/>
                <w:szCs w:val="1"/>
                <w:color w:val="auto"/>
              </w:rPr>
            </w:pPr>
          </w:p>
        </w:tc>
      </w:tr>
      <w:tr>
        <w:trPr>
          <w:trHeight w:val="206"/>
        </w:trPr>
        <w:tc>
          <w:tcPr>
            <w:tcW w:w="240" w:type="dxa"/>
            <w:vAlign w:val="bottom"/>
            <w:shd w:val="clear" w:color="auto" w:fill="C0C0C0"/>
          </w:tcPr>
          <w:p>
            <w:pPr>
              <w:spacing w:after="0"/>
              <w:rPr>
                <w:sz w:val="17"/>
                <w:szCs w:val="17"/>
                <w:color w:val="auto"/>
              </w:rPr>
            </w:pPr>
          </w:p>
        </w:tc>
        <w:tc>
          <w:tcPr>
            <w:tcW w:w="1800" w:type="dxa"/>
            <w:vAlign w:val="bottom"/>
            <w:shd w:val="clear" w:color="auto" w:fill="C0C0C0"/>
          </w:tcPr>
          <w:p>
            <w:pPr>
              <w:spacing w:after="0"/>
              <w:rPr>
                <w:sz w:val="17"/>
                <w:szCs w:val="17"/>
                <w:color w:val="auto"/>
              </w:rPr>
            </w:pPr>
          </w:p>
        </w:tc>
        <w:tc>
          <w:tcPr>
            <w:tcW w:w="880" w:type="dxa"/>
            <w:vAlign w:val="bottom"/>
            <w:shd w:val="clear" w:color="auto" w:fill="C0C0C0"/>
          </w:tcPr>
          <w:p>
            <w:pPr>
              <w:jc w:val="right"/>
              <w:ind w:right="28"/>
              <w:spacing w:after="0" w:line="205" w:lineRule="exact"/>
              <w:rPr>
                <w:sz w:val="20"/>
                <w:szCs w:val="20"/>
                <w:color w:val="auto"/>
              </w:rPr>
            </w:pPr>
            <w:r>
              <w:rPr>
                <w:rFonts w:ascii="Arial" w:cs="Arial" w:eastAsia="Arial" w:hAnsi="Arial"/>
                <w:sz w:val="14"/>
                <w:szCs w:val="14"/>
                <w:b w:val="1"/>
                <w:bCs w:val="1"/>
                <w:color w:val="00ABE8"/>
              </w:rPr>
              <w:t xml:space="preserve">Payment </w:t>
            </w:r>
            <w:r>
              <w:rPr>
                <w:rFonts w:ascii="Arial" w:cs="Arial" w:eastAsia="Arial" w:hAnsi="Arial"/>
                <w:sz w:val="23"/>
                <w:szCs w:val="23"/>
                <w:b w:val="1"/>
                <w:bCs w:val="1"/>
                <w:color w:val="00ABE8"/>
                <w:vertAlign w:val="superscript"/>
              </w:rPr>
              <w:t>1</w:t>
            </w:r>
          </w:p>
        </w:tc>
        <w:tc>
          <w:tcPr>
            <w:tcW w:w="1340" w:type="dxa"/>
            <w:vAlign w:val="bottom"/>
            <w:shd w:val="clear" w:color="auto" w:fill="C0C0C0"/>
          </w:tcPr>
          <w:p>
            <w:pPr>
              <w:jc w:val="center"/>
              <w:spacing w:after="0" w:line="205" w:lineRule="exact"/>
              <w:rPr>
                <w:sz w:val="20"/>
                <w:szCs w:val="20"/>
                <w:color w:val="auto"/>
              </w:rPr>
            </w:pPr>
            <w:r>
              <w:rPr>
                <w:rFonts w:ascii="Arial" w:cs="Arial" w:eastAsia="Arial" w:hAnsi="Arial"/>
                <w:sz w:val="14"/>
                <w:szCs w:val="14"/>
                <w:b w:val="1"/>
                <w:bCs w:val="1"/>
                <w:color w:val="00ABE8"/>
              </w:rPr>
              <w:t xml:space="preserve">(present value) </w:t>
            </w:r>
            <w:r>
              <w:rPr>
                <w:rFonts w:ascii="Arial" w:cs="Arial" w:eastAsia="Arial" w:hAnsi="Arial"/>
                <w:sz w:val="23"/>
                <w:szCs w:val="23"/>
                <w:b w:val="1"/>
                <w:bCs w:val="1"/>
                <w:color w:val="00ABE8"/>
                <w:vertAlign w:val="superscript"/>
              </w:rPr>
              <w:t>2</w:t>
            </w:r>
          </w:p>
        </w:tc>
        <w:tc>
          <w:tcPr>
            <w:tcW w:w="2880" w:type="dxa"/>
            <w:vAlign w:val="bottom"/>
            <w:shd w:val="clear" w:color="auto" w:fill="C0C0C0"/>
          </w:tcPr>
          <w:p>
            <w:pPr>
              <w:jc w:val="center"/>
              <w:ind w:right="128"/>
              <w:spacing w:after="0"/>
              <w:rPr>
                <w:sz w:val="20"/>
                <w:szCs w:val="20"/>
                <w:color w:val="auto"/>
              </w:rPr>
            </w:pPr>
            <w:r>
              <w:rPr>
                <w:rFonts w:ascii="Arial" w:cs="Arial" w:eastAsia="Arial" w:hAnsi="Arial"/>
                <w:sz w:val="14"/>
                <w:szCs w:val="14"/>
                <w:b w:val="1"/>
                <w:bCs w:val="1"/>
                <w:color w:val="00ABE8"/>
              </w:rPr>
              <w:t>as of 12/31/18)</w:t>
            </w:r>
          </w:p>
        </w:tc>
        <w:tc>
          <w:tcPr>
            <w:tcW w:w="9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00ABE8"/>
              </w:rPr>
              <w:t>Benefits</w:t>
            </w:r>
          </w:p>
        </w:tc>
        <w:tc>
          <w:tcPr>
            <w:tcW w:w="0" w:type="dxa"/>
            <w:vAlign w:val="bottom"/>
          </w:tcPr>
          <w:p>
            <w:pPr>
              <w:spacing w:after="0"/>
              <w:rPr>
                <w:sz w:val="1"/>
                <w:szCs w:val="1"/>
                <w:color w:val="auto"/>
              </w:rPr>
            </w:pPr>
          </w:p>
        </w:tc>
      </w:tr>
      <w:tr>
        <w:trPr>
          <w:trHeight w:val="262"/>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Mr. Ricks</w:t>
            </w: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Involuntary retirement or</w:t>
            </w: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800" w:type="dxa"/>
            <w:vAlign w:val="bottom"/>
          </w:tcPr>
          <w:p>
            <w:pPr>
              <w:ind w:left="20"/>
              <w:spacing w:after="0"/>
              <w:rPr>
                <w:sz w:val="20"/>
                <w:szCs w:val="20"/>
                <w:color w:val="auto"/>
              </w:rPr>
            </w:pPr>
            <w:r>
              <w:rPr>
                <w:rFonts w:ascii="Arial" w:cs="Arial" w:eastAsia="Arial" w:hAnsi="Arial"/>
                <w:sz w:val="14"/>
                <w:szCs w:val="14"/>
                <w:color w:val="auto"/>
              </w:rPr>
              <w:t>termination</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1340" w:type="dxa"/>
            <w:vAlign w:val="bottom"/>
          </w:tcPr>
          <w:p>
            <w:pPr>
              <w:jc w:val="right"/>
              <w:spacing w:after="0"/>
              <w:rPr>
                <w:sz w:val="20"/>
                <w:szCs w:val="20"/>
                <w:color w:val="auto"/>
              </w:rPr>
            </w:pPr>
            <w:r>
              <w:rPr>
                <w:rFonts w:ascii="Arial" w:cs="Arial" w:eastAsia="Arial" w:hAnsi="Arial"/>
                <w:sz w:val="14"/>
                <w:szCs w:val="14"/>
                <w:color w:val="auto"/>
              </w:rPr>
              <w:t>$0</w:t>
            </w:r>
          </w:p>
        </w:tc>
        <w:tc>
          <w:tcPr>
            <w:tcW w:w="2880" w:type="dxa"/>
            <w:vAlign w:val="bottom"/>
          </w:tcPr>
          <w:p>
            <w:pPr>
              <w:jc w:val="right"/>
              <w:ind w:right="128"/>
              <w:spacing w:after="0"/>
              <w:rPr>
                <w:sz w:val="20"/>
                <w:szCs w:val="20"/>
                <w:color w:val="auto"/>
              </w:rPr>
            </w:pPr>
            <w:r>
              <w:rPr>
                <w:rFonts w:ascii="Arial" w:cs="Arial" w:eastAsia="Arial" w:hAnsi="Arial"/>
                <w:sz w:val="14"/>
                <w:szCs w:val="14"/>
                <w:color w:val="auto"/>
              </w:rPr>
              <w:t>$9,439,454</w:t>
            </w:r>
          </w:p>
        </w:tc>
        <w:tc>
          <w:tcPr>
            <w:tcW w:w="920" w:type="dxa"/>
            <w:vAlign w:val="bottom"/>
          </w:tcPr>
          <w:p>
            <w:pPr>
              <w:jc w:val="right"/>
              <w:spacing w:after="0"/>
              <w:rPr>
                <w:sz w:val="20"/>
                <w:szCs w:val="20"/>
                <w:color w:val="auto"/>
              </w:rPr>
            </w:pPr>
            <w:r>
              <w:rPr>
                <w:rFonts w:ascii="Arial" w:cs="Arial" w:eastAsia="Arial" w:hAnsi="Arial"/>
                <w:sz w:val="14"/>
                <w:szCs w:val="14"/>
                <w:color w:val="auto"/>
              </w:rPr>
              <w:t>$9,439,454</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Involuntary or good reason</w:t>
            </w: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termination after change in</w:t>
            </w: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control</w:t>
            </w:r>
          </w:p>
        </w:tc>
        <w:tc>
          <w:tcPr>
            <w:tcW w:w="880" w:type="dxa"/>
            <w:vAlign w:val="bottom"/>
            <w:tcBorders>
              <w:bottom w:val="single" w:sz="8" w:color="C8C9CB"/>
            </w:tcBorders>
          </w:tcPr>
          <w:p>
            <w:pPr>
              <w:jc w:val="right"/>
              <w:spacing w:after="0"/>
              <w:rPr>
                <w:sz w:val="20"/>
                <w:szCs w:val="20"/>
                <w:color w:val="auto"/>
              </w:rPr>
            </w:pPr>
            <w:r>
              <w:rPr>
                <w:rFonts w:ascii="Arial" w:cs="Arial" w:eastAsia="Arial" w:hAnsi="Arial"/>
                <w:sz w:val="14"/>
                <w:szCs w:val="14"/>
                <w:color w:val="auto"/>
              </w:rPr>
              <w:t>$7,000,000</w:t>
            </w:r>
          </w:p>
        </w:tc>
        <w:tc>
          <w:tcPr>
            <w:tcW w:w="1340" w:type="dxa"/>
            <w:vAlign w:val="bottom"/>
            <w:tcBorders>
              <w:bottom w:val="single" w:sz="8" w:color="C8C9CB"/>
            </w:tcBorders>
          </w:tcPr>
          <w:p>
            <w:pPr>
              <w:jc w:val="right"/>
              <w:spacing w:after="0"/>
              <w:rPr>
                <w:sz w:val="20"/>
                <w:szCs w:val="20"/>
                <w:color w:val="auto"/>
              </w:rPr>
            </w:pPr>
            <w:r>
              <w:rPr>
                <w:rFonts w:ascii="Arial" w:cs="Arial" w:eastAsia="Arial" w:hAnsi="Arial"/>
                <w:sz w:val="14"/>
                <w:szCs w:val="14"/>
                <w:color w:val="auto"/>
              </w:rPr>
              <w:t>$41,386</w:t>
            </w:r>
          </w:p>
        </w:tc>
        <w:tc>
          <w:tcPr>
            <w:tcW w:w="2880" w:type="dxa"/>
            <w:vAlign w:val="bottom"/>
            <w:tcBorders>
              <w:bottom w:val="single" w:sz="8" w:color="C8C9CB"/>
            </w:tcBorders>
          </w:tcPr>
          <w:p>
            <w:pPr>
              <w:jc w:val="right"/>
              <w:ind w:right="128"/>
              <w:spacing w:after="0"/>
              <w:rPr>
                <w:sz w:val="20"/>
                <w:szCs w:val="20"/>
                <w:color w:val="auto"/>
              </w:rPr>
            </w:pPr>
            <w:r>
              <w:rPr>
                <w:rFonts w:ascii="Arial" w:cs="Arial" w:eastAsia="Arial" w:hAnsi="Arial"/>
                <w:sz w:val="14"/>
                <w:szCs w:val="14"/>
                <w:color w:val="auto"/>
              </w:rPr>
              <w:t>$57,174,093</w:t>
            </w:r>
          </w:p>
        </w:tc>
        <w:tc>
          <w:tcPr>
            <w:tcW w:w="920" w:type="dxa"/>
            <w:vAlign w:val="bottom"/>
            <w:tcBorders>
              <w:bottom w:val="single" w:sz="8" w:color="C8C9CB"/>
            </w:tcBorders>
          </w:tcPr>
          <w:p>
            <w:pPr>
              <w:jc w:val="right"/>
              <w:spacing w:after="0"/>
              <w:rPr>
                <w:sz w:val="20"/>
                <w:szCs w:val="20"/>
                <w:color w:val="auto"/>
              </w:rPr>
            </w:pPr>
            <w:r>
              <w:rPr>
                <w:rFonts w:ascii="Arial" w:cs="Arial" w:eastAsia="Arial" w:hAnsi="Arial"/>
                <w:sz w:val="14"/>
                <w:szCs w:val="14"/>
                <w:color w:val="auto"/>
              </w:rPr>
              <w:t>$64,215,479</w:t>
            </w:r>
          </w:p>
        </w:tc>
        <w:tc>
          <w:tcPr>
            <w:tcW w:w="0" w:type="dxa"/>
            <w:vAlign w:val="bottom"/>
          </w:tcPr>
          <w:p>
            <w:pPr>
              <w:spacing w:after="0"/>
              <w:rPr>
                <w:sz w:val="1"/>
                <w:szCs w:val="1"/>
                <w:color w:val="auto"/>
              </w:rPr>
            </w:pPr>
          </w:p>
        </w:tc>
      </w:tr>
      <w:tr>
        <w:trPr>
          <w:trHeight w:val="260"/>
        </w:trPr>
        <w:tc>
          <w:tcPr>
            <w:tcW w:w="2040" w:type="dxa"/>
            <w:vAlign w:val="bottom"/>
            <w:gridSpan w:val="2"/>
            <w:shd w:val="clear" w:color="auto" w:fill="F4F6F6"/>
          </w:tcPr>
          <w:p>
            <w:pPr>
              <w:ind w:left="20"/>
              <w:spacing w:after="0"/>
              <w:rPr>
                <w:sz w:val="20"/>
                <w:szCs w:val="20"/>
                <w:color w:val="auto"/>
              </w:rPr>
            </w:pPr>
            <w:r>
              <w:rPr>
                <w:rFonts w:ascii="Arial" w:cs="Arial" w:eastAsia="Arial" w:hAnsi="Arial"/>
                <w:sz w:val="14"/>
                <w:szCs w:val="14"/>
                <w:color w:val="auto"/>
              </w:rPr>
              <w:t>Mr. Smiley</w:t>
            </w:r>
          </w:p>
        </w:tc>
        <w:tc>
          <w:tcPr>
            <w:tcW w:w="880" w:type="dxa"/>
            <w:vAlign w:val="bottom"/>
            <w:shd w:val="clear" w:color="auto" w:fill="F4F6F6"/>
          </w:tcPr>
          <w:p>
            <w:pPr>
              <w:spacing w:after="0"/>
              <w:rPr>
                <w:sz w:val="22"/>
                <w:szCs w:val="22"/>
                <w:color w:val="auto"/>
              </w:rPr>
            </w:pPr>
          </w:p>
        </w:tc>
        <w:tc>
          <w:tcPr>
            <w:tcW w:w="1340" w:type="dxa"/>
            <w:vAlign w:val="bottom"/>
            <w:shd w:val="clear" w:color="auto" w:fill="F4F6F6"/>
          </w:tcPr>
          <w:p>
            <w:pPr>
              <w:spacing w:after="0"/>
              <w:rPr>
                <w:sz w:val="22"/>
                <w:szCs w:val="22"/>
                <w:color w:val="auto"/>
              </w:rPr>
            </w:pPr>
          </w:p>
        </w:tc>
        <w:tc>
          <w:tcPr>
            <w:tcW w:w="2880" w:type="dxa"/>
            <w:vAlign w:val="bottom"/>
            <w:shd w:val="clear" w:color="auto" w:fill="F4F6F6"/>
          </w:tcPr>
          <w:p>
            <w:pPr>
              <w:spacing w:after="0"/>
              <w:rPr>
                <w:sz w:val="22"/>
                <w:szCs w:val="22"/>
                <w:color w:val="auto"/>
              </w:rPr>
            </w:pPr>
          </w:p>
        </w:tc>
        <w:tc>
          <w:tcPr>
            <w:tcW w:w="920" w:type="dxa"/>
            <w:vAlign w:val="bottom"/>
            <w:shd w:val="clear" w:color="auto" w:fill="F4F6F6"/>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40" w:type="dxa"/>
            <w:vAlign w:val="bottom"/>
            <w:shd w:val="clear" w:color="auto" w:fill="F4F6F6"/>
          </w:tcPr>
          <w:p>
            <w:pPr>
              <w:spacing w:after="0"/>
              <w:rPr>
                <w:sz w:val="15"/>
                <w:szCs w:val="15"/>
                <w:color w:val="auto"/>
              </w:rPr>
            </w:pPr>
          </w:p>
        </w:tc>
        <w:tc>
          <w:tcPr>
            <w:tcW w:w="1800" w:type="dxa"/>
            <w:vAlign w:val="bottom"/>
            <w:shd w:val="clear" w:color="auto" w:fill="F4F6F6"/>
          </w:tcPr>
          <w:p>
            <w:pPr>
              <w:ind w:left="20"/>
              <w:spacing w:after="0"/>
              <w:rPr>
                <w:sz w:val="20"/>
                <w:szCs w:val="20"/>
                <w:color w:val="auto"/>
              </w:rPr>
            </w:pPr>
            <w:r>
              <w:rPr>
                <w:rFonts w:ascii="Arial" w:cs="Arial" w:eastAsia="Arial" w:hAnsi="Arial"/>
                <w:sz w:val="14"/>
                <w:szCs w:val="14"/>
                <w:color w:val="auto"/>
              </w:rPr>
              <w:t>Involuntary retirement or</w:t>
            </w:r>
          </w:p>
        </w:tc>
        <w:tc>
          <w:tcPr>
            <w:tcW w:w="880" w:type="dxa"/>
            <w:vAlign w:val="bottom"/>
            <w:shd w:val="clear" w:color="auto" w:fill="F4F6F6"/>
          </w:tcPr>
          <w:p>
            <w:pPr>
              <w:spacing w:after="0"/>
              <w:rPr>
                <w:sz w:val="15"/>
                <w:szCs w:val="15"/>
                <w:color w:val="auto"/>
              </w:rPr>
            </w:pPr>
          </w:p>
        </w:tc>
        <w:tc>
          <w:tcPr>
            <w:tcW w:w="1340" w:type="dxa"/>
            <w:vAlign w:val="bottom"/>
            <w:shd w:val="clear" w:color="auto" w:fill="F4F6F6"/>
          </w:tcPr>
          <w:p>
            <w:pPr>
              <w:spacing w:after="0"/>
              <w:rPr>
                <w:sz w:val="15"/>
                <w:szCs w:val="15"/>
                <w:color w:val="auto"/>
              </w:rPr>
            </w:pPr>
          </w:p>
        </w:tc>
        <w:tc>
          <w:tcPr>
            <w:tcW w:w="2880" w:type="dxa"/>
            <w:vAlign w:val="bottom"/>
            <w:shd w:val="clear" w:color="auto" w:fill="F4F6F6"/>
          </w:tcPr>
          <w:p>
            <w:pPr>
              <w:spacing w:after="0"/>
              <w:rPr>
                <w:sz w:val="15"/>
                <w:szCs w:val="15"/>
                <w:color w:val="auto"/>
              </w:rPr>
            </w:pPr>
          </w:p>
        </w:tc>
        <w:tc>
          <w:tcPr>
            <w:tcW w:w="920" w:type="dxa"/>
            <w:vAlign w:val="bottom"/>
            <w:shd w:val="clear" w:color="auto" w:fill="F4F6F6"/>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40" w:type="dxa"/>
            <w:vAlign w:val="bottom"/>
            <w:shd w:val="clear" w:color="auto" w:fill="F4F6F6"/>
          </w:tcPr>
          <w:p>
            <w:pPr>
              <w:ind w:left="20"/>
              <w:spacing w:after="0"/>
              <w:rPr>
                <w:sz w:val="20"/>
                <w:szCs w:val="20"/>
                <w:color w:val="auto"/>
              </w:rPr>
            </w:pPr>
            <w:r>
              <w:rPr>
                <w:rFonts w:ascii="Arial" w:cs="Arial" w:eastAsia="Arial" w:hAnsi="Arial"/>
                <w:sz w:val="14"/>
                <w:szCs w:val="14"/>
                <w:color w:val="auto"/>
              </w:rPr>
              <w:t>•</w:t>
            </w:r>
          </w:p>
        </w:tc>
        <w:tc>
          <w:tcPr>
            <w:tcW w:w="1800" w:type="dxa"/>
            <w:vAlign w:val="bottom"/>
            <w:shd w:val="clear" w:color="auto" w:fill="F4F6F6"/>
          </w:tcPr>
          <w:p>
            <w:pPr>
              <w:ind w:left="20"/>
              <w:spacing w:after="0"/>
              <w:rPr>
                <w:sz w:val="20"/>
                <w:szCs w:val="20"/>
                <w:color w:val="auto"/>
              </w:rPr>
            </w:pPr>
            <w:r>
              <w:rPr>
                <w:rFonts w:ascii="Arial" w:cs="Arial" w:eastAsia="Arial" w:hAnsi="Arial"/>
                <w:sz w:val="14"/>
                <w:szCs w:val="14"/>
                <w:color w:val="auto"/>
              </w:rPr>
              <w:t>termination</w:t>
            </w:r>
          </w:p>
        </w:tc>
        <w:tc>
          <w:tcPr>
            <w:tcW w:w="8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$0</w:t>
            </w:r>
          </w:p>
        </w:tc>
        <w:tc>
          <w:tcPr>
            <w:tcW w:w="13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$0</w:t>
            </w:r>
          </w:p>
        </w:tc>
        <w:tc>
          <w:tcPr>
            <w:tcW w:w="2880" w:type="dxa"/>
            <w:vAlign w:val="bottom"/>
            <w:shd w:val="clear" w:color="auto" w:fill="F4F6F6"/>
          </w:tcPr>
          <w:p>
            <w:pPr>
              <w:jc w:val="right"/>
              <w:ind w:right="128"/>
              <w:spacing w:after="0"/>
              <w:rPr>
                <w:sz w:val="20"/>
                <w:szCs w:val="20"/>
                <w:color w:val="auto"/>
              </w:rPr>
            </w:pPr>
            <w:r>
              <w:rPr>
                <w:rFonts w:ascii="Arial" w:cs="Arial" w:eastAsia="Arial" w:hAnsi="Arial"/>
                <w:sz w:val="14"/>
                <w:szCs w:val="14"/>
                <w:color w:val="auto"/>
              </w:rPr>
              <w:t>$919,627</w:t>
            </w:r>
          </w:p>
        </w:tc>
        <w:tc>
          <w:tcPr>
            <w:tcW w:w="920" w:type="dxa"/>
            <w:vAlign w:val="bottom"/>
            <w:shd w:val="clear" w:color="auto" w:fill="F4F6F6"/>
          </w:tcPr>
          <w:p>
            <w:pPr>
              <w:jc w:val="right"/>
              <w:spacing w:after="0"/>
              <w:rPr>
                <w:sz w:val="20"/>
                <w:szCs w:val="20"/>
                <w:color w:val="auto"/>
              </w:rPr>
            </w:pPr>
            <w:r>
              <w:rPr>
                <w:rFonts w:ascii="Arial" w:cs="Arial" w:eastAsia="Arial" w:hAnsi="Arial"/>
                <w:sz w:val="14"/>
                <w:szCs w:val="14"/>
                <w:color w:val="auto"/>
              </w:rPr>
              <w:t>$919,627</w:t>
            </w:r>
          </w:p>
        </w:tc>
        <w:tc>
          <w:tcPr>
            <w:tcW w:w="0" w:type="dxa"/>
            <w:vAlign w:val="bottom"/>
          </w:tcPr>
          <w:p>
            <w:pPr>
              <w:spacing w:after="0"/>
              <w:rPr>
                <w:sz w:val="1"/>
                <w:szCs w:val="1"/>
                <w:color w:val="auto"/>
              </w:rPr>
            </w:pPr>
          </w:p>
        </w:tc>
      </w:tr>
      <w:tr>
        <w:trPr>
          <w:trHeight w:val="184"/>
        </w:trPr>
        <w:tc>
          <w:tcPr>
            <w:tcW w:w="240" w:type="dxa"/>
            <w:vAlign w:val="bottom"/>
            <w:shd w:val="clear" w:color="auto" w:fill="F4F6F6"/>
          </w:tcPr>
          <w:p>
            <w:pPr>
              <w:spacing w:after="0"/>
              <w:rPr>
                <w:sz w:val="15"/>
                <w:szCs w:val="15"/>
                <w:color w:val="auto"/>
              </w:rPr>
            </w:pPr>
          </w:p>
        </w:tc>
        <w:tc>
          <w:tcPr>
            <w:tcW w:w="1800" w:type="dxa"/>
            <w:vAlign w:val="bottom"/>
            <w:shd w:val="clear" w:color="auto" w:fill="F4F6F6"/>
          </w:tcPr>
          <w:p>
            <w:pPr>
              <w:ind w:left="20"/>
              <w:spacing w:after="0"/>
              <w:rPr>
                <w:sz w:val="20"/>
                <w:szCs w:val="20"/>
                <w:color w:val="auto"/>
              </w:rPr>
            </w:pPr>
            <w:r>
              <w:rPr>
                <w:rFonts w:ascii="Arial" w:cs="Arial" w:eastAsia="Arial" w:hAnsi="Arial"/>
                <w:sz w:val="14"/>
                <w:szCs w:val="14"/>
                <w:color w:val="auto"/>
              </w:rPr>
              <w:t>Involuntary or good reason</w:t>
            </w:r>
          </w:p>
        </w:tc>
        <w:tc>
          <w:tcPr>
            <w:tcW w:w="880" w:type="dxa"/>
            <w:vAlign w:val="bottom"/>
            <w:shd w:val="clear" w:color="auto" w:fill="F4F6F6"/>
          </w:tcPr>
          <w:p>
            <w:pPr>
              <w:spacing w:after="0"/>
              <w:rPr>
                <w:sz w:val="15"/>
                <w:szCs w:val="15"/>
                <w:color w:val="auto"/>
              </w:rPr>
            </w:pPr>
          </w:p>
        </w:tc>
        <w:tc>
          <w:tcPr>
            <w:tcW w:w="1340" w:type="dxa"/>
            <w:vAlign w:val="bottom"/>
            <w:shd w:val="clear" w:color="auto" w:fill="F4F6F6"/>
          </w:tcPr>
          <w:p>
            <w:pPr>
              <w:spacing w:after="0"/>
              <w:rPr>
                <w:sz w:val="15"/>
                <w:szCs w:val="15"/>
                <w:color w:val="auto"/>
              </w:rPr>
            </w:pPr>
          </w:p>
        </w:tc>
        <w:tc>
          <w:tcPr>
            <w:tcW w:w="2880" w:type="dxa"/>
            <w:vAlign w:val="bottom"/>
            <w:shd w:val="clear" w:color="auto" w:fill="F4F6F6"/>
          </w:tcPr>
          <w:p>
            <w:pPr>
              <w:spacing w:after="0"/>
              <w:rPr>
                <w:sz w:val="15"/>
                <w:szCs w:val="15"/>
                <w:color w:val="auto"/>
              </w:rPr>
            </w:pPr>
          </w:p>
        </w:tc>
        <w:tc>
          <w:tcPr>
            <w:tcW w:w="920" w:type="dxa"/>
            <w:vAlign w:val="bottom"/>
            <w:shd w:val="clear" w:color="auto" w:fill="F4F6F6"/>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shd w:val="clear" w:color="auto" w:fill="F4F6F6"/>
          </w:tcPr>
          <w:p>
            <w:pPr>
              <w:spacing w:after="0"/>
              <w:rPr>
                <w:sz w:val="14"/>
                <w:szCs w:val="14"/>
                <w:color w:val="auto"/>
              </w:rPr>
            </w:pPr>
          </w:p>
        </w:tc>
        <w:tc>
          <w:tcPr>
            <w:tcW w:w="1800" w:type="dxa"/>
            <w:vAlign w:val="bottom"/>
            <w:shd w:val="clear" w:color="auto" w:fill="F4F6F6"/>
          </w:tcPr>
          <w:p>
            <w:pPr>
              <w:ind w:left="20"/>
              <w:spacing w:after="0"/>
              <w:rPr>
                <w:sz w:val="20"/>
                <w:szCs w:val="20"/>
                <w:color w:val="auto"/>
              </w:rPr>
            </w:pPr>
            <w:r>
              <w:rPr>
                <w:rFonts w:ascii="Arial" w:cs="Arial" w:eastAsia="Arial" w:hAnsi="Arial"/>
                <w:sz w:val="14"/>
                <w:szCs w:val="14"/>
                <w:color w:val="auto"/>
              </w:rPr>
              <w:t>termination after change in</w:t>
            </w:r>
          </w:p>
        </w:tc>
        <w:tc>
          <w:tcPr>
            <w:tcW w:w="880" w:type="dxa"/>
            <w:vAlign w:val="bottom"/>
            <w:shd w:val="clear" w:color="auto" w:fill="F4F6F6"/>
          </w:tcPr>
          <w:p>
            <w:pPr>
              <w:spacing w:after="0"/>
              <w:rPr>
                <w:sz w:val="14"/>
                <w:szCs w:val="14"/>
                <w:color w:val="auto"/>
              </w:rPr>
            </w:pPr>
          </w:p>
        </w:tc>
        <w:tc>
          <w:tcPr>
            <w:tcW w:w="1340" w:type="dxa"/>
            <w:vAlign w:val="bottom"/>
            <w:shd w:val="clear" w:color="auto" w:fill="F4F6F6"/>
          </w:tcPr>
          <w:p>
            <w:pPr>
              <w:spacing w:after="0"/>
              <w:rPr>
                <w:sz w:val="14"/>
                <w:szCs w:val="14"/>
                <w:color w:val="auto"/>
              </w:rPr>
            </w:pPr>
          </w:p>
        </w:tc>
        <w:tc>
          <w:tcPr>
            <w:tcW w:w="2880" w:type="dxa"/>
            <w:vAlign w:val="bottom"/>
            <w:shd w:val="clear" w:color="auto" w:fill="F4F6F6"/>
          </w:tcPr>
          <w:p>
            <w:pPr>
              <w:spacing w:after="0"/>
              <w:rPr>
                <w:sz w:val="14"/>
                <w:szCs w:val="14"/>
                <w:color w:val="auto"/>
              </w:rPr>
            </w:pPr>
          </w:p>
        </w:tc>
        <w:tc>
          <w:tcPr>
            <w:tcW w:w="920" w:type="dxa"/>
            <w:vAlign w:val="bottom"/>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control</w:t>
            </w:r>
          </w:p>
        </w:tc>
        <w:tc>
          <w:tcPr>
            <w:tcW w:w="88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$3,412,500</w:t>
            </w:r>
          </w:p>
        </w:tc>
        <w:tc>
          <w:tcPr>
            <w:tcW w:w="134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$47,892</w:t>
            </w:r>
          </w:p>
        </w:tc>
        <w:tc>
          <w:tcPr>
            <w:tcW w:w="2880" w:type="dxa"/>
            <w:vAlign w:val="bottom"/>
            <w:tcBorders>
              <w:bottom w:val="single" w:sz="8" w:color="C8C9CB"/>
            </w:tcBorders>
            <w:shd w:val="clear" w:color="auto" w:fill="F4F6F6"/>
          </w:tcPr>
          <w:p>
            <w:pPr>
              <w:jc w:val="right"/>
              <w:ind w:right="128"/>
              <w:spacing w:after="0"/>
              <w:rPr>
                <w:sz w:val="20"/>
                <w:szCs w:val="20"/>
                <w:color w:val="auto"/>
              </w:rPr>
            </w:pPr>
            <w:r>
              <w:rPr>
                <w:rFonts w:ascii="Arial" w:cs="Arial" w:eastAsia="Arial" w:hAnsi="Arial"/>
                <w:sz w:val="14"/>
                <w:szCs w:val="14"/>
                <w:color w:val="auto"/>
              </w:rPr>
              <w:t>$9,874,445</w:t>
            </w:r>
          </w:p>
        </w:tc>
        <w:tc>
          <w:tcPr>
            <w:tcW w:w="92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$13,334,837</w:t>
            </w:r>
          </w:p>
        </w:tc>
        <w:tc>
          <w:tcPr>
            <w:tcW w:w="0" w:type="dxa"/>
            <w:vAlign w:val="bottom"/>
          </w:tcPr>
          <w:p>
            <w:pPr>
              <w:spacing w:after="0"/>
              <w:rPr>
                <w:sz w:val="1"/>
                <w:szCs w:val="1"/>
                <w:color w:val="auto"/>
              </w:rPr>
            </w:pPr>
          </w:p>
        </w:tc>
      </w:tr>
      <w:tr>
        <w:trPr>
          <w:trHeight w:val="260"/>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Mr. Harrington</w:t>
            </w: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Involuntary retirement or</w:t>
            </w: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80" w:type="dxa"/>
            <w:vAlign w:val="bottom"/>
            <w:vMerge w:val="restart"/>
          </w:tcPr>
          <w:p>
            <w:pPr>
              <w:jc w:val="right"/>
              <w:ind w:right="8"/>
              <w:spacing w:after="0"/>
              <w:rPr>
                <w:sz w:val="20"/>
                <w:szCs w:val="20"/>
                <w:color w:val="auto"/>
              </w:rPr>
            </w:pPr>
            <w:r>
              <w:rPr>
                <w:rFonts w:ascii="Arial" w:cs="Arial" w:eastAsia="Arial" w:hAnsi="Arial"/>
                <w:sz w:val="14"/>
                <w:szCs w:val="14"/>
                <w:color w:val="auto"/>
              </w:rPr>
              <w:t xml:space="preserve">$3,650,156 </w:t>
            </w:r>
            <w:r>
              <w:rPr>
                <w:rFonts w:ascii="Arial" w:cs="Arial" w:eastAsia="Arial" w:hAnsi="Arial"/>
                <w:sz w:val="23"/>
                <w:szCs w:val="23"/>
                <w:color w:val="auto"/>
                <w:vertAlign w:val="superscript"/>
              </w:rPr>
              <w:t>3</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800" w:type="dxa"/>
            <w:vAlign w:val="bottom"/>
          </w:tcPr>
          <w:p>
            <w:pPr>
              <w:ind w:left="20"/>
              <w:spacing w:after="0"/>
              <w:rPr>
                <w:sz w:val="20"/>
                <w:szCs w:val="20"/>
                <w:color w:val="auto"/>
              </w:rPr>
            </w:pPr>
            <w:r>
              <w:rPr>
                <w:rFonts w:ascii="Arial" w:cs="Arial" w:eastAsia="Arial" w:hAnsi="Arial"/>
                <w:sz w:val="14"/>
                <w:szCs w:val="14"/>
                <w:color w:val="auto"/>
              </w:rPr>
              <w:t>termination</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1340" w:type="dxa"/>
            <w:vAlign w:val="bottom"/>
          </w:tcPr>
          <w:p>
            <w:pPr>
              <w:jc w:val="right"/>
              <w:spacing w:after="0"/>
              <w:rPr>
                <w:sz w:val="20"/>
                <w:szCs w:val="20"/>
                <w:color w:val="auto"/>
              </w:rPr>
            </w:pPr>
            <w:r>
              <w:rPr>
                <w:rFonts w:ascii="Arial" w:cs="Arial" w:eastAsia="Arial" w:hAnsi="Arial"/>
                <w:sz w:val="14"/>
                <w:szCs w:val="14"/>
                <w:color w:val="auto"/>
              </w:rPr>
              <w:t>$0</w:t>
            </w:r>
          </w:p>
        </w:tc>
        <w:tc>
          <w:tcPr>
            <w:tcW w:w="288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$3,650,156</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Involuntary or good reason</w:t>
            </w: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termination after change in</w:t>
            </w: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C8C9CB"/>
            </w:tcBorders>
          </w:tcPr>
          <w:p>
            <w:pPr>
              <w:ind w:left="20"/>
              <w:spacing w:after="0"/>
              <w:rPr>
                <w:sz w:val="20"/>
                <w:szCs w:val="20"/>
                <w:color w:val="auto"/>
              </w:rPr>
            </w:pPr>
            <w:r>
              <w:rPr>
                <w:rFonts w:ascii="Arial" w:cs="Arial" w:eastAsia="Arial" w:hAnsi="Arial"/>
                <w:sz w:val="14"/>
                <w:szCs w:val="14"/>
                <w:color w:val="auto"/>
              </w:rPr>
              <w:t>control</w:t>
            </w:r>
          </w:p>
        </w:tc>
        <w:tc>
          <w:tcPr>
            <w:tcW w:w="880" w:type="dxa"/>
            <w:vAlign w:val="bottom"/>
            <w:tcBorders>
              <w:bottom w:val="single" w:sz="8" w:color="C8C9CB"/>
            </w:tcBorders>
          </w:tcPr>
          <w:p>
            <w:pPr>
              <w:jc w:val="right"/>
              <w:spacing w:after="0"/>
              <w:rPr>
                <w:sz w:val="20"/>
                <w:szCs w:val="20"/>
                <w:color w:val="auto"/>
              </w:rPr>
            </w:pPr>
            <w:r>
              <w:rPr>
                <w:rFonts w:ascii="Arial" w:cs="Arial" w:eastAsia="Arial" w:hAnsi="Arial"/>
                <w:sz w:val="14"/>
                <w:szCs w:val="14"/>
                <w:color w:val="auto"/>
              </w:rPr>
              <w:t>$3,097,080</w:t>
            </w:r>
          </w:p>
        </w:tc>
        <w:tc>
          <w:tcPr>
            <w:tcW w:w="1340" w:type="dxa"/>
            <w:vAlign w:val="bottom"/>
            <w:tcBorders>
              <w:bottom w:val="single" w:sz="8" w:color="C8C9CB"/>
            </w:tcBorders>
          </w:tcPr>
          <w:p>
            <w:pPr>
              <w:jc w:val="right"/>
              <w:spacing w:after="0"/>
              <w:rPr>
                <w:sz w:val="20"/>
                <w:szCs w:val="20"/>
                <w:color w:val="auto"/>
              </w:rPr>
            </w:pPr>
            <w:r>
              <w:rPr>
                <w:rFonts w:ascii="Arial" w:cs="Arial" w:eastAsia="Arial" w:hAnsi="Arial"/>
                <w:sz w:val="14"/>
                <w:szCs w:val="14"/>
                <w:color w:val="auto"/>
              </w:rPr>
              <w:t>$35,919</w:t>
            </w:r>
          </w:p>
        </w:tc>
        <w:tc>
          <w:tcPr>
            <w:tcW w:w="2880" w:type="dxa"/>
            <w:vAlign w:val="bottom"/>
            <w:tcBorders>
              <w:bottom w:val="single" w:sz="8" w:color="C8C9CB"/>
            </w:tcBorders>
          </w:tcPr>
          <w:p>
            <w:pPr>
              <w:jc w:val="right"/>
              <w:ind w:right="128"/>
              <w:spacing w:after="0"/>
              <w:rPr>
                <w:sz w:val="20"/>
                <w:szCs w:val="20"/>
                <w:color w:val="auto"/>
              </w:rPr>
            </w:pPr>
            <w:r>
              <w:rPr>
                <w:rFonts w:ascii="Arial" w:cs="Arial" w:eastAsia="Arial" w:hAnsi="Arial"/>
                <w:sz w:val="14"/>
                <w:szCs w:val="14"/>
                <w:color w:val="auto"/>
              </w:rPr>
              <w:t>$16,967,734</w:t>
            </w:r>
          </w:p>
        </w:tc>
        <w:tc>
          <w:tcPr>
            <w:tcW w:w="920" w:type="dxa"/>
            <w:vAlign w:val="bottom"/>
            <w:tcBorders>
              <w:bottom w:val="single" w:sz="8" w:color="C8C9CB"/>
            </w:tcBorders>
          </w:tcPr>
          <w:p>
            <w:pPr>
              <w:jc w:val="right"/>
              <w:spacing w:after="0"/>
              <w:rPr>
                <w:sz w:val="20"/>
                <w:szCs w:val="20"/>
                <w:color w:val="auto"/>
              </w:rPr>
            </w:pPr>
            <w:r>
              <w:rPr>
                <w:rFonts w:ascii="Arial" w:cs="Arial" w:eastAsia="Arial" w:hAnsi="Arial"/>
                <w:sz w:val="14"/>
                <w:szCs w:val="14"/>
                <w:color w:val="auto"/>
              </w:rPr>
              <w:t>$20,100,733</w:t>
            </w:r>
          </w:p>
        </w:tc>
        <w:tc>
          <w:tcPr>
            <w:tcW w:w="0" w:type="dxa"/>
            <w:vAlign w:val="bottom"/>
          </w:tcPr>
          <w:p>
            <w:pPr>
              <w:spacing w:after="0"/>
              <w:rPr>
                <w:sz w:val="1"/>
                <w:szCs w:val="1"/>
                <w:color w:val="auto"/>
              </w:rPr>
            </w:pPr>
          </w:p>
        </w:tc>
      </w:tr>
      <w:tr>
        <w:trPr>
          <w:trHeight w:val="260"/>
        </w:trPr>
        <w:tc>
          <w:tcPr>
            <w:tcW w:w="2040" w:type="dxa"/>
            <w:vAlign w:val="bottom"/>
            <w:gridSpan w:val="2"/>
            <w:shd w:val="clear" w:color="auto" w:fill="F4F6F6"/>
          </w:tcPr>
          <w:p>
            <w:pPr>
              <w:ind w:left="20"/>
              <w:spacing w:after="0"/>
              <w:rPr>
                <w:sz w:val="20"/>
                <w:szCs w:val="20"/>
                <w:color w:val="auto"/>
              </w:rPr>
            </w:pPr>
            <w:r>
              <w:rPr>
                <w:rFonts w:ascii="Arial" w:cs="Arial" w:eastAsia="Arial" w:hAnsi="Arial"/>
                <w:sz w:val="14"/>
                <w:szCs w:val="14"/>
                <w:color w:val="auto"/>
              </w:rPr>
              <w:t>Mr. Conterno</w:t>
            </w:r>
          </w:p>
        </w:tc>
        <w:tc>
          <w:tcPr>
            <w:tcW w:w="880" w:type="dxa"/>
            <w:vAlign w:val="bottom"/>
            <w:shd w:val="clear" w:color="auto" w:fill="F4F6F6"/>
          </w:tcPr>
          <w:p>
            <w:pPr>
              <w:spacing w:after="0"/>
              <w:rPr>
                <w:sz w:val="22"/>
                <w:szCs w:val="22"/>
                <w:color w:val="auto"/>
              </w:rPr>
            </w:pPr>
          </w:p>
        </w:tc>
        <w:tc>
          <w:tcPr>
            <w:tcW w:w="1340" w:type="dxa"/>
            <w:vAlign w:val="bottom"/>
            <w:shd w:val="clear" w:color="auto" w:fill="F4F6F6"/>
          </w:tcPr>
          <w:p>
            <w:pPr>
              <w:spacing w:after="0"/>
              <w:rPr>
                <w:sz w:val="22"/>
                <w:szCs w:val="22"/>
                <w:color w:val="auto"/>
              </w:rPr>
            </w:pPr>
          </w:p>
        </w:tc>
        <w:tc>
          <w:tcPr>
            <w:tcW w:w="2880" w:type="dxa"/>
            <w:vAlign w:val="bottom"/>
            <w:shd w:val="clear" w:color="auto" w:fill="F4F6F6"/>
          </w:tcPr>
          <w:p>
            <w:pPr>
              <w:spacing w:after="0"/>
              <w:rPr>
                <w:sz w:val="22"/>
                <w:szCs w:val="22"/>
                <w:color w:val="auto"/>
              </w:rPr>
            </w:pPr>
          </w:p>
        </w:tc>
        <w:tc>
          <w:tcPr>
            <w:tcW w:w="920" w:type="dxa"/>
            <w:vAlign w:val="bottom"/>
            <w:shd w:val="clear" w:color="auto" w:fill="F4F6F6"/>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40" w:type="dxa"/>
            <w:vAlign w:val="bottom"/>
            <w:shd w:val="clear" w:color="auto" w:fill="F4F6F6"/>
          </w:tcPr>
          <w:p>
            <w:pPr>
              <w:spacing w:after="0"/>
              <w:rPr>
                <w:sz w:val="15"/>
                <w:szCs w:val="15"/>
                <w:color w:val="auto"/>
              </w:rPr>
            </w:pPr>
          </w:p>
        </w:tc>
        <w:tc>
          <w:tcPr>
            <w:tcW w:w="1800" w:type="dxa"/>
            <w:vAlign w:val="bottom"/>
            <w:shd w:val="clear" w:color="auto" w:fill="F4F6F6"/>
          </w:tcPr>
          <w:p>
            <w:pPr>
              <w:ind w:left="20"/>
              <w:spacing w:after="0"/>
              <w:rPr>
                <w:sz w:val="20"/>
                <w:szCs w:val="20"/>
                <w:color w:val="auto"/>
              </w:rPr>
            </w:pPr>
            <w:r>
              <w:rPr>
                <w:rFonts w:ascii="Arial" w:cs="Arial" w:eastAsia="Arial" w:hAnsi="Arial"/>
                <w:sz w:val="14"/>
                <w:szCs w:val="14"/>
                <w:color w:val="auto"/>
              </w:rPr>
              <w:t>Involuntary retirement or</w:t>
            </w:r>
          </w:p>
        </w:tc>
        <w:tc>
          <w:tcPr>
            <w:tcW w:w="880" w:type="dxa"/>
            <w:vAlign w:val="bottom"/>
            <w:shd w:val="clear" w:color="auto" w:fill="F4F6F6"/>
          </w:tcPr>
          <w:p>
            <w:pPr>
              <w:spacing w:after="0"/>
              <w:rPr>
                <w:sz w:val="15"/>
                <w:szCs w:val="15"/>
                <w:color w:val="auto"/>
              </w:rPr>
            </w:pPr>
          </w:p>
        </w:tc>
        <w:tc>
          <w:tcPr>
            <w:tcW w:w="1340" w:type="dxa"/>
            <w:vAlign w:val="bottom"/>
            <w:shd w:val="clear" w:color="auto" w:fill="F4F6F6"/>
          </w:tcPr>
          <w:p>
            <w:pPr>
              <w:spacing w:after="0"/>
              <w:rPr>
                <w:sz w:val="15"/>
                <w:szCs w:val="15"/>
                <w:color w:val="auto"/>
              </w:rPr>
            </w:pPr>
          </w:p>
        </w:tc>
        <w:tc>
          <w:tcPr>
            <w:tcW w:w="2880" w:type="dxa"/>
            <w:vAlign w:val="bottom"/>
            <w:shd w:val="clear" w:color="auto" w:fill="F4F6F6"/>
          </w:tcPr>
          <w:p>
            <w:pPr>
              <w:spacing w:after="0"/>
              <w:rPr>
                <w:sz w:val="15"/>
                <w:szCs w:val="15"/>
                <w:color w:val="auto"/>
              </w:rPr>
            </w:pPr>
          </w:p>
        </w:tc>
        <w:tc>
          <w:tcPr>
            <w:tcW w:w="920" w:type="dxa"/>
            <w:vAlign w:val="bottom"/>
            <w:shd w:val="clear" w:color="auto" w:fill="F4F6F6"/>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40" w:type="dxa"/>
            <w:vAlign w:val="bottom"/>
            <w:shd w:val="clear" w:color="auto" w:fill="F4F6F6"/>
          </w:tcPr>
          <w:p>
            <w:pPr>
              <w:ind w:left="20"/>
              <w:spacing w:after="0"/>
              <w:rPr>
                <w:sz w:val="20"/>
                <w:szCs w:val="20"/>
                <w:color w:val="auto"/>
              </w:rPr>
            </w:pPr>
            <w:r>
              <w:rPr>
                <w:rFonts w:ascii="Arial" w:cs="Arial" w:eastAsia="Arial" w:hAnsi="Arial"/>
                <w:sz w:val="14"/>
                <w:szCs w:val="14"/>
                <w:color w:val="auto"/>
              </w:rPr>
              <w:t>•</w:t>
            </w:r>
          </w:p>
        </w:tc>
        <w:tc>
          <w:tcPr>
            <w:tcW w:w="1800" w:type="dxa"/>
            <w:vAlign w:val="bottom"/>
            <w:shd w:val="clear" w:color="auto" w:fill="F4F6F6"/>
          </w:tcPr>
          <w:p>
            <w:pPr>
              <w:ind w:left="20"/>
              <w:spacing w:after="0"/>
              <w:rPr>
                <w:sz w:val="20"/>
                <w:szCs w:val="20"/>
                <w:color w:val="auto"/>
              </w:rPr>
            </w:pPr>
            <w:r>
              <w:rPr>
                <w:rFonts w:ascii="Arial" w:cs="Arial" w:eastAsia="Arial" w:hAnsi="Arial"/>
                <w:sz w:val="14"/>
                <w:szCs w:val="14"/>
                <w:color w:val="auto"/>
              </w:rPr>
              <w:t>termination</w:t>
            </w:r>
          </w:p>
        </w:tc>
        <w:tc>
          <w:tcPr>
            <w:tcW w:w="8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$0</w:t>
            </w:r>
          </w:p>
        </w:tc>
        <w:tc>
          <w:tcPr>
            <w:tcW w:w="13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$0</w:t>
            </w:r>
          </w:p>
        </w:tc>
        <w:tc>
          <w:tcPr>
            <w:tcW w:w="2880" w:type="dxa"/>
            <w:vAlign w:val="bottom"/>
            <w:shd w:val="clear" w:color="auto" w:fill="F4F6F6"/>
          </w:tcPr>
          <w:p>
            <w:pPr>
              <w:jc w:val="right"/>
              <w:ind w:right="128"/>
              <w:spacing w:after="0"/>
              <w:rPr>
                <w:sz w:val="20"/>
                <w:szCs w:val="20"/>
                <w:color w:val="auto"/>
              </w:rPr>
            </w:pPr>
            <w:r>
              <w:rPr>
                <w:rFonts w:ascii="Arial" w:cs="Arial" w:eastAsia="Arial" w:hAnsi="Arial"/>
                <w:sz w:val="14"/>
                <w:szCs w:val="14"/>
                <w:color w:val="auto"/>
              </w:rPr>
              <w:t>$7,780,318</w:t>
            </w:r>
          </w:p>
        </w:tc>
        <w:tc>
          <w:tcPr>
            <w:tcW w:w="920" w:type="dxa"/>
            <w:vAlign w:val="bottom"/>
            <w:shd w:val="clear" w:color="auto" w:fill="F4F6F6"/>
          </w:tcPr>
          <w:p>
            <w:pPr>
              <w:jc w:val="right"/>
              <w:spacing w:after="0"/>
              <w:rPr>
                <w:sz w:val="20"/>
                <w:szCs w:val="20"/>
                <w:color w:val="auto"/>
              </w:rPr>
            </w:pPr>
            <w:r>
              <w:rPr>
                <w:rFonts w:ascii="Arial" w:cs="Arial" w:eastAsia="Arial" w:hAnsi="Arial"/>
                <w:sz w:val="14"/>
                <w:szCs w:val="14"/>
                <w:color w:val="auto"/>
              </w:rPr>
              <w:t>$7,780,318</w:t>
            </w:r>
          </w:p>
        </w:tc>
        <w:tc>
          <w:tcPr>
            <w:tcW w:w="0" w:type="dxa"/>
            <w:vAlign w:val="bottom"/>
          </w:tcPr>
          <w:p>
            <w:pPr>
              <w:spacing w:after="0"/>
              <w:rPr>
                <w:sz w:val="1"/>
                <w:szCs w:val="1"/>
                <w:color w:val="auto"/>
              </w:rPr>
            </w:pPr>
          </w:p>
        </w:tc>
      </w:tr>
      <w:tr>
        <w:trPr>
          <w:trHeight w:val="184"/>
        </w:trPr>
        <w:tc>
          <w:tcPr>
            <w:tcW w:w="240" w:type="dxa"/>
            <w:vAlign w:val="bottom"/>
            <w:shd w:val="clear" w:color="auto" w:fill="F4F6F6"/>
          </w:tcPr>
          <w:p>
            <w:pPr>
              <w:spacing w:after="0"/>
              <w:rPr>
                <w:sz w:val="15"/>
                <w:szCs w:val="15"/>
                <w:color w:val="auto"/>
              </w:rPr>
            </w:pPr>
          </w:p>
        </w:tc>
        <w:tc>
          <w:tcPr>
            <w:tcW w:w="1800" w:type="dxa"/>
            <w:vAlign w:val="bottom"/>
            <w:shd w:val="clear" w:color="auto" w:fill="F4F6F6"/>
          </w:tcPr>
          <w:p>
            <w:pPr>
              <w:ind w:left="20"/>
              <w:spacing w:after="0"/>
              <w:rPr>
                <w:sz w:val="20"/>
                <w:szCs w:val="20"/>
                <w:color w:val="auto"/>
              </w:rPr>
            </w:pPr>
            <w:r>
              <w:rPr>
                <w:rFonts w:ascii="Arial" w:cs="Arial" w:eastAsia="Arial" w:hAnsi="Arial"/>
                <w:sz w:val="14"/>
                <w:szCs w:val="14"/>
                <w:color w:val="auto"/>
              </w:rPr>
              <w:t>Involuntary or good reason</w:t>
            </w:r>
          </w:p>
        </w:tc>
        <w:tc>
          <w:tcPr>
            <w:tcW w:w="880" w:type="dxa"/>
            <w:vAlign w:val="bottom"/>
            <w:shd w:val="clear" w:color="auto" w:fill="F4F6F6"/>
          </w:tcPr>
          <w:p>
            <w:pPr>
              <w:spacing w:after="0"/>
              <w:rPr>
                <w:sz w:val="15"/>
                <w:szCs w:val="15"/>
                <w:color w:val="auto"/>
              </w:rPr>
            </w:pPr>
          </w:p>
        </w:tc>
        <w:tc>
          <w:tcPr>
            <w:tcW w:w="1340" w:type="dxa"/>
            <w:vAlign w:val="bottom"/>
            <w:shd w:val="clear" w:color="auto" w:fill="F4F6F6"/>
          </w:tcPr>
          <w:p>
            <w:pPr>
              <w:spacing w:after="0"/>
              <w:rPr>
                <w:sz w:val="15"/>
                <w:szCs w:val="15"/>
                <w:color w:val="auto"/>
              </w:rPr>
            </w:pPr>
          </w:p>
        </w:tc>
        <w:tc>
          <w:tcPr>
            <w:tcW w:w="2880" w:type="dxa"/>
            <w:vAlign w:val="bottom"/>
            <w:shd w:val="clear" w:color="auto" w:fill="F4F6F6"/>
          </w:tcPr>
          <w:p>
            <w:pPr>
              <w:spacing w:after="0"/>
              <w:rPr>
                <w:sz w:val="15"/>
                <w:szCs w:val="15"/>
                <w:color w:val="auto"/>
              </w:rPr>
            </w:pPr>
          </w:p>
        </w:tc>
        <w:tc>
          <w:tcPr>
            <w:tcW w:w="920" w:type="dxa"/>
            <w:vAlign w:val="bottom"/>
            <w:shd w:val="clear" w:color="auto" w:fill="F4F6F6"/>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shd w:val="clear" w:color="auto" w:fill="F4F6F6"/>
          </w:tcPr>
          <w:p>
            <w:pPr>
              <w:spacing w:after="0"/>
              <w:rPr>
                <w:sz w:val="14"/>
                <w:szCs w:val="14"/>
                <w:color w:val="auto"/>
              </w:rPr>
            </w:pPr>
          </w:p>
        </w:tc>
        <w:tc>
          <w:tcPr>
            <w:tcW w:w="1800" w:type="dxa"/>
            <w:vAlign w:val="bottom"/>
            <w:shd w:val="clear" w:color="auto" w:fill="F4F6F6"/>
          </w:tcPr>
          <w:p>
            <w:pPr>
              <w:ind w:left="20"/>
              <w:spacing w:after="0"/>
              <w:rPr>
                <w:sz w:val="20"/>
                <w:szCs w:val="20"/>
                <w:color w:val="auto"/>
              </w:rPr>
            </w:pPr>
            <w:r>
              <w:rPr>
                <w:rFonts w:ascii="Arial" w:cs="Arial" w:eastAsia="Arial" w:hAnsi="Arial"/>
                <w:sz w:val="14"/>
                <w:szCs w:val="14"/>
                <w:color w:val="auto"/>
              </w:rPr>
              <w:t>termination after change in</w:t>
            </w:r>
          </w:p>
        </w:tc>
        <w:tc>
          <w:tcPr>
            <w:tcW w:w="880" w:type="dxa"/>
            <w:vAlign w:val="bottom"/>
            <w:shd w:val="clear" w:color="auto" w:fill="F4F6F6"/>
          </w:tcPr>
          <w:p>
            <w:pPr>
              <w:spacing w:after="0"/>
              <w:rPr>
                <w:sz w:val="14"/>
                <w:szCs w:val="14"/>
                <w:color w:val="auto"/>
              </w:rPr>
            </w:pPr>
          </w:p>
        </w:tc>
        <w:tc>
          <w:tcPr>
            <w:tcW w:w="1340" w:type="dxa"/>
            <w:vAlign w:val="bottom"/>
            <w:shd w:val="clear" w:color="auto" w:fill="F4F6F6"/>
          </w:tcPr>
          <w:p>
            <w:pPr>
              <w:spacing w:after="0"/>
              <w:rPr>
                <w:sz w:val="14"/>
                <w:szCs w:val="14"/>
                <w:color w:val="auto"/>
              </w:rPr>
            </w:pPr>
          </w:p>
        </w:tc>
        <w:tc>
          <w:tcPr>
            <w:tcW w:w="2880" w:type="dxa"/>
            <w:vAlign w:val="bottom"/>
            <w:shd w:val="clear" w:color="auto" w:fill="F4F6F6"/>
          </w:tcPr>
          <w:p>
            <w:pPr>
              <w:spacing w:after="0"/>
              <w:rPr>
                <w:sz w:val="14"/>
                <w:szCs w:val="14"/>
                <w:color w:val="auto"/>
              </w:rPr>
            </w:pPr>
          </w:p>
        </w:tc>
        <w:tc>
          <w:tcPr>
            <w:tcW w:w="920" w:type="dxa"/>
            <w:vAlign w:val="bottom"/>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control</w:t>
            </w:r>
          </w:p>
        </w:tc>
        <w:tc>
          <w:tcPr>
            <w:tcW w:w="88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$2,880,000</w:t>
            </w:r>
          </w:p>
        </w:tc>
        <w:tc>
          <w:tcPr>
            <w:tcW w:w="134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$268,226</w:t>
            </w:r>
          </w:p>
        </w:tc>
        <w:tc>
          <w:tcPr>
            <w:tcW w:w="2880" w:type="dxa"/>
            <w:vAlign w:val="bottom"/>
            <w:tcBorders>
              <w:bottom w:val="single" w:sz="8" w:color="C8C9CB"/>
            </w:tcBorders>
            <w:shd w:val="clear" w:color="auto" w:fill="F4F6F6"/>
          </w:tcPr>
          <w:p>
            <w:pPr>
              <w:jc w:val="right"/>
              <w:ind w:right="128"/>
              <w:spacing w:after="0"/>
              <w:rPr>
                <w:sz w:val="20"/>
                <w:szCs w:val="20"/>
                <w:color w:val="auto"/>
              </w:rPr>
            </w:pPr>
            <w:r>
              <w:rPr>
                <w:rFonts w:ascii="Arial" w:cs="Arial" w:eastAsia="Arial" w:hAnsi="Arial"/>
                <w:sz w:val="14"/>
                <w:szCs w:val="14"/>
                <w:color w:val="auto"/>
              </w:rPr>
              <w:t>$21,655,332</w:t>
            </w:r>
          </w:p>
        </w:tc>
        <w:tc>
          <w:tcPr>
            <w:tcW w:w="92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$24,803,558</w:t>
            </w:r>
          </w:p>
        </w:tc>
        <w:tc>
          <w:tcPr>
            <w:tcW w:w="0" w:type="dxa"/>
            <w:vAlign w:val="bottom"/>
          </w:tcPr>
          <w:p>
            <w:pPr>
              <w:spacing w:after="0"/>
              <w:rPr>
                <w:sz w:val="1"/>
                <w:szCs w:val="1"/>
                <w:color w:val="auto"/>
              </w:rPr>
            </w:pPr>
          </w:p>
        </w:tc>
      </w:tr>
      <w:tr>
        <w:trPr>
          <w:trHeight w:val="260"/>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Dr. Skovronsky</w:t>
            </w: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Involuntary retirement or</w:t>
            </w: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800" w:type="dxa"/>
            <w:vAlign w:val="bottom"/>
          </w:tcPr>
          <w:p>
            <w:pPr>
              <w:ind w:left="20"/>
              <w:spacing w:after="0"/>
              <w:rPr>
                <w:sz w:val="20"/>
                <w:szCs w:val="20"/>
                <w:color w:val="auto"/>
              </w:rPr>
            </w:pPr>
            <w:r>
              <w:rPr>
                <w:rFonts w:ascii="Arial" w:cs="Arial" w:eastAsia="Arial" w:hAnsi="Arial"/>
                <w:sz w:val="14"/>
                <w:szCs w:val="14"/>
                <w:color w:val="auto"/>
              </w:rPr>
              <w:t>termination</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1340" w:type="dxa"/>
            <w:vAlign w:val="bottom"/>
          </w:tcPr>
          <w:p>
            <w:pPr>
              <w:jc w:val="right"/>
              <w:spacing w:after="0"/>
              <w:rPr>
                <w:sz w:val="20"/>
                <w:szCs w:val="20"/>
                <w:color w:val="auto"/>
              </w:rPr>
            </w:pPr>
            <w:r>
              <w:rPr>
                <w:rFonts w:ascii="Arial" w:cs="Arial" w:eastAsia="Arial" w:hAnsi="Arial"/>
                <w:sz w:val="14"/>
                <w:szCs w:val="14"/>
                <w:color w:val="auto"/>
              </w:rPr>
              <w:t>$0</w:t>
            </w:r>
          </w:p>
        </w:tc>
        <w:tc>
          <w:tcPr>
            <w:tcW w:w="288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92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Involuntary or good reason</w:t>
            </w: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termination after change in</w:t>
            </w: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control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$3,510,000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$41,386</w:t>
            </w:r>
          </w:p>
        </w:tc>
        <w:tc>
          <w:tcPr>
            <w:tcW w:w="2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$8,719,409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$12,270,795</w:t>
            </w:r>
          </w:p>
        </w:tc>
        <w:tc>
          <w:tcPr>
            <w:tcW w:w="0" w:type="dxa"/>
            <w:vAlign w:val="bottom"/>
          </w:tcPr>
          <w:p>
            <w:pPr>
              <w:spacing w:after="0"/>
              <w:rPr>
                <w:sz w:val="1"/>
                <w:szCs w:val="1"/>
                <w:color w:val="auto"/>
              </w:rPr>
            </w:pPr>
          </w:p>
        </w:tc>
      </w:tr>
      <w:tr>
        <w:trPr>
          <w:trHeight w:val="260"/>
        </w:trPr>
        <w:tc>
          <w:tcPr>
            <w:tcW w:w="2040" w:type="dxa"/>
            <w:vAlign w:val="bottom"/>
            <w:gridSpan w:val="2"/>
            <w:shd w:val="clear" w:color="auto" w:fill="F4F6F6"/>
          </w:tcPr>
          <w:p>
            <w:pPr>
              <w:ind w:left="20"/>
              <w:spacing w:after="0"/>
              <w:rPr>
                <w:sz w:val="20"/>
                <w:szCs w:val="20"/>
                <w:color w:val="auto"/>
              </w:rPr>
            </w:pPr>
            <w:r>
              <w:rPr>
                <w:rFonts w:ascii="Arial" w:cs="Arial" w:eastAsia="Arial" w:hAnsi="Arial"/>
                <w:sz w:val="14"/>
                <w:szCs w:val="14"/>
                <w:color w:val="auto"/>
              </w:rPr>
              <w:t>Mr. Simmons</w:t>
            </w:r>
          </w:p>
        </w:tc>
        <w:tc>
          <w:tcPr>
            <w:tcW w:w="880" w:type="dxa"/>
            <w:vAlign w:val="bottom"/>
            <w:shd w:val="clear" w:color="auto" w:fill="F4F6F6"/>
          </w:tcPr>
          <w:p>
            <w:pPr>
              <w:spacing w:after="0"/>
              <w:rPr>
                <w:sz w:val="22"/>
                <w:szCs w:val="22"/>
                <w:color w:val="auto"/>
              </w:rPr>
            </w:pPr>
          </w:p>
        </w:tc>
        <w:tc>
          <w:tcPr>
            <w:tcW w:w="1340" w:type="dxa"/>
            <w:vAlign w:val="bottom"/>
            <w:shd w:val="clear" w:color="auto" w:fill="F4F6F6"/>
          </w:tcPr>
          <w:p>
            <w:pPr>
              <w:spacing w:after="0"/>
              <w:rPr>
                <w:sz w:val="22"/>
                <w:szCs w:val="22"/>
                <w:color w:val="auto"/>
              </w:rPr>
            </w:pPr>
          </w:p>
        </w:tc>
        <w:tc>
          <w:tcPr>
            <w:tcW w:w="2880" w:type="dxa"/>
            <w:vAlign w:val="bottom"/>
            <w:shd w:val="clear" w:color="auto" w:fill="F4F6F6"/>
          </w:tcPr>
          <w:p>
            <w:pPr>
              <w:spacing w:after="0"/>
              <w:rPr>
                <w:sz w:val="22"/>
                <w:szCs w:val="22"/>
                <w:color w:val="auto"/>
              </w:rPr>
            </w:pPr>
          </w:p>
        </w:tc>
        <w:tc>
          <w:tcPr>
            <w:tcW w:w="920" w:type="dxa"/>
            <w:vAlign w:val="bottom"/>
            <w:shd w:val="clear" w:color="auto" w:fill="F4F6F6"/>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40" w:type="dxa"/>
            <w:vAlign w:val="bottom"/>
            <w:shd w:val="clear" w:color="auto" w:fill="F4F6F6"/>
          </w:tcPr>
          <w:p>
            <w:pPr>
              <w:spacing w:after="0"/>
              <w:rPr>
                <w:sz w:val="15"/>
                <w:szCs w:val="15"/>
                <w:color w:val="auto"/>
              </w:rPr>
            </w:pPr>
          </w:p>
        </w:tc>
        <w:tc>
          <w:tcPr>
            <w:tcW w:w="1800" w:type="dxa"/>
            <w:vAlign w:val="bottom"/>
            <w:shd w:val="clear" w:color="auto" w:fill="F4F6F6"/>
          </w:tcPr>
          <w:p>
            <w:pPr>
              <w:ind w:left="20"/>
              <w:spacing w:after="0"/>
              <w:rPr>
                <w:sz w:val="20"/>
                <w:szCs w:val="20"/>
                <w:color w:val="auto"/>
              </w:rPr>
            </w:pPr>
            <w:r>
              <w:rPr>
                <w:rFonts w:ascii="Arial" w:cs="Arial" w:eastAsia="Arial" w:hAnsi="Arial"/>
                <w:sz w:val="14"/>
                <w:szCs w:val="14"/>
                <w:color w:val="auto"/>
              </w:rPr>
              <w:t>Involuntary retirement or</w:t>
            </w:r>
          </w:p>
        </w:tc>
        <w:tc>
          <w:tcPr>
            <w:tcW w:w="880" w:type="dxa"/>
            <w:vAlign w:val="bottom"/>
            <w:shd w:val="clear" w:color="auto" w:fill="F4F6F6"/>
          </w:tcPr>
          <w:p>
            <w:pPr>
              <w:spacing w:after="0"/>
              <w:rPr>
                <w:sz w:val="15"/>
                <w:szCs w:val="15"/>
                <w:color w:val="auto"/>
              </w:rPr>
            </w:pPr>
          </w:p>
        </w:tc>
        <w:tc>
          <w:tcPr>
            <w:tcW w:w="1340" w:type="dxa"/>
            <w:vAlign w:val="bottom"/>
            <w:shd w:val="clear" w:color="auto" w:fill="F4F6F6"/>
          </w:tcPr>
          <w:p>
            <w:pPr>
              <w:spacing w:after="0"/>
              <w:rPr>
                <w:sz w:val="15"/>
                <w:szCs w:val="15"/>
                <w:color w:val="auto"/>
              </w:rPr>
            </w:pPr>
          </w:p>
        </w:tc>
        <w:tc>
          <w:tcPr>
            <w:tcW w:w="2880" w:type="dxa"/>
            <w:vAlign w:val="bottom"/>
            <w:vMerge w:val="restart"/>
            <w:shd w:val="clear" w:color="auto" w:fill="F4F6F6"/>
          </w:tcPr>
          <w:p>
            <w:pPr>
              <w:jc w:val="right"/>
              <w:ind w:right="8"/>
              <w:spacing w:after="0"/>
              <w:rPr>
                <w:sz w:val="20"/>
                <w:szCs w:val="20"/>
                <w:color w:val="auto"/>
              </w:rPr>
            </w:pPr>
            <w:r>
              <w:rPr>
                <w:rFonts w:ascii="Arial" w:cs="Arial" w:eastAsia="Arial" w:hAnsi="Arial"/>
                <w:sz w:val="14"/>
                <w:szCs w:val="14"/>
                <w:color w:val="auto"/>
              </w:rPr>
              <w:t xml:space="preserve">$4,318,097 </w:t>
            </w:r>
            <w:r>
              <w:rPr>
                <w:rFonts w:ascii="Arial" w:cs="Arial" w:eastAsia="Arial" w:hAnsi="Arial"/>
                <w:sz w:val="23"/>
                <w:szCs w:val="23"/>
                <w:color w:val="auto"/>
                <w:vertAlign w:val="superscript"/>
              </w:rPr>
              <w:t>3</w:t>
            </w:r>
          </w:p>
        </w:tc>
        <w:tc>
          <w:tcPr>
            <w:tcW w:w="920" w:type="dxa"/>
            <w:vAlign w:val="bottom"/>
            <w:shd w:val="clear" w:color="auto" w:fill="F4F6F6"/>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40" w:type="dxa"/>
            <w:vAlign w:val="bottom"/>
            <w:shd w:val="clear" w:color="auto" w:fill="F4F6F6"/>
          </w:tcPr>
          <w:p>
            <w:pPr>
              <w:ind w:left="20"/>
              <w:spacing w:after="0"/>
              <w:rPr>
                <w:sz w:val="20"/>
                <w:szCs w:val="20"/>
                <w:color w:val="auto"/>
              </w:rPr>
            </w:pPr>
            <w:r>
              <w:rPr>
                <w:rFonts w:ascii="Arial" w:cs="Arial" w:eastAsia="Arial" w:hAnsi="Arial"/>
                <w:sz w:val="14"/>
                <w:szCs w:val="14"/>
                <w:color w:val="auto"/>
              </w:rPr>
              <w:t>•</w:t>
            </w:r>
          </w:p>
        </w:tc>
        <w:tc>
          <w:tcPr>
            <w:tcW w:w="1800" w:type="dxa"/>
            <w:vAlign w:val="bottom"/>
            <w:shd w:val="clear" w:color="auto" w:fill="F4F6F6"/>
          </w:tcPr>
          <w:p>
            <w:pPr>
              <w:ind w:left="20"/>
              <w:spacing w:after="0"/>
              <w:rPr>
                <w:sz w:val="20"/>
                <w:szCs w:val="20"/>
                <w:color w:val="auto"/>
              </w:rPr>
            </w:pPr>
            <w:r>
              <w:rPr>
                <w:rFonts w:ascii="Arial" w:cs="Arial" w:eastAsia="Arial" w:hAnsi="Arial"/>
                <w:sz w:val="14"/>
                <w:szCs w:val="14"/>
                <w:color w:val="auto"/>
              </w:rPr>
              <w:t>termination</w:t>
            </w:r>
          </w:p>
        </w:tc>
        <w:tc>
          <w:tcPr>
            <w:tcW w:w="880" w:type="dxa"/>
            <w:vAlign w:val="bottom"/>
            <w:shd w:val="clear" w:color="auto" w:fill="F4F6F6"/>
          </w:tcPr>
          <w:p>
            <w:pPr>
              <w:jc w:val="right"/>
              <w:spacing w:after="0"/>
              <w:rPr>
                <w:sz w:val="20"/>
                <w:szCs w:val="20"/>
                <w:color w:val="auto"/>
              </w:rPr>
            </w:pPr>
            <w:r>
              <w:rPr>
                <w:rFonts w:ascii="Arial" w:cs="Arial" w:eastAsia="Arial" w:hAnsi="Arial"/>
                <w:sz w:val="14"/>
                <w:szCs w:val="14"/>
                <w:color w:val="auto"/>
              </w:rPr>
              <w:t>$0</w:t>
            </w:r>
          </w:p>
        </w:tc>
        <w:tc>
          <w:tcPr>
            <w:tcW w:w="1340" w:type="dxa"/>
            <w:vAlign w:val="bottom"/>
            <w:shd w:val="clear" w:color="auto" w:fill="F4F6F6"/>
          </w:tcPr>
          <w:p>
            <w:pPr>
              <w:jc w:val="right"/>
              <w:spacing w:after="0"/>
              <w:rPr>
                <w:sz w:val="20"/>
                <w:szCs w:val="20"/>
                <w:color w:val="auto"/>
              </w:rPr>
            </w:pPr>
            <w:r>
              <w:rPr>
                <w:rFonts w:ascii="Arial" w:cs="Arial" w:eastAsia="Arial" w:hAnsi="Arial"/>
                <w:sz w:val="14"/>
                <w:szCs w:val="14"/>
                <w:color w:val="auto"/>
              </w:rPr>
              <w:t>$0</w:t>
            </w:r>
          </w:p>
        </w:tc>
        <w:tc>
          <w:tcPr>
            <w:tcW w:w="2880" w:type="dxa"/>
            <w:vAlign w:val="bottom"/>
            <w:vMerge w:val="continue"/>
            <w:shd w:val="clear" w:color="auto" w:fill="F4F6F6"/>
          </w:tcPr>
          <w:p>
            <w:pPr>
              <w:spacing w:after="0"/>
              <w:rPr>
                <w:sz w:val="17"/>
                <w:szCs w:val="17"/>
                <w:color w:val="auto"/>
              </w:rPr>
            </w:pPr>
          </w:p>
        </w:tc>
        <w:tc>
          <w:tcPr>
            <w:tcW w:w="920" w:type="dxa"/>
            <w:vAlign w:val="bottom"/>
            <w:shd w:val="clear" w:color="auto" w:fill="F4F6F6"/>
          </w:tcPr>
          <w:p>
            <w:pPr>
              <w:jc w:val="right"/>
              <w:spacing w:after="0"/>
              <w:rPr>
                <w:sz w:val="20"/>
                <w:szCs w:val="20"/>
                <w:color w:val="auto"/>
              </w:rPr>
            </w:pPr>
            <w:r>
              <w:rPr>
                <w:rFonts w:ascii="Arial" w:cs="Arial" w:eastAsia="Arial" w:hAnsi="Arial"/>
                <w:sz w:val="14"/>
                <w:szCs w:val="14"/>
                <w:color w:val="auto"/>
              </w:rPr>
              <w:t>$4,318,097</w:t>
            </w:r>
          </w:p>
        </w:tc>
        <w:tc>
          <w:tcPr>
            <w:tcW w:w="0" w:type="dxa"/>
            <w:vAlign w:val="bottom"/>
          </w:tcPr>
          <w:p>
            <w:pPr>
              <w:spacing w:after="0"/>
              <w:rPr>
                <w:sz w:val="1"/>
                <w:szCs w:val="1"/>
                <w:color w:val="auto"/>
              </w:rPr>
            </w:pPr>
          </w:p>
        </w:tc>
      </w:tr>
      <w:tr>
        <w:trPr>
          <w:trHeight w:val="176"/>
        </w:trPr>
        <w:tc>
          <w:tcPr>
            <w:tcW w:w="240" w:type="dxa"/>
            <w:vAlign w:val="bottom"/>
            <w:shd w:val="clear" w:color="auto" w:fill="F4F6F6"/>
          </w:tcPr>
          <w:p>
            <w:pPr>
              <w:spacing w:after="0"/>
              <w:rPr>
                <w:sz w:val="15"/>
                <w:szCs w:val="15"/>
                <w:color w:val="auto"/>
              </w:rPr>
            </w:pPr>
          </w:p>
        </w:tc>
        <w:tc>
          <w:tcPr>
            <w:tcW w:w="1800" w:type="dxa"/>
            <w:vAlign w:val="bottom"/>
            <w:shd w:val="clear" w:color="auto" w:fill="F4F6F6"/>
          </w:tcPr>
          <w:p>
            <w:pPr>
              <w:ind w:left="20"/>
              <w:spacing w:after="0"/>
              <w:rPr>
                <w:sz w:val="20"/>
                <w:szCs w:val="20"/>
                <w:color w:val="auto"/>
              </w:rPr>
            </w:pPr>
            <w:r>
              <w:rPr>
                <w:rFonts w:ascii="Arial" w:cs="Arial" w:eastAsia="Arial" w:hAnsi="Arial"/>
                <w:sz w:val="14"/>
                <w:szCs w:val="14"/>
                <w:color w:val="auto"/>
              </w:rPr>
              <w:t>Involuntary or good reason</w:t>
            </w:r>
          </w:p>
        </w:tc>
        <w:tc>
          <w:tcPr>
            <w:tcW w:w="880" w:type="dxa"/>
            <w:vAlign w:val="bottom"/>
            <w:shd w:val="clear" w:color="auto" w:fill="F4F6F6"/>
          </w:tcPr>
          <w:p>
            <w:pPr>
              <w:spacing w:after="0"/>
              <w:rPr>
                <w:sz w:val="15"/>
                <w:szCs w:val="15"/>
                <w:color w:val="auto"/>
              </w:rPr>
            </w:pPr>
          </w:p>
        </w:tc>
        <w:tc>
          <w:tcPr>
            <w:tcW w:w="1340" w:type="dxa"/>
            <w:vAlign w:val="bottom"/>
            <w:shd w:val="clear" w:color="auto" w:fill="F4F6F6"/>
          </w:tcPr>
          <w:p>
            <w:pPr>
              <w:spacing w:after="0"/>
              <w:rPr>
                <w:sz w:val="15"/>
                <w:szCs w:val="15"/>
                <w:color w:val="auto"/>
              </w:rPr>
            </w:pPr>
          </w:p>
        </w:tc>
        <w:tc>
          <w:tcPr>
            <w:tcW w:w="2880" w:type="dxa"/>
            <w:vAlign w:val="bottom"/>
            <w:shd w:val="clear" w:color="auto" w:fill="F4F6F6"/>
          </w:tcPr>
          <w:p>
            <w:pPr>
              <w:spacing w:after="0"/>
              <w:rPr>
                <w:sz w:val="15"/>
                <w:szCs w:val="15"/>
                <w:color w:val="auto"/>
              </w:rPr>
            </w:pPr>
          </w:p>
        </w:tc>
        <w:tc>
          <w:tcPr>
            <w:tcW w:w="920" w:type="dxa"/>
            <w:vAlign w:val="bottom"/>
            <w:shd w:val="clear" w:color="auto" w:fill="F4F6F6"/>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shd w:val="clear" w:color="auto" w:fill="F4F6F6"/>
          </w:tcPr>
          <w:p>
            <w:pPr>
              <w:spacing w:after="0"/>
              <w:rPr>
                <w:sz w:val="14"/>
                <w:szCs w:val="14"/>
                <w:color w:val="auto"/>
              </w:rPr>
            </w:pPr>
          </w:p>
        </w:tc>
        <w:tc>
          <w:tcPr>
            <w:tcW w:w="1800" w:type="dxa"/>
            <w:vAlign w:val="bottom"/>
            <w:shd w:val="clear" w:color="auto" w:fill="F4F6F6"/>
          </w:tcPr>
          <w:p>
            <w:pPr>
              <w:ind w:left="20"/>
              <w:spacing w:after="0"/>
              <w:rPr>
                <w:sz w:val="20"/>
                <w:szCs w:val="20"/>
                <w:color w:val="auto"/>
              </w:rPr>
            </w:pPr>
            <w:r>
              <w:rPr>
                <w:rFonts w:ascii="Arial" w:cs="Arial" w:eastAsia="Arial" w:hAnsi="Arial"/>
                <w:sz w:val="14"/>
                <w:szCs w:val="14"/>
                <w:color w:val="auto"/>
              </w:rPr>
              <w:t>termination after change in</w:t>
            </w:r>
          </w:p>
        </w:tc>
        <w:tc>
          <w:tcPr>
            <w:tcW w:w="880" w:type="dxa"/>
            <w:vAlign w:val="bottom"/>
            <w:shd w:val="clear" w:color="auto" w:fill="F4F6F6"/>
          </w:tcPr>
          <w:p>
            <w:pPr>
              <w:spacing w:after="0"/>
              <w:rPr>
                <w:sz w:val="14"/>
                <w:szCs w:val="14"/>
                <w:color w:val="auto"/>
              </w:rPr>
            </w:pPr>
          </w:p>
        </w:tc>
        <w:tc>
          <w:tcPr>
            <w:tcW w:w="1340" w:type="dxa"/>
            <w:vAlign w:val="bottom"/>
            <w:shd w:val="clear" w:color="auto" w:fill="F4F6F6"/>
          </w:tcPr>
          <w:p>
            <w:pPr>
              <w:spacing w:after="0"/>
              <w:rPr>
                <w:sz w:val="14"/>
                <w:szCs w:val="14"/>
                <w:color w:val="auto"/>
              </w:rPr>
            </w:pPr>
          </w:p>
        </w:tc>
        <w:tc>
          <w:tcPr>
            <w:tcW w:w="2880" w:type="dxa"/>
            <w:vAlign w:val="bottom"/>
            <w:shd w:val="clear" w:color="auto" w:fill="F4F6F6"/>
          </w:tcPr>
          <w:p>
            <w:pPr>
              <w:spacing w:after="0"/>
              <w:rPr>
                <w:sz w:val="14"/>
                <w:szCs w:val="14"/>
                <w:color w:val="auto"/>
              </w:rPr>
            </w:pPr>
          </w:p>
        </w:tc>
        <w:tc>
          <w:tcPr>
            <w:tcW w:w="920" w:type="dxa"/>
            <w:vAlign w:val="bottom"/>
            <w:shd w:val="clear" w:color="auto" w:fill="F4F6F6"/>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C8C9CB"/>
            </w:tcBorders>
            <w:shd w:val="clear" w:color="auto" w:fill="F4F6F6"/>
          </w:tcPr>
          <w:p>
            <w:pPr>
              <w:ind w:left="20"/>
              <w:spacing w:after="0"/>
              <w:rPr>
                <w:sz w:val="20"/>
                <w:szCs w:val="20"/>
                <w:color w:val="auto"/>
              </w:rPr>
            </w:pPr>
            <w:r>
              <w:rPr>
                <w:rFonts w:ascii="Arial" w:cs="Arial" w:eastAsia="Arial" w:hAnsi="Arial"/>
                <w:sz w:val="14"/>
                <w:szCs w:val="14"/>
                <w:color w:val="auto"/>
              </w:rPr>
              <w:t>control</w:t>
            </w:r>
          </w:p>
        </w:tc>
        <w:tc>
          <w:tcPr>
            <w:tcW w:w="88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$4,400,000</w:t>
            </w:r>
          </w:p>
        </w:tc>
        <w:tc>
          <w:tcPr>
            <w:tcW w:w="134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$47,892</w:t>
            </w:r>
          </w:p>
        </w:tc>
        <w:tc>
          <w:tcPr>
            <w:tcW w:w="2880" w:type="dxa"/>
            <w:vAlign w:val="bottom"/>
            <w:tcBorders>
              <w:bottom w:val="single" w:sz="8" w:color="C8C9CB"/>
            </w:tcBorders>
            <w:shd w:val="clear" w:color="auto" w:fill="F4F6F6"/>
          </w:tcPr>
          <w:p>
            <w:pPr>
              <w:jc w:val="right"/>
              <w:ind w:right="128"/>
              <w:spacing w:after="0"/>
              <w:rPr>
                <w:sz w:val="20"/>
                <w:szCs w:val="20"/>
                <w:color w:val="auto"/>
              </w:rPr>
            </w:pPr>
            <w:r>
              <w:rPr>
                <w:rFonts w:ascii="Arial" w:cs="Arial" w:eastAsia="Arial" w:hAnsi="Arial"/>
                <w:sz w:val="14"/>
                <w:szCs w:val="14"/>
                <w:color w:val="auto"/>
              </w:rPr>
              <w:t>$12,341,104</w:t>
            </w:r>
          </w:p>
        </w:tc>
        <w:tc>
          <w:tcPr>
            <w:tcW w:w="920" w:type="dxa"/>
            <w:vAlign w:val="bottom"/>
            <w:tcBorders>
              <w:bottom w:val="single" w:sz="8" w:color="C8C9CB"/>
            </w:tcBorders>
            <w:shd w:val="clear" w:color="auto" w:fill="F4F6F6"/>
          </w:tcPr>
          <w:p>
            <w:pPr>
              <w:jc w:val="right"/>
              <w:spacing w:after="0"/>
              <w:rPr>
                <w:sz w:val="20"/>
                <w:szCs w:val="20"/>
                <w:color w:val="auto"/>
              </w:rPr>
            </w:pPr>
            <w:r>
              <w:rPr>
                <w:rFonts w:ascii="Arial" w:cs="Arial" w:eastAsia="Arial" w:hAnsi="Arial"/>
                <w:sz w:val="14"/>
                <w:szCs w:val="14"/>
                <w:color w:val="auto"/>
              </w:rPr>
              <w:t>$16,788,996</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60" w:hanging="244"/>
        <w:spacing w:after="0"/>
        <w:tabs>
          <w:tab w:leader="none" w:pos="360" w:val="left"/>
        </w:tabs>
        <w:numPr>
          <w:ilvl w:val="0"/>
          <w:numId w:val="79"/>
        </w:numPr>
        <w:rPr>
          <w:rFonts w:ascii="Arial" w:cs="Arial" w:eastAsia="Arial" w:hAnsi="Arial"/>
          <w:sz w:val="14"/>
          <w:szCs w:val="14"/>
          <w:color w:val="auto"/>
        </w:rPr>
      </w:pPr>
      <w:r>
        <w:rPr>
          <w:rFonts w:ascii="Arial" w:cs="Arial" w:eastAsia="Arial" w:hAnsi="Arial"/>
          <w:sz w:val="17"/>
          <w:szCs w:val="17"/>
          <w:color w:val="auto"/>
        </w:rPr>
        <w:t>See “Change-in-Control Severance Pay Plan—Cash Severance Payment” below.</w:t>
      </w:r>
    </w:p>
    <w:p>
      <w:pPr>
        <w:spacing w:after="0" w:line="210" w:lineRule="exact"/>
        <w:rPr>
          <w:sz w:val="20"/>
          <w:szCs w:val="20"/>
          <w:color w:val="auto"/>
        </w:rPr>
      </w:pPr>
    </w:p>
    <w:p>
      <w:pPr>
        <w:ind w:left="120" w:right="60" w:hanging="4"/>
        <w:spacing w:after="0" w:line="292" w:lineRule="auto"/>
        <w:tabs>
          <w:tab w:leader="none" w:pos="357" w:val="left"/>
        </w:tabs>
        <w:numPr>
          <w:ilvl w:val="0"/>
          <w:numId w:val="80"/>
        </w:numPr>
        <w:rPr>
          <w:rFonts w:ascii="Arial" w:cs="Arial" w:eastAsia="Arial" w:hAnsi="Arial"/>
          <w:sz w:val="14"/>
          <w:szCs w:val="14"/>
          <w:color w:val="auto"/>
        </w:rPr>
      </w:pPr>
      <w:r>
        <w:rPr>
          <w:rFonts w:ascii="Arial" w:cs="Arial" w:eastAsia="Arial" w:hAnsi="Arial"/>
          <w:sz w:val="17"/>
          <w:szCs w:val="17"/>
          <w:color w:val="auto"/>
        </w:rPr>
        <w:t>See “Accrued Pay and Regular Retirement Benefits” and “Change-in-Control Severance Pay Plan—Continuation of medical and welfare benefits” below.</w:t>
      </w:r>
    </w:p>
    <w:p>
      <w:pPr>
        <w:spacing w:after="0" w:line="132" w:lineRule="exact"/>
        <w:rPr>
          <w:sz w:val="20"/>
          <w:szCs w:val="20"/>
          <w:color w:val="auto"/>
        </w:rPr>
      </w:pPr>
    </w:p>
    <w:p>
      <w:pPr>
        <w:ind w:left="120" w:hanging="4"/>
        <w:spacing w:after="0" w:line="263" w:lineRule="auto"/>
        <w:tabs>
          <w:tab w:leader="none" w:pos="389" w:val="left"/>
        </w:tabs>
        <w:numPr>
          <w:ilvl w:val="0"/>
          <w:numId w:val="81"/>
        </w:numPr>
        <w:rPr>
          <w:rFonts w:ascii="Arial" w:cs="Arial" w:eastAsia="Arial" w:hAnsi="Arial"/>
          <w:sz w:val="14"/>
          <w:szCs w:val="14"/>
          <w:color w:val="auto"/>
        </w:rPr>
      </w:pPr>
      <w:r>
        <w:rPr>
          <w:rFonts w:ascii="Arial" w:cs="Arial" w:eastAsia="Arial" w:hAnsi="Arial"/>
          <w:sz w:val="17"/>
          <w:szCs w:val="17"/>
          <w:color w:val="auto"/>
        </w:rPr>
        <w:t>Mr. Harrington and Mr. Simmons were retirement eligible at December 31, 2018, and therefore, would be entitled to payouts of their 2016-2018 performance awards vesting February 1, 2019, and their 2017-2019 performance awards vesting February 1, 2020, without any acceleration resulting from an involuntary retirement or termination. The value of those awards included in this amount using the December 31, 2018, closing price of $115.72 of $3,650,156 for Mr. Harrington and $3,173,968 for Mr. Simmons.</w:t>
      </w:r>
    </w:p>
    <w:p>
      <w:pPr>
        <w:spacing w:after="0" w:line="154"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b w:val="1"/>
          <w:bCs w:val="1"/>
          <w:color w:val="00ABE8"/>
        </w:rPr>
        <w:t xml:space="preserve">Accrued Pay and Regular Retirement Benefits: </w:t>
      </w:r>
      <w:r>
        <w:rPr>
          <w:rFonts w:ascii="Arial" w:cs="Arial" w:eastAsia="Arial" w:hAnsi="Arial"/>
          <w:sz w:val="17"/>
          <w:szCs w:val="17"/>
          <w:color w:val="000000"/>
        </w:rPr>
        <w:t>The amounts shown in the table above do not include certain payments and benefits to the extent</w:t>
      </w:r>
      <w:r>
        <w:rPr>
          <w:rFonts w:ascii="Arial" w:cs="Arial" w:eastAsia="Arial" w:hAnsi="Arial"/>
          <w:sz w:val="17"/>
          <w:szCs w:val="17"/>
          <w:b w:val="1"/>
          <w:bCs w:val="1"/>
          <w:color w:val="00ABE8"/>
        </w:rPr>
        <w:t xml:space="preserve"> </w:t>
      </w:r>
      <w:r>
        <w:rPr>
          <w:rFonts w:ascii="Arial" w:cs="Arial" w:eastAsia="Arial" w:hAnsi="Arial"/>
          <w:sz w:val="17"/>
          <w:szCs w:val="17"/>
          <w:color w:val="000000"/>
        </w:rPr>
        <w:t>they are provided on a non-discriminatory basis to salaried employees generally upon termination of employment. These include:</w:t>
      </w:r>
    </w:p>
    <w:p>
      <w:pPr>
        <w:spacing w:after="0" w:line="1"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accrued salary and vacation pay.</w:t>
      </w:r>
    </w:p>
    <w:p>
      <w:pPr>
        <w:spacing w:after="0" w:line="7" w:lineRule="exact"/>
        <w:rPr>
          <w:rFonts w:ascii="Arial" w:cs="Arial" w:eastAsia="Arial" w:hAnsi="Arial"/>
          <w:sz w:val="17"/>
          <w:szCs w:val="17"/>
          <w:color w:val="auto"/>
        </w:rPr>
      </w:pPr>
    </w:p>
    <w:p>
      <w:pPr>
        <w:ind w:left="340" w:hanging="332"/>
        <w:spacing w:after="0"/>
        <w:tabs>
          <w:tab w:leader="none" w:pos="3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regular pension benefits under the Retirement Plan and the nonqualified pension plan. See “Retirement Benefits” above.</w:t>
      </w:r>
    </w:p>
    <w:p>
      <w:pPr>
        <w:spacing w:after="0" w:line="7" w:lineRule="exact"/>
        <w:rPr>
          <w:rFonts w:ascii="Arial" w:cs="Arial" w:eastAsia="Arial" w:hAnsi="Arial"/>
          <w:sz w:val="17"/>
          <w:szCs w:val="17"/>
          <w:color w:val="auto"/>
        </w:rPr>
      </w:pPr>
    </w:p>
    <w:p>
      <w:pPr>
        <w:ind w:left="340" w:right="920" w:hanging="332"/>
        <w:spacing w:after="0" w:line="248" w:lineRule="auto"/>
        <w:tabs>
          <w:tab w:leader="none" w:pos="3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welfare benefits provided to all U.S. retirees, including retiree medical and dental insurance. The amounts shown in the table above as “Continuation of Medical / Welfare Benefits” are explained below.</w:t>
      </w:r>
    </w:p>
    <w:p>
      <w:pPr>
        <w:spacing w:after="0" w:line="1" w:lineRule="exact"/>
        <w:rPr>
          <w:rFonts w:ascii="Arial" w:cs="Arial" w:eastAsia="Arial" w:hAnsi="Arial"/>
          <w:sz w:val="17"/>
          <w:szCs w:val="17"/>
          <w:color w:val="auto"/>
        </w:rPr>
      </w:pPr>
    </w:p>
    <w:p>
      <w:pPr>
        <w:ind w:left="340" w:right="560" w:hanging="332"/>
        <w:spacing w:after="0" w:line="265" w:lineRule="auto"/>
        <w:tabs>
          <w:tab w:leader="none" w:pos="3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distributions of plan balances under the 401(k) Plan, the nonqualified savings plan, and the Deferred Compensation Plan. See the narrative following the Nonqualified Deferred Compensation in 2018 table for information about these plans.</w:t>
      </w:r>
    </w:p>
    <w:p>
      <w:pPr>
        <w:spacing w:after="0" w:line="152"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b w:val="1"/>
          <w:bCs w:val="1"/>
          <w:color w:val="00ABE8"/>
        </w:rPr>
        <w:t xml:space="preserve">Deferred Compensation: </w:t>
      </w:r>
      <w:r>
        <w:rPr>
          <w:rFonts w:ascii="Arial" w:cs="Arial" w:eastAsia="Arial" w:hAnsi="Arial"/>
          <w:sz w:val="17"/>
          <w:szCs w:val="17"/>
          <w:color w:val="000000"/>
        </w:rPr>
        <w:t>The amounts shown in the table do not include distributions of plan balances under the deferred compensation plan. Those</w:t>
      </w:r>
      <w:r>
        <w:rPr>
          <w:rFonts w:ascii="Arial" w:cs="Arial" w:eastAsia="Arial" w:hAnsi="Arial"/>
          <w:sz w:val="17"/>
          <w:szCs w:val="17"/>
          <w:b w:val="1"/>
          <w:bCs w:val="1"/>
          <w:color w:val="00ABE8"/>
        </w:rPr>
        <w:t xml:space="preserve"> </w:t>
      </w:r>
      <w:r>
        <w:rPr>
          <w:rFonts w:ascii="Arial" w:cs="Arial" w:eastAsia="Arial" w:hAnsi="Arial"/>
          <w:sz w:val="17"/>
          <w:szCs w:val="17"/>
          <w:color w:val="000000"/>
        </w:rPr>
        <w:t>balances are shown in the Nonqualified Deferred Compensation in 2018 table.</w:t>
      </w:r>
    </w:p>
    <w:p>
      <w:pPr>
        <w:sectPr>
          <w:pgSz w:w="11900" w:h="16838" w:orient="portrait"/>
          <w:cols w:equalWidth="0" w:num="1">
            <w:col w:w="11400"/>
          </w:cols>
          <w:pgMar w:left="240" w:top="720" w:right="25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P61</w:t>
      </w:r>
    </w:p>
    <w:p>
      <w:pPr>
        <w:sectPr>
          <w:pgSz w:w="11900" w:h="16838" w:orient="portrait"/>
          <w:cols w:equalWidth="0" w:num="1">
            <w:col w:w="11400"/>
          </w:cols>
          <w:pgMar w:left="240" w:top="720" w:right="259" w:bottom="1440" w:gutter="0" w:footer="0" w:header="0"/>
          <w:type w:val="continuous"/>
        </w:sectPr>
      </w:pPr>
    </w:p>
    <w:bookmarkStart w:id="65" w:name="page66"/>
    <w:bookmarkEnd w:id="65"/>
    <w:p>
      <w:pPr>
        <w:ind w:right="280"/>
        <w:spacing w:after="0" w:line="294" w:lineRule="auto"/>
        <w:rPr>
          <w:sz w:val="20"/>
          <w:szCs w:val="20"/>
          <w:color w:val="auto"/>
        </w:rPr>
      </w:pPr>
      <w:r>
        <w:rPr>
          <w:rFonts w:ascii="Arial" w:cs="Arial" w:eastAsia="Arial" w:hAnsi="Arial"/>
          <w:sz w:val="17"/>
          <w:szCs w:val="17"/>
          <w:b w:val="1"/>
          <w:bCs w:val="1"/>
          <w:color w:val="00ABE8"/>
        </w:rPr>
        <w:t xml:space="preserve">Death and Disability: </w:t>
      </w:r>
      <w:r>
        <w:rPr>
          <w:rFonts w:ascii="Arial" w:cs="Arial" w:eastAsia="Arial" w:hAnsi="Arial"/>
          <w:sz w:val="17"/>
          <w:szCs w:val="17"/>
          <w:color w:val="000000"/>
        </w:rPr>
        <w:t>A termination of employment due to death or disability does not entitle named executive officers to any payments or benefits</w:t>
      </w:r>
      <w:r>
        <w:rPr>
          <w:rFonts w:ascii="Arial" w:cs="Arial" w:eastAsia="Arial" w:hAnsi="Arial"/>
          <w:sz w:val="17"/>
          <w:szCs w:val="17"/>
          <w:b w:val="1"/>
          <w:bCs w:val="1"/>
          <w:color w:val="00ABE8"/>
        </w:rPr>
        <w:t xml:space="preserve"> </w:t>
      </w:r>
      <w:r>
        <w:rPr>
          <w:rFonts w:ascii="Arial" w:cs="Arial" w:eastAsia="Arial" w:hAnsi="Arial"/>
          <w:sz w:val="17"/>
          <w:szCs w:val="17"/>
          <w:color w:val="000000"/>
        </w:rPr>
        <w:t>that are not available to U.S. salaried employees generally.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 xml:space="preserve">Termination for Cause: </w:t>
      </w:r>
      <w:r>
        <w:rPr>
          <w:rFonts w:ascii="Arial" w:cs="Arial" w:eastAsia="Arial" w:hAnsi="Arial"/>
          <w:sz w:val="17"/>
          <w:szCs w:val="17"/>
          <w:color w:val="000000"/>
        </w:rPr>
        <w:t>Executives terminated for cause receive no severance or enhanced benefits and forfeit any unvested equity grants.</w:t>
      </w:r>
    </w:p>
    <w:p>
      <w:pPr>
        <w:spacing w:after="0" w:line="210"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b w:val="1"/>
          <w:bCs w:val="1"/>
          <w:color w:val="00ABE8"/>
        </w:rPr>
        <w:t xml:space="preserve">Change-in-Control Severance Pay Plan: </w:t>
      </w:r>
      <w:r>
        <w:rPr>
          <w:rFonts w:ascii="Arial" w:cs="Arial" w:eastAsia="Arial" w:hAnsi="Arial"/>
          <w:sz w:val="17"/>
          <w:szCs w:val="17"/>
          <w:color w:val="000000"/>
        </w:rPr>
        <w:t>As described in the CD&amp;A under “Severance Benefits,” the company maintains a change-in-control</w:t>
      </w:r>
      <w:r>
        <w:rPr>
          <w:rFonts w:ascii="Arial" w:cs="Arial" w:eastAsia="Arial" w:hAnsi="Arial"/>
          <w:sz w:val="17"/>
          <w:szCs w:val="17"/>
          <w:b w:val="1"/>
          <w:bCs w:val="1"/>
          <w:color w:val="00ABE8"/>
        </w:rPr>
        <w:t xml:space="preserve"> </w:t>
      </w:r>
      <w:r>
        <w:rPr>
          <w:rFonts w:ascii="Arial" w:cs="Arial" w:eastAsia="Arial" w:hAnsi="Arial"/>
          <w:sz w:val="17"/>
          <w:szCs w:val="17"/>
          <w:color w:val="000000"/>
        </w:rPr>
        <w:t>severance pay plan for nearly all employees, including the named executive officers. The change-in-control plan for executive officers defines a change in control very specifically, but generally the terms include the occurrence of one of the following: (i) acquisition of 20 percent or more of the company’s stock; (ii) replacement by the shareholders of one half or more of the Board of Directors; (iii) consummation of a merger, share exchange, or consolidation of the company (other than a transaction that results in the Lilly shareholders prior to the transaction continuing to hold more than 60 percent of the voting stock of the combined entity); or (iv) liquidation of the company or sale or disposition of all or substantially all of its assets. The amounts shown in the table for “involuntary or good-reason termination after change in control” are based on the following assumptions and plan provisions:</w:t>
      </w:r>
    </w:p>
    <w:p>
      <w:pPr>
        <w:spacing w:after="0" w:line="162" w:lineRule="exact"/>
        <w:rPr>
          <w:sz w:val="20"/>
          <w:szCs w:val="20"/>
          <w:color w:val="auto"/>
        </w:rPr>
      </w:pPr>
    </w:p>
    <w:p>
      <w:pPr>
        <w:ind w:left="340" w:right="160" w:hanging="332"/>
        <w:spacing w:after="0" w:line="263" w:lineRule="auto"/>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EE2724"/>
        </w:rPr>
        <w:t xml:space="preserve">Covered terminations. </w:t>
      </w:r>
      <w:r>
        <w:rPr>
          <w:rFonts w:ascii="Arial" w:cs="Arial" w:eastAsia="Arial" w:hAnsi="Arial"/>
          <w:sz w:val="17"/>
          <w:szCs w:val="17"/>
          <w:color w:val="000000"/>
        </w:rPr>
        <w:t>The table assumes a termination of employment that is eligible for severance under the terms of the plan, based on the</w:t>
      </w:r>
      <w:r>
        <w:rPr>
          <w:rFonts w:ascii="Arial" w:cs="Arial" w:eastAsia="Arial" w:hAnsi="Arial"/>
          <w:sz w:val="17"/>
          <w:szCs w:val="17"/>
          <w:b w:val="1"/>
          <w:bCs w:val="1"/>
          <w:color w:val="EE2724"/>
        </w:rPr>
        <w:t xml:space="preserve"> </w:t>
      </w:r>
      <w:r>
        <w:rPr>
          <w:rFonts w:ascii="Arial" w:cs="Arial" w:eastAsia="Arial" w:hAnsi="Arial"/>
          <w:sz w:val="17"/>
          <w:szCs w:val="17"/>
          <w:color w:val="000000"/>
        </w:rPr>
        <w:t>named executive officer’s compensation, benefits, age, and service credit at December 31, 2018. Eligible terminations include an involuntary termination for reasons other than for cause or a voluntary termination by the executive for good reason, within two years following the change in control.</w:t>
      </w:r>
    </w:p>
    <w:p>
      <w:pPr>
        <w:spacing w:after="0" w:line="9" w:lineRule="exact"/>
        <w:rPr>
          <w:rFonts w:ascii="Arial" w:cs="Arial" w:eastAsia="Arial" w:hAnsi="Arial"/>
          <w:sz w:val="17"/>
          <w:szCs w:val="17"/>
          <w:color w:val="auto"/>
        </w:rPr>
      </w:pPr>
    </w:p>
    <w:p>
      <w:pPr>
        <w:ind w:left="660" w:right="60" w:hanging="166"/>
        <w:spacing w:after="0" w:line="263" w:lineRule="auto"/>
        <w:tabs>
          <w:tab w:leader="none" w:pos="660"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A termination of an executive officer by the company is for cause if it is for any of the following reasons: (i) the employee’s willful and continued refusal to perform, without legal cause, his or her material duties, resulting in demonstrable economic harm to the company; (ii) any act of fraud, dishonesty, or gross misconduct resulting in significant economic harm or other significant harm to the business reputation of the company; or (iii) conviction of or the entering of a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w:t>
      </w:r>
    </w:p>
    <w:p>
      <w:pPr>
        <w:spacing w:after="0" w:line="7" w:lineRule="exact"/>
        <w:rPr>
          <w:rFonts w:ascii="Arial" w:cs="Arial" w:eastAsia="Arial" w:hAnsi="Arial"/>
          <w:sz w:val="17"/>
          <w:szCs w:val="17"/>
          <w:color w:val="auto"/>
        </w:rPr>
      </w:pPr>
    </w:p>
    <w:p>
      <w:pPr>
        <w:ind w:left="660" w:hanging="166"/>
        <w:spacing w:after="0" w:line="254" w:lineRule="auto"/>
        <w:tabs>
          <w:tab w:leader="none" w:pos="660" w:val="left"/>
        </w:tabs>
        <w:numPr>
          <w:ilvl w:val="1"/>
          <w:numId w:val="83"/>
        </w:numPr>
        <w:rPr>
          <w:rFonts w:ascii="Arial" w:cs="Arial" w:eastAsia="Arial" w:hAnsi="Arial"/>
          <w:sz w:val="17"/>
          <w:szCs w:val="17"/>
          <w:color w:val="auto"/>
        </w:rPr>
      </w:pPr>
      <w:r>
        <w:rPr>
          <w:rFonts w:ascii="Arial" w:cs="Arial" w:eastAsia="Arial" w:hAnsi="Arial"/>
          <w:sz w:val="17"/>
          <w:szCs w:val="17"/>
          <w:color w:val="auto"/>
        </w:rPr>
        <w:t>A termination by the executive officer is for good reason if it results from: (i) a material diminution in the nature or status of the executive’s position, title, reporting relationship, duties, responsibilities, or authority, or the assignment to him or her of additional responsibilities that materially increase his or her workload; (ii) any reduction in the executive’s then-current base salary; (iii) a material reduction in the executive’s opportunities to earn incentive bonuses below those in effect for the year prior to the change in control; (iv) a material reduction in the executive’s employee benefits from the benefit levels in effect immediately prior to the change in control; (v) the failure to grant to the executive stock options, stock units, performance shares, or similar incentive rights during each 12-month period following the change in control on the basis of a number of shares or units and all other material terms at least as favorable to the executive as those rights granted to him or her on an annualized average basis for the three-year period immediately prior to the change in control; or (vi) relocation of the executive by more than 50 miles.</w:t>
      </w:r>
    </w:p>
    <w:p>
      <w:pPr>
        <w:spacing w:after="0" w:line="161" w:lineRule="exact"/>
        <w:rPr>
          <w:rFonts w:ascii="Arial" w:cs="Arial" w:eastAsia="Arial" w:hAnsi="Arial"/>
          <w:sz w:val="17"/>
          <w:szCs w:val="17"/>
          <w:color w:val="auto"/>
        </w:rPr>
      </w:pPr>
    </w:p>
    <w:p>
      <w:pPr>
        <w:ind w:left="340" w:right="440" w:hanging="332"/>
        <w:spacing w:after="0" w:line="294" w:lineRule="auto"/>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EE2724"/>
        </w:rPr>
        <w:t xml:space="preserve">Cash severance payment. </w:t>
      </w:r>
      <w:r>
        <w:rPr>
          <w:rFonts w:ascii="Arial" w:cs="Arial" w:eastAsia="Arial" w:hAnsi="Arial"/>
          <w:sz w:val="17"/>
          <w:szCs w:val="17"/>
          <w:color w:val="000000"/>
        </w:rPr>
        <w:t>The cash severance payment amounts to two times the executive officer's annual base salary plus two times the</w:t>
      </w:r>
      <w:r>
        <w:rPr>
          <w:rFonts w:ascii="Arial" w:cs="Arial" w:eastAsia="Arial" w:hAnsi="Arial"/>
          <w:sz w:val="17"/>
          <w:szCs w:val="17"/>
          <w:b w:val="1"/>
          <w:bCs w:val="1"/>
          <w:color w:val="EE2724"/>
        </w:rPr>
        <w:t xml:space="preserve"> </w:t>
      </w:r>
      <w:r>
        <w:rPr>
          <w:rFonts w:ascii="Arial" w:cs="Arial" w:eastAsia="Arial" w:hAnsi="Arial"/>
          <w:sz w:val="17"/>
          <w:szCs w:val="17"/>
          <w:color w:val="000000"/>
        </w:rPr>
        <w:t>executive officer’s bonus target for that year under the bonus plan.</w:t>
      </w:r>
    </w:p>
    <w:p>
      <w:pPr>
        <w:spacing w:after="0" w:line="128" w:lineRule="exact"/>
        <w:rPr>
          <w:rFonts w:ascii="Arial" w:cs="Arial" w:eastAsia="Arial" w:hAnsi="Arial"/>
          <w:sz w:val="17"/>
          <w:szCs w:val="17"/>
          <w:color w:val="auto"/>
        </w:rPr>
      </w:pPr>
    </w:p>
    <w:p>
      <w:pPr>
        <w:ind w:left="340" w:right="60" w:hanging="332"/>
        <w:spacing w:after="0" w:line="263" w:lineRule="auto"/>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EE2724"/>
        </w:rPr>
        <w:t xml:space="preserve">Continuation of medical and welfare benefits. </w:t>
      </w:r>
      <w:r>
        <w:rPr>
          <w:rFonts w:ascii="Arial" w:cs="Arial" w:eastAsia="Arial" w:hAnsi="Arial"/>
          <w:sz w:val="17"/>
          <w:szCs w:val="17"/>
          <w:color w:val="000000"/>
        </w:rPr>
        <w:t>This amount represents the present value of the change-in-control plan’s provision, following a</w:t>
      </w:r>
      <w:r>
        <w:rPr>
          <w:rFonts w:ascii="Arial" w:cs="Arial" w:eastAsia="Arial" w:hAnsi="Arial"/>
          <w:sz w:val="17"/>
          <w:szCs w:val="17"/>
          <w:b w:val="1"/>
          <w:bCs w:val="1"/>
          <w:color w:val="EE2724"/>
        </w:rPr>
        <w:t xml:space="preserve"> </w:t>
      </w:r>
      <w:r>
        <w:rPr>
          <w:rFonts w:ascii="Arial" w:cs="Arial" w:eastAsia="Arial" w:hAnsi="Arial"/>
          <w:sz w:val="17"/>
          <w:szCs w:val="17"/>
          <w:color w:val="000000"/>
        </w:rPr>
        <w:t>covered termination, of 18 months of continued coverage equivalent to the company’s current active employee medical, dental, life, and long-term disability insurance. Similar actuarial assumptions to those used to calculate incremental pension benefits apply to the calculation for continuation of medical and welfare benefits, with the addition of actual COBRA rates based on current benefit elections.</w:t>
      </w:r>
    </w:p>
    <w:p>
      <w:pPr>
        <w:spacing w:after="0" w:line="156" w:lineRule="exact"/>
        <w:rPr>
          <w:rFonts w:ascii="Arial" w:cs="Arial" w:eastAsia="Arial" w:hAnsi="Arial"/>
          <w:sz w:val="17"/>
          <w:szCs w:val="17"/>
          <w:color w:val="auto"/>
        </w:rPr>
      </w:pPr>
    </w:p>
    <w:p>
      <w:pPr>
        <w:ind w:left="340" w:right="100" w:hanging="332"/>
        <w:spacing w:after="0" w:line="260" w:lineRule="auto"/>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EE2724"/>
        </w:rPr>
        <w:t xml:space="preserve">Acceleration of equity awards. </w:t>
      </w:r>
      <w:r>
        <w:rPr>
          <w:rFonts w:ascii="Arial" w:cs="Arial" w:eastAsia="Arial" w:hAnsi="Arial"/>
          <w:sz w:val="17"/>
          <w:szCs w:val="17"/>
          <w:color w:val="000000"/>
        </w:rPr>
        <w:t>Upon a covered termination, any unvested equity awards would convert into restricted stock units of the new</w:t>
      </w:r>
      <w:r>
        <w:rPr>
          <w:rFonts w:ascii="Arial" w:cs="Arial" w:eastAsia="Arial" w:hAnsi="Arial"/>
          <w:sz w:val="17"/>
          <w:szCs w:val="17"/>
          <w:b w:val="1"/>
          <w:bCs w:val="1"/>
          <w:color w:val="EE2724"/>
        </w:rPr>
        <w:t xml:space="preserve"> </w:t>
      </w:r>
      <w:r>
        <w:rPr>
          <w:rFonts w:ascii="Arial" w:cs="Arial" w:eastAsia="Arial" w:hAnsi="Arial"/>
          <w:sz w:val="17"/>
          <w:szCs w:val="17"/>
          <w:color w:val="000000"/>
        </w:rPr>
        <w:t>company, with the number of shares earned under the awards based on accrued performance at the time of the transaction. The restricted stock units will continue to vest and pay out upon the earlier of the completion of the original award period; upon a covered termination; or if the successor entity does not assume, substitute, or otherwise replace the award. The amount in this column represents the value of the acceleration of unvested equity grants had a qualifying termination occurred on December 31, 2018.</w:t>
      </w:r>
    </w:p>
    <w:p>
      <w:pPr>
        <w:spacing w:after="0" w:line="156" w:lineRule="exact"/>
        <w:rPr>
          <w:rFonts w:ascii="Arial" w:cs="Arial" w:eastAsia="Arial" w:hAnsi="Arial"/>
          <w:sz w:val="17"/>
          <w:szCs w:val="17"/>
          <w:color w:val="auto"/>
        </w:rPr>
      </w:pPr>
    </w:p>
    <w:p>
      <w:pPr>
        <w:ind w:left="340" w:right="300" w:hanging="332"/>
        <w:spacing w:after="0" w:line="263" w:lineRule="auto"/>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EE2724"/>
        </w:rPr>
        <w:t xml:space="preserve">Excise taxes. </w:t>
      </w:r>
      <w:r>
        <w:rPr>
          <w:rFonts w:ascii="Arial" w:cs="Arial" w:eastAsia="Arial" w:hAnsi="Arial"/>
          <w:sz w:val="17"/>
          <w:szCs w:val="17"/>
          <w:color w:val="000000"/>
        </w:rPr>
        <w:t>Upon a change in control, employees may be subject to certain excise taxes under Section 280G of the Internal Revenue Code.</w:t>
      </w:r>
      <w:r>
        <w:rPr>
          <w:rFonts w:ascii="Arial" w:cs="Arial" w:eastAsia="Arial" w:hAnsi="Arial"/>
          <w:sz w:val="17"/>
          <w:szCs w:val="17"/>
          <w:b w:val="1"/>
          <w:bCs w:val="1"/>
          <w:color w:val="EE2724"/>
        </w:rPr>
        <w:t xml:space="preserve"> </w:t>
      </w:r>
      <w:r>
        <w:rPr>
          <w:rFonts w:ascii="Arial" w:cs="Arial" w:eastAsia="Arial" w:hAnsi="Arial"/>
          <w:sz w:val="17"/>
          <w:szCs w:val="17"/>
          <w:color w:val="000000"/>
        </w:rPr>
        <w:t>The company does not reimburse the affected employees for those excise taxes or any income taxes payable by the employee. To reduce the employee's exposure to excise taxes, the employee’s change-in-control benefit may be decreased to maximize the after-tax benefit to the individual.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Elanco has adopted a similar change-in-control severance plan that covers Mr. Simmons.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P62</w:t>
      </w:r>
    </w:p>
    <w:p>
      <w:pPr>
        <w:sectPr>
          <w:pgSz w:w="11900" w:h="16838" w:orient="portrait"/>
          <w:cols w:equalWidth="0" w:num="1">
            <w:col w:w="11400"/>
          </w:cols>
          <w:pgMar w:left="240" w:top="758" w:right="259" w:bottom="1440" w:gutter="0" w:footer="0" w:header="0"/>
        </w:sectPr>
      </w:pPr>
    </w:p>
    <w:bookmarkStart w:id="66" w:name="page67"/>
    <w:bookmarkEnd w:id="66"/>
    <w:p>
      <w:pPr>
        <w:ind w:right="160"/>
        <w:spacing w:after="0" w:line="271" w:lineRule="auto"/>
        <w:rPr>
          <w:sz w:val="20"/>
          <w:szCs w:val="20"/>
          <w:color w:val="auto"/>
        </w:rPr>
      </w:pPr>
      <w:r>
        <w:rPr>
          <w:rFonts w:ascii="Arial" w:cs="Arial" w:eastAsia="Arial" w:hAnsi="Arial"/>
          <w:sz w:val="17"/>
          <w:szCs w:val="17"/>
          <w:b w:val="1"/>
          <w:bCs w:val="1"/>
          <w:color w:val="00ABE8"/>
        </w:rPr>
        <w:t xml:space="preserve">Payments Upon Change in Control Alone. </w:t>
      </w:r>
      <w:r>
        <w:rPr>
          <w:rFonts w:ascii="Arial" w:cs="Arial" w:eastAsia="Arial" w:hAnsi="Arial"/>
          <w:sz w:val="17"/>
          <w:szCs w:val="17"/>
          <w:color w:val="000000"/>
        </w:rPr>
        <w:t>In general, the change-in-control plan is a “double trigger” plan, meaning payments are made only if the</w:t>
      </w:r>
      <w:r>
        <w:rPr>
          <w:rFonts w:ascii="Arial" w:cs="Arial" w:eastAsia="Arial" w:hAnsi="Arial"/>
          <w:sz w:val="17"/>
          <w:szCs w:val="17"/>
          <w:b w:val="1"/>
          <w:bCs w:val="1"/>
          <w:color w:val="00ABE8"/>
        </w:rPr>
        <w:t xml:space="preserve"> </w:t>
      </w:r>
      <w:r>
        <w:rPr>
          <w:rFonts w:ascii="Arial" w:cs="Arial" w:eastAsia="Arial" w:hAnsi="Arial"/>
          <w:sz w:val="17"/>
          <w:szCs w:val="17"/>
          <w:color w:val="000000"/>
        </w:rPr>
        <w:t>employee suffers a covered termination of employment within two years following the change in control, or in the case of equity awards, if the successor entity does not assume, substitute, or otherwise replace the awards.</w:t>
      </w:r>
    </w:p>
    <w:p>
      <w:pPr>
        <w:spacing w:after="0" w:line="152"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Compensation Committee Matters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Role of the Independent Consultant in Assessing Executive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has retained Cimi B. Silverberg of Frederic W. Cook &amp; Co., Inc., as its independent compensation consultant.</w:t>
      </w:r>
    </w:p>
    <w:p>
      <w:pPr>
        <w:spacing w:after="0" w:line="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Ms. Silverberg reports directly to the Compensation Committee. Neither she nor her firm is permitted to have any business or personal relationship with management or the members of the Compensation Committee. The consultant’s responsibilities are to:</w:t>
      </w:r>
    </w:p>
    <w:p>
      <w:pPr>
        <w:spacing w:after="0" w:line="154" w:lineRule="exact"/>
        <w:rPr>
          <w:sz w:val="20"/>
          <w:szCs w:val="20"/>
          <w:color w:val="auto"/>
        </w:rPr>
      </w:pPr>
    </w:p>
    <w:p>
      <w:pPr>
        <w:ind w:left="340" w:hanging="170"/>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 the company’s total compensation philosophy, peer group, and target competitive positioning for reasonableness and appropriateness</w:t>
      </w:r>
    </w:p>
    <w:p>
      <w:pPr>
        <w:spacing w:after="0" w:line="29" w:lineRule="exact"/>
        <w:rPr>
          <w:rFonts w:ascii="Arial" w:cs="Arial" w:eastAsia="Arial" w:hAnsi="Arial"/>
          <w:sz w:val="17"/>
          <w:szCs w:val="17"/>
          <w:color w:val="auto"/>
        </w:rPr>
      </w:pPr>
    </w:p>
    <w:p>
      <w:pPr>
        <w:ind w:left="340" w:hanging="170"/>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 the company’s executive compensation program and advise the Compensation Committee of evolving best practices</w:t>
      </w:r>
    </w:p>
    <w:p>
      <w:pPr>
        <w:spacing w:after="0" w:line="7" w:lineRule="exact"/>
        <w:rPr>
          <w:rFonts w:ascii="Arial" w:cs="Arial" w:eastAsia="Arial" w:hAnsi="Arial"/>
          <w:sz w:val="17"/>
          <w:szCs w:val="17"/>
          <w:color w:val="auto"/>
        </w:rPr>
      </w:pPr>
    </w:p>
    <w:p>
      <w:pPr>
        <w:ind w:left="340" w:hanging="170"/>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provide independent analyses and recommendations to the Compensation Committee on the CEO’s pay</w:t>
      </w:r>
    </w:p>
    <w:p>
      <w:pPr>
        <w:spacing w:after="0" w:line="7" w:lineRule="exact"/>
        <w:rPr>
          <w:rFonts w:ascii="Arial" w:cs="Arial" w:eastAsia="Arial" w:hAnsi="Arial"/>
          <w:sz w:val="17"/>
          <w:szCs w:val="17"/>
          <w:color w:val="auto"/>
        </w:rPr>
      </w:pPr>
    </w:p>
    <w:p>
      <w:pPr>
        <w:ind w:left="340" w:hanging="170"/>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 draft CD&amp;A and related tables for the proxy statement</w:t>
      </w:r>
    </w:p>
    <w:p>
      <w:pPr>
        <w:spacing w:after="0" w:line="7" w:lineRule="exact"/>
        <w:rPr>
          <w:rFonts w:ascii="Arial" w:cs="Arial" w:eastAsia="Arial" w:hAnsi="Arial"/>
          <w:sz w:val="17"/>
          <w:szCs w:val="17"/>
          <w:color w:val="auto"/>
        </w:rPr>
      </w:pPr>
    </w:p>
    <w:p>
      <w:pPr>
        <w:ind w:left="340" w:hanging="170"/>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proactively advise the Compensation Committee on best practices for board governance of executive compensation</w:t>
      </w:r>
    </w:p>
    <w:p>
      <w:pPr>
        <w:spacing w:after="0" w:line="7" w:lineRule="exact"/>
        <w:rPr>
          <w:rFonts w:ascii="Arial" w:cs="Arial" w:eastAsia="Arial" w:hAnsi="Arial"/>
          <w:sz w:val="17"/>
          <w:szCs w:val="17"/>
          <w:color w:val="auto"/>
        </w:rPr>
      </w:pPr>
    </w:p>
    <w:p>
      <w:pPr>
        <w:ind w:left="340" w:hanging="170"/>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undertake special projects at the request of the Compensation Committee chair.</w:t>
      </w:r>
    </w:p>
    <w:p>
      <w:pPr>
        <w:spacing w:after="0" w:line="188"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Ms. Silverberg interacts directly with members of company management only on matters under the Compensation Committee’s oversight and with the knowledge and permission of the Compensation Committee chair.</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Role of Executive Officers and Management in Assessing Executive Compensation</w:t>
      </w:r>
    </w:p>
    <w:p>
      <w:pPr>
        <w:spacing w:after="0" w:line="31"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With the oversight of the CEO and the senior vice president of human resources and diversity, the company’s global compensation group formulates recommendations on compensation philosophy, plan design, and compensation for executive officers (other than the CEO, as noted below). The CEO provides the Compensation Committee with a performance assessment and compensation recommendation for each of the other executive officers. The Compensation Committee considers those recommendations with the assistance of its compensation consultant. The CEO and the senior vice president of human resources and diversity attend Compensation Committee meetings; they are not present for executive sessions or any discussion of their own compensation. Only non-employee directors and the Compensation Committee’s consultant attend executive sessions.</w:t>
      </w:r>
    </w:p>
    <w:p>
      <w:pPr>
        <w:spacing w:after="0" w:line="169" w:lineRule="exact"/>
        <w:rPr>
          <w:sz w:val="20"/>
          <w:szCs w:val="20"/>
          <w:color w:val="auto"/>
        </w:rPr>
      </w:pPr>
    </w:p>
    <w:p>
      <w:pPr>
        <w:ind w:right="220"/>
        <w:spacing w:after="0" w:line="292" w:lineRule="auto"/>
        <w:rPr>
          <w:sz w:val="20"/>
          <w:szCs w:val="20"/>
          <w:color w:val="auto"/>
        </w:rPr>
      </w:pPr>
      <w:r>
        <w:rPr>
          <w:rFonts w:ascii="Arial" w:cs="Arial" w:eastAsia="Arial" w:hAnsi="Arial"/>
          <w:sz w:val="17"/>
          <w:szCs w:val="17"/>
          <w:color w:val="auto"/>
        </w:rPr>
        <w:t>The CEO does not participate in the formulation or discussion of his pay recommendations. He has no prior knowledge of the recommendations that the consultant makes to the Compensation Committee.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00ABE8"/>
        </w:rPr>
        <w:t>Risk Assessment Process</w:t>
      </w:r>
    </w:p>
    <w:p>
      <w:pPr>
        <w:spacing w:after="0" w:line="31" w:lineRule="exact"/>
        <w:rPr>
          <w:sz w:val="20"/>
          <w:szCs w:val="20"/>
          <w:color w:val="auto"/>
        </w:rPr>
      </w:pPr>
    </w:p>
    <w:p>
      <w:pPr>
        <w:jc w:val="both"/>
        <w:ind w:right="120"/>
        <w:spacing w:after="0" w:line="256" w:lineRule="auto"/>
        <w:rPr>
          <w:sz w:val="20"/>
          <w:szCs w:val="20"/>
          <w:color w:val="auto"/>
        </w:rPr>
      </w:pPr>
      <w:r>
        <w:rPr>
          <w:rFonts w:ascii="Arial" w:cs="Arial" w:eastAsia="Arial" w:hAnsi="Arial"/>
          <w:sz w:val="17"/>
          <w:szCs w:val="17"/>
          <w:color w:val="auto"/>
        </w:rPr>
        <w:t>As part of the company's overall enterprise risk management program, in 2018 the Compensation Committee reviewed the company’s compensation policies and practices and concluded that the programs and practices are not reasonably likely to have a material adverse effect on the company. The Compensation Committee noted numerous policy and design</w:t>
      </w:r>
    </w:p>
    <w:p>
      <w:pPr>
        <w:spacing w:after="0" w:line="163" w:lineRule="exact"/>
        <w:rPr>
          <w:sz w:val="20"/>
          <w:szCs w:val="20"/>
          <w:color w:val="auto"/>
        </w:rPr>
      </w:pPr>
    </w:p>
    <w:p>
      <w:pPr>
        <w:ind w:right="200"/>
        <w:spacing w:after="0" w:line="292" w:lineRule="auto"/>
        <w:rPr>
          <w:sz w:val="20"/>
          <w:szCs w:val="20"/>
          <w:color w:val="auto"/>
        </w:rPr>
      </w:pPr>
      <w:r>
        <w:rPr>
          <w:rFonts w:ascii="Arial" w:cs="Arial" w:eastAsia="Arial" w:hAnsi="Arial"/>
          <w:sz w:val="17"/>
          <w:szCs w:val="17"/>
          <w:color w:val="auto"/>
        </w:rPr>
        <w:t>features of the company’s compensation programs and governance structure that reduce the likelihood of inappropriate risk-taking, including, but not limited to:</w:t>
      </w:r>
    </w:p>
    <w:p>
      <w:pPr>
        <w:spacing w:after="0" w:line="132" w:lineRule="exact"/>
        <w:rPr>
          <w:sz w:val="20"/>
          <w:szCs w:val="20"/>
          <w:color w:val="auto"/>
        </w:rPr>
      </w:pPr>
    </w:p>
    <w:p>
      <w:pPr>
        <w:ind w:left="340" w:hanging="170"/>
        <w:spacing w:after="0"/>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Only independent directors serve on the committee</w:t>
      </w:r>
    </w:p>
    <w:p>
      <w:pPr>
        <w:spacing w:after="0" w:line="29" w:lineRule="exact"/>
        <w:rPr>
          <w:rFonts w:ascii="Arial" w:cs="Arial" w:eastAsia="Arial" w:hAnsi="Arial"/>
          <w:sz w:val="17"/>
          <w:szCs w:val="17"/>
          <w:color w:val="auto"/>
        </w:rPr>
      </w:pPr>
    </w:p>
    <w:p>
      <w:pPr>
        <w:ind w:left="340" w:hanging="170"/>
        <w:spacing w:after="0"/>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Compensation Committee engages its own independent compensation consultant</w:t>
      </w:r>
    </w:p>
    <w:p>
      <w:pPr>
        <w:spacing w:after="0" w:line="7" w:lineRule="exact"/>
        <w:rPr>
          <w:rFonts w:ascii="Arial" w:cs="Arial" w:eastAsia="Arial" w:hAnsi="Arial"/>
          <w:sz w:val="17"/>
          <w:szCs w:val="17"/>
          <w:color w:val="auto"/>
        </w:rPr>
      </w:pPr>
    </w:p>
    <w:p>
      <w:pPr>
        <w:ind w:left="340" w:hanging="170"/>
        <w:spacing w:after="0"/>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Compensation Committee has downward discretion to lower compensation plan payouts</w:t>
      </w:r>
    </w:p>
    <w:p>
      <w:pPr>
        <w:spacing w:after="0" w:line="7" w:lineRule="exact"/>
        <w:rPr>
          <w:rFonts w:ascii="Arial" w:cs="Arial" w:eastAsia="Arial" w:hAnsi="Arial"/>
          <w:sz w:val="17"/>
          <w:szCs w:val="17"/>
          <w:color w:val="auto"/>
        </w:rPr>
      </w:pPr>
    </w:p>
    <w:p>
      <w:pPr>
        <w:ind w:left="340" w:hanging="170"/>
        <w:spacing w:after="0"/>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Compensation Committee approves all adjustments to financial results that affect compensation calculations</w:t>
      </w:r>
    </w:p>
    <w:p>
      <w:pPr>
        <w:spacing w:after="0" w:line="7" w:lineRule="exact"/>
        <w:rPr>
          <w:rFonts w:ascii="Arial" w:cs="Arial" w:eastAsia="Arial" w:hAnsi="Arial"/>
          <w:sz w:val="17"/>
          <w:szCs w:val="17"/>
          <w:color w:val="auto"/>
        </w:rPr>
      </w:pPr>
    </w:p>
    <w:p>
      <w:pPr>
        <w:ind w:left="500" w:right="500" w:hanging="330"/>
        <w:spacing w:after="0" w:line="248" w:lineRule="auto"/>
        <w:tabs>
          <w:tab w:leader="none" w:pos="338" w:val="left"/>
        </w:tabs>
        <w:numPr>
          <w:ilvl w:val="0"/>
          <w:numId w:val="85"/>
        </w:numPr>
        <w:rPr>
          <w:rFonts w:ascii="Arial" w:cs="Arial" w:eastAsia="Arial" w:hAnsi="Arial"/>
          <w:sz w:val="17"/>
          <w:szCs w:val="17"/>
          <w:color w:val="auto"/>
        </w:rPr>
      </w:pPr>
      <w:r>
        <w:rPr>
          <w:rFonts w:ascii="Arial" w:cs="Arial" w:eastAsia="Arial" w:hAnsi="Arial"/>
          <w:sz w:val="17"/>
          <w:szCs w:val="17"/>
          <w:color w:val="auto"/>
        </w:rPr>
        <w:t>Different measures and metrics are used across multiple incentive plans that appropriately balance cash/stock, fixed/variable pay, and short-term/long-term incentives</w:t>
      </w:r>
    </w:p>
    <w:p>
      <w:pPr>
        <w:spacing w:after="0" w:line="1" w:lineRule="exact"/>
        <w:rPr>
          <w:rFonts w:ascii="Arial" w:cs="Arial" w:eastAsia="Arial" w:hAnsi="Arial"/>
          <w:sz w:val="17"/>
          <w:szCs w:val="17"/>
          <w:color w:val="auto"/>
        </w:rPr>
      </w:pPr>
    </w:p>
    <w:p>
      <w:pPr>
        <w:ind w:left="340" w:hanging="170"/>
        <w:spacing w:after="0"/>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Incentive plans have predetermined maximum payouts</w:t>
      </w:r>
    </w:p>
    <w:p>
      <w:pPr>
        <w:spacing w:after="0" w:line="7" w:lineRule="exact"/>
        <w:rPr>
          <w:rFonts w:ascii="Arial" w:cs="Arial" w:eastAsia="Arial" w:hAnsi="Arial"/>
          <w:sz w:val="17"/>
          <w:szCs w:val="17"/>
          <w:color w:val="auto"/>
        </w:rPr>
      </w:pPr>
    </w:p>
    <w:p>
      <w:pPr>
        <w:ind w:left="340" w:hanging="170"/>
        <w:spacing w:after="0"/>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Performance objectives are challenging but achievable</w:t>
      </w:r>
    </w:p>
    <w:p>
      <w:pPr>
        <w:spacing w:after="0" w:line="7" w:lineRule="exact"/>
        <w:rPr>
          <w:rFonts w:ascii="Arial" w:cs="Arial" w:eastAsia="Arial" w:hAnsi="Arial"/>
          <w:sz w:val="17"/>
          <w:szCs w:val="17"/>
          <w:color w:val="auto"/>
        </w:rPr>
      </w:pPr>
    </w:p>
    <w:p>
      <w:pPr>
        <w:ind w:left="500" w:right="180" w:hanging="330"/>
        <w:spacing w:after="0" w:line="248" w:lineRule="auto"/>
        <w:tabs>
          <w:tab w:leader="none" w:pos="338"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Programs with operational metrics have a continuum of payout multiples based upon achievement of performance milestones, rather than "cliffs" that might encourage suboptimal or improper behavior</w:t>
      </w:r>
    </w:p>
    <w:p>
      <w:pPr>
        <w:spacing w:after="0" w:line="1" w:lineRule="exact"/>
        <w:rPr>
          <w:rFonts w:ascii="Arial" w:cs="Arial" w:eastAsia="Arial" w:hAnsi="Arial"/>
          <w:sz w:val="17"/>
          <w:szCs w:val="17"/>
          <w:color w:val="auto"/>
        </w:rPr>
      </w:pPr>
    </w:p>
    <w:p>
      <w:pPr>
        <w:ind w:left="500" w:right="420" w:hanging="330"/>
        <w:spacing w:after="0" w:line="265" w:lineRule="auto"/>
        <w:tabs>
          <w:tab w:leader="none" w:pos="338"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compensation recovery policy is in place for all members of senior management; negative compensation consequences can result in cases involving serious compliance violations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P63</w:t>
      </w:r>
    </w:p>
    <w:p>
      <w:pPr>
        <w:sectPr>
          <w:pgSz w:w="11900" w:h="16838" w:orient="portrait"/>
          <w:cols w:equalWidth="0" w:num="1">
            <w:col w:w="11420"/>
          </w:cols>
          <w:pgMar w:left="240" w:top="555" w:right="239" w:bottom="1440" w:gutter="0" w:footer="0" w:header="0"/>
        </w:sectPr>
      </w:pPr>
    </w:p>
    <w:bookmarkStart w:id="67" w:name="page68"/>
    <w:bookmarkEnd w:id="67"/>
    <w:p>
      <w:pPr>
        <w:ind w:left="180"/>
        <w:spacing w:after="0"/>
        <w:rPr>
          <w:sz w:val="20"/>
          <w:szCs w:val="20"/>
          <w:color w:val="auto"/>
        </w:rPr>
      </w:pPr>
      <w:r>
        <w:rPr>
          <w:rFonts w:ascii="Arial" w:cs="Arial" w:eastAsia="Arial" w:hAnsi="Arial"/>
          <w:sz w:val="17"/>
          <w:szCs w:val="17"/>
          <w:color w:val="auto"/>
        </w:rPr>
        <w:t>• Meaningful share ownership and retention requirements are in place for all members of senior management and the board.</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Report</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Compensation Committee evaluates and establishes compensation for executive officers and oversees the deferred compensation plan, management stock plans, and other management incentive and benefit programs. Management has the primary responsibility for the company’s financial statements and reporting process, including the disclosure of executive compensation. With this in mind, the Compensation Committee has reviewed and discussed with management the CD&amp;A above. The Compensation Committee recommended to the Board of Directors that the CD&amp;A be included in this proxy statement for filing with the SEC.</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Ralph Alvarez, Chair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Michael L. Eskew</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Ellen R. Marram</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Kathi P. Seifert</w:t>
      </w:r>
    </w:p>
    <w:p>
      <w:pPr>
        <w:spacing w:after="0" w:line="190"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CEO Pay Ratio</w:t>
      </w:r>
    </w:p>
    <w:p>
      <w:pPr>
        <w:spacing w:after="0" w:line="21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 xml:space="preserve">Lilly’s compensation and benefits philosophy and the overall structure of our compensation and benefit programs are broadly similar across the organization to encourage and reward all employees who contribute to our success. We strive to ensure the pay of every Lilly employee reflects the level of their job impact and responsibilities and is competitive within our peer group. Compensation rates are benchmarked and set to be market-competitive in the country in which the jobs are performed. Lilly’s ongoing commitment to pay equity is critical to our success in supporting a diverse workforce with opportunities for all employees to grow, develop, and contribute. </w:t>
      </w:r>
      <w:r>
        <w:rPr>
          <w:rFonts w:ascii="Arial" w:cs="Arial" w:eastAsia="Arial" w:hAnsi="Arial"/>
          <w:sz w:val="16"/>
          <w:szCs w:val="16"/>
          <w:color w:val="auto"/>
        </w:rPr>
        <w:t>As of November 1, 2018, Lilly employed approximately 40,000 people, with</w:t>
      </w:r>
      <w:r>
        <w:rPr>
          <w:rFonts w:ascii="Arial" w:cs="Arial" w:eastAsia="Arial" w:hAnsi="Arial"/>
          <w:sz w:val="17"/>
          <w:szCs w:val="17"/>
          <w:color w:val="auto"/>
        </w:rPr>
        <w:t xml:space="preserve"> </w:t>
      </w:r>
      <w:r>
        <w:rPr>
          <w:rFonts w:ascii="Arial" w:cs="Arial" w:eastAsia="Arial" w:hAnsi="Arial"/>
          <w:sz w:val="16"/>
          <w:szCs w:val="16"/>
          <w:color w:val="auto"/>
        </w:rPr>
        <w:t>approximately 17,000 members of our workforce located in the U.S. and approximately 23,000 members of our workforce located outside of the U.S.</w:t>
      </w:r>
    </w:p>
    <w:p>
      <w:pPr>
        <w:spacing w:after="0" w:line="16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Under rules adopted pursuant to the Dodd-Frank Act of 2010, Lilly must calculate and disclose the total compensation paid to its median paid employee, as well as the ratio of the total compensation paid to the median employee as compared to the total compensation paid to Lilly’s CEO. The paragraphs that follow describe our methodology and the resulting CEO pay ratio.</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Measurement Date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We identified the median employee using our employee population on November 1, 2018.</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Consistently Applied Compensation Measure (CACM)</w:t>
      </w:r>
    </w:p>
    <w:p>
      <w:pPr>
        <w:spacing w:after="0" w:line="25"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Under the relevant rules, we identified the median employee by use of a “consistently applied compensation measure,” or CACM. We chose a CACM that closely approximates the annual total direct compensation of our employees. Specifically, we identified the median employee by looking at annual base pay, bonus opportunity at target, and the grant date fair value for standard equity awards. We did not adjust the compensation paid to part-time employees to calculate what they would have been paid on a full-time basis.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 Minimis Exception</w:t>
      </w:r>
    </w:p>
    <w:p>
      <w:pPr>
        <w:spacing w:after="0" w:line="25"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Lilly has employees in 87 countries. In identifying the median employee, we excluded workers in 9 countries totaling 447 workers (approximately 1.1 percent of our workforce). We excluded these employees because they are affiliated with joint ventures or third-party distributors, and Lilly does not set their compensation philosophy. We excluded the following number of workers from the following countries in the identification of the median employee: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P64</w:t>
      </w:r>
    </w:p>
    <w:p>
      <w:pPr>
        <w:sectPr>
          <w:pgSz w:w="11900" w:h="16838" w:orient="portrait"/>
          <w:cols w:equalWidth="0" w:num="1">
            <w:col w:w="11400"/>
          </w:cols>
          <w:pgMar w:left="240" w:top="557" w:right="259" w:bottom="1440" w:gutter="0" w:footer="0" w:header="0"/>
        </w:sectPr>
      </w:pPr>
    </w:p>
    <w:bookmarkStart w:id="68" w:name="page69"/>
    <w:bookmarkEnd w:id="68"/>
    <w:tbl>
      <w:tblPr>
        <w:tblLayout w:type="fixed"/>
        <w:tblInd w:w="2540" w:type="dxa"/>
        <w:tblCellMar>
          <w:top w:w="0" w:type="dxa"/>
          <w:left w:w="0" w:type="dxa"/>
          <w:bottom w:w="0" w:type="dxa"/>
          <w:right w:w="0" w:type="dxa"/>
        </w:tblCellMar>
      </w:tblPr>
      <w:tr>
        <w:trPr>
          <w:trHeight w:val="216"/>
        </w:trPr>
        <w:tc>
          <w:tcPr>
            <w:tcW w:w="274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Countries Excluded</w:t>
            </w:r>
          </w:p>
        </w:tc>
        <w:tc>
          <w:tcPr>
            <w:tcW w:w="3620" w:type="dxa"/>
            <w:vAlign w:val="bottom"/>
            <w:shd w:val="clear" w:color="auto" w:fill="C8C9CB"/>
          </w:tcPr>
          <w:p>
            <w:pPr>
              <w:ind w:left="1360"/>
              <w:spacing w:after="0"/>
              <w:rPr>
                <w:sz w:val="20"/>
                <w:szCs w:val="20"/>
                <w:color w:val="auto"/>
              </w:rPr>
            </w:pPr>
            <w:r>
              <w:rPr>
                <w:rFonts w:ascii="Arial" w:cs="Arial" w:eastAsia="Arial" w:hAnsi="Arial"/>
                <w:sz w:val="14"/>
                <w:szCs w:val="14"/>
                <w:b w:val="1"/>
                <w:bCs w:val="1"/>
                <w:color w:val="00ABE8"/>
              </w:rPr>
              <w:t>Workers Excluded</w:t>
            </w:r>
          </w:p>
        </w:tc>
      </w:tr>
      <w:tr>
        <w:trPr>
          <w:trHeight w:val="191"/>
        </w:trPr>
        <w:tc>
          <w:tcPr>
            <w:tcW w:w="2740" w:type="dxa"/>
            <w:vAlign w:val="bottom"/>
          </w:tcPr>
          <w:p>
            <w:pPr>
              <w:ind w:left="20"/>
              <w:spacing w:after="0"/>
              <w:rPr>
                <w:sz w:val="20"/>
                <w:szCs w:val="20"/>
                <w:color w:val="auto"/>
              </w:rPr>
            </w:pPr>
            <w:r>
              <w:rPr>
                <w:rFonts w:ascii="Arial" w:cs="Arial" w:eastAsia="Arial" w:hAnsi="Arial"/>
                <w:sz w:val="14"/>
                <w:szCs w:val="14"/>
                <w:color w:val="auto"/>
              </w:rPr>
              <w:t>Bahrain</w:t>
            </w:r>
          </w:p>
        </w:tc>
        <w:tc>
          <w:tcPr>
            <w:tcW w:w="3620" w:type="dxa"/>
            <w:vAlign w:val="bottom"/>
          </w:tcPr>
          <w:p>
            <w:pPr>
              <w:jc w:val="center"/>
              <w:ind w:left="312"/>
              <w:spacing w:after="0"/>
              <w:rPr>
                <w:sz w:val="20"/>
                <w:szCs w:val="20"/>
                <w:color w:val="auto"/>
              </w:rPr>
            </w:pPr>
            <w:r>
              <w:rPr>
                <w:rFonts w:ascii="Arial" w:cs="Arial" w:eastAsia="Arial" w:hAnsi="Arial"/>
                <w:sz w:val="14"/>
                <w:szCs w:val="14"/>
                <w:color w:val="auto"/>
              </w:rPr>
              <w:t>2</w:t>
            </w:r>
          </w:p>
        </w:tc>
      </w:tr>
      <w:tr>
        <w:trPr>
          <w:trHeight w:val="203"/>
        </w:trPr>
        <w:tc>
          <w:tcPr>
            <w:tcW w:w="2740" w:type="dxa"/>
            <w:vAlign w:val="bottom"/>
          </w:tcPr>
          <w:p>
            <w:pPr>
              <w:ind w:left="20"/>
              <w:spacing w:after="0"/>
              <w:rPr>
                <w:sz w:val="20"/>
                <w:szCs w:val="20"/>
                <w:color w:val="auto"/>
              </w:rPr>
            </w:pPr>
            <w:r>
              <w:rPr>
                <w:rFonts w:ascii="Arial" w:cs="Arial" w:eastAsia="Arial" w:hAnsi="Arial"/>
                <w:sz w:val="14"/>
                <w:szCs w:val="14"/>
                <w:color w:val="auto"/>
              </w:rPr>
              <w:t>Greece</w:t>
            </w:r>
          </w:p>
        </w:tc>
        <w:tc>
          <w:tcPr>
            <w:tcW w:w="3620" w:type="dxa"/>
            <w:vAlign w:val="bottom"/>
          </w:tcPr>
          <w:p>
            <w:pPr>
              <w:jc w:val="center"/>
              <w:ind w:left="292"/>
              <w:spacing w:after="0"/>
              <w:rPr>
                <w:sz w:val="20"/>
                <w:szCs w:val="20"/>
                <w:color w:val="auto"/>
              </w:rPr>
            </w:pPr>
            <w:r>
              <w:rPr>
                <w:rFonts w:ascii="Arial" w:cs="Arial" w:eastAsia="Arial" w:hAnsi="Arial"/>
                <w:sz w:val="14"/>
                <w:szCs w:val="14"/>
                <w:color w:val="auto"/>
                <w:w w:val="94"/>
              </w:rPr>
              <w:t>233</w:t>
            </w:r>
          </w:p>
        </w:tc>
      </w:tr>
      <w:tr>
        <w:trPr>
          <w:trHeight w:val="203"/>
        </w:trPr>
        <w:tc>
          <w:tcPr>
            <w:tcW w:w="2740" w:type="dxa"/>
            <w:vAlign w:val="bottom"/>
          </w:tcPr>
          <w:p>
            <w:pPr>
              <w:ind w:left="20"/>
              <w:spacing w:after="0"/>
              <w:rPr>
                <w:sz w:val="20"/>
                <w:szCs w:val="20"/>
                <w:color w:val="auto"/>
              </w:rPr>
            </w:pPr>
            <w:r>
              <w:rPr>
                <w:rFonts w:ascii="Arial" w:cs="Arial" w:eastAsia="Arial" w:hAnsi="Arial"/>
                <w:sz w:val="14"/>
                <w:szCs w:val="14"/>
                <w:color w:val="auto"/>
              </w:rPr>
              <w:t>Indonesia</w:t>
            </w:r>
          </w:p>
        </w:tc>
        <w:tc>
          <w:tcPr>
            <w:tcW w:w="3620" w:type="dxa"/>
            <w:vAlign w:val="bottom"/>
          </w:tcPr>
          <w:p>
            <w:pPr>
              <w:jc w:val="center"/>
              <w:ind w:left="292"/>
              <w:spacing w:after="0"/>
              <w:rPr>
                <w:sz w:val="20"/>
                <w:szCs w:val="20"/>
                <w:color w:val="auto"/>
              </w:rPr>
            </w:pPr>
            <w:r>
              <w:rPr>
                <w:rFonts w:ascii="Arial" w:cs="Arial" w:eastAsia="Arial" w:hAnsi="Arial"/>
                <w:sz w:val="14"/>
                <w:szCs w:val="14"/>
                <w:color w:val="auto"/>
                <w:w w:val="89"/>
              </w:rPr>
              <w:t>24</w:t>
            </w:r>
          </w:p>
        </w:tc>
      </w:tr>
      <w:tr>
        <w:trPr>
          <w:trHeight w:val="203"/>
        </w:trPr>
        <w:tc>
          <w:tcPr>
            <w:tcW w:w="2740" w:type="dxa"/>
            <w:vAlign w:val="bottom"/>
          </w:tcPr>
          <w:p>
            <w:pPr>
              <w:ind w:left="20"/>
              <w:spacing w:after="0"/>
              <w:rPr>
                <w:sz w:val="20"/>
                <w:szCs w:val="20"/>
                <w:color w:val="auto"/>
              </w:rPr>
            </w:pPr>
            <w:r>
              <w:rPr>
                <w:rFonts w:ascii="Arial" w:cs="Arial" w:eastAsia="Arial" w:hAnsi="Arial"/>
                <w:sz w:val="14"/>
                <w:szCs w:val="14"/>
                <w:color w:val="auto"/>
              </w:rPr>
              <w:t>Kuwait</w:t>
            </w:r>
          </w:p>
        </w:tc>
        <w:tc>
          <w:tcPr>
            <w:tcW w:w="3620" w:type="dxa"/>
            <w:vAlign w:val="bottom"/>
          </w:tcPr>
          <w:p>
            <w:pPr>
              <w:jc w:val="center"/>
              <w:ind w:left="292"/>
              <w:spacing w:after="0"/>
              <w:rPr>
                <w:sz w:val="20"/>
                <w:szCs w:val="20"/>
                <w:color w:val="auto"/>
              </w:rPr>
            </w:pPr>
            <w:r>
              <w:rPr>
                <w:rFonts w:ascii="Arial" w:cs="Arial" w:eastAsia="Arial" w:hAnsi="Arial"/>
                <w:sz w:val="14"/>
                <w:szCs w:val="14"/>
                <w:color w:val="auto"/>
                <w:w w:val="89"/>
              </w:rPr>
              <w:t>15</w:t>
            </w:r>
          </w:p>
        </w:tc>
      </w:tr>
      <w:tr>
        <w:trPr>
          <w:trHeight w:val="203"/>
        </w:trPr>
        <w:tc>
          <w:tcPr>
            <w:tcW w:w="2740" w:type="dxa"/>
            <w:vAlign w:val="bottom"/>
          </w:tcPr>
          <w:p>
            <w:pPr>
              <w:ind w:left="20"/>
              <w:spacing w:after="0"/>
              <w:rPr>
                <w:sz w:val="20"/>
                <w:szCs w:val="20"/>
                <w:color w:val="auto"/>
              </w:rPr>
            </w:pPr>
            <w:r>
              <w:rPr>
                <w:rFonts w:ascii="Arial" w:cs="Arial" w:eastAsia="Arial" w:hAnsi="Arial"/>
                <w:sz w:val="14"/>
                <w:szCs w:val="14"/>
                <w:color w:val="auto"/>
              </w:rPr>
              <w:t>Oman</w:t>
            </w:r>
          </w:p>
        </w:tc>
        <w:tc>
          <w:tcPr>
            <w:tcW w:w="3620" w:type="dxa"/>
            <w:vAlign w:val="bottom"/>
          </w:tcPr>
          <w:p>
            <w:pPr>
              <w:jc w:val="center"/>
              <w:ind w:left="312"/>
              <w:spacing w:after="0"/>
              <w:rPr>
                <w:sz w:val="20"/>
                <w:szCs w:val="20"/>
                <w:color w:val="auto"/>
              </w:rPr>
            </w:pPr>
            <w:r>
              <w:rPr>
                <w:rFonts w:ascii="Arial" w:cs="Arial" w:eastAsia="Arial" w:hAnsi="Arial"/>
                <w:sz w:val="14"/>
                <w:szCs w:val="14"/>
                <w:color w:val="auto"/>
              </w:rPr>
              <w:t>1</w:t>
            </w:r>
          </w:p>
        </w:tc>
      </w:tr>
      <w:tr>
        <w:trPr>
          <w:trHeight w:val="203"/>
        </w:trPr>
        <w:tc>
          <w:tcPr>
            <w:tcW w:w="2740" w:type="dxa"/>
            <w:vAlign w:val="bottom"/>
          </w:tcPr>
          <w:p>
            <w:pPr>
              <w:ind w:left="20"/>
              <w:spacing w:after="0"/>
              <w:rPr>
                <w:sz w:val="20"/>
                <w:szCs w:val="20"/>
                <w:color w:val="auto"/>
              </w:rPr>
            </w:pPr>
            <w:r>
              <w:rPr>
                <w:rFonts w:ascii="Arial" w:cs="Arial" w:eastAsia="Arial" w:hAnsi="Arial"/>
                <w:sz w:val="14"/>
                <w:szCs w:val="14"/>
                <w:color w:val="auto"/>
              </w:rPr>
              <w:t>Pakistan</w:t>
            </w:r>
          </w:p>
        </w:tc>
        <w:tc>
          <w:tcPr>
            <w:tcW w:w="3620" w:type="dxa"/>
            <w:vAlign w:val="bottom"/>
          </w:tcPr>
          <w:p>
            <w:pPr>
              <w:jc w:val="center"/>
              <w:ind w:left="292"/>
              <w:spacing w:after="0"/>
              <w:rPr>
                <w:sz w:val="20"/>
                <w:szCs w:val="20"/>
                <w:color w:val="auto"/>
              </w:rPr>
            </w:pPr>
            <w:r>
              <w:rPr>
                <w:rFonts w:ascii="Arial" w:cs="Arial" w:eastAsia="Arial" w:hAnsi="Arial"/>
                <w:sz w:val="14"/>
                <w:szCs w:val="14"/>
                <w:color w:val="auto"/>
                <w:w w:val="89"/>
              </w:rPr>
              <w:t>30</w:t>
            </w:r>
          </w:p>
        </w:tc>
      </w:tr>
      <w:tr>
        <w:trPr>
          <w:trHeight w:val="203"/>
        </w:trPr>
        <w:tc>
          <w:tcPr>
            <w:tcW w:w="2740" w:type="dxa"/>
            <w:vAlign w:val="bottom"/>
          </w:tcPr>
          <w:p>
            <w:pPr>
              <w:ind w:left="20"/>
              <w:spacing w:after="0"/>
              <w:rPr>
                <w:sz w:val="20"/>
                <w:szCs w:val="20"/>
                <w:color w:val="auto"/>
              </w:rPr>
            </w:pPr>
            <w:r>
              <w:rPr>
                <w:rFonts w:ascii="Arial" w:cs="Arial" w:eastAsia="Arial" w:hAnsi="Arial"/>
                <w:sz w:val="14"/>
                <w:szCs w:val="14"/>
                <w:color w:val="auto"/>
              </w:rPr>
              <w:t>Qatar</w:t>
            </w:r>
          </w:p>
        </w:tc>
        <w:tc>
          <w:tcPr>
            <w:tcW w:w="3620" w:type="dxa"/>
            <w:vAlign w:val="bottom"/>
          </w:tcPr>
          <w:p>
            <w:pPr>
              <w:jc w:val="center"/>
              <w:ind w:left="312"/>
              <w:spacing w:after="0"/>
              <w:rPr>
                <w:sz w:val="20"/>
                <w:szCs w:val="20"/>
                <w:color w:val="auto"/>
              </w:rPr>
            </w:pPr>
            <w:r>
              <w:rPr>
                <w:rFonts w:ascii="Arial" w:cs="Arial" w:eastAsia="Arial" w:hAnsi="Arial"/>
                <w:sz w:val="14"/>
                <w:szCs w:val="14"/>
                <w:color w:val="auto"/>
              </w:rPr>
              <w:t>7</w:t>
            </w:r>
          </w:p>
        </w:tc>
      </w:tr>
      <w:tr>
        <w:trPr>
          <w:trHeight w:val="203"/>
        </w:trPr>
        <w:tc>
          <w:tcPr>
            <w:tcW w:w="2740" w:type="dxa"/>
            <w:vAlign w:val="bottom"/>
          </w:tcPr>
          <w:p>
            <w:pPr>
              <w:ind w:left="20"/>
              <w:spacing w:after="0"/>
              <w:rPr>
                <w:sz w:val="20"/>
                <w:szCs w:val="20"/>
                <w:color w:val="auto"/>
              </w:rPr>
            </w:pPr>
            <w:r>
              <w:rPr>
                <w:rFonts w:ascii="Arial" w:cs="Arial" w:eastAsia="Arial" w:hAnsi="Arial"/>
                <w:sz w:val="14"/>
                <w:szCs w:val="14"/>
                <w:color w:val="auto"/>
              </w:rPr>
              <w:t>United Arab Emirates</w:t>
            </w:r>
          </w:p>
        </w:tc>
        <w:tc>
          <w:tcPr>
            <w:tcW w:w="3620" w:type="dxa"/>
            <w:vAlign w:val="bottom"/>
          </w:tcPr>
          <w:p>
            <w:pPr>
              <w:jc w:val="center"/>
              <w:ind w:left="292"/>
              <w:spacing w:after="0"/>
              <w:rPr>
                <w:sz w:val="20"/>
                <w:szCs w:val="20"/>
                <w:color w:val="auto"/>
              </w:rPr>
            </w:pPr>
            <w:r>
              <w:rPr>
                <w:rFonts w:ascii="Arial" w:cs="Arial" w:eastAsia="Arial" w:hAnsi="Arial"/>
                <w:sz w:val="14"/>
                <w:szCs w:val="14"/>
                <w:color w:val="auto"/>
                <w:w w:val="94"/>
              </w:rPr>
              <w:t>102</w:t>
            </w:r>
          </w:p>
        </w:tc>
      </w:tr>
      <w:tr>
        <w:trPr>
          <w:trHeight w:val="209"/>
        </w:trPr>
        <w:tc>
          <w:tcPr>
            <w:tcW w:w="2740" w:type="dxa"/>
            <w:vAlign w:val="bottom"/>
          </w:tcPr>
          <w:p>
            <w:pPr>
              <w:ind w:left="20"/>
              <w:spacing w:after="0"/>
              <w:rPr>
                <w:sz w:val="20"/>
                <w:szCs w:val="20"/>
                <w:color w:val="auto"/>
              </w:rPr>
            </w:pPr>
            <w:r>
              <w:rPr>
                <w:rFonts w:ascii="Arial" w:cs="Arial" w:eastAsia="Arial" w:hAnsi="Arial"/>
                <w:sz w:val="14"/>
                <w:szCs w:val="14"/>
                <w:color w:val="auto"/>
              </w:rPr>
              <w:t>Vietnam</w:t>
            </w:r>
          </w:p>
        </w:tc>
        <w:tc>
          <w:tcPr>
            <w:tcW w:w="3620" w:type="dxa"/>
            <w:vAlign w:val="bottom"/>
          </w:tcPr>
          <w:p>
            <w:pPr>
              <w:jc w:val="center"/>
              <w:ind w:left="292"/>
              <w:spacing w:after="0"/>
              <w:rPr>
                <w:sz w:val="20"/>
                <w:szCs w:val="20"/>
                <w:color w:val="auto"/>
              </w:rPr>
            </w:pPr>
            <w:r>
              <w:rPr>
                <w:rFonts w:ascii="Arial" w:cs="Arial" w:eastAsia="Arial" w:hAnsi="Arial"/>
                <w:sz w:val="14"/>
                <w:szCs w:val="14"/>
                <w:color w:val="auto"/>
                <w:w w:val="89"/>
              </w:rPr>
              <w:t>33</w:t>
            </w:r>
          </w:p>
        </w:tc>
      </w:tr>
      <w:tr>
        <w:trPr>
          <w:trHeight w:val="222"/>
        </w:trPr>
        <w:tc>
          <w:tcPr>
            <w:tcW w:w="2740" w:type="dxa"/>
            <w:vAlign w:val="bottom"/>
            <w:shd w:val="clear" w:color="auto" w:fill="C8C9CB"/>
          </w:tcPr>
          <w:p>
            <w:pPr>
              <w:ind w:left="20"/>
              <w:spacing w:after="0"/>
              <w:rPr>
                <w:sz w:val="20"/>
                <w:szCs w:val="20"/>
                <w:color w:val="auto"/>
              </w:rPr>
            </w:pPr>
            <w:r>
              <w:rPr>
                <w:rFonts w:ascii="Arial" w:cs="Arial" w:eastAsia="Arial" w:hAnsi="Arial"/>
                <w:sz w:val="14"/>
                <w:szCs w:val="14"/>
                <w:b w:val="1"/>
                <w:bCs w:val="1"/>
                <w:color w:val="00ABE8"/>
              </w:rPr>
              <w:t>Total</w:t>
            </w:r>
          </w:p>
        </w:tc>
        <w:tc>
          <w:tcPr>
            <w:tcW w:w="3620" w:type="dxa"/>
            <w:vAlign w:val="bottom"/>
            <w:shd w:val="clear" w:color="auto" w:fill="C8C9CB"/>
          </w:tcPr>
          <w:p>
            <w:pPr>
              <w:jc w:val="center"/>
              <w:ind w:left="312"/>
              <w:spacing w:after="0"/>
              <w:rPr>
                <w:sz w:val="20"/>
                <w:szCs w:val="20"/>
                <w:color w:val="auto"/>
              </w:rPr>
            </w:pPr>
            <w:r>
              <w:rPr>
                <w:rFonts w:ascii="Arial" w:cs="Arial" w:eastAsia="Arial" w:hAnsi="Arial"/>
                <w:sz w:val="14"/>
                <w:szCs w:val="14"/>
                <w:b w:val="1"/>
                <w:bCs w:val="1"/>
                <w:color w:val="00ABE8"/>
              </w:rPr>
              <w:t>447</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Methodology and Pay Ratio</w:t>
      </w:r>
    </w:p>
    <w:p>
      <w:pPr>
        <w:spacing w:after="0" w:line="25"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After applying our CACM and excluding the employees listed above, we identified the median paid employee. Once the median paid employee was identified, we calculated the median paid employee’s total annual compensation in accordance with the requirements of the Summary Compensation Table.</w:t>
      </w:r>
    </w:p>
    <w:p>
      <w:pPr>
        <w:spacing w:after="0" w:line="163" w:lineRule="exact"/>
        <w:rPr>
          <w:sz w:val="20"/>
          <w:szCs w:val="20"/>
          <w:color w:val="auto"/>
        </w:rPr>
      </w:pPr>
    </w:p>
    <w:p>
      <w:pPr>
        <w:ind w:right="380"/>
        <w:spacing w:after="0" w:line="292" w:lineRule="auto"/>
        <w:rPr>
          <w:sz w:val="20"/>
          <w:szCs w:val="20"/>
          <w:color w:val="auto"/>
        </w:rPr>
      </w:pPr>
      <w:r>
        <w:rPr>
          <w:rFonts w:ascii="Arial" w:cs="Arial" w:eastAsia="Arial" w:hAnsi="Arial"/>
          <w:sz w:val="17"/>
          <w:szCs w:val="17"/>
          <w:color w:val="auto"/>
        </w:rPr>
        <w:t>Our median employee compensation as calculated using Summary Compensation Table requirements was $91,246. Our CEO’s compensation as reported in the Summary Compensation Table was $17,230,337. Therefore, our CEO to median employee pay ratio is 189:1.</w:t>
      </w:r>
    </w:p>
    <w:p>
      <w:pPr>
        <w:spacing w:after="0" w:line="321"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Audit Matters</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1A3A6C"/>
        </w:rPr>
        <w:t>Item 3. Ratification of the Appointment of Principal Independent Auditor</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Oversight of Independent Auditor</w:t>
      </w:r>
    </w:p>
    <w:p>
      <w:pPr>
        <w:spacing w:after="0" w:line="25"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color w:val="auto"/>
        </w:rPr>
        <w:t xml:space="preserve">The Audit Committee is responsible for the appointment, compensation, retention, and oversight of the independent auditor, and oversees the process for selecting, reviewing, and evaluating the lead audit partner. Further information regarding the committee's oversight of the independent auditor can be found in the Audit Committee charter, available online at </w:t>
      </w:r>
      <w:r>
        <w:rPr>
          <w:rFonts w:ascii="Arial" w:cs="Arial" w:eastAsia="Arial" w:hAnsi="Arial"/>
          <w:sz w:val="17"/>
          <w:szCs w:val="17"/>
          <w:color w:val="EE2724"/>
        </w:rPr>
        <w:t>lilly.com/who-we-are/governance</w:t>
      </w:r>
      <w:r>
        <w:rPr>
          <w:rFonts w:ascii="Arial" w:cs="Arial" w:eastAsia="Arial" w:hAnsi="Arial"/>
          <w:sz w:val="17"/>
          <w:szCs w:val="17"/>
          <w:color w:val="auto"/>
        </w:rPr>
        <w:t xml:space="preserve"> or upon request to the company's corporate secretary.</w:t>
      </w:r>
    </w:p>
    <w:p>
      <w:pPr>
        <w:spacing w:after="0" w:line="16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connection with the decision regarding whether to reappoint the independent auditor each year (subject to shareholder ratification), the committee assesses the independent auditor's performance. This assessment examines three primary criteria: (1) the independent auditor's qualifications and experience; (2) the communication and interactions with the auditor over the course of the year; and (3) the auditor's independence, objectivity, and professional skepticism. These criteria are assessed against an internal and an external scorecard, and are discussed with management during a private session, as well as in executive session. The committee also periodically considers whether a rotation of the company's independent auditor is advisable.</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Ernst &amp; Young LLP (EY) has served as the principal independent auditor for the company since 1940. Based on the Audit Committee’s assessment of EY's performance during 2018, the Audit Committee believes that the continued retention of EY to serve as the company's principal independent auditor is in the best interests of the company and its shareholders, and has therefore reappointed EY as the company’s principal independent auditor for 2019. In addition to this year's favorable assessment of EY's performance, we recognize that there are several benefits of retaining a longer-tenured independent auditor. EY has gained institutional knowledge and expertise regarding the company's global operations, accounting policies and practices, and internal controls over financial reporting. Audit and other fees are also competitive with peer companies because of EY's familiarity with the company and its operations. In accordance with the bylaws, this appointment is being submitted to the shareholders for ratification.</w:t>
      </w:r>
    </w:p>
    <w:p>
      <w:pPr>
        <w:spacing w:after="0" w:line="167"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Representatives of EY are expected to be present at the 2019 annual meeting and will be available to respond to questions. Those representatives will have the opportunity to make a statement if they wish to do so.</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P65</w:t>
      </w:r>
    </w:p>
    <w:p>
      <w:pPr>
        <w:sectPr>
          <w:pgSz w:w="11900" w:h="16838" w:orient="portrait"/>
          <w:cols w:equalWidth="0" w:num="1">
            <w:col w:w="11380"/>
          </w:cols>
          <w:pgMar w:left="240" w:top="720" w:right="279" w:bottom="1440" w:gutter="0" w:footer="0" w:header="0"/>
        </w:sectPr>
      </w:pPr>
    </w:p>
    <w:bookmarkStart w:id="69" w:name="page70"/>
    <w:bookmarkEnd w:id="69"/>
    <w:p>
      <w:pPr>
        <w:spacing w:after="0"/>
        <w:rPr>
          <w:sz w:val="20"/>
          <w:szCs w:val="20"/>
          <w:color w:val="auto"/>
        </w:rPr>
      </w:pPr>
      <w:r>
        <w:rPr>
          <w:rFonts w:ascii="Arial" w:cs="Arial" w:eastAsia="Arial" w:hAnsi="Arial"/>
          <w:sz w:val="27"/>
          <w:szCs w:val="27"/>
          <w:b w:val="1"/>
          <w:bCs w:val="1"/>
          <w:color w:val="EF3729"/>
        </w:rPr>
        <w:t>Board Recommendation on Item 3</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that you vote FOR ratifying the appointment of Ernst &amp; Young LLP as principal independent auditor for 2019.</w:t>
      </w:r>
    </w:p>
    <w:p>
      <w:pPr>
        <w:spacing w:after="0" w:line="268"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Audit Committee Report</w:t>
      </w:r>
    </w:p>
    <w:p>
      <w:pPr>
        <w:spacing w:after="0" w:line="214"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Audit Committee reviews the company’s financial reporting process on behalf of the board. Management has the primary responsibility for the financial statements and the reporting process, including the systems of internal controls and disclosure controls. In this context, the Audit Committee has met and held discussions with management and the independent auditor. Management represented to the Audit Committee that the company’s consolidated financial statements for the year ended December 31, 2018 were prepared in accordance with generally accepted accounting principles (GAAP), and the committee has reviewed and discussed the audited financial statements and related disclosures with management and the independent auditor, including a review of the significant management judgments underlying the financial statements and disclosures.</w:t>
      </w:r>
    </w:p>
    <w:p>
      <w:pPr>
        <w:spacing w:after="0" w:line="162" w:lineRule="exact"/>
        <w:rPr>
          <w:sz w:val="20"/>
          <w:szCs w:val="20"/>
          <w:color w:val="auto"/>
        </w:rPr>
      </w:pPr>
    </w:p>
    <w:p>
      <w:pPr>
        <w:ind w:right="640"/>
        <w:spacing w:after="0" w:line="292" w:lineRule="auto"/>
        <w:rPr>
          <w:sz w:val="20"/>
          <w:szCs w:val="20"/>
          <w:color w:val="auto"/>
        </w:rPr>
      </w:pPr>
      <w:r>
        <w:rPr>
          <w:rFonts w:ascii="Arial" w:cs="Arial" w:eastAsia="Arial" w:hAnsi="Arial"/>
          <w:sz w:val="17"/>
          <w:szCs w:val="17"/>
          <w:color w:val="auto"/>
        </w:rPr>
        <w:t>The independent auditor reports to the Audit Committee, which has sole authority to appoint and to replace the independent auditor (subject to shareholder ratification).</w:t>
      </w:r>
    </w:p>
    <w:p>
      <w:pPr>
        <w:spacing w:after="0" w:line="132"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The Audit Committee has discussed with the independent auditor matters required to be discussed with the Audit Committee by the standards of the Public Company Accounting Oversight Board (PCAOB) and the NYSE, including the quality, not just the acceptability, of the accounting principles, the reasonableness of significant judgments, and the clarity of the disclosures in the financial statements. In addition, the Audit Committee has received the written disclosures and the letter from the independent auditor required by applicable PCAOB rules regarding communications with the Audit Committee concerning independence, and has discussed with the independent auditor the auditor’s independence from the company and its management. In concluding that the auditor is independent, the Audit Committee determined, among other things, that the nonaudit services provided by EY (as described below) were compatible with its independence. Consistent with the requirements of the Sarbanes-Oxley Act of 2002 (the Sarbanes-Oxley Act), the Audit Committee has adopted policies to ensure the independence of the independent auditor, such as prior committee approval of non-audit services and required audit partner rotation.</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Audit Committee discussed with the company’s internal and independent auditors the overall scope and plans for their respective audits, including internal control testing under Section 404 of the Sarbanes-Oxley Act. The Audit Committee periodically meets with the internal and independent auditors, with and without management present, and in private sessions with members of senior management (such as the chief financial officer and the chief accounting officer) to discuss the results of their examinations, their evaluations of the company’s internal controls, and the overall quality of the company’s financial reporting. The Audit Committee also periodically meets in executive session.</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reliance on the reviews and discussions referred to above, the committee recommended to the board (and the board subsequently approved the recommendation) that the audited consolidated financial statements be included in the company’s annual report on Form 10-K for the year ended December 31, 2018, for filing with the SEC. The Audit Committee has also appointed EY as the company’s independent auditor, subject to shareholder ratification, for 2019.</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Michael L. Eskew, Chair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Katherine Baicker, Ph.D.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Jamere Jackson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Kathi P. Seifert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Jackson P. Tai</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Karen Walker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Services Performed by the Independent Auditor</w:t>
      </w:r>
    </w:p>
    <w:p>
      <w:pPr>
        <w:spacing w:after="0" w:line="25"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The Audit Committee pre-approves all services performed by the independent auditor, in part to assess whether the provision of such services might impair the auditor’s independence. The Audit Committee’s policy and procedures are as follows:</w:t>
      </w:r>
    </w:p>
    <w:p>
      <w:pPr>
        <w:spacing w:after="0" w:line="1" w:lineRule="exact"/>
        <w:rPr>
          <w:sz w:val="20"/>
          <w:szCs w:val="20"/>
          <w:color w:val="auto"/>
        </w:rPr>
      </w:pPr>
    </w:p>
    <w:p>
      <w:pPr>
        <w:ind w:left="340" w:right="220" w:hanging="170"/>
        <w:spacing w:after="0" w:line="254" w:lineRule="auto"/>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00ABE8"/>
        </w:rPr>
        <w:t xml:space="preserve">Audit services: </w:t>
      </w:r>
      <w:r>
        <w:rPr>
          <w:rFonts w:ascii="Arial" w:cs="Arial" w:eastAsia="Arial" w:hAnsi="Arial"/>
          <w:sz w:val="17"/>
          <w:szCs w:val="17"/>
          <w:color w:val="000000"/>
        </w:rPr>
        <w:t>The Audit Committee approves the annual audit services engagement and, if necessary, any changes in terms, conditions, and</w:t>
      </w:r>
      <w:r>
        <w:rPr>
          <w:rFonts w:ascii="Arial" w:cs="Arial" w:eastAsia="Arial" w:hAnsi="Arial"/>
          <w:sz w:val="17"/>
          <w:szCs w:val="17"/>
          <w:b w:val="1"/>
          <w:bCs w:val="1"/>
          <w:color w:val="00ABE8"/>
        </w:rPr>
        <w:t xml:space="preserve"> </w:t>
      </w:r>
      <w:r>
        <w:rPr>
          <w:rFonts w:ascii="Arial" w:cs="Arial" w:eastAsia="Arial" w:hAnsi="Arial"/>
          <w:sz w:val="17"/>
          <w:szCs w:val="17"/>
          <w:color w:val="000000"/>
        </w:rPr>
        <w:t>fees resulting from changes in audit scope, company structure, or other matters. Audit services include internal controls attestation work under Section 404 of the Sarbanes-Oxley Act. The Audit Committee may also pre-approve other audit services, which are those services that only the independent auditor reasonably can provide.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P66</w:t>
      </w:r>
    </w:p>
    <w:p>
      <w:pPr>
        <w:sectPr>
          <w:pgSz w:w="11900" w:h="16838" w:orient="portrait"/>
          <w:cols w:equalWidth="0" w:num="1">
            <w:col w:w="11400"/>
          </w:cols>
          <w:pgMar w:left="240" w:top="559" w:right="259" w:bottom="1440" w:gutter="0" w:footer="0" w:header="0"/>
        </w:sectPr>
      </w:pPr>
    </w:p>
    <w:bookmarkStart w:id="70" w:name="page71"/>
    <w:bookmarkEnd w:id="70"/>
    <w:p>
      <w:pPr>
        <w:ind w:left="340" w:right="180" w:hanging="170"/>
        <w:spacing w:after="0" w:line="258" w:lineRule="auto"/>
        <w:tabs>
          <w:tab w:leader="none" w:pos="34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00ABE8"/>
        </w:rPr>
        <w:t xml:space="preserve">Audit-related services: </w:t>
      </w:r>
      <w:r>
        <w:rPr>
          <w:rFonts w:ascii="Arial" w:cs="Arial" w:eastAsia="Arial" w:hAnsi="Arial"/>
          <w:sz w:val="17"/>
          <w:szCs w:val="17"/>
          <w:color w:val="000000"/>
        </w:rPr>
        <w:t>Audit-related services are assurance and related services that are reasonably related to the performance of the audit or</w:t>
      </w:r>
      <w:r>
        <w:rPr>
          <w:rFonts w:ascii="Arial" w:cs="Arial" w:eastAsia="Arial" w:hAnsi="Arial"/>
          <w:sz w:val="17"/>
          <w:szCs w:val="17"/>
          <w:b w:val="1"/>
          <w:bCs w:val="1"/>
          <w:color w:val="00ABE8"/>
        </w:rPr>
        <w:t xml:space="preserve"> </w:t>
      </w:r>
      <w:r>
        <w:rPr>
          <w:rFonts w:ascii="Arial" w:cs="Arial" w:eastAsia="Arial" w:hAnsi="Arial"/>
          <w:sz w:val="17"/>
          <w:szCs w:val="17"/>
          <w:color w:val="000000"/>
        </w:rPr>
        <w:t>reviews of the financial statements, and that are traditionally performed by the independent auditor. The Audit Committee believes that the provision of these services does not impair the independence of the auditor.</w:t>
      </w:r>
    </w:p>
    <w:p>
      <w:pPr>
        <w:spacing w:after="0" w:line="1" w:lineRule="exact"/>
        <w:rPr>
          <w:rFonts w:ascii="Arial" w:cs="Arial" w:eastAsia="Arial" w:hAnsi="Arial"/>
          <w:sz w:val="17"/>
          <w:szCs w:val="17"/>
          <w:color w:val="auto"/>
        </w:rPr>
      </w:pPr>
    </w:p>
    <w:p>
      <w:pPr>
        <w:ind w:left="340" w:right="700" w:hanging="170"/>
        <w:spacing w:after="0" w:line="248" w:lineRule="auto"/>
        <w:tabs>
          <w:tab w:leader="none" w:pos="34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00ABE8"/>
        </w:rPr>
        <w:t xml:space="preserve">Tax services: </w:t>
      </w:r>
      <w:r>
        <w:rPr>
          <w:rFonts w:ascii="Arial" w:cs="Arial" w:eastAsia="Arial" w:hAnsi="Arial"/>
          <w:sz w:val="17"/>
          <w:szCs w:val="17"/>
          <w:color w:val="000000"/>
        </w:rPr>
        <w:t>The Audit Committee believes that, in appropriate cases, the independent auditor can provide tax compliance services, tax</w:t>
      </w:r>
      <w:r>
        <w:rPr>
          <w:rFonts w:ascii="Arial" w:cs="Arial" w:eastAsia="Arial" w:hAnsi="Arial"/>
          <w:sz w:val="17"/>
          <w:szCs w:val="17"/>
          <w:b w:val="1"/>
          <w:bCs w:val="1"/>
          <w:color w:val="00ABE8"/>
        </w:rPr>
        <w:t xml:space="preserve"> </w:t>
      </w:r>
      <w:r>
        <w:rPr>
          <w:rFonts w:ascii="Arial" w:cs="Arial" w:eastAsia="Arial" w:hAnsi="Arial"/>
          <w:sz w:val="17"/>
          <w:szCs w:val="17"/>
          <w:color w:val="000000"/>
        </w:rPr>
        <w:t>planning, and tax advice without impairing the auditor’s independence.</w:t>
      </w:r>
    </w:p>
    <w:p>
      <w:pPr>
        <w:spacing w:after="0" w:line="1" w:lineRule="exact"/>
        <w:rPr>
          <w:rFonts w:ascii="Arial" w:cs="Arial" w:eastAsia="Arial" w:hAnsi="Arial"/>
          <w:sz w:val="17"/>
          <w:szCs w:val="17"/>
          <w:color w:val="auto"/>
        </w:rPr>
      </w:pPr>
    </w:p>
    <w:p>
      <w:pPr>
        <w:ind w:left="340" w:hanging="170"/>
        <w:spacing w:after="0" w:line="248" w:lineRule="auto"/>
        <w:tabs>
          <w:tab w:leader="none" w:pos="34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00ABE8"/>
        </w:rPr>
        <w:t xml:space="preserve">Other services: </w:t>
      </w:r>
      <w:r>
        <w:rPr>
          <w:rFonts w:ascii="Arial" w:cs="Arial" w:eastAsia="Arial" w:hAnsi="Arial"/>
          <w:sz w:val="17"/>
          <w:szCs w:val="17"/>
          <w:color w:val="000000"/>
        </w:rPr>
        <w:t>The Audit Committee may approve other services to be provided by the independent auditor if (i) the services are permissible</w:t>
      </w:r>
      <w:r>
        <w:rPr>
          <w:rFonts w:ascii="Arial" w:cs="Arial" w:eastAsia="Arial" w:hAnsi="Arial"/>
          <w:sz w:val="17"/>
          <w:szCs w:val="17"/>
          <w:b w:val="1"/>
          <w:bCs w:val="1"/>
          <w:color w:val="00ABE8"/>
        </w:rPr>
        <w:t xml:space="preserve"> </w:t>
      </w:r>
      <w:r>
        <w:rPr>
          <w:rFonts w:ascii="Arial" w:cs="Arial" w:eastAsia="Arial" w:hAnsi="Arial"/>
          <w:sz w:val="17"/>
          <w:szCs w:val="17"/>
          <w:color w:val="000000"/>
        </w:rPr>
        <w:t>under SEC and PCAOB rules, (ii) the Audit Committee believes the provision of the services would not impair the independence of the auditor, and (iii) management believes that the auditor is the best choice to provide the services.</w:t>
      </w:r>
    </w:p>
    <w:p>
      <w:pPr>
        <w:spacing w:after="0" w:line="1" w:lineRule="exact"/>
        <w:rPr>
          <w:rFonts w:ascii="Arial" w:cs="Arial" w:eastAsia="Arial" w:hAnsi="Arial"/>
          <w:sz w:val="17"/>
          <w:szCs w:val="17"/>
          <w:color w:val="auto"/>
        </w:rPr>
      </w:pPr>
    </w:p>
    <w:p>
      <w:pPr>
        <w:ind w:left="340" w:hanging="170"/>
        <w:spacing w:after="0" w:line="252" w:lineRule="auto"/>
        <w:tabs>
          <w:tab w:leader="none" w:pos="34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00ABE8"/>
        </w:rPr>
        <w:t xml:space="preserve">Approval process: </w:t>
      </w:r>
      <w:r>
        <w:rPr>
          <w:rFonts w:ascii="Arial" w:cs="Arial" w:eastAsia="Arial" w:hAnsi="Arial"/>
          <w:sz w:val="17"/>
          <w:szCs w:val="17"/>
          <w:color w:val="000000"/>
        </w:rPr>
        <w:t>At the beginning of each audit year, management requests pre-approval from the Audit Committee of the annual audit,</w:t>
      </w:r>
      <w:r>
        <w:rPr>
          <w:rFonts w:ascii="Arial" w:cs="Arial" w:eastAsia="Arial" w:hAnsi="Arial"/>
          <w:sz w:val="17"/>
          <w:szCs w:val="17"/>
          <w:b w:val="1"/>
          <w:bCs w:val="1"/>
          <w:color w:val="00ABE8"/>
        </w:rPr>
        <w:t xml:space="preserve"> </w:t>
      </w:r>
      <w:r>
        <w:rPr>
          <w:rFonts w:ascii="Arial" w:cs="Arial" w:eastAsia="Arial" w:hAnsi="Arial"/>
          <w:sz w:val="17"/>
          <w:szCs w:val="17"/>
          <w:color w:val="000000"/>
        </w:rPr>
        <w:t>statutory audits, and quarterly reviews for the upcoming audit year as well as any other services known at that time. Management will also present at that time an estimate of all fees for the upcoming audit year and known services. As specific engagements are identified thereafter that were not initially approved, they are brought forward to the Audit Committee for approval. To the extent approvals are required between regularly scheduled Audit Committee meetings, pre-approval authority is delegated to the committee chair.</w:t>
      </w:r>
    </w:p>
    <w:p>
      <w:pPr>
        <w:spacing w:after="0" w:line="16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For each engagement, management provides the Audit Committee with information about the services and fees, sufficiently detailed to allow the committee to make an informed judgment about the nature and scope of the services and the potential for the services to impair the independence of the auditor.</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After the end of the audit year, management provides the committee with a summary of the actual fees incurred for the completed audit year.</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Independent Auditor Fees</w:t>
      </w:r>
    </w:p>
    <w:p>
      <w:pPr>
        <w:spacing w:after="0" w:line="25"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The following table shows the fees incurred for services rendered on a worldwide basis by EY in 2018 and 2017. All such services were pre-approved by the Audit Committee in accordance with the pre-approval policy.</w:t>
      </w:r>
    </w:p>
    <w:p>
      <w:pPr>
        <w:spacing w:after="0" w:line="277" w:lineRule="exact"/>
        <w:rPr>
          <w:sz w:val="20"/>
          <w:szCs w:val="20"/>
          <w:color w:val="auto"/>
        </w:rPr>
      </w:pPr>
    </w:p>
    <w:tbl>
      <w:tblPr>
        <w:tblLayout w:type="fixed"/>
        <w:tblInd w:w="350" w:type="dxa"/>
        <w:tblCellMar>
          <w:top w:w="0" w:type="dxa"/>
          <w:left w:w="0" w:type="dxa"/>
          <w:bottom w:w="0" w:type="dxa"/>
          <w:right w:w="0" w:type="dxa"/>
        </w:tblCellMar>
      </w:tblPr>
      <w:tr>
        <w:trPr>
          <w:trHeight w:val="162"/>
        </w:trPr>
        <w:tc>
          <w:tcPr>
            <w:tcW w:w="88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2018</w:t>
            </w:r>
          </w:p>
        </w:tc>
        <w:tc>
          <w:tcPr>
            <w:tcW w:w="960" w:type="dxa"/>
            <w:vAlign w:val="bottom"/>
          </w:tcPr>
          <w:p>
            <w:pPr>
              <w:jc w:val="center"/>
              <w:spacing w:after="0"/>
              <w:rPr>
                <w:sz w:val="20"/>
                <w:szCs w:val="20"/>
                <w:color w:val="auto"/>
              </w:rPr>
            </w:pPr>
            <w:r>
              <w:rPr>
                <w:rFonts w:ascii="Arial" w:cs="Arial" w:eastAsia="Arial" w:hAnsi="Arial"/>
                <w:sz w:val="14"/>
                <w:szCs w:val="14"/>
                <w:color w:val="auto"/>
              </w:rPr>
              <w:t>2017</w:t>
            </w:r>
          </w:p>
        </w:tc>
      </w:tr>
      <w:tr>
        <w:trPr>
          <w:trHeight w:val="194"/>
        </w:trPr>
        <w:tc>
          <w:tcPr>
            <w:tcW w:w="8840" w:type="dxa"/>
            <w:vAlign w:val="bottom"/>
          </w:tcPr>
          <w:p>
            <w:pPr>
              <w:spacing w:after="0"/>
              <w:rPr>
                <w:sz w:val="16"/>
                <w:szCs w:val="16"/>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 millions)</w:t>
            </w:r>
          </w:p>
        </w:tc>
        <w:tc>
          <w:tcPr>
            <w:tcW w:w="960" w:type="dxa"/>
            <w:vAlign w:val="bottom"/>
          </w:tcPr>
          <w:p>
            <w:pPr>
              <w:ind w:left="120"/>
              <w:spacing w:after="0"/>
              <w:rPr>
                <w:sz w:val="20"/>
                <w:szCs w:val="20"/>
                <w:color w:val="auto"/>
              </w:rPr>
            </w:pPr>
            <w:r>
              <w:rPr>
                <w:rFonts w:ascii="Arial" w:cs="Arial" w:eastAsia="Arial" w:hAnsi="Arial"/>
                <w:sz w:val="14"/>
                <w:szCs w:val="14"/>
                <w:color w:val="auto"/>
              </w:rPr>
              <w:t>($ millions)</w:t>
            </w:r>
          </w:p>
        </w:tc>
      </w:tr>
      <w:tr>
        <w:trPr>
          <w:trHeight w:val="35"/>
        </w:trPr>
        <w:tc>
          <w:tcPr>
            <w:tcW w:w="88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56"/>
        </w:trPr>
        <w:tc>
          <w:tcPr>
            <w:tcW w:w="8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Audit Fees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$28.7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$14.8</w:t>
            </w:r>
          </w:p>
        </w:tc>
      </w:tr>
      <w:tr>
        <w:trPr>
          <w:trHeight w:val="184"/>
        </w:trPr>
        <w:tc>
          <w:tcPr>
            <w:tcW w:w="88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Annual audit of consolidated and subsidiary financial statements, including Sarbanes-Oxley 404 attestation, as well</w:t>
            </w:r>
          </w:p>
        </w:tc>
        <w:tc>
          <w:tcPr>
            <w:tcW w:w="9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r>
      <w:tr>
        <w:trPr>
          <w:trHeight w:val="194"/>
        </w:trPr>
        <w:tc>
          <w:tcPr>
            <w:tcW w:w="88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as the 2018 audit of consolidated Elanco financial statements for its initial public offering</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r>
      <w:tr>
        <w:trPr>
          <w:trHeight w:val="270"/>
        </w:trPr>
        <w:tc>
          <w:tcPr>
            <w:tcW w:w="88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Reviews of quarterly financial statements</w:t>
            </w:r>
          </w:p>
        </w:tc>
        <w:tc>
          <w:tcPr>
            <w:tcW w:w="960" w:type="dxa"/>
            <w:vAlign w:val="bottom"/>
            <w:tcBorders>
              <w:right w:val="single" w:sz="8" w:color="auto"/>
            </w:tcBorders>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r>
      <w:tr>
        <w:trPr>
          <w:trHeight w:val="274"/>
        </w:trPr>
        <w:tc>
          <w:tcPr>
            <w:tcW w:w="8840" w:type="dxa"/>
            <w:vAlign w:val="bottom"/>
            <w:tcBorders>
              <w:left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Other services normally provided by the auditor in connection with statutory and regulatory filings</w:t>
            </w:r>
          </w:p>
        </w:tc>
        <w:tc>
          <w:tcPr>
            <w:tcW w:w="96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right w:val="single" w:sz="8" w:color="auto"/>
            </w:tcBorders>
          </w:tcPr>
          <w:p>
            <w:pPr>
              <w:spacing w:after="0"/>
              <w:rPr>
                <w:sz w:val="23"/>
                <w:szCs w:val="23"/>
                <w:color w:val="auto"/>
              </w:rPr>
            </w:pPr>
          </w:p>
        </w:tc>
      </w:tr>
      <w:tr>
        <w:trPr>
          <w:trHeight w:val="260"/>
        </w:trPr>
        <w:tc>
          <w:tcPr>
            <w:tcW w:w="8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Audit-Related Fees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$0.5</w:t>
            </w:r>
          </w:p>
        </w:tc>
      </w:tr>
      <w:tr>
        <w:trPr>
          <w:trHeight w:val="238"/>
        </w:trPr>
        <w:tc>
          <w:tcPr>
            <w:tcW w:w="88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Primarily related to assurance and related services reasonably related to the performance of the audit or reviews of</w:t>
            </w:r>
          </w:p>
        </w:tc>
        <w:tc>
          <w:tcPr>
            <w:tcW w:w="9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162"/>
        </w:trPr>
        <w:tc>
          <w:tcPr>
            <w:tcW w:w="88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the financial statements primarily related to employee benefit plan and other ancillary audits, and due diligence</w:t>
            </w:r>
          </w:p>
        </w:tc>
        <w:tc>
          <w:tcPr>
            <w:tcW w:w="9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r>
      <w:tr>
        <w:trPr>
          <w:trHeight w:val="198"/>
        </w:trPr>
        <w:tc>
          <w:tcPr>
            <w:tcW w:w="8840" w:type="dxa"/>
            <w:vAlign w:val="bottom"/>
            <w:tcBorders>
              <w:left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services on potential acquisitions</w:t>
            </w:r>
          </w:p>
        </w:tc>
        <w:tc>
          <w:tcPr>
            <w:tcW w:w="9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r>
      <w:tr>
        <w:trPr>
          <w:trHeight w:val="260"/>
        </w:trPr>
        <w:tc>
          <w:tcPr>
            <w:tcW w:w="8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Tax Fees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$4.8</w:t>
            </w:r>
          </w:p>
        </w:tc>
      </w:tr>
      <w:tr>
        <w:trPr>
          <w:trHeight w:val="346"/>
        </w:trPr>
        <w:tc>
          <w:tcPr>
            <w:tcW w:w="8840" w:type="dxa"/>
            <w:vAlign w:val="bottom"/>
            <w:tcBorders>
              <w:left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Tax compliance services, tax planning, tax advice</w:t>
            </w:r>
          </w:p>
        </w:tc>
        <w:tc>
          <w:tcPr>
            <w:tcW w:w="9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198"/>
        </w:trPr>
        <w:tc>
          <w:tcPr>
            <w:tcW w:w="8840" w:type="dxa"/>
            <w:vAlign w:val="bottom"/>
            <w:tcBorders>
              <w:left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4"/>
                <w:szCs w:val="14"/>
                <w:color w:val="auto"/>
              </w:rPr>
              <w:t>Primarily related to consulting and compliance services</w:t>
            </w:r>
          </w:p>
        </w:tc>
        <w:tc>
          <w:tcPr>
            <w:tcW w:w="9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r>
      <w:tr>
        <w:trPr>
          <w:trHeight w:val="264"/>
        </w:trPr>
        <w:tc>
          <w:tcPr>
            <w:tcW w:w="8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$32.6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$20.1</w:t>
            </w:r>
          </w:p>
        </w:tc>
      </w:tr>
      <w:tr>
        <w:trPr>
          <w:trHeight w:val="206"/>
        </w:trPr>
        <w:tc>
          <w:tcPr>
            <w:tcW w:w="8840" w:type="dxa"/>
            <w:vAlign w:val="bottom"/>
          </w:tcPr>
          <w:p>
            <w:pPr>
              <w:ind w:left="40"/>
              <w:spacing w:after="0"/>
              <w:rPr>
                <w:sz w:val="20"/>
                <w:szCs w:val="20"/>
                <w:color w:val="auto"/>
              </w:rPr>
            </w:pPr>
            <w:r>
              <w:rPr>
                <w:rFonts w:ascii="Arial" w:cs="Arial" w:eastAsia="Arial" w:hAnsi="Arial"/>
                <w:sz w:val="14"/>
                <w:szCs w:val="14"/>
                <w:color w:val="auto"/>
              </w:rPr>
              <w:t>Numbers may not add due to rounding</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Management Proposals</w:t>
      </w:r>
    </w:p>
    <w:p>
      <w:pPr>
        <w:spacing w:after="0" w:line="220" w:lineRule="exact"/>
        <w:rPr>
          <w:sz w:val="20"/>
          <w:szCs w:val="20"/>
          <w:color w:val="auto"/>
        </w:rPr>
      </w:pPr>
    </w:p>
    <w:p>
      <w:pPr>
        <w:ind w:right="140"/>
        <w:spacing w:after="0" w:line="306" w:lineRule="auto"/>
        <w:rPr>
          <w:sz w:val="20"/>
          <w:szCs w:val="20"/>
          <w:color w:val="auto"/>
        </w:rPr>
      </w:pPr>
      <w:r>
        <w:rPr>
          <w:rFonts w:ascii="Arial" w:cs="Arial" w:eastAsia="Arial" w:hAnsi="Arial"/>
          <w:sz w:val="25"/>
          <w:szCs w:val="25"/>
          <w:b w:val="1"/>
          <w:bCs w:val="1"/>
          <w:color w:val="1A3A6C"/>
        </w:rPr>
        <w:t>Item 4. Proposal to Amend the Company’s Articles of Incorporation to Eliminate the Classified Board Structure</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company’s articles of incorporation provide that the board is divided into three classes, with each class elected every three years. On the recommendation of the Directors and Corporate Governance Committee, the board has approved, and recommends that the shareholders approve, amendments to eliminate the classified board structure in order to provide for the annual election of all directors. This proposal was brought before shareholders at each of the company’s annual meetings from 2007 through 2012 and in 2018, receiving the vote of a strong majority of the outstanding shares at each meeting; however, the proposal requires the vote of 80 percent of the outstanding shares to pass.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P67</w:t>
      </w:r>
    </w:p>
    <w:p>
      <w:pPr>
        <w:sectPr>
          <w:pgSz w:w="11900" w:h="16838" w:orient="portrait"/>
          <w:cols w:equalWidth="0" w:num="1">
            <w:col w:w="11400"/>
          </w:cols>
          <w:pgMar w:left="240" w:top="555" w:right="259" w:bottom="1440" w:gutter="0" w:footer="0" w:header="0"/>
        </w:sectPr>
      </w:pPr>
    </w:p>
    <w:bookmarkStart w:id="71" w:name="page72"/>
    <w:bookmarkEnd w:id="71"/>
    <w:p>
      <w:pPr>
        <w:spacing w:after="0" w:line="254" w:lineRule="auto"/>
        <w:rPr>
          <w:sz w:val="20"/>
          <w:szCs w:val="20"/>
          <w:color w:val="auto"/>
        </w:rPr>
      </w:pPr>
      <w:r>
        <w:rPr>
          <w:rFonts w:ascii="Arial" w:cs="Arial" w:eastAsia="Arial" w:hAnsi="Arial"/>
          <w:sz w:val="17"/>
          <w:szCs w:val="17"/>
          <w:color w:val="auto"/>
        </w:rPr>
        <w:t>If approved, this proposal would become effective upon the filing of amended and restated articles of incorporation with the Secretary of State of Indiana, which the company would do promptly after shareholder approval is obtained. Directors elected prior to the effectiveness of the amendments would stand for election for one-year terms once their then-current terms expire. This means that directors whose terms expire at the 2020 and 2021 annual meetings of shareholders would be elected for one-year terms, and beginning with the 2022 annual meeting, all directors would be elected for one-year terms at each annual meeting. In the case of any vacancy on the board occurring after the 2019 annual meeting created by an increase in the number of directors, the vacancy would be filled through an interim election by the board with the new director to serve a term ending at the next annual meeting. Vacancies created by resignation, removal or death would be filled by election by the board of a new director to serve until the end of the term of the director being replaced. This proposal would not change the present number of directors or the board’s authority to change that number and to fill any vacancies or newly created directorships.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 of Proposal</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 xml:space="preserve">As part of its ongoing review of corporate governance matters, the board, assisted by the Directors and Corporate Governance Committee, considered the advantages and disadvantages of maintaining the classified board structure and eliminating the supermajority voting provisions of the articles of incorporation (see </w:t>
      </w:r>
      <w:r>
        <w:rPr>
          <w:rFonts w:ascii="Arial" w:cs="Arial" w:eastAsia="Arial" w:hAnsi="Arial"/>
          <w:sz w:val="17"/>
          <w:szCs w:val="17"/>
          <w:u w:val="single" w:color="auto"/>
          <w:color w:val="auto"/>
        </w:rPr>
        <w:t>Item 5</w:t>
      </w:r>
      <w:r>
        <w:rPr>
          <w:rFonts w:ascii="Arial" w:cs="Arial" w:eastAsia="Arial" w:hAnsi="Arial"/>
          <w:sz w:val="17"/>
          <w:szCs w:val="17"/>
          <w:color w:val="auto"/>
        </w:rPr>
        <w:t xml:space="preserve"> below). The board considered the view of certain shareholders who believe that classified boards have the effect of reducing the accountability of directors to shareholders because shareholders are unable to evaluate and elect all directors on an annual basis. The board gave considerable weight to the approval at the 2006 annual meeting of a shareholder proposal requesting that the board take all necessary steps to elect the directors annually, and to the favorable votes of a strong majority of the outstanding shares for management’s proposals in the following six years and again in 2018.</w:t>
      </w:r>
    </w:p>
    <w:p>
      <w:pPr>
        <w:spacing w:after="0" w:line="168"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board also considered benefits of retaining the classified board structure, which has a long history in corporate law. A classified structure may provide continuity and stability in the management of the business and affairs of the company because a majority of directors always has prior experience as directors of the company. In some circumstances classified boards may enhance shareholder value by forcing an entity seeking control of the company to initiate discussions at arm’s-length with the board of the company, because the entity cannot replace the entire board in a single election. The board also considered that even without a classified board (and without the supermajority voting requirements, which the board also recommends eliminating), the company has defenses that work together to discourage a would-be acquirer from proceeding with a proposal that undervalues the company and to assist the board in responding to such proposals. These defenses include other provisions of the company’s articles of incorporation and bylaws as well as certain provisions of Indiana corporation law.</w:t>
      </w:r>
    </w:p>
    <w:p>
      <w:pPr>
        <w:spacing w:after="0" w:line="168"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board believes it is important to maintain appropriate defenses to inadequate takeover bids, but also important to retain shareholder confidence by demonstrating that it is accountable and responsive to shareholders. After balancing these interests, the board has decided to resubmit this proposal to eliminate the classified board structure.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Text of Amendments</w:t>
      </w:r>
    </w:p>
    <w:p>
      <w:pPr>
        <w:spacing w:after="0" w:line="25"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Article 9(b) of the company’s articles of incorporation contains the provisions that will be affected if this proposal is adopted. This article, set forth in Appendix B to this proxy statement, shows the proposed changes, with deletions indicated by strike-outs and additions indicated by underlining. The board has also adopted conforming amendments to the company’s bylaws, to be effective immediately upon the effectiveness of the amendments to the articles of incorporation.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The affirmative vote of at least 80 percent of the outstanding shares of common stock is needed to pass this proposal.</w:t>
      </w:r>
    </w:p>
    <w:p>
      <w:pPr>
        <w:spacing w:after="0" w:line="272"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that you vote FOR amending the company's articles of incorporation to eliminate the classified board structure.</w:t>
      </w:r>
    </w:p>
    <w:p>
      <w:pPr>
        <w:spacing w:after="0" w:line="200" w:lineRule="exact"/>
        <w:rPr>
          <w:sz w:val="20"/>
          <w:szCs w:val="20"/>
          <w:color w:val="auto"/>
        </w:rPr>
      </w:pPr>
    </w:p>
    <w:p>
      <w:pPr>
        <w:spacing w:after="0" w:line="208" w:lineRule="exact"/>
        <w:rPr>
          <w:sz w:val="20"/>
          <w:szCs w:val="20"/>
          <w:color w:val="auto"/>
        </w:rPr>
      </w:pPr>
    </w:p>
    <w:p>
      <w:pPr>
        <w:ind w:right="1480"/>
        <w:spacing w:after="0" w:line="306" w:lineRule="auto"/>
        <w:rPr>
          <w:sz w:val="20"/>
          <w:szCs w:val="20"/>
          <w:color w:val="auto"/>
        </w:rPr>
      </w:pPr>
      <w:r>
        <w:rPr>
          <w:rFonts w:ascii="Arial" w:cs="Arial" w:eastAsia="Arial" w:hAnsi="Arial"/>
          <w:sz w:val="25"/>
          <w:szCs w:val="25"/>
          <w:b w:val="1"/>
          <w:bCs w:val="1"/>
          <w:color w:val="1A3A6C"/>
        </w:rPr>
        <w:t>Item 5. Proposal to Amend the Company’s Articles of Incorporation to Eliminate All Supermajority Voting Provisions</w:t>
      </w:r>
    </w:p>
    <w:p>
      <w:pPr>
        <w:spacing w:after="0" w:line="70" w:lineRule="exact"/>
        <w:rPr>
          <w:sz w:val="20"/>
          <w:szCs w:val="20"/>
          <w:color w:val="auto"/>
        </w:rPr>
      </w:pPr>
    </w:p>
    <w:p>
      <w:pPr>
        <w:jc w:val="both"/>
        <w:ind w:right="220"/>
        <w:spacing w:after="0" w:line="270" w:lineRule="auto"/>
        <w:rPr>
          <w:sz w:val="20"/>
          <w:szCs w:val="20"/>
          <w:color w:val="auto"/>
        </w:rPr>
      </w:pPr>
      <w:r>
        <w:rPr>
          <w:rFonts w:ascii="Arial" w:cs="Arial" w:eastAsia="Arial" w:hAnsi="Arial"/>
          <w:sz w:val="17"/>
          <w:szCs w:val="17"/>
          <w:color w:val="auto"/>
        </w:rPr>
        <w:t>Under the company’s articles of incorporation, nearly all matters submitted to a vote of shareholders can be adopted by a majority of the votes cast. However, our articles require a few fundamental corporate actions to be approved by the holders of 80 percent of the outstanding shares of common stock (a “supermajority vote”). Those actions are: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P68</w:t>
      </w:r>
    </w:p>
    <w:p>
      <w:pPr>
        <w:sectPr>
          <w:pgSz w:w="11900" w:h="16838" w:orient="portrait"/>
          <w:cols w:equalWidth="0" w:num="1">
            <w:col w:w="11420"/>
          </w:cols>
          <w:pgMar w:left="240" w:top="557" w:right="239" w:bottom="1440" w:gutter="0" w:footer="0" w:header="0"/>
        </w:sectPr>
      </w:pPr>
    </w:p>
    <w:bookmarkStart w:id="72" w:name="page73"/>
    <w:bookmarkEnd w:id="72"/>
    <w:p>
      <w:pPr>
        <w:ind w:left="440" w:right="2320" w:hanging="216"/>
        <w:spacing w:after="0" w:line="262" w:lineRule="auto"/>
        <w:tabs>
          <w:tab w:leader="none" w:pos="359"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amending certain provisions of the articles of incorporation that relate to the number and terms of office of directors: -the company’s classified board structure (as described under </w:t>
      </w:r>
      <w:r>
        <w:rPr>
          <w:rFonts w:ascii="Arial" w:cs="Arial" w:eastAsia="Arial" w:hAnsi="Arial"/>
          <w:sz w:val="17"/>
          <w:szCs w:val="17"/>
          <w:u w:val="single" w:color="auto"/>
          <w:color w:val="auto"/>
        </w:rPr>
        <w:t>Item 4</w:t>
      </w:r>
      <w:r>
        <w:rPr>
          <w:rFonts w:ascii="Arial" w:cs="Arial" w:eastAsia="Arial" w:hAnsi="Arial"/>
          <w:sz w:val="17"/>
          <w:szCs w:val="17"/>
          <w:color w:val="auto"/>
        </w:rPr>
        <w:t>)</w:t>
      </w:r>
    </w:p>
    <w:p>
      <w:pPr>
        <w:ind w:left="440"/>
        <w:spacing w:after="0"/>
        <w:rPr>
          <w:rFonts w:ascii="Arial" w:cs="Arial" w:eastAsia="Arial" w:hAnsi="Arial"/>
          <w:sz w:val="17"/>
          <w:szCs w:val="17"/>
          <w:color w:val="auto"/>
        </w:rPr>
      </w:pPr>
      <w:r>
        <w:rPr>
          <w:rFonts w:ascii="Arial" w:cs="Arial" w:eastAsia="Arial" w:hAnsi="Arial"/>
          <w:sz w:val="17"/>
          <w:szCs w:val="17"/>
          <w:color w:val="auto"/>
        </w:rPr>
        <w:t>-a provision that the number of directors shall be specified solely by resolution of the board</w:t>
      </w:r>
    </w:p>
    <w:p>
      <w:pPr>
        <w:spacing w:after="0" w:line="7" w:lineRule="exact"/>
        <w:rPr>
          <w:rFonts w:ascii="Arial" w:cs="Arial" w:eastAsia="Arial" w:hAnsi="Arial"/>
          <w:sz w:val="17"/>
          <w:szCs w:val="17"/>
          <w:color w:val="auto"/>
        </w:rPr>
      </w:pPr>
    </w:p>
    <w:p>
      <w:pPr>
        <w:ind w:left="360" w:hanging="136"/>
        <w:spacing w:after="0"/>
        <w:tabs>
          <w:tab w:leader="none" w:pos="3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removing directors prior to the end of their elected term</w:t>
      </w:r>
    </w:p>
    <w:p>
      <w:pPr>
        <w:spacing w:after="0" w:line="7" w:lineRule="exact"/>
        <w:rPr>
          <w:rFonts w:ascii="Arial" w:cs="Arial" w:eastAsia="Arial" w:hAnsi="Arial"/>
          <w:sz w:val="17"/>
          <w:szCs w:val="17"/>
          <w:color w:val="auto"/>
        </w:rPr>
      </w:pPr>
    </w:p>
    <w:p>
      <w:pPr>
        <w:ind w:left="360" w:right="80" w:hanging="136"/>
        <w:spacing w:after="0" w:line="248" w:lineRule="auto"/>
        <w:tabs>
          <w:tab w:leader="none" w:pos="3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entering into mergers, consolidations, recapitalizations, or certain other business combinations with a “related person”—a party who has acquired at least 5 percent of the company’s stock (other than the Endowment or a company benefit plan) without the prior approval of the board</w:t>
      </w:r>
    </w:p>
    <w:p>
      <w:pPr>
        <w:spacing w:after="0" w:line="1" w:lineRule="exact"/>
        <w:rPr>
          <w:rFonts w:ascii="Arial" w:cs="Arial" w:eastAsia="Arial" w:hAnsi="Arial"/>
          <w:sz w:val="17"/>
          <w:szCs w:val="17"/>
          <w:color w:val="auto"/>
        </w:rPr>
      </w:pPr>
    </w:p>
    <w:p>
      <w:pPr>
        <w:ind w:left="360" w:hanging="136"/>
        <w:spacing w:after="0"/>
        <w:tabs>
          <w:tab w:leader="none" w:pos="3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modifying or eliminating any of the above supermajority voting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 of Proposal</w:t>
      </w:r>
    </w:p>
    <w:p>
      <w:pPr>
        <w:spacing w:after="0" w:line="25" w:lineRule="exact"/>
        <w:rPr>
          <w:sz w:val="20"/>
          <w:szCs w:val="20"/>
          <w:color w:val="auto"/>
        </w:rPr>
      </w:pPr>
    </w:p>
    <w:p>
      <w:pPr>
        <w:jc w:val="both"/>
        <w:ind w:right="40"/>
        <w:spacing w:after="0" w:line="254" w:lineRule="auto"/>
        <w:rPr>
          <w:sz w:val="20"/>
          <w:szCs w:val="20"/>
          <w:color w:val="auto"/>
        </w:rPr>
      </w:pPr>
      <w:r>
        <w:rPr>
          <w:rFonts w:ascii="Arial" w:cs="Arial" w:eastAsia="Arial" w:hAnsi="Arial"/>
          <w:sz w:val="17"/>
          <w:szCs w:val="17"/>
          <w:color w:val="auto"/>
        </w:rPr>
        <w:t>This proposal is the result of the board’s ongoing review of corporate governance matters. From 2007 through 2009, shareholder proposals requesting that the board take action to eliminate the supermajority voting provisions were supported by a majority of votes cast. From 2010 through 2012 and in 2018, the board submitted proposals seeking shareholder approval to eliminate these supermajority provisions. In all four years, the proposal received a strong majority of the outstanding shares, but fell short of the required 80 percent vote.</w:t>
      </w:r>
    </w:p>
    <w:p>
      <w:pPr>
        <w:spacing w:after="0" w:line="16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Assisted by the Directors and Corporate Governance Committee, the board considered the advantages and disadvantages of maintaining the supermajority voting requirements. The board considered that under certain circumstances, supermajority voting provisions can provide benefits to the company. The provisions can make it more difficult for one or a few large shareholders to take over or restructure the company without negotiating with the board. In the event of an unsolicited bid to take over or restructure the company, supermajority voting provisions may encourage bidders to negotiate with the board and increase the board’s negotiating leverage on behalf of the shareholders. They can also give the board time to consider alternatives that might provide greater value for all shareholders.</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board also considered the potential adverse consequences of opposing elimination of the supermajority voting requirements. While it is important to the company’s long-term success for the board to maintain appropriate defenses against inadequate takeover bids, it is also important for the board to maintain shareholder confidence by demonstrating that it is responsive and accountable to shareholders and committed to strong corporate governance. This requires the board to carefully balance sometimes competing interests. In this regard, the board gave considerable weight to the fact that a substantial majority of shares voted have supported eliminating the supermajority voting provisions. Many shareholders believe that supermajority voting provisions impede accountability to shareholders and contribute to board and management entrenchment.</w:t>
      </w:r>
    </w:p>
    <w:p>
      <w:pPr>
        <w:spacing w:after="0" w:line="162" w:lineRule="exact"/>
        <w:rPr>
          <w:sz w:val="20"/>
          <w:szCs w:val="20"/>
          <w:color w:val="auto"/>
        </w:rPr>
      </w:pPr>
    </w:p>
    <w:p>
      <w:pPr>
        <w:jc w:val="both"/>
        <w:ind w:right="100"/>
        <w:spacing w:after="0" w:line="263" w:lineRule="auto"/>
        <w:rPr>
          <w:sz w:val="20"/>
          <w:szCs w:val="20"/>
          <w:color w:val="auto"/>
        </w:rPr>
      </w:pPr>
      <w:r>
        <w:rPr>
          <w:rFonts w:ascii="Arial" w:cs="Arial" w:eastAsia="Arial" w:hAnsi="Arial"/>
          <w:sz w:val="17"/>
          <w:szCs w:val="17"/>
          <w:color w:val="auto"/>
        </w:rPr>
        <w:t>The board also considered that even without the supermajority vote (and without the classified board, which the board also recommends eliminating), the company has defenses that work together to discourage a would-be acquirer from proceeding with a proposal that undervalues the company and to assist the board in responding to such proposals. These defenses include other provisions of the company’s articles of incorporation and bylaws as well as certain provisions of Indiana corporation law.</w:t>
      </w:r>
    </w:p>
    <w:p>
      <w:pPr>
        <w:spacing w:after="0" w:line="1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Therefore, the board believes the balance of interests is best served by recommending to shareholders that the articles of incorporation be amended to eliminate the supermajority voting provisions. By recommending these amendments, the board is demonstrating its accountability and willingness to take steps that address shareholder-expressed concerns.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Text of Amendments</w:t>
      </w:r>
    </w:p>
    <w:p>
      <w:pPr>
        <w:spacing w:after="0" w:line="25"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Articles 9(c), 9(d), and 13 of the company’s articles of incorporation contain the provisions that will be affected if this proposal is adopted. These articles, set forth in Appendix B to this proxy statement, show the proposed changes with deletions indicated by strike-outs and additions indicated by underlining.</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affirmative vote of at least 80 percent of the outstanding shares of common stock is needed to pass this proposal.</w:t>
      </w:r>
    </w:p>
    <w:p>
      <w:pPr>
        <w:spacing w:after="0" w:line="204"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5</w:t>
      </w:r>
    </w:p>
    <w:p>
      <w:pPr>
        <w:spacing w:after="0" w:line="212" w:lineRule="exact"/>
        <w:rPr>
          <w:sz w:val="20"/>
          <w:szCs w:val="20"/>
          <w:color w:val="auto"/>
        </w:rPr>
      </w:pPr>
    </w:p>
    <w:p>
      <w:pPr>
        <w:ind w:right="860"/>
        <w:spacing w:after="0" w:line="306" w:lineRule="auto"/>
        <w:rPr>
          <w:sz w:val="20"/>
          <w:szCs w:val="20"/>
          <w:color w:val="auto"/>
        </w:rPr>
      </w:pPr>
      <w:r>
        <w:rPr>
          <w:rFonts w:ascii="Arial" w:cs="Arial" w:eastAsia="Arial" w:hAnsi="Arial"/>
          <w:sz w:val="17"/>
          <w:szCs w:val="17"/>
          <w:b w:val="1"/>
          <w:bCs w:val="1"/>
          <w:color w:val="auto"/>
        </w:rPr>
        <w:t>The board recommends that you vote FOR amending the company's articles of incorporation to eliminate all supermajority voting provisions.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P69</w:t>
      </w:r>
    </w:p>
    <w:p>
      <w:pPr>
        <w:sectPr>
          <w:pgSz w:w="11900" w:h="16838" w:orient="portrait"/>
          <w:cols w:equalWidth="0" w:num="1">
            <w:col w:w="11400"/>
          </w:cols>
          <w:pgMar w:left="240" w:top="760" w:right="259" w:bottom="1440" w:gutter="0" w:footer="0" w:header="0"/>
        </w:sectPr>
      </w:pPr>
    </w:p>
    <w:bookmarkStart w:id="73" w:name="page74"/>
    <w:bookmarkEnd w:id="73"/>
    <w:p>
      <w:pPr>
        <w:spacing w:after="0"/>
        <w:rPr>
          <w:sz w:val="20"/>
          <w:szCs w:val="20"/>
          <w:color w:val="auto"/>
        </w:rPr>
      </w:pPr>
      <w:r>
        <w:rPr>
          <w:rFonts w:ascii="Arial" w:cs="Arial" w:eastAsia="Arial" w:hAnsi="Arial"/>
          <w:sz w:val="32"/>
          <w:szCs w:val="32"/>
          <w:b w:val="1"/>
          <w:bCs w:val="1"/>
          <w:color w:val="EF3729"/>
        </w:rPr>
        <w:t>Shareholder Proposals</w:t>
      </w:r>
    </w:p>
    <w:p>
      <w:pPr>
        <w:spacing w:after="0" w:line="200" w:lineRule="exact"/>
        <w:rPr>
          <w:sz w:val="20"/>
          <w:szCs w:val="20"/>
          <w:color w:val="auto"/>
        </w:rPr>
      </w:pPr>
    </w:p>
    <w:p>
      <w:pPr>
        <w:spacing w:after="0" w:line="223" w:lineRule="exact"/>
        <w:rPr>
          <w:sz w:val="20"/>
          <w:szCs w:val="20"/>
          <w:color w:val="auto"/>
        </w:rPr>
      </w:pPr>
    </w:p>
    <w:p>
      <w:pPr>
        <w:ind w:right="200"/>
        <w:spacing w:after="0" w:line="306" w:lineRule="auto"/>
        <w:rPr>
          <w:sz w:val="20"/>
          <w:szCs w:val="20"/>
          <w:color w:val="auto"/>
        </w:rPr>
      </w:pPr>
      <w:r>
        <w:rPr>
          <w:rFonts w:ascii="Arial" w:cs="Arial" w:eastAsia="Arial" w:hAnsi="Arial"/>
          <w:sz w:val="25"/>
          <w:szCs w:val="25"/>
          <w:b w:val="1"/>
          <w:bCs w:val="1"/>
          <w:color w:val="1A3A6C"/>
        </w:rPr>
        <w:t>Item 6. Proposal Requesting Implementation of a Policy to Not Fund, Conduct or Commission the Use of the Forced Swim Test</w:t>
      </w:r>
    </w:p>
    <w:p>
      <w:pPr>
        <w:spacing w:after="0" w:line="70" w:lineRule="exact"/>
        <w:rPr>
          <w:sz w:val="20"/>
          <w:szCs w:val="20"/>
          <w:color w:val="auto"/>
        </w:rPr>
      </w:pPr>
    </w:p>
    <w:p>
      <w:pPr>
        <w:ind w:right="300"/>
        <w:spacing w:after="0" w:line="292" w:lineRule="auto"/>
        <w:rPr>
          <w:sz w:val="20"/>
          <w:szCs w:val="20"/>
          <w:color w:val="auto"/>
        </w:rPr>
      </w:pPr>
      <w:r>
        <w:rPr>
          <w:rFonts w:ascii="Arial" w:cs="Arial" w:eastAsia="Arial" w:hAnsi="Arial"/>
          <w:sz w:val="17"/>
          <w:szCs w:val="17"/>
          <w:color w:val="auto"/>
        </w:rPr>
        <w:t>People for the Ethical Treatment of Animals (PETA), 1536 16th Street N.W., Washington, D.C., beneficial owner of 56 shares of our common stock, has submitted the following proposal:</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Reduce Animal Suffering in Eli Lilly Experiments Proposal</w:t>
      </w:r>
    </w:p>
    <w:p>
      <w:pPr>
        <w:spacing w:after="0" w:line="231" w:lineRule="exact"/>
        <w:rPr>
          <w:sz w:val="20"/>
          <w:szCs w:val="20"/>
          <w:color w:val="auto"/>
        </w:rPr>
      </w:pPr>
    </w:p>
    <w:p>
      <w:pPr>
        <w:jc w:val="both"/>
        <w:ind w:right="220"/>
        <w:spacing w:after="0" w:line="271"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given the animal suffering inherent in the “Forced Swim Test” (FST), its questionable scientific validity, and the fact that the majority of</w:t>
      </w:r>
      <w:r>
        <w:rPr>
          <w:rFonts w:ascii="Arial" w:cs="Arial" w:eastAsia="Arial" w:hAnsi="Arial"/>
          <w:sz w:val="17"/>
          <w:szCs w:val="17"/>
          <w:b w:val="1"/>
          <w:bCs w:val="1"/>
          <w:color w:val="auto"/>
        </w:rPr>
        <w:t xml:space="preserve"> </w:t>
      </w:r>
      <w:r>
        <w:rPr>
          <w:rFonts w:ascii="Arial" w:cs="Arial" w:eastAsia="Arial" w:hAnsi="Arial"/>
          <w:sz w:val="17"/>
          <w:szCs w:val="17"/>
          <w:color w:val="auto"/>
        </w:rPr>
        <w:t>Americans object to the use of animals in experiments,</w:t>
      </w:r>
      <w:r>
        <w:rPr>
          <w:rFonts w:ascii="Arial" w:cs="Arial" w:eastAsia="Arial" w:hAnsi="Arial"/>
          <w:sz w:val="14"/>
          <w:szCs w:val="14"/>
          <w:color w:val="auto"/>
        </w:rPr>
        <w:t>1</w:t>
      </w:r>
      <w:r>
        <w:rPr>
          <w:rFonts w:ascii="Arial" w:cs="Arial" w:eastAsia="Arial" w:hAnsi="Arial"/>
          <w:sz w:val="17"/>
          <w:szCs w:val="17"/>
          <w:color w:val="auto"/>
        </w:rPr>
        <w:t xml:space="preserve"> our Board should implement a policy that it will not fund, conduct, or commission use of this test.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Supporting Statement</w:t>
      </w:r>
    </w:p>
    <w:p>
      <w:pPr>
        <w:spacing w:after="0" w:line="25"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In the FST, animals are dropped into a container of water. Terrified that they will drown, they swim frantically trying to find an escape. Eventually they become exhausted and stop struggling. It causes substantial distress and is not required by the government to be conducted.</w:t>
      </w:r>
    </w:p>
    <w:p>
      <w:pPr>
        <w:spacing w:after="0" w:line="154"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Eli Lilly-affiliated authors have described the FST as a model or test of behavioral despair.</w:t>
      </w:r>
      <w:r>
        <w:rPr>
          <w:rFonts w:ascii="Arial" w:cs="Arial" w:eastAsia="Arial" w:hAnsi="Arial"/>
          <w:sz w:val="14"/>
          <w:szCs w:val="14"/>
          <w:color w:val="auto"/>
        </w:rPr>
        <w:t>2</w:t>
      </w:r>
      <w:r>
        <w:rPr>
          <w:rFonts w:ascii="Arial" w:cs="Arial" w:eastAsia="Arial" w:hAnsi="Arial"/>
          <w:sz w:val="17"/>
          <w:szCs w:val="17"/>
          <w:color w:val="auto"/>
        </w:rPr>
        <w:t xml:space="preserve"> Our Company uses the FST to purportedly test the antidepressant qualities of compounds</w:t>
      </w:r>
      <w:r>
        <w:rPr>
          <w:rFonts w:ascii="Arial" w:cs="Arial" w:eastAsia="Arial" w:hAnsi="Arial"/>
          <w:sz w:val="14"/>
          <w:szCs w:val="14"/>
          <w:color w:val="auto"/>
        </w:rPr>
        <w:t>3</w:t>
      </w:r>
      <w:r>
        <w:rPr>
          <w:rFonts w:ascii="Arial" w:cs="Arial" w:eastAsia="Arial" w:hAnsi="Arial"/>
          <w:sz w:val="17"/>
          <w:szCs w:val="17"/>
          <w:color w:val="auto"/>
        </w:rPr>
        <w:t xml:space="preserve"> on the assumption that the sooner the animal stops swimming, the more depressed the animal is. However, there is evidence that floating is an adaptive behavior that saves energy and benefits survival, not a sign of depression.</w:t>
      </w:r>
      <w:r>
        <w:rPr>
          <w:rFonts w:ascii="Arial" w:cs="Arial" w:eastAsia="Arial" w:hAnsi="Arial"/>
          <w:sz w:val="14"/>
          <w:szCs w:val="14"/>
          <w:color w:val="auto"/>
        </w:rPr>
        <w:t>4</w:t>
      </w:r>
    </w:p>
    <w:p>
      <w:pPr>
        <w:spacing w:after="0" w:line="15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FST’s ability to accurately predict human antidepressants is further undermined by the fact that it yields positive results for compounds that are not prescribed as human antidepressants, like caffeine,</w:t>
      </w:r>
      <w:r>
        <w:rPr>
          <w:rFonts w:ascii="Arial" w:cs="Arial" w:eastAsia="Arial" w:hAnsi="Arial"/>
          <w:sz w:val="14"/>
          <w:szCs w:val="14"/>
          <w:color w:val="auto"/>
        </w:rPr>
        <w:t>5</w:t>
      </w:r>
      <w:r>
        <w:rPr>
          <w:rFonts w:ascii="Arial" w:cs="Arial" w:eastAsia="Arial" w:hAnsi="Arial"/>
          <w:sz w:val="17"/>
          <w:szCs w:val="17"/>
          <w:color w:val="auto"/>
        </w:rPr>
        <w:t xml:space="preserve"> and negative results for compounds that are.</w:t>
      </w:r>
      <w:r>
        <w:rPr>
          <w:rFonts w:ascii="Arial" w:cs="Arial" w:eastAsia="Arial" w:hAnsi="Arial"/>
          <w:sz w:val="14"/>
          <w:szCs w:val="14"/>
          <w:color w:val="auto"/>
        </w:rPr>
        <w:t>6</w:t>
      </w:r>
      <w:r>
        <w:rPr>
          <w:rFonts w:ascii="Arial" w:cs="Arial" w:eastAsia="Arial" w:hAnsi="Arial"/>
          <w:sz w:val="17"/>
          <w:szCs w:val="17"/>
          <w:color w:val="auto"/>
        </w:rPr>
        <w:t xml:space="preserve"> Therefore, useful antidepressant compounds may be abandoned if they do not produce desired results in the FST. Indeed, the applicability of the FST to human depression has been substantially refuted by experts.</w:t>
      </w:r>
      <w:r>
        <w:rPr>
          <w:rFonts w:ascii="Arial" w:cs="Arial" w:eastAsia="Arial" w:hAnsi="Arial"/>
          <w:sz w:val="14"/>
          <w:szCs w:val="14"/>
          <w:color w:val="auto"/>
        </w:rPr>
        <w:t>7</w:t>
      </w:r>
    </w:p>
    <w:p>
      <w:pPr>
        <w:spacing w:after="0" w:line="156" w:lineRule="exact"/>
        <w:rPr>
          <w:sz w:val="20"/>
          <w:szCs w:val="20"/>
          <w:color w:val="auto"/>
        </w:rPr>
      </w:pPr>
    </w:p>
    <w:p>
      <w:pPr>
        <w:ind w:right="580"/>
        <w:spacing w:after="0" w:line="292" w:lineRule="auto"/>
        <w:rPr>
          <w:sz w:val="20"/>
          <w:szCs w:val="20"/>
          <w:color w:val="auto"/>
        </w:rPr>
      </w:pPr>
      <w:r>
        <w:rPr>
          <w:rFonts w:ascii="Arial" w:cs="Arial" w:eastAsia="Arial" w:hAnsi="Arial"/>
          <w:sz w:val="17"/>
          <w:szCs w:val="17"/>
          <w:color w:val="auto"/>
        </w:rPr>
        <w:t>According to our Company’s records none of the compounds tested by Eli Lilly since 1993 using the FST are currently approved to treat human depression, which means that the test did not lead to marketing these compounds as medications.</w:t>
      </w:r>
    </w:p>
    <w:p>
      <w:pPr>
        <w:spacing w:after="0" w:line="132" w:lineRule="exact"/>
        <w:rPr>
          <w:sz w:val="20"/>
          <w:szCs w:val="20"/>
          <w:color w:val="auto"/>
        </w:rPr>
      </w:pPr>
    </w:p>
    <w:p>
      <w:pPr>
        <w:ind w:right="300"/>
        <w:spacing w:after="0" w:line="292" w:lineRule="auto"/>
        <w:rPr>
          <w:sz w:val="20"/>
          <w:szCs w:val="20"/>
          <w:color w:val="auto"/>
        </w:rPr>
      </w:pPr>
      <w:r>
        <w:rPr>
          <w:rFonts w:ascii="Arial" w:cs="Arial" w:eastAsia="Arial" w:hAnsi="Arial"/>
          <w:sz w:val="17"/>
          <w:szCs w:val="17"/>
          <w:color w:val="auto"/>
        </w:rPr>
        <w:t>We need to develop new therapeutics to treat human depression, but experts cite the use of such animal experiments as a major reason for lack of progress.</w:t>
      </w:r>
      <w:r>
        <w:rPr>
          <w:rFonts w:ascii="Arial" w:cs="Arial" w:eastAsia="Arial" w:hAnsi="Arial"/>
          <w:sz w:val="14"/>
          <w:szCs w:val="14"/>
          <w:color w:val="auto"/>
        </w:rPr>
        <w:t>8</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Our Company should include an assurance in its animal welfare policy</w:t>
      </w:r>
      <w:r>
        <w:rPr>
          <w:rFonts w:ascii="Arial" w:cs="Arial" w:eastAsia="Arial" w:hAnsi="Arial"/>
          <w:sz w:val="14"/>
          <w:szCs w:val="14"/>
          <w:color w:val="auto"/>
        </w:rPr>
        <w:t>9</w:t>
      </w:r>
      <w:r>
        <w:rPr>
          <w:rFonts w:ascii="Arial" w:cs="Arial" w:eastAsia="Arial" w:hAnsi="Arial"/>
          <w:sz w:val="17"/>
          <w:szCs w:val="17"/>
          <w:color w:val="auto"/>
        </w:rPr>
        <w:t xml:space="preserve"> that it will not fund, conduct, or commission use of the FST.</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__________________________</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1 Strauss (2018) https://tinyurl.com/ydbgts8z</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2 Benvenga (1993) https://doi.org/10.1016/0014-2999(93)91005-8; O’Neill (2001) https://doi.org/10.1177/026988110101500104;</w:t>
      </w:r>
    </w:p>
    <w:p>
      <w:pPr>
        <w:spacing w:after="0" w:line="1" w:lineRule="exact"/>
        <w:rPr>
          <w:sz w:val="20"/>
          <w:szCs w:val="20"/>
          <w:color w:val="auto"/>
        </w:rPr>
      </w:pPr>
    </w:p>
    <w:p>
      <w:pPr>
        <w:ind w:right="340"/>
        <w:spacing w:after="0" w:line="241" w:lineRule="auto"/>
        <w:rPr>
          <w:sz w:val="20"/>
          <w:szCs w:val="20"/>
          <w:color w:val="auto"/>
        </w:rPr>
      </w:pPr>
      <w:r>
        <w:rPr>
          <w:rFonts w:ascii="Arial" w:cs="Arial" w:eastAsia="Arial" w:hAnsi="Arial"/>
          <w:sz w:val="14"/>
          <w:szCs w:val="14"/>
          <w:color w:val="auto"/>
        </w:rPr>
        <w:t>Li (2001) https://doi.org/10.1016/S0028-3908(00)00194-5; Skolnick (2003) https://patents.google.com/patent/US7973043B2/ko; Li (2003) https://link.springer.com/article/10.1023/A:1023648923447; Li (2006) https://doi.org/10.1124/jpet.106.103143; Benito Collado (2010) https://patents.google.com/patent/WO2011060035A1 3 Bai (2001) https://doi.org/10.1016/S0091-3057(01)00599-8; Li (2003); Witkin (2014) https://doi.org/10.1124/jpet.114.216804; Chappell (2016) https://pubs.acs.org/doi/10.1021/acs.jmedchem.6b01119; Dressman (2016)</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https://doi.org/10.1016/j.bmcl.2016.10.067; Bruns (2018) https://doi.org/10.1016/j.neuropharm.2017.10.032; Witkin (2018) https://doi.org/10.1016/j.bcp.2018.06.022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 Molendijk (2015) https://doi.org/10.1016/j.psyneuen.2015.08.028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5 Schechter (1979) https://doi.org/10.1016/0014-2999(79)90212-7</w:t>
      </w:r>
    </w:p>
    <w:p>
      <w:pPr>
        <w:spacing w:after="0" w:line="1" w:lineRule="exact"/>
        <w:rPr>
          <w:sz w:val="20"/>
          <w:szCs w:val="20"/>
          <w:color w:val="auto"/>
        </w:rPr>
      </w:pPr>
    </w:p>
    <w:p>
      <w:pPr>
        <w:ind w:right="500"/>
        <w:spacing w:after="0" w:line="241" w:lineRule="auto"/>
        <w:rPr>
          <w:sz w:val="20"/>
          <w:szCs w:val="20"/>
          <w:color w:val="auto"/>
        </w:rPr>
      </w:pPr>
      <w:r>
        <w:rPr>
          <w:rFonts w:ascii="Arial" w:cs="Arial" w:eastAsia="Arial" w:hAnsi="Arial"/>
          <w:sz w:val="14"/>
          <w:szCs w:val="14"/>
          <w:color w:val="auto"/>
        </w:rPr>
        <w:t>6 Suman (2018) Failure to detect the action of antidepressants in the forced swim test in Swiss mice. https://doi.org/10.1017/neu.2017.33; Cryan (2002) https://doi.org/10.1016/S0165-6147(02)02017-5 7 Hendrie (2013) The failure of the antidepressant drug discovery process is systemic.</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https://doi.org/10.1177%2F0269881112466185; Garner (2014) The significance of meaning: Why do over 90% of behavioral neuroscience results fail to translate to humans, and what can we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 to fix it? https://doi.org/10.1093/ilar/ilu047; Molendijk (2015); Commons (2017) The rodent forced swim test measures stress-coping strategy, not depression-like behavior.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https://pubs.acs.org/doi/10.1021/acschemneuro.7b00042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8 Hendrie (2013); Garner (2014)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9 https://www.lilly.com/animal-care-and-use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P70</w:t>
      </w:r>
    </w:p>
    <w:p>
      <w:pPr>
        <w:sectPr>
          <w:pgSz w:w="11900" w:h="16838" w:orient="portrait"/>
          <w:cols w:equalWidth="0" w:num="1">
            <w:col w:w="11400"/>
          </w:cols>
          <w:pgMar w:left="240" w:top="543" w:right="259" w:bottom="1440" w:gutter="0" w:footer="0" w:header="0"/>
        </w:sectPr>
      </w:pPr>
    </w:p>
    <w:bookmarkStart w:id="74" w:name="page75"/>
    <w:bookmarkEnd w:id="74"/>
    <w:p>
      <w:pPr>
        <w:ind w:right="400"/>
        <w:spacing w:after="0" w:line="252" w:lineRule="auto"/>
        <w:rPr>
          <w:sz w:val="20"/>
          <w:szCs w:val="20"/>
          <w:color w:val="auto"/>
        </w:rPr>
      </w:pPr>
      <w:r>
        <w:rPr>
          <w:rFonts w:ascii="Arial" w:cs="Arial" w:eastAsia="Arial" w:hAnsi="Arial"/>
          <w:sz w:val="20"/>
          <w:szCs w:val="20"/>
          <w:b w:val="1"/>
          <w:bCs w:val="1"/>
          <w:color w:val="auto"/>
        </w:rPr>
        <w:t>Statement in Opposition to the Shareholder Proposal Requesting Implementation of a Policy to Not Fund, Conduct or Commission the Use of the Forced Swim Test</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Public Policy and Compliance Committee has reviewed this proposal and recommends a vote against it. We share the proponent's concerns about the care and welfare of laboratory animals, and accordingly, have implemented detailed processes and procedures to ensure the humane treatment of animals. If adopted, in certain circumstances the proponent’s policy could impede our ability to conduct the pre-clinical testing required to ensure that our pharmaceutical products are safe and effective for human use. As a result, and for the reasons set forth below, the policy requested by the proponent is unnecessary and not in the best interests of the company and its shareholders.</w:t>
      </w:r>
    </w:p>
    <w:p>
      <w:pPr>
        <w:spacing w:after="0" w:line="4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are a worldwide and industry leader in the discovery, development, manufacturing, and marketing of human pharmaceutical products. Our continued success depends to a great extent on our ability to continue to discover, develop and bring to market innovative new medicines. This process of development requires a deep investment to research and development activities to establish the safety and effectiveness of our human pharmaceutical products. In the course of developing new products in support of our mission, we are required to evaluate and support the safety of our pharmaceutical products prior to human clinical trials and use. U.S. and foreign regulatory agencies have mandated that a defined amount of this research be performed in animals.</w:t>
      </w:r>
    </w:p>
    <w:p>
      <w:pPr>
        <w:spacing w:after="0" w:line="122"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We do not condone, in any form, the mistreatment of research animals, and we recognize our fundamental ethical and scientific obligation to ensure the appropriate treatment of animals used in research. Where animal research is required, we seek to take every reasonable measure to reduce the number of animals used. We have processes and procedures in place to ensure humane treatment of animals, including programs for oversight by an internal corporate Animal Welfare Board, Institutional Animal Care and Use Committees, or an equivalent ethical review board, as well as veterinary oversight at our research-animal sites and at contract laboratories. We are committed to the responsible use of animals in medical research and the use of alternatives to animal testing whenever such methods are feasible, scientifically valid and appropriate.</w:t>
      </w:r>
    </w:p>
    <w:p>
      <w:pPr>
        <w:spacing w:after="0" w:line="41"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We also are committed to adhere to standards set forth in the U.S. Animal Welfare Act and have been accredited for more than 35 years by the AAALAC, formerly known as the Association for Assessment and Accreditation of Laboratory Animal Care. AAALAC accreditation is a voluntary process that includes a detailed, comprehensive review of our research-animal program, including animal care and use policies and procedures, animal environment, housing and management, veterinary medical care, and physical plant operations. We currently publish information detailing our commitment to responsible animal research as well as an overview of our policies and procedures on our website https://www.lilly.com/animal-care-and-use.</w:t>
      </w:r>
    </w:p>
    <w:p>
      <w:pPr>
        <w:spacing w:after="0" w:line="162" w:lineRule="exact"/>
        <w:rPr>
          <w:sz w:val="20"/>
          <w:szCs w:val="20"/>
          <w:color w:val="auto"/>
        </w:rPr>
      </w:pPr>
    </w:p>
    <w:p>
      <w:pPr>
        <w:ind w:right="760"/>
        <w:spacing w:after="0" w:line="292" w:lineRule="auto"/>
        <w:rPr>
          <w:sz w:val="20"/>
          <w:szCs w:val="20"/>
          <w:color w:val="auto"/>
        </w:rPr>
      </w:pPr>
      <w:r>
        <w:rPr>
          <w:rFonts w:ascii="Arial" w:cs="Arial" w:eastAsia="Arial" w:hAnsi="Arial"/>
          <w:sz w:val="17"/>
          <w:szCs w:val="17"/>
          <w:color w:val="auto"/>
        </w:rPr>
        <w:t>Accordingly, our board believes that the policy requested by the proponent is unnecessary and not in the best interests of the company or our shareholders.</w:t>
      </w:r>
    </w:p>
    <w:p>
      <w:pPr>
        <w:spacing w:after="0" w:line="337"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6</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that you vote AGAINST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P71</w:t>
      </w:r>
    </w:p>
    <w:p>
      <w:pPr>
        <w:sectPr>
          <w:pgSz w:w="11900" w:h="16838" w:orient="portrait"/>
          <w:cols w:equalWidth="0" w:num="1">
            <w:col w:w="11420"/>
          </w:cols>
          <w:pgMar w:left="240" w:top="554" w:right="239" w:bottom="1440" w:gutter="0" w:footer="0" w:header="0"/>
        </w:sectPr>
      </w:pPr>
    </w:p>
    <w:bookmarkStart w:id="75" w:name="page76"/>
    <w:bookmarkEnd w:id="75"/>
    <w:p>
      <w:pPr>
        <w:spacing w:after="0"/>
        <w:rPr>
          <w:sz w:val="20"/>
          <w:szCs w:val="20"/>
          <w:color w:val="auto"/>
        </w:rPr>
      </w:pPr>
      <w:r>
        <w:rPr>
          <w:rFonts w:ascii="Arial" w:cs="Arial" w:eastAsia="Arial" w:hAnsi="Arial"/>
          <w:sz w:val="25"/>
          <w:szCs w:val="25"/>
          <w:b w:val="1"/>
          <w:bCs w:val="1"/>
          <w:color w:val="1A3A6C"/>
        </w:rPr>
        <w:t>Item 7. Proposal Requesting a Report Regarding Direct and Indirect Political Expenditures</w:t>
      </w:r>
    </w:p>
    <w:p>
      <w:pPr>
        <w:spacing w:after="0" w:line="219" w:lineRule="exact"/>
        <w:rPr>
          <w:sz w:val="20"/>
          <w:szCs w:val="20"/>
          <w:color w:val="auto"/>
        </w:rPr>
      </w:pPr>
    </w:p>
    <w:p>
      <w:pPr>
        <w:ind w:right="320"/>
        <w:spacing w:after="0" w:line="292" w:lineRule="auto"/>
        <w:rPr>
          <w:sz w:val="20"/>
          <w:szCs w:val="20"/>
          <w:color w:val="auto"/>
        </w:rPr>
      </w:pPr>
      <w:r>
        <w:rPr>
          <w:rFonts w:ascii="Arial" w:cs="Arial" w:eastAsia="Arial" w:hAnsi="Arial"/>
          <w:sz w:val="17"/>
          <w:szCs w:val="17"/>
          <w:color w:val="auto"/>
        </w:rPr>
        <w:t>National Center for Public Policy Research (NCPPR), 20 F Street, NW, Suite 700, Washington, D.C., beneficial owner of 62 shares of our common stock, has submitted the following proposal:</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we believe in full disclosure of our Company's direct and indirect lobbying activities and expenditures to assess whether Eli Lilly's lobbying is</w:t>
      </w:r>
      <w:r>
        <w:rPr>
          <w:rFonts w:ascii="Arial" w:cs="Arial" w:eastAsia="Arial" w:hAnsi="Arial"/>
          <w:sz w:val="17"/>
          <w:szCs w:val="17"/>
          <w:b w:val="1"/>
          <w:bCs w:val="1"/>
          <w:color w:val="auto"/>
        </w:rPr>
        <w:t xml:space="preserve"> </w:t>
      </w:r>
      <w:r>
        <w:rPr>
          <w:rFonts w:ascii="Arial" w:cs="Arial" w:eastAsia="Arial" w:hAnsi="Arial"/>
          <w:sz w:val="17"/>
          <w:szCs w:val="17"/>
          <w:color w:val="auto"/>
        </w:rPr>
        <w:t>consistent with the Company's expressed goals and in the best interest of shareowners.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the shareowners of Eli Lilly request the preparation of a report, updated annually, disclosing:</w:t>
      </w:r>
    </w:p>
    <w:p>
      <w:pPr>
        <w:spacing w:after="0" w:line="212" w:lineRule="exact"/>
        <w:rPr>
          <w:sz w:val="20"/>
          <w:szCs w:val="20"/>
          <w:color w:val="auto"/>
        </w:rPr>
      </w:pPr>
    </w:p>
    <w:p>
      <w:pPr>
        <w:ind w:left="740" w:hanging="340"/>
        <w:spacing w:after="0"/>
        <w:tabs>
          <w:tab w:leader="none" w:pos="7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Company policy and procedures governing lobbying, both direct and indirect, and grassroots lobbying communications.</w:t>
      </w:r>
    </w:p>
    <w:p>
      <w:pPr>
        <w:spacing w:after="0" w:line="29" w:lineRule="exact"/>
        <w:rPr>
          <w:rFonts w:ascii="Arial" w:cs="Arial" w:eastAsia="Arial" w:hAnsi="Arial"/>
          <w:sz w:val="17"/>
          <w:szCs w:val="17"/>
          <w:color w:val="auto"/>
        </w:rPr>
      </w:pPr>
    </w:p>
    <w:p>
      <w:pPr>
        <w:ind w:left="740" w:right="60" w:hanging="340"/>
        <w:spacing w:after="0" w:line="248" w:lineRule="auto"/>
        <w:tabs>
          <w:tab w:leader="none" w:pos="7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Payments by Eli Lilly used for (a) direct or indirect lobbying or (b) grassroots lobbying communications, in each case including the amount of the payment and the recipient.</w:t>
      </w:r>
    </w:p>
    <w:p>
      <w:pPr>
        <w:spacing w:after="0" w:line="1" w:lineRule="exact"/>
        <w:rPr>
          <w:rFonts w:ascii="Arial" w:cs="Arial" w:eastAsia="Arial" w:hAnsi="Arial"/>
          <w:sz w:val="17"/>
          <w:szCs w:val="17"/>
          <w:color w:val="auto"/>
        </w:rPr>
      </w:pPr>
    </w:p>
    <w:p>
      <w:pPr>
        <w:ind w:left="740" w:hanging="340"/>
        <w:spacing w:after="0"/>
        <w:tabs>
          <w:tab w:leader="none" w:pos="7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Eli Lilly's membership and payments to any tax-exempt organization that writes and/or endorses model legislation.</w:t>
      </w:r>
    </w:p>
    <w:p>
      <w:pPr>
        <w:spacing w:after="0" w:line="7" w:lineRule="exact"/>
        <w:rPr>
          <w:rFonts w:ascii="Arial" w:cs="Arial" w:eastAsia="Arial" w:hAnsi="Arial"/>
          <w:sz w:val="17"/>
          <w:szCs w:val="17"/>
          <w:color w:val="auto"/>
        </w:rPr>
      </w:pPr>
    </w:p>
    <w:p>
      <w:pPr>
        <w:ind w:left="740" w:right="300" w:hanging="340"/>
        <w:spacing w:after="0" w:line="265" w:lineRule="auto"/>
        <w:tabs>
          <w:tab w:leader="none" w:pos="7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Description of management's and the Board's decision-making process and oversight for making payments described in sections 2 and 3 above.</w:t>
      </w:r>
    </w:p>
    <w:p>
      <w:pPr>
        <w:spacing w:after="0" w:line="154"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Eli Lilly is a member. Both "direct and indirect lobbying" and "grassroots lobbying communications" include efforts at the local, state and federal levels. The report shall be presented to all relevant oversight committees and posted on Eli Lilly's website.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Supporting Statement</w:t>
      </w:r>
    </w:p>
    <w:p>
      <w:pPr>
        <w:spacing w:after="0" w:line="25"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The Company lobbies on a broad array of issues and works with groups that do the same. That's a good thing as the Company is rightfully exercising free speech. As such, the Company has become a target for anti-free speech activists. These activists are working to defund pro-business organizations by attacking their corporate members.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 Company should take an active role in combating this narrative and attacks on its freedom of association rights.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Company should be proud of its memberships in trade associations and non-profit groups that promote pro-business, pro-growth initiatives.</w:t>
      </w:r>
    </w:p>
    <w:p>
      <w:pPr>
        <w:spacing w:after="0" w:line="25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example, the Company's relationships with groups such as the American Legislative Exchange Council and PhRMA should be applauded and endorsed by shareholders. These groups advance initiatives that are designed to unburden corporations such as Eli Lilly, allowing them the freedom to create jobs and economic prosperity in the United States.</w:t>
      </w:r>
    </w:p>
    <w:p>
      <w:pPr>
        <w:spacing w:after="0" w:line="19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Rather than letting outside agitators set the message that these relationships are somehow nefarious, the Company should explain the benefits of its involvement with groups that advocate for smaller government, lower taxes, and free-market reforms. The Company should show how these relationships benefit shareholders, increase jobs and wages, help local communities, and generally advance the Company's interests.</w:t>
      </w:r>
    </w:p>
    <w:p>
      <w:pPr>
        <w:spacing w:after="0" w:line="191"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color w:val="auto"/>
        </w:rPr>
        <w:t>The proponent supports the Company's free speech rights and freedom to associate with groups that advance economic liberty. The Company should stand up for those rights.</w:t>
      </w:r>
    </w:p>
    <w:p>
      <w:pPr>
        <w:spacing w:after="0" w:line="169" w:lineRule="exact"/>
        <w:rPr>
          <w:sz w:val="20"/>
          <w:szCs w:val="20"/>
          <w:color w:val="auto"/>
        </w:rPr>
      </w:pPr>
    </w:p>
    <w:p>
      <w:pPr>
        <w:ind w:right="920"/>
        <w:spacing w:after="0" w:line="252" w:lineRule="auto"/>
        <w:rPr>
          <w:sz w:val="20"/>
          <w:szCs w:val="20"/>
          <w:color w:val="auto"/>
        </w:rPr>
      </w:pPr>
      <w:r>
        <w:rPr>
          <w:rFonts w:ascii="Arial" w:cs="Arial" w:eastAsia="Arial" w:hAnsi="Arial"/>
          <w:sz w:val="20"/>
          <w:szCs w:val="20"/>
          <w:b w:val="1"/>
          <w:bCs w:val="1"/>
          <w:color w:val="auto"/>
        </w:rPr>
        <w:t>Statement in Opposition to the Shareholder Proposal Requesting Report Regarding Direct and Indirect Political Expenditures</w:t>
      </w:r>
    </w:p>
    <w:p>
      <w:pPr>
        <w:spacing w:after="0" w:line="2" w:lineRule="exact"/>
        <w:rPr>
          <w:sz w:val="20"/>
          <w:szCs w:val="20"/>
          <w:color w:val="auto"/>
        </w:rPr>
      </w:pPr>
    </w:p>
    <w:p>
      <w:pPr>
        <w:ind w:right="380"/>
        <w:spacing w:after="0" w:line="256" w:lineRule="auto"/>
        <w:rPr>
          <w:sz w:val="20"/>
          <w:szCs w:val="20"/>
          <w:color w:val="auto"/>
        </w:rPr>
      </w:pPr>
      <w:r>
        <w:rPr>
          <w:rFonts w:ascii="Arial" w:cs="Arial" w:eastAsia="Arial" w:hAnsi="Arial"/>
          <w:sz w:val="17"/>
          <w:szCs w:val="17"/>
          <w:color w:val="auto"/>
        </w:rPr>
        <w:t>The Public Policy and Compliance Committee has reviewed this proposal and recommends a vote against it, as we currently publish a substantial amount of the information requested by the shareholder. The additional reporting requirements are unnecessary, as the information requested is publicly available and this reporting would place an undue administrative burden on the company.</w:t>
      </w:r>
    </w:p>
    <w:p>
      <w:pPr>
        <w:spacing w:after="0" w:line="163" w:lineRule="exact"/>
        <w:rPr>
          <w:sz w:val="20"/>
          <w:szCs w:val="20"/>
          <w:color w:val="auto"/>
        </w:rPr>
      </w:pPr>
    </w:p>
    <w:p>
      <w:pPr>
        <w:ind w:right="200"/>
        <w:spacing w:after="0" w:line="292" w:lineRule="auto"/>
        <w:rPr>
          <w:sz w:val="20"/>
          <w:szCs w:val="20"/>
          <w:color w:val="auto"/>
        </w:rPr>
      </w:pPr>
      <w:r>
        <w:rPr>
          <w:rFonts w:ascii="Arial" w:cs="Arial" w:eastAsia="Arial" w:hAnsi="Arial"/>
          <w:sz w:val="17"/>
          <w:szCs w:val="17"/>
          <w:color w:val="auto"/>
        </w:rPr>
        <w:t>Since 2005, the company has published the following information on our website (lilly.com/LillyPAC) for both direct company contributions and employee political action committee (PAC) contributions to support candidates for political office, political parties, officials, or committees in the U.S.:</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P72</w:t>
      </w:r>
    </w:p>
    <w:p>
      <w:pPr>
        <w:sectPr>
          <w:pgSz w:w="11900" w:h="16838" w:orient="portrait"/>
          <w:cols w:equalWidth="0" w:num="1">
            <w:col w:w="11380"/>
          </w:cols>
          <w:pgMar w:left="240" w:top="551" w:right="279" w:bottom="1440" w:gutter="0" w:footer="0" w:header="0"/>
        </w:sectPr>
      </w:pPr>
    </w:p>
    <w:bookmarkStart w:id="76" w:name="page77"/>
    <w:bookmarkEnd w:id="76"/>
    <w:p>
      <w:pPr>
        <w:ind w:left="660" w:hanging="328"/>
        <w:spacing w:after="0"/>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policies and procedures for company and PAC contributions</w:t>
      </w:r>
    </w:p>
    <w:p>
      <w:pPr>
        <w:spacing w:after="0" w:line="29" w:lineRule="exact"/>
        <w:rPr>
          <w:rFonts w:ascii="Arial" w:cs="Arial" w:eastAsia="Arial" w:hAnsi="Arial"/>
          <w:sz w:val="17"/>
          <w:szCs w:val="17"/>
          <w:color w:val="auto"/>
        </w:rPr>
      </w:pPr>
    </w:p>
    <w:p>
      <w:pPr>
        <w:ind w:left="660" w:right="320" w:hanging="328"/>
        <w:spacing w:after="0" w:line="248"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contributions to candidates, including information about the candidate's office (for example, state, local, or federal; House or Senate), party affiliation, and state</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contributions to political organizations and Section 527 organizations reported by state.</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This information is updated annually. In addition to the information available on our website, detailed corporate contributions, PAC contribution data, and the company’s direct lobbying expenses are available to the public on the Federal Election Committee website (fec.gov/data/) and through individual state agencies. The company’s direct lobbying expenses are also available to the public on the Lobbying Disclosure page of the U.S. House website (disclosures.house.gov/ld/ldsearch.aspx) and through individual state agencies.</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addition to direct political contributions, Lilly maintains memberships in certain 501(c)(6)s—trade associations that report lobbying activity to the U.S. government. We maintain memberships in trade associations and other tax-exempt organizations specific to business and pharmaceutical industry interests, such as PhRMA (Pharmaceutical Research and Manufacturers Association), BIO (Biotechnology Association), and the National Association of Manufacturers. We support organizations that champion public policies that contribute to pharmaceutical innovation, healthy patients, and a healthy business climate.</w:t>
      </w:r>
    </w:p>
    <w:p>
      <w:pPr>
        <w:spacing w:after="0" w:line="161" w:lineRule="exact"/>
        <w:rPr>
          <w:sz w:val="20"/>
          <w:szCs w:val="20"/>
          <w:color w:val="auto"/>
        </w:rPr>
      </w:pPr>
    </w:p>
    <w:p>
      <w:pPr>
        <w:ind w:right="220"/>
        <w:spacing w:after="0" w:line="292" w:lineRule="auto"/>
        <w:rPr>
          <w:sz w:val="20"/>
          <w:szCs w:val="20"/>
          <w:color w:val="auto"/>
        </w:rPr>
      </w:pPr>
      <w:r>
        <w:rPr>
          <w:rFonts w:ascii="Arial" w:cs="Arial" w:eastAsia="Arial" w:hAnsi="Arial"/>
          <w:sz w:val="17"/>
          <w:szCs w:val="17"/>
          <w:color w:val="auto"/>
        </w:rPr>
        <w:t>Information relating to Lilly’s memberships in trade associations to which we contribute $50,000 per year or more, and any such organizations where Lilly has a board seat can be found on our website.</w:t>
      </w:r>
    </w:p>
    <w:p>
      <w:pPr>
        <w:spacing w:after="0" w:line="132" w:lineRule="exact"/>
        <w:rPr>
          <w:sz w:val="20"/>
          <w:szCs w:val="20"/>
          <w:color w:val="auto"/>
        </w:rPr>
      </w:pPr>
    </w:p>
    <w:p>
      <w:pPr>
        <w:ind w:right="300"/>
        <w:spacing w:after="0" w:line="292" w:lineRule="auto"/>
        <w:rPr>
          <w:sz w:val="20"/>
          <w:szCs w:val="20"/>
          <w:color w:val="auto"/>
        </w:rPr>
      </w:pPr>
      <w:r>
        <w:rPr>
          <w:rFonts w:ascii="Arial" w:cs="Arial" w:eastAsia="Arial" w:hAnsi="Arial"/>
          <w:sz w:val="17"/>
          <w:szCs w:val="17"/>
          <w:color w:val="auto"/>
        </w:rPr>
        <w:t>These tax-exempt organizations are also required to disclose their lobbying expenditures under the Lobbying Act of 1995; they report their lobbying expenditures to the U.S. Senate.</w:t>
      </w:r>
    </w:p>
    <w:p>
      <w:pPr>
        <w:spacing w:after="0" w:line="13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we do not control what portion of the organization’s budget is spent on lobbying, it is the fact of company membership in and support for the trade association, and the trade association’s total lobbying expenditure, that reveals the most about Lilly's political activities. As a result, the board does not believe any value provided by the requested additional disclosures merits the resources required to produce such a report.</w:t>
      </w:r>
    </w:p>
    <w:p>
      <w:pPr>
        <w:spacing w:after="0" w:line="153"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7</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that you vote AGAINST this proposal.</w:t>
      </w:r>
    </w:p>
    <w:p>
      <w:pPr>
        <w:spacing w:after="0" w:line="198"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Meeting and Voting Logistics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Items of Business</w:t>
      </w:r>
    </w:p>
    <w:p>
      <w:pPr>
        <w:spacing w:after="0" w:line="2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do not expect any items of business other than those set forth above because the deadline for shareholder proposals and nominations has passed. Nonetheless, if necessary, the accompanying proxy gives discretionary authority to the persons named on the proxy with respect to any other matters that might be brought before the meeting. Those persons intend to vote that proxy in accordance with their best judgment.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w:t>
      </w:r>
    </w:p>
    <w:p>
      <w:pPr>
        <w:spacing w:after="0" w:line="25" w:lineRule="exact"/>
        <w:rPr>
          <w:sz w:val="20"/>
          <w:szCs w:val="20"/>
          <w:color w:val="auto"/>
        </w:rPr>
      </w:pPr>
    </w:p>
    <w:p>
      <w:pPr>
        <w:ind w:right="320"/>
        <w:spacing w:after="0" w:line="248" w:lineRule="auto"/>
        <w:rPr>
          <w:sz w:val="20"/>
          <w:szCs w:val="20"/>
          <w:color w:val="auto"/>
        </w:rPr>
      </w:pPr>
      <w:r>
        <w:rPr>
          <w:rFonts w:ascii="Arial" w:cs="Arial" w:eastAsia="Arial" w:hAnsi="Arial"/>
          <w:sz w:val="17"/>
          <w:szCs w:val="17"/>
          <w:color w:val="auto"/>
        </w:rPr>
        <w:t>Shareholders as of the close of business on February 26, 2019 (the record date) may vote at the 2019 annual meeting. You have one vote for each share of common stock you held on the record date, including shares:</w:t>
      </w:r>
    </w:p>
    <w:p>
      <w:pPr>
        <w:spacing w:after="0" w:line="1" w:lineRule="exact"/>
        <w:rPr>
          <w:sz w:val="20"/>
          <w:szCs w:val="20"/>
          <w:color w:val="auto"/>
        </w:rPr>
      </w:pPr>
    </w:p>
    <w:p>
      <w:pPr>
        <w:ind w:left="340" w:hanging="170"/>
        <w:spacing w:after="0"/>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held directly in your name as the shareholder of record</w:t>
      </w:r>
    </w:p>
    <w:p>
      <w:pPr>
        <w:spacing w:after="0" w:line="7" w:lineRule="exact"/>
        <w:rPr>
          <w:rFonts w:ascii="Arial" w:cs="Arial" w:eastAsia="Arial" w:hAnsi="Arial"/>
          <w:sz w:val="17"/>
          <w:szCs w:val="17"/>
          <w:color w:val="auto"/>
        </w:rPr>
      </w:pPr>
    </w:p>
    <w:p>
      <w:pPr>
        <w:ind w:left="340" w:hanging="170"/>
        <w:spacing w:after="0"/>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held for you in an account with a broker, bank, or other nominee</w:t>
      </w:r>
    </w:p>
    <w:p>
      <w:pPr>
        <w:spacing w:after="0" w:line="7" w:lineRule="exact"/>
        <w:rPr>
          <w:rFonts w:ascii="Arial" w:cs="Arial" w:eastAsia="Arial" w:hAnsi="Arial"/>
          <w:sz w:val="17"/>
          <w:szCs w:val="17"/>
          <w:color w:val="auto"/>
        </w:rPr>
      </w:pPr>
    </w:p>
    <w:p>
      <w:pPr>
        <w:ind w:left="340" w:hanging="170"/>
        <w:spacing w:after="0"/>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attributed to your account in the company's 401(k) plan.</w:t>
      </w:r>
    </w:p>
    <w:p>
      <w:pPr>
        <w:spacing w:after="0" w:line="188"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You may vote your shares in person at the meeting. However, we encourage you to vote by mail, by telephone, or online even if you plan to attend the meeting.</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Required Vote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Below are the vote requirements for the various proposals:</w:t>
      </w:r>
    </w:p>
    <w:p>
      <w:pPr>
        <w:spacing w:after="0" w:line="39" w:lineRule="exact"/>
        <w:rPr>
          <w:sz w:val="20"/>
          <w:szCs w:val="20"/>
          <w:color w:val="auto"/>
        </w:rPr>
      </w:pPr>
    </w:p>
    <w:p>
      <w:pPr>
        <w:ind w:left="340" w:right="360" w:hanging="170"/>
        <w:spacing w:after="0" w:line="262"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four nominees for director will be elected if the votes cast for the nominee exceed the votes cast against the nominee. Abstentions will not count as votes cast either for or against a nominee.</w:t>
      </w:r>
    </w:p>
    <w:p>
      <w:pPr>
        <w:ind w:left="340" w:hanging="170"/>
        <w:spacing w:after="0"/>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following items of business will be approved if the votes cast for the proposal exceed those cast against the proposal:</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P73</w:t>
      </w:r>
    </w:p>
    <w:p>
      <w:pPr>
        <w:sectPr>
          <w:pgSz w:w="11900" w:h="16838" w:orient="portrait"/>
          <w:cols w:equalWidth="0" w:num="1">
            <w:col w:w="11420"/>
          </w:cols>
          <w:pgMar w:left="240" w:top="557" w:right="239" w:bottom="1440" w:gutter="0" w:footer="0" w:header="0"/>
        </w:sectPr>
      </w:pPr>
    </w:p>
    <w:bookmarkStart w:id="77" w:name="page78"/>
    <w:bookmarkEnd w:id="77"/>
    <w:p>
      <w:pPr>
        <w:ind w:left="880" w:hanging="224"/>
        <w:spacing w:after="0"/>
        <w:tabs>
          <w:tab w:leader="none" w:pos="8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advisory approval of executive compensation</w:t>
      </w:r>
    </w:p>
    <w:p>
      <w:pPr>
        <w:spacing w:after="0" w:line="29" w:lineRule="exact"/>
        <w:rPr>
          <w:rFonts w:ascii="Arial" w:cs="Arial" w:eastAsia="Arial" w:hAnsi="Arial"/>
          <w:sz w:val="17"/>
          <w:szCs w:val="17"/>
          <w:color w:val="auto"/>
        </w:rPr>
      </w:pPr>
    </w:p>
    <w:p>
      <w:pPr>
        <w:ind w:left="880" w:hanging="224"/>
        <w:spacing w:after="0"/>
        <w:tabs>
          <w:tab w:leader="none" w:pos="8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ratification of the appointment of principal independent auditor</w:t>
      </w:r>
    </w:p>
    <w:p>
      <w:pPr>
        <w:spacing w:after="0" w:line="7" w:lineRule="exact"/>
        <w:rPr>
          <w:rFonts w:ascii="Arial" w:cs="Arial" w:eastAsia="Arial" w:hAnsi="Arial"/>
          <w:sz w:val="17"/>
          <w:szCs w:val="17"/>
          <w:color w:val="auto"/>
        </w:rPr>
      </w:pPr>
    </w:p>
    <w:p>
      <w:pPr>
        <w:ind w:left="880" w:hanging="224"/>
        <w:spacing w:after="0"/>
        <w:tabs>
          <w:tab w:leader="none" w:pos="8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two shareholder proposals.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Abstentions will not be counted either for or against these proposals.</w:t>
      </w:r>
    </w:p>
    <w:p>
      <w:pPr>
        <w:spacing w:after="0" w:line="7" w:lineRule="exact"/>
        <w:rPr>
          <w:sz w:val="20"/>
          <w:szCs w:val="20"/>
          <w:color w:val="auto"/>
        </w:rPr>
      </w:pPr>
    </w:p>
    <w:p>
      <w:pPr>
        <w:ind w:left="340" w:right="100" w:hanging="170"/>
        <w:spacing w:after="0" w:line="256" w:lineRule="auto"/>
        <w:tabs>
          <w:tab w:leader="none" w:pos="3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proposals to amend the articles of incorporation to eliminate the classified board structure and to eliminate supermajority voting provisions require the vote of 80 percent of the outstanding shares of our common stock. For these items, abstentions and broker non-votes have the same effect as a vote against the proposals.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Quorum</w:t>
      </w:r>
    </w:p>
    <w:p>
      <w:pPr>
        <w:spacing w:after="0" w:line="25" w:lineRule="exact"/>
        <w:rPr>
          <w:sz w:val="20"/>
          <w:szCs w:val="20"/>
          <w:color w:val="auto"/>
        </w:rPr>
      </w:pPr>
    </w:p>
    <w:p>
      <w:pPr>
        <w:ind w:right="700"/>
        <w:spacing w:after="0" w:line="265" w:lineRule="auto"/>
        <w:rPr>
          <w:sz w:val="20"/>
          <w:szCs w:val="20"/>
          <w:color w:val="auto"/>
        </w:rPr>
      </w:pPr>
      <w:r>
        <w:rPr>
          <w:rFonts w:ascii="Arial" w:cs="Arial" w:eastAsia="Arial" w:hAnsi="Arial"/>
          <w:sz w:val="17"/>
          <w:szCs w:val="17"/>
          <w:color w:val="auto"/>
        </w:rPr>
        <w:t>A majority of the outstanding shares, present or represented by proxy, constitutes a quorum for the annual meeting. As of February 26, 2019, XXXXXXXXXXXXX shares of company common stock were issued and outstanding.</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by Proxy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If you are a shareholder of record, you may vote your proxy by any one of the following methods:</w:t>
      </w:r>
    </w:p>
    <w:p>
      <w:pPr>
        <w:spacing w:after="0" w:line="145" w:lineRule="exact"/>
        <w:rPr>
          <w:sz w:val="20"/>
          <w:szCs w:val="20"/>
          <w:color w:val="auto"/>
        </w:rPr>
      </w:pPr>
    </w:p>
    <w:p>
      <w:pPr>
        <w:ind w:left="1500" w:right="980"/>
        <w:spacing w:after="0" w:line="255" w:lineRule="auto"/>
        <w:rPr>
          <w:sz w:val="20"/>
          <w:szCs w:val="20"/>
          <w:color w:val="auto"/>
        </w:rPr>
      </w:pPr>
      <w:r>
        <w:rPr>
          <w:rFonts w:ascii="Arial" w:cs="Arial" w:eastAsia="Arial" w:hAnsi="Arial"/>
          <w:sz w:val="17"/>
          <w:szCs w:val="17"/>
          <w:b w:val="1"/>
          <w:bCs w:val="1"/>
          <w:color w:val="EE2724"/>
        </w:rPr>
        <w:t xml:space="preserve">Online. </w:t>
      </w:r>
      <w:r>
        <w:rPr>
          <w:rFonts w:ascii="Arial" w:cs="Arial" w:eastAsia="Arial" w:hAnsi="Arial"/>
          <w:sz w:val="17"/>
          <w:szCs w:val="17"/>
          <w:color w:val="000000"/>
        </w:rPr>
        <w:t>You may vote online at</w:t>
      </w:r>
      <w:r>
        <w:rPr>
          <w:rFonts w:ascii="Arial" w:cs="Arial" w:eastAsia="Arial" w:hAnsi="Arial"/>
          <w:sz w:val="17"/>
          <w:szCs w:val="17"/>
          <w:b w:val="1"/>
          <w:bCs w:val="1"/>
          <w:color w:val="EE2724"/>
        </w:rPr>
        <w:t xml:space="preserve"> </w:t>
      </w:r>
      <w:r>
        <w:rPr>
          <w:rFonts w:ascii="Arial" w:cs="Arial" w:eastAsia="Arial" w:hAnsi="Arial"/>
          <w:sz w:val="17"/>
          <w:szCs w:val="17"/>
          <w:color w:val="EE2724"/>
        </w:rPr>
        <w:t>proxyvote.com</w:t>
      </w:r>
      <w:r>
        <w:rPr>
          <w:rFonts w:ascii="Arial" w:cs="Arial" w:eastAsia="Arial" w:hAnsi="Arial"/>
          <w:sz w:val="17"/>
          <w:szCs w:val="17"/>
          <w:color w:val="000000"/>
        </w:rPr>
        <w:t>. Follow the instructions on your proxy card or notice. If you received</w:t>
      </w:r>
      <w:r>
        <w:rPr>
          <w:rFonts w:ascii="Arial" w:cs="Arial" w:eastAsia="Arial" w:hAnsi="Arial"/>
          <w:sz w:val="17"/>
          <w:szCs w:val="17"/>
          <w:b w:val="1"/>
          <w:bCs w:val="1"/>
          <w:color w:val="EE2724"/>
        </w:rPr>
        <w:t xml:space="preserve"> </w:t>
      </w:r>
      <w:r>
        <w:rPr>
          <w:rFonts w:ascii="Arial" w:cs="Arial" w:eastAsia="Arial" w:hAnsi="Arial"/>
          <w:sz w:val="17"/>
          <w:szCs w:val="17"/>
          <w:color w:val="000000"/>
        </w:rPr>
        <w:t>these materials electronically, follow the instructions in the e-mail message that notified you of their availability. Voting online has the same effect as voting by mail. If you vote online, do not return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-375920</wp:posOffset>
            </wp:positionV>
            <wp:extent cx="514350" cy="514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21" w:lineRule="exact"/>
        <w:rPr>
          <w:sz w:val="20"/>
          <w:szCs w:val="20"/>
          <w:color w:val="auto"/>
        </w:rPr>
      </w:pPr>
    </w:p>
    <w:p>
      <w:pPr>
        <w:ind w:left="1500" w:right="900"/>
        <w:spacing w:after="0" w:line="247" w:lineRule="auto"/>
        <w:rPr>
          <w:sz w:val="20"/>
          <w:szCs w:val="20"/>
          <w:color w:val="auto"/>
        </w:rPr>
      </w:pPr>
      <w:r>
        <w:rPr>
          <w:rFonts w:ascii="Arial" w:cs="Arial" w:eastAsia="Arial" w:hAnsi="Arial"/>
          <w:sz w:val="17"/>
          <w:szCs w:val="17"/>
          <w:b w:val="1"/>
          <w:bCs w:val="1"/>
          <w:color w:val="EE2724"/>
        </w:rPr>
        <w:t xml:space="preserve">By telephone. </w:t>
      </w:r>
      <w:r>
        <w:rPr>
          <w:rFonts w:ascii="Arial" w:cs="Arial" w:eastAsia="Arial" w:hAnsi="Arial"/>
          <w:sz w:val="17"/>
          <w:szCs w:val="17"/>
          <w:color w:val="000000"/>
        </w:rPr>
        <w:t>Shareholders in the U.S., Puerto Rico, and Canada may vote by telephone by following the instructions</w:t>
      </w:r>
      <w:r>
        <w:rPr>
          <w:rFonts w:ascii="Arial" w:cs="Arial" w:eastAsia="Arial" w:hAnsi="Arial"/>
          <w:sz w:val="17"/>
          <w:szCs w:val="17"/>
          <w:b w:val="1"/>
          <w:bCs w:val="1"/>
          <w:color w:val="EE2724"/>
        </w:rPr>
        <w:t xml:space="preserve"> </w:t>
      </w:r>
      <w:r>
        <w:rPr>
          <w:rFonts w:ascii="Arial" w:cs="Arial" w:eastAsia="Arial" w:hAnsi="Arial"/>
          <w:sz w:val="17"/>
          <w:szCs w:val="17"/>
          <w:color w:val="000000"/>
        </w:rPr>
        <w:t>on your proxy card or notice. If you received these materials electronically, follow the instructions in the e-mail message that notified you of their availability. Voting by telephone has the same effect as voting by mail. If you vote by telephone, do not return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-490855</wp:posOffset>
            </wp:positionV>
            <wp:extent cx="582930" cy="5829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2930" cy="582930"/>
                    </a:xfrm>
                    <a:prstGeom prst="rect">
                      <a:avLst/>
                    </a:prstGeom>
                    <a:noFill/>
                  </pic:spPr>
                </pic:pic>
              </a:graphicData>
            </a:graphic>
          </wp:anchor>
        </w:drawing>
      </w:r>
    </w:p>
    <w:p>
      <w:pPr>
        <w:spacing w:after="0" w:line="148" w:lineRule="exact"/>
        <w:rPr>
          <w:sz w:val="20"/>
          <w:szCs w:val="20"/>
          <w:color w:val="auto"/>
        </w:rPr>
      </w:pPr>
    </w:p>
    <w:p>
      <w:pPr>
        <w:ind w:left="1500" w:right="940"/>
        <w:spacing w:after="0" w:line="239" w:lineRule="auto"/>
        <w:rPr>
          <w:sz w:val="20"/>
          <w:szCs w:val="20"/>
          <w:color w:val="auto"/>
        </w:rPr>
      </w:pPr>
      <w:r>
        <w:rPr>
          <w:rFonts w:ascii="Arial" w:cs="Arial" w:eastAsia="Arial" w:hAnsi="Arial"/>
          <w:sz w:val="17"/>
          <w:szCs w:val="17"/>
          <w:b w:val="1"/>
          <w:bCs w:val="1"/>
          <w:color w:val="EE2724"/>
        </w:rPr>
        <w:t>By mail</w:t>
      </w:r>
      <w:r>
        <w:rPr>
          <w:rFonts w:ascii="Arial" w:cs="Arial" w:eastAsia="Arial" w:hAnsi="Arial"/>
          <w:sz w:val="17"/>
          <w:szCs w:val="17"/>
          <w:color w:val="000000"/>
        </w:rPr>
        <w:t>. Sign and date each proxy card you receive and return it in the prepaid envelope. Sign your name exactly as</w:t>
      </w:r>
      <w:r>
        <w:rPr>
          <w:rFonts w:ascii="Arial" w:cs="Arial" w:eastAsia="Arial" w:hAnsi="Arial"/>
          <w:sz w:val="17"/>
          <w:szCs w:val="17"/>
          <w:b w:val="1"/>
          <w:bCs w:val="1"/>
          <w:color w:val="EE2724"/>
        </w:rPr>
        <w:t xml:space="preserve"> </w:t>
      </w:r>
      <w:r>
        <w:rPr>
          <w:rFonts w:ascii="Arial" w:cs="Arial" w:eastAsia="Arial" w:hAnsi="Arial"/>
          <w:sz w:val="17"/>
          <w:szCs w:val="17"/>
          <w:color w:val="000000"/>
        </w:rPr>
        <w:t>it appears on the proxy. If you are signing in a representative capacity (for example, as an attorney-in-fact, executor, administrator, guardian, trustee, or the officer or agent of a corporation or partnership), please indicate your name and your title or capacity. If the stock is held in custody for a minor (for example, under the Uniform Transfers to Minors Act), the custodian should sign, not the minor. If the stock is held in joint ownership, one owner may sign on behalf of all owners. If you return your signed proxy but do not indicate your voting preferences, the proxy holder will vote on your behalf based upon the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-734060</wp:posOffset>
            </wp:positionV>
            <wp:extent cx="617220" cy="6172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267"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You have the right to revoke your proxy at any time before the meeting by (i) notifying the company’s secretary in writing, or (ii) delivering a later-dated proxy online, by mail, or by telephone. If you are a shareholder of record, you may also revoke your proxy by voting in person at the meeting.</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Shares Held by a Broker</w:t>
      </w:r>
    </w:p>
    <w:p>
      <w:pPr>
        <w:spacing w:after="0" w:line="25"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If your shares are held by a broker, the broker will ask you how you want your shares to be voted. You may instruct your broker or other nominee to vote your shares by following instructions that the broker or nominee provides to you. Most brokers offer voting by mail, by telephone, and online.</w:t>
      </w:r>
    </w:p>
    <w:p>
      <w:pPr>
        <w:spacing w:after="0" w:line="154"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If you give the broker instructions, your shares will be voted as you direct. If you do not give instructions, one of two things can happen, depending on the type of proposal. For the ratification of the principal independent auditor, the broker may vote your shares in its discretion. For all other proposals, the broker may not vote your shares at all.</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Shares Held in the Company 401(k) Plan</w:t>
      </w:r>
    </w:p>
    <w:p>
      <w:pPr>
        <w:spacing w:after="0" w:line="2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You may instruct the plan trustee on how to vote your shares in the 401(k) plan online, by mail, or by telephone as described above, except that, if you vote by mail, the card that you use will be a voting instruction form rather than a proxy card.</w:t>
      </w:r>
    </w:p>
    <w:p>
      <w:pPr>
        <w:spacing w:after="0" w:line="154" w:lineRule="exact"/>
        <w:rPr>
          <w:sz w:val="20"/>
          <w:szCs w:val="20"/>
          <w:color w:val="auto"/>
        </w:rPr>
      </w:pPr>
    </w:p>
    <w:p>
      <w:pPr>
        <w:jc w:val="both"/>
        <w:ind w:right="180"/>
        <w:spacing w:after="0" w:line="270" w:lineRule="auto"/>
        <w:rPr>
          <w:sz w:val="20"/>
          <w:szCs w:val="20"/>
          <w:color w:val="auto"/>
        </w:rPr>
      </w:pPr>
      <w:r>
        <w:rPr>
          <w:rFonts w:ascii="Arial" w:cs="Arial" w:eastAsia="Arial" w:hAnsi="Arial"/>
          <w:sz w:val="17"/>
          <w:szCs w:val="17"/>
          <w:color w:val="auto"/>
        </w:rPr>
        <w:t>In addition, unless you decline, your vote will apply to a proportionate number of other shares held by participants in the 401(k) plan for which voting directions are not received (except for a small number of shares from a prior stock ownership plan, which can be voted only on the directions of the participants to whose accounts the shares are credited).</w:t>
      </w:r>
    </w:p>
    <w:p>
      <w:pPr>
        <w:spacing w:after="0" w:line="15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All participants are named fiduciaries under the terms of the 401(k) plan and under the Employee Retirement Income Security Act (ERISA) for the limited purpose of voting shares credited to their accounts and the portion of undirected shares to which their vote applies. Under ERISA, fiduciaries are required to act prudently in making voting decisions.</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P74</w:t>
      </w:r>
    </w:p>
    <w:p>
      <w:pPr>
        <w:sectPr>
          <w:pgSz w:w="11900" w:h="16838" w:orient="portrait"/>
          <w:cols w:equalWidth="0" w:num="1">
            <w:col w:w="11340"/>
          </w:cols>
          <w:pgMar w:left="240" w:top="557" w:right="319" w:bottom="1440" w:gutter="0" w:footer="0" w:header="0"/>
        </w:sectPr>
      </w:pPr>
    </w:p>
    <w:bookmarkStart w:id="78" w:name="page79"/>
    <w:bookmarkEnd w:id="78"/>
    <w:p>
      <w:pPr>
        <w:ind w:right="40"/>
        <w:spacing w:after="0" w:line="292" w:lineRule="auto"/>
        <w:rPr>
          <w:sz w:val="20"/>
          <w:szCs w:val="20"/>
          <w:color w:val="auto"/>
        </w:rPr>
      </w:pPr>
      <w:r>
        <w:rPr>
          <w:rFonts w:ascii="Arial" w:cs="Arial" w:eastAsia="Arial" w:hAnsi="Arial"/>
          <w:sz w:val="17"/>
          <w:szCs w:val="17"/>
          <w:color w:val="auto"/>
        </w:rPr>
        <w:t>If you do not want to have your vote applied to the undirected shares, you must so indicate when you vote. Otherwise, the trustee will automatically apply your voting preferences to the undirected shares proportionally with all other participants who elected to have their votes applied in this manner.</w:t>
      </w:r>
    </w:p>
    <w:p>
      <w:pPr>
        <w:spacing w:after="0" w:line="132" w:lineRule="exact"/>
        <w:rPr>
          <w:sz w:val="20"/>
          <w:szCs w:val="20"/>
          <w:color w:val="auto"/>
        </w:rPr>
      </w:pPr>
    </w:p>
    <w:p>
      <w:pPr>
        <w:ind w:right="180"/>
        <w:spacing w:after="0" w:line="292" w:lineRule="auto"/>
        <w:rPr>
          <w:sz w:val="20"/>
          <w:szCs w:val="20"/>
          <w:color w:val="auto"/>
        </w:rPr>
      </w:pPr>
      <w:r>
        <w:rPr>
          <w:rFonts w:ascii="Arial" w:cs="Arial" w:eastAsia="Arial" w:hAnsi="Arial"/>
          <w:sz w:val="17"/>
          <w:szCs w:val="17"/>
          <w:color w:val="auto"/>
        </w:rPr>
        <w:t>If you do not vote, your shares will be voted by other plan participants who have elected to have their voting preferences applied proportionally to all shares for which voting instructions are not otherwise received.</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Proxy Cards and Notices</w:t>
      </w:r>
    </w:p>
    <w:p>
      <w:pPr>
        <w:spacing w:after="0" w:line="25"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If you received more than one proxy card, notice, or e-mail related to proxy materials, you hold shares in more than one account. To ensure that all your shares are voted, sign and return each card. Alternatively, if you vote by telephone or online, you will need to cast a vote for each proxy card, notice, or e-mail you receive. If you do not receive a proxy card, you may have elected to receive your proxy statement electronically, in which case you should have received an e-mail with directions on how to access the proxy statement and how to vote your shares. If you wish to request a paper copy of these materials and a proxy card, please call 800-579-1639.</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Tabulation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Votes are tabulated by an independent inspector of election, Broadridge Financial Solutions, Inc.</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Attending the Annual Meeting - </w:t>
      </w:r>
      <w:r>
        <w:rPr>
          <w:rFonts w:ascii="Arial" w:cs="Arial" w:eastAsia="Arial" w:hAnsi="Arial"/>
          <w:sz w:val="20"/>
          <w:szCs w:val="20"/>
          <w:b w:val="1"/>
          <w:bCs w:val="1"/>
          <w:color w:val="EE2724"/>
        </w:rPr>
        <w:t>*New Admission Procedure*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meeting will be held at the Lilly Center Auditorium at Lilly Corporate Center.</w:t>
      </w:r>
    </w:p>
    <w:p>
      <w:pPr>
        <w:spacing w:after="0" w:line="16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All shareholders as of close of business on February 26, 2019 may attend the annual meeting. To gain admission, you must request an admission ticket as described below and present it along with valid, government-issued photo identification, such as a driver’s license or passport. </w:t>
      </w:r>
      <w:r>
        <w:rPr>
          <w:rFonts w:ascii="Arial" w:cs="Arial" w:eastAsia="Arial" w:hAnsi="Arial"/>
          <w:sz w:val="17"/>
          <w:szCs w:val="17"/>
          <w:b w:val="1"/>
          <w:bCs w:val="1"/>
          <w:color w:val="EE2724"/>
        </w:rPr>
        <w:t>Your request</w:t>
      </w:r>
      <w:r>
        <w:rPr>
          <w:rFonts w:ascii="Arial" w:cs="Arial" w:eastAsia="Arial" w:hAnsi="Arial"/>
          <w:sz w:val="17"/>
          <w:szCs w:val="17"/>
          <w:color w:val="auto"/>
        </w:rPr>
        <w:t xml:space="preserve"> </w:t>
      </w:r>
      <w:r>
        <w:rPr>
          <w:rFonts w:ascii="Arial" w:cs="Arial" w:eastAsia="Arial" w:hAnsi="Arial"/>
          <w:sz w:val="17"/>
          <w:szCs w:val="17"/>
          <w:b w:val="1"/>
          <w:bCs w:val="1"/>
          <w:color w:val="EE2724"/>
        </w:rPr>
        <w:t>for an admission ticket must be received before 5:00 p.m. EDT on April 30, 2019.</w:t>
      </w:r>
    </w:p>
    <w:p>
      <w:pPr>
        <w:spacing w:after="0" w:line="136"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Admission tickets are available for registered and beneficial shareholders and for one guest accompanying each shareholder. If you are attending the meeting as a proxy for or qualified representative of a shareholder, you will need your legal proxy or authorization letter in addition to your admission ticket and photo identification.</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 xml:space="preserve">To obtain an admission ticket for you and your guest online, please access “Register for Meeting” at </w:t>
      </w:r>
      <w:r>
        <w:rPr>
          <w:rFonts w:ascii="Arial" w:cs="Arial" w:eastAsia="Arial" w:hAnsi="Arial"/>
          <w:sz w:val="17"/>
          <w:szCs w:val="17"/>
          <w:color w:val="EE2724"/>
        </w:rPr>
        <w:t>proxyvote.com</w:t>
      </w:r>
      <w:r>
        <w:rPr>
          <w:rFonts w:ascii="Arial" w:cs="Arial" w:eastAsia="Arial" w:hAnsi="Arial"/>
          <w:sz w:val="17"/>
          <w:szCs w:val="17"/>
          <w:color w:val="auto"/>
        </w:rPr>
        <w:t xml:space="preserve"> and follow the instructions provided. You will need to enter your 16-digit voting control number found in your proxy materials. </w:t>
      </w:r>
      <w:r>
        <w:rPr>
          <w:rFonts w:ascii="Arial" w:cs="Arial" w:eastAsia="Arial" w:hAnsi="Arial"/>
          <w:sz w:val="17"/>
          <w:szCs w:val="17"/>
          <w:b w:val="1"/>
          <w:bCs w:val="1"/>
          <w:color w:val="EE2724"/>
        </w:rPr>
        <w:t>You must print a ticket for you and your guest</w:t>
      </w:r>
      <w:r>
        <w:rPr>
          <w:rFonts w:ascii="Arial" w:cs="Arial" w:eastAsia="Arial" w:hAnsi="Arial"/>
          <w:sz w:val="17"/>
          <w:szCs w:val="17"/>
          <w:color w:val="auto"/>
        </w:rPr>
        <w:t xml:space="preserve"> </w:t>
      </w:r>
      <w:r>
        <w:rPr>
          <w:rFonts w:ascii="Arial" w:cs="Arial" w:eastAsia="Arial" w:hAnsi="Arial"/>
          <w:sz w:val="17"/>
          <w:szCs w:val="17"/>
          <w:b w:val="1"/>
          <w:bCs w:val="1"/>
          <w:color w:val="EE2724"/>
        </w:rPr>
        <w:t xml:space="preserve">and bring each ticket to the meeting. Each person attending must provide the admission ticket and photo identification. </w:t>
      </w:r>
      <w:r>
        <w:rPr>
          <w:rFonts w:ascii="Arial" w:cs="Arial" w:eastAsia="Arial" w:hAnsi="Arial"/>
          <w:sz w:val="17"/>
          <w:szCs w:val="17"/>
          <w:color w:val="000000"/>
        </w:rPr>
        <w:t>If you are unable to</w:t>
      </w:r>
      <w:r>
        <w:rPr>
          <w:rFonts w:ascii="Arial" w:cs="Arial" w:eastAsia="Arial" w:hAnsi="Arial"/>
          <w:sz w:val="17"/>
          <w:szCs w:val="17"/>
          <w:b w:val="1"/>
          <w:bCs w:val="1"/>
          <w:color w:val="EE2724"/>
        </w:rPr>
        <w:t xml:space="preserve"> </w:t>
      </w:r>
      <w:r>
        <w:rPr>
          <w:rFonts w:ascii="Arial" w:cs="Arial" w:eastAsia="Arial" w:hAnsi="Arial"/>
          <w:sz w:val="17"/>
          <w:szCs w:val="17"/>
          <w:color w:val="000000"/>
        </w:rPr>
        <w:t>print the ticket, please call Shareholder Meeting Support, Broadridge Financial Solutions, Inc. at 844-318-0137 for assistance. Failure to follow these admission procedures may delay your entry into, or prevent you from being admitted to, our annual meeting.</w:t>
      </w:r>
    </w:p>
    <w:p>
      <w:pPr>
        <w:spacing w:after="0" w:line="161"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You can also register to attend the meeting by calling Shareholder Meeting Support, Broadridge Financial Solutions, Inc. at 844-318-0137. When registering via phone, you will be placed on the attendee list but will not receive an admission ticket. You will need to present photo identification to enter the meeting.</w:t>
      </w:r>
    </w:p>
    <w:p>
      <w:pPr>
        <w:spacing w:after="0" w:line="124"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To ensure your safety, all attendees and their belongings will pass through a metal detector upon arrival at the annual meeting. Attendees may also be subject to further security inspections. No photography, videography, or audio recording is allowed inside Lilly buildings.</w:t>
      </w:r>
    </w:p>
    <w:p>
      <w:pPr>
        <w:spacing w:after="0" w:line="105" w:lineRule="exact"/>
        <w:rPr>
          <w:sz w:val="20"/>
          <w:szCs w:val="20"/>
          <w:color w:val="auto"/>
        </w:rPr>
      </w:pPr>
    </w:p>
    <w:p>
      <w:pPr>
        <w:ind w:right="280"/>
        <w:spacing w:after="0" w:line="292" w:lineRule="auto"/>
        <w:rPr>
          <w:sz w:val="20"/>
          <w:szCs w:val="20"/>
          <w:color w:val="auto"/>
        </w:rPr>
      </w:pPr>
      <w:r>
        <w:rPr>
          <w:rFonts w:ascii="Arial" w:cs="Arial" w:eastAsia="Arial" w:hAnsi="Arial"/>
          <w:sz w:val="17"/>
          <w:szCs w:val="17"/>
          <w:color w:val="auto"/>
        </w:rPr>
        <w:t>Parking will be available on a first-come, first-served basis in the garage indicated on the map at the end of this report. If you have questions about admittance or parking, please call 855-731-6026 (toll free) or 317-433-5112 (prior to the annual meeting).</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2020 Annual Meeting</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2020 annual meeting is currently scheduled for May 4, 2020.</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P75</w:t>
      </w:r>
    </w:p>
    <w:p>
      <w:pPr>
        <w:sectPr>
          <w:pgSz w:w="11900" w:h="16838" w:orient="portrait"/>
          <w:cols w:equalWidth="0" w:num="1">
            <w:col w:w="11340"/>
          </w:cols>
          <w:pgMar w:left="240" w:top="557" w:right="319" w:bottom="1440" w:gutter="0" w:footer="0" w:header="0"/>
        </w:sectPr>
      </w:pPr>
    </w:p>
    <w:bookmarkStart w:id="79" w:name="page80"/>
    <w:bookmarkEnd w:id="79"/>
    <w:p>
      <w:pPr>
        <w:spacing w:after="0"/>
        <w:rPr>
          <w:sz w:val="20"/>
          <w:szCs w:val="20"/>
          <w:color w:val="auto"/>
        </w:rPr>
      </w:pPr>
      <w:r>
        <w:rPr>
          <w:rFonts w:ascii="Arial" w:cs="Arial" w:eastAsia="Arial" w:hAnsi="Arial"/>
          <w:sz w:val="27"/>
          <w:szCs w:val="27"/>
          <w:b w:val="1"/>
          <w:bCs w:val="1"/>
          <w:color w:val="EF3729"/>
        </w:rPr>
        <w:t>Other Matters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Householding</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have adopted a procedure approved by the SEC called "householding." Under the householding procedure, certain shareholders, whether they own registered shares or shares in street name, who have the same address will receive only one set of proxy materials, unless one or more of the shareholders at that address has previously notified us that they want to receive separate copies. Each 401(k) Plan participant will continue to receive a copy of all of the proxy materials. Regardless of how you own your shares, if you received a single set of proxy materials as a result of householding, and one or more shareholders at your address would like to have separate copies of these materials with respect to the 2019 annual meeting or in the future, please contact Broadridge Financial Solutions, Inc. at 866-540-7095.</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Information Regarding the Company’s Proxy Solicitation</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board is soliciting proxies for the 2019 annual meeting. We will pay all expenses in connection with our solicitation of proxies. We will pay brokers, nominees, fiduciaries, or other custodians their reasonable expenses for sending proxy material to and obtaining instructions from persons for whom they hold stock of the company. We expect to solicit proxies primarily by mail and email, but directors, officers, and other employees of the company may also solicit in person or by telephone, fax, or email. We have retained Georgeson LLC to assist in the distribution and solicitation of proxies. Georgeson may solicit proxies by personal interview, telephone, fax, mail, and email. We expect that the fee for those services will not exceed $17,500 plus reimbursement of customary out-of-pocket expenses.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16(a) Beneficial Ownership Reporting Compliance</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Under SEC rules, our directors and executive officers are required to file with the SEC reports of holdings and changes in beneficial ownership of company stock. We have reviewed copies of reports provided to the company, as well as other records and information. Based on that review, we concluded that all reports were timely filed, except that, due to administrative errors, Aarti Shah amended her Form 3 on January 17, 2018, to reflect her ownership of additional shares of company stock that were inadvertently excluded in the original filing. Myles O’Neill was late in reporting derivative shares beneficially owned by his spouse on his original Form 3 filed on January 10, 2018, and was late in reporting the vesting of two equity awards of his spouse, filed on September 24, 2018. Each filing was made promptly after the issue was discovered.</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Bronwen L. Mantlo</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March 22, 2019</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P76</w:t>
      </w:r>
    </w:p>
    <w:p>
      <w:pPr>
        <w:sectPr>
          <w:pgSz w:w="11900" w:h="16838" w:orient="portrait"/>
          <w:cols w:equalWidth="0" w:num="1">
            <w:col w:w="11400"/>
          </w:cols>
          <w:pgMar w:left="240" w:top="559" w:right="259" w:bottom="1440" w:gutter="0" w:footer="0" w:header="0"/>
        </w:sectPr>
      </w:pPr>
    </w:p>
    <w:bookmarkStart w:id="80" w:name="page81"/>
    <w:bookmarkEnd w:id="80"/>
    <w:p>
      <w:pPr>
        <w:ind w:right="1100"/>
        <w:spacing w:after="0" w:line="306" w:lineRule="auto"/>
        <w:rPr>
          <w:sz w:val="20"/>
          <w:szCs w:val="20"/>
          <w:color w:val="auto"/>
        </w:rPr>
      </w:pPr>
      <w:r>
        <w:rPr>
          <w:rFonts w:ascii="Arial" w:cs="Arial" w:eastAsia="Arial" w:hAnsi="Arial"/>
          <w:sz w:val="32"/>
          <w:szCs w:val="32"/>
          <w:b w:val="1"/>
          <w:bCs w:val="1"/>
          <w:color w:val="EF3729"/>
        </w:rPr>
        <w:t>Appendix A - Summary of Adjustments Related to the Annual Cash Bonus and Performance Award</w:t>
      </w:r>
    </w:p>
    <w:p>
      <w:pPr>
        <w:spacing w:after="0" w:line="89" w:lineRule="exact"/>
        <w:rPr>
          <w:sz w:val="20"/>
          <w:szCs w:val="20"/>
          <w:color w:val="auto"/>
        </w:rPr>
      </w:pPr>
    </w:p>
    <w:p>
      <w:pPr>
        <w:jc w:val="both"/>
        <w:ind w:right="400"/>
        <w:spacing w:after="0" w:line="270" w:lineRule="auto"/>
        <w:rPr>
          <w:sz w:val="20"/>
          <w:szCs w:val="20"/>
          <w:color w:val="auto"/>
        </w:rPr>
      </w:pPr>
      <w:r>
        <w:rPr>
          <w:rFonts w:ascii="Arial" w:cs="Arial" w:eastAsia="Arial" w:hAnsi="Arial"/>
          <w:sz w:val="17"/>
          <w:szCs w:val="17"/>
          <w:color w:val="auto"/>
        </w:rPr>
        <w:t>Consistent with past practice, the Compensation Committee adjusted the reported financial results on which the 2018, annual cash bonus and the 2017-2019 PAs were determined to eliminate the distorting effect of certain unusual items on incentive compensation performance measures. The adjustments are intended to:</w:t>
      </w:r>
    </w:p>
    <w:p>
      <w:pPr>
        <w:spacing w:after="0" w:line="2" w:lineRule="exact"/>
        <w:rPr>
          <w:sz w:val="20"/>
          <w:szCs w:val="20"/>
          <w:color w:val="auto"/>
        </w:rPr>
      </w:pPr>
    </w:p>
    <w:p>
      <w:pPr>
        <w:ind w:left="340" w:hanging="170"/>
        <w:spacing w:after="0"/>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align award payments with the underlying performance of the core business</w:t>
      </w:r>
    </w:p>
    <w:p>
      <w:pPr>
        <w:spacing w:after="0" w:line="29" w:lineRule="exact"/>
        <w:rPr>
          <w:rFonts w:ascii="Arial" w:cs="Arial" w:eastAsia="Arial" w:hAnsi="Arial"/>
          <w:sz w:val="17"/>
          <w:szCs w:val="17"/>
          <w:color w:val="auto"/>
        </w:rPr>
      </w:pPr>
    </w:p>
    <w:p>
      <w:pPr>
        <w:ind w:left="340" w:hanging="170"/>
        <w:spacing w:after="0"/>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avoid volatile, artificial inflation or deflation of awards due to unusual items in the award year, and, where relevant, the previous (comparator) year</w:t>
      </w:r>
    </w:p>
    <w:p>
      <w:pPr>
        <w:spacing w:after="0" w:line="7" w:lineRule="exact"/>
        <w:rPr>
          <w:rFonts w:ascii="Arial" w:cs="Arial" w:eastAsia="Arial" w:hAnsi="Arial"/>
          <w:sz w:val="17"/>
          <w:szCs w:val="17"/>
          <w:color w:val="auto"/>
        </w:rPr>
      </w:pPr>
    </w:p>
    <w:p>
      <w:pPr>
        <w:ind w:left="340" w:right="20" w:hanging="170"/>
        <w:spacing w:after="0" w:line="248" w:lineRule="auto"/>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eliminate certain counterproductive short-term incentives—for example, incentives to refrain from acquiring new technologies, to defer disposing of underutilized assets, or to defer settling legacy legal proceedings to protect current bonus payments</w:t>
      </w:r>
    </w:p>
    <w:p>
      <w:pPr>
        <w:spacing w:after="0" w:line="1" w:lineRule="exact"/>
        <w:rPr>
          <w:rFonts w:ascii="Arial" w:cs="Arial" w:eastAsia="Arial" w:hAnsi="Arial"/>
          <w:sz w:val="17"/>
          <w:szCs w:val="17"/>
          <w:color w:val="auto"/>
        </w:rPr>
      </w:pPr>
    </w:p>
    <w:p>
      <w:pPr>
        <w:ind w:left="340" w:hanging="170"/>
        <w:spacing w:after="0"/>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facilitate comparisons with peer companies.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To ensure the integrity of the adjustments, the Compensation Committee establishes adjustment guidelines in the first 90 days of the performance period. These guidelines are generally consistent with the company guidelines for reporting non-GAAP financial measures to the investment community, which are reviewed by the Audit Committee. The adjustments apply equally to income and expense items. The Compensation Committee reviews all adjustments and retains downward discretion, i.e., discretion to reduce compensation below the amounts that are yielded by the adjustment guidelines.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 for 2018 Bonus Plan</w:t>
      </w:r>
    </w:p>
    <w:p>
      <w:pPr>
        <w:spacing w:after="0" w:line="25"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For 2018 bonus calculations, the Compensation Committee made the following adjustments to reported EPS consistent with our external reporting of non-GAAP financial measures:</w:t>
      </w:r>
    </w:p>
    <w:p>
      <w:pPr>
        <w:spacing w:after="0" w:line="154" w:lineRule="exact"/>
        <w:rPr>
          <w:sz w:val="20"/>
          <w:szCs w:val="20"/>
          <w:color w:val="auto"/>
        </w:rPr>
      </w:pPr>
    </w:p>
    <w:p>
      <w:pPr>
        <w:ind w:left="340" w:hanging="170"/>
        <w:spacing w:after="0"/>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Eliminated the impact of the charge recognized for acquired in-process research development</w:t>
      </w:r>
    </w:p>
    <w:p>
      <w:pPr>
        <w:spacing w:after="0" w:line="29" w:lineRule="exact"/>
        <w:rPr>
          <w:rFonts w:ascii="Arial" w:cs="Arial" w:eastAsia="Arial" w:hAnsi="Arial"/>
          <w:sz w:val="17"/>
          <w:szCs w:val="17"/>
          <w:color w:val="auto"/>
        </w:rPr>
      </w:pPr>
    </w:p>
    <w:p>
      <w:pPr>
        <w:ind w:left="340" w:hanging="170"/>
        <w:spacing w:after="0"/>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Eliminated the impact of amortization of certain intangible assets</w:t>
      </w:r>
    </w:p>
    <w:p>
      <w:pPr>
        <w:spacing w:after="0" w:line="7" w:lineRule="exact"/>
        <w:rPr>
          <w:rFonts w:ascii="Arial" w:cs="Arial" w:eastAsia="Arial" w:hAnsi="Arial"/>
          <w:sz w:val="17"/>
          <w:szCs w:val="17"/>
          <w:color w:val="auto"/>
        </w:rPr>
      </w:pPr>
    </w:p>
    <w:p>
      <w:pPr>
        <w:ind w:left="340" w:hanging="170"/>
        <w:spacing w:after="0"/>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Eliminated the impact of asset impairments, restructuring, and other special charges</w:t>
      </w:r>
    </w:p>
    <w:p>
      <w:pPr>
        <w:spacing w:after="0" w:line="7" w:lineRule="exact"/>
        <w:rPr>
          <w:rFonts w:ascii="Arial" w:cs="Arial" w:eastAsia="Arial" w:hAnsi="Arial"/>
          <w:sz w:val="17"/>
          <w:szCs w:val="17"/>
          <w:color w:val="auto"/>
        </w:rPr>
      </w:pPr>
    </w:p>
    <w:p>
      <w:pPr>
        <w:ind w:left="340" w:right="320" w:hanging="170"/>
        <w:spacing w:after="0" w:line="248"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Eliminated the impact of certain income tax items, including adjustments for the 2017 Toll Tax (and related adjustments made during 2018) and other matters related to U.S. tax reform, as well as tax associated with the separation of the Elanco animal health business</w:t>
      </w:r>
    </w:p>
    <w:p>
      <w:pPr>
        <w:spacing w:after="0" w:line="1" w:lineRule="exact"/>
        <w:rPr>
          <w:rFonts w:ascii="Arial" w:cs="Arial" w:eastAsia="Arial" w:hAnsi="Arial"/>
          <w:sz w:val="17"/>
          <w:szCs w:val="17"/>
          <w:color w:val="auto"/>
        </w:rPr>
      </w:pPr>
    </w:p>
    <w:p>
      <w:pPr>
        <w:ind w:left="340" w:hanging="170"/>
        <w:spacing w:after="0"/>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Eliminated the impact of other specified items</w:t>
      </w:r>
    </w:p>
    <w:p>
      <w:pPr>
        <w:spacing w:after="0" w:line="188" w:lineRule="exact"/>
        <w:rPr>
          <w:sz w:val="20"/>
          <w:szCs w:val="20"/>
          <w:color w:val="auto"/>
        </w:rPr>
      </w:pPr>
    </w:p>
    <w:p>
      <w:pPr>
        <w:ind w:right="520"/>
        <w:spacing w:after="0" w:line="292" w:lineRule="auto"/>
        <w:rPr>
          <w:sz w:val="20"/>
          <w:szCs w:val="20"/>
          <w:color w:val="auto"/>
        </w:rPr>
      </w:pPr>
      <w:r>
        <w:rPr>
          <w:rFonts w:ascii="Arial" w:cs="Arial" w:eastAsia="Arial" w:hAnsi="Arial"/>
          <w:sz w:val="17"/>
          <w:szCs w:val="17"/>
          <w:color w:val="auto"/>
        </w:rPr>
        <w:t>In addition to the adjustments consistent with our reporting of non-GAAP financial measures, the Compensation Committee made one additional adjustment to reported EPS when calculating adjusted non-GAAP EPS for the bonus plan, as follows:</w:t>
      </w:r>
    </w:p>
    <w:p>
      <w:pPr>
        <w:spacing w:after="0" w:line="132" w:lineRule="exact"/>
        <w:rPr>
          <w:sz w:val="20"/>
          <w:szCs w:val="20"/>
          <w:color w:val="auto"/>
        </w:rPr>
      </w:pPr>
    </w:p>
    <w:p>
      <w:pPr>
        <w:ind w:left="340" w:right="260" w:hanging="170"/>
        <w:spacing w:after="0" w:line="270" w:lineRule="auto"/>
        <w:tabs>
          <w:tab w:leader="none" w:pos="3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When the Compensation Committee set 2018 bonus targets, the EPS goal was set assuming a lower amount of share repurchases than were actually executed during 2018. The Compensation Committee neutralized the impact of the additional share repurchases on EPS results for the amount that exceeded one percent of the EPS goal.</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these adjustments to our reported EPS are below:</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Borders>
              <w:bottom w:val="single" w:sz="8" w:color="auto"/>
            </w:tcBorders>
          </w:tcPr>
          <w:p>
            <w:pPr>
              <w:spacing w:after="0"/>
              <w:rPr>
                <w:sz w:val="17"/>
                <w:szCs w:val="17"/>
                <w:color w:val="auto"/>
              </w:rPr>
            </w:pPr>
          </w:p>
        </w:tc>
        <w:tc>
          <w:tcPr>
            <w:tcW w:w="63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3"/>
        </w:trPr>
        <w:tc>
          <w:tcPr>
            <w:tcW w:w="5060" w:type="dxa"/>
            <w:vAlign w:val="bottom"/>
          </w:tcPr>
          <w:p>
            <w:pPr>
              <w:ind w:left="40"/>
              <w:spacing w:after="0"/>
              <w:rPr>
                <w:sz w:val="20"/>
                <w:szCs w:val="20"/>
                <w:color w:val="auto"/>
              </w:rPr>
            </w:pPr>
            <w:r>
              <w:rPr>
                <w:rFonts w:ascii="Arial" w:cs="Arial" w:eastAsia="Arial" w:hAnsi="Arial"/>
                <w:sz w:val="14"/>
                <w:szCs w:val="14"/>
                <w:color w:val="auto"/>
              </w:rPr>
              <w:t>EPS as reported</w:t>
            </w:r>
          </w:p>
        </w:tc>
        <w:tc>
          <w:tcPr>
            <w:tcW w:w="6360" w:type="dxa"/>
            <w:vAlign w:val="bottom"/>
            <w:gridSpan w:val="2"/>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4"/>
                <w:szCs w:val="14"/>
                <w:color w:val="auto"/>
              </w:rPr>
              <w:t>Eliminate acquired in-process research and development charges</w:t>
            </w:r>
          </w:p>
        </w:tc>
        <w:tc>
          <w:tcPr>
            <w:tcW w:w="6360" w:type="dxa"/>
            <w:vAlign w:val="bottom"/>
            <w:gridSpan w:val="2"/>
            <w:vMerge w:val="restart"/>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6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4"/>
                <w:szCs w:val="14"/>
                <w:color w:val="auto"/>
              </w:rPr>
              <w:t>Eliminate amortization of certain intangible assets</w:t>
            </w:r>
          </w:p>
        </w:tc>
        <w:tc>
          <w:tcPr>
            <w:tcW w:w="6360" w:type="dxa"/>
            <w:vAlign w:val="bottom"/>
            <w:gridSpan w:val="2"/>
            <w:vMerge w:val="restart"/>
          </w:tcPr>
          <w:p>
            <w:pPr>
              <w:jc w:val="right"/>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6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4"/>
                <w:szCs w:val="14"/>
                <w:color w:val="auto"/>
              </w:rPr>
              <w:t>Eliminate asset impairments, restructuring and other special charges</w:t>
            </w:r>
          </w:p>
        </w:tc>
        <w:tc>
          <w:tcPr>
            <w:tcW w:w="6360" w:type="dxa"/>
            <w:vAlign w:val="bottom"/>
            <w:gridSpan w:val="2"/>
          </w:tcPr>
          <w:p>
            <w:pPr>
              <w:jc w:val="right"/>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4"/>
                <w:szCs w:val="14"/>
                <w:color w:val="auto"/>
              </w:rPr>
              <w:t>Eliminate income tax items</w:t>
            </w:r>
          </w:p>
        </w:tc>
        <w:tc>
          <w:tcPr>
            <w:tcW w:w="6360" w:type="dxa"/>
            <w:vAlign w:val="bottom"/>
            <w:gridSpan w:val="2"/>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20"/>
        </w:trPr>
        <w:tc>
          <w:tcPr>
            <w:tcW w:w="5060" w:type="dxa"/>
            <w:vAlign w:val="bottom"/>
          </w:tcPr>
          <w:p>
            <w:pPr>
              <w:ind w:left="200"/>
              <w:spacing w:after="0"/>
              <w:rPr>
                <w:sz w:val="20"/>
                <w:szCs w:val="20"/>
                <w:color w:val="auto"/>
              </w:rPr>
            </w:pPr>
            <w:r>
              <w:rPr>
                <w:rFonts w:ascii="Arial" w:cs="Arial" w:eastAsia="Arial" w:hAnsi="Arial"/>
                <w:sz w:val="14"/>
                <w:szCs w:val="14"/>
                <w:color w:val="auto"/>
              </w:rPr>
              <w:t>Eliminate other specified items</w:t>
            </w:r>
          </w:p>
        </w:tc>
        <w:tc>
          <w:tcPr>
            <w:tcW w:w="4100" w:type="dxa"/>
            <w:vAlign w:val="bottom"/>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6"/>
        </w:trPr>
        <w:tc>
          <w:tcPr>
            <w:tcW w:w="5060" w:type="dxa"/>
            <w:vAlign w:val="bottom"/>
          </w:tcPr>
          <w:p>
            <w:pPr>
              <w:ind w:left="40"/>
              <w:spacing w:after="0"/>
              <w:rPr>
                <w:sz w:val="20"/>
                <w:szCs w:val="20"/>
                <w:color w:val="auto"/>
              </w:rPr>
            </w:pPr>
            <w:r>
              <w:rPr>
                <w:rFonts w:ascii="Arial" w:cs="Arial" w:eastAsia="Arial" w:hAnsi="Arial"/>
                <w:sz w:val="14"/>
                <w:szCs w:val="14"/>
                <w:color w:val="auto"/>
              </w:rPr>
              <w:t>Non-GAAP EPS</w:t>
            </w:r>
          </w:p>
        </w:tc>
        <w:tc>
          <w:tcPr>
            <w:tcW w:w="6360" w:type="dxa"/>
            <w:vAlign w:val="bottom"/>
            <w:gridSpan w:val="2"/>
          </w:tcPr>
          <w:p>
            <w:pPr>
              <w:jc w:val="right"/>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220"/>
        </w:trPr>
        <w:tc>
          <w:tcPr>
            <w:tcW w:w="5060" w:type="dxa"/>
            <w:vAlign w:val="bottom"/>
          </w:tcPr>
          <w:p>
            <w:pPr>
              <w:ind w:left="40"/>
              <w:spacing w:after="0"/>
              <w:rPr>
                <w:sz w:val="20"/>
                <w:szCs w:val="20"/>
                <w:color w:val="auto"/>
              </w:rPr>
            </w:pPr>
            <w:r>
              <w:rPr>
                <w:rFonts w:ascii="Arial" w:cs="Arial" w:eastAsia="Arial" w:hAnsi="Arial"/>
                <w:sz w:val="14"/>
                <w:szCs w:val="14"/>
                <w:color w:val="auto"/>
              </w:rPr>
              <w:t>Share repurchase adjustment</w:t>
            </w:r>
          </w:p>
        </w:tc>
        <w:tc>
          <w:tcPr>
            <w:tcW w:w="4100" w:type="dxa"/>
            <w:vAlign w:val="bottom"/>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00"/>
        </w:trPr>
        <w:tc>
          <w:tcPr>
            <w:tcW w:w="5060" w:type="dxa"/>
            <w:vAlign w:val="bottom"/>
          </w:tcPr>
          <w:p>
            <w:pPr>
              <w:ind w:left="40"/>
              <w:spacing w:after="0"/>
              <w:rPr>
                <w:sz w:val="20"/>
                <w:szCs w:val="20"/>
                <w:color w:val="auto"/>
              </w:rPr>
            </w:pPr>
            <w:r>
              <w:rPr>
                <w:rFonts w:ascii="Arial" w:cs="Arial" w:eastAsia="Arial" w:hAnsi="Arial"/>
                <w:sz w:val="14"/>
                <w:szCs w:val="14"/>
                <w:color w:val="auto"/>
              </w:rPr>
              <w:t>Adjusted Non-GAAP EPS</w:t>
            </w:r>
          </w:p>
        </w:tc>
        <w:tc>
          <w:tcPr>
            <w:tcW w:w="6360" w:type="dxa"/>
            <w:vAlign w:val="bottom"/>
            <w:gridSpan w:val="2"/>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94"/>
        </w:trPr>
        <w:tc>
          <w:tcPr>
            <w:tcW w:w="5060" w:type="dxa"/>
            <w:vAlign w:val="bottom"/>
          </w:tcPr>
          <w:p>
            <w:pPr>
              <w:spacing w:after="0"/>
              <w:rPr>
                <w:sz w:val="20"/>
                <w:szCs w:val="20"/>
                <w:color w:val="auto"/>
              </w:rPr>
            </w:pPr>
            <w:r>
              <w:rPr>
                <w:rFonts w:ascii="Arial" w:cs="Arial" w:eastAsia="Arial" w:hAnsi="Arial"/>
                <w:sz w:val="14"/>
                <w:szCs w:val="14"/>
                <w:color w:val="auto"/>
              </w:rPr>
              <w:t>*Numbers may not add due to rounding</w:t>
            </w:r>
          </w:p>
        </w:tc>
        <w:tc>
          <w:tcPr>
            <w:tcW w:w="4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7"/>
        </w:trPr>
        <w:tc>
          <w:tcPr>
            <w:tcW w:w="5060" w:type="dxa"/>
            <w:vAlign w:val="bottom"/>
          </w:tcPr>
          <w:p>
            <w:pPr>
              <w:spacing w:after="0"/>
              <w:rPr>
                <w:sz w:val="24"/>
                <w:szCs w:val="24"/>
                <w:color w:val="auto"/>
              </w:rPr>
            </w:pPr>
          </w:p>
        </w:tc>
        <w:tc>
          <w:tcPr>
            <w:tcW w:w="6360" w:type="dxa"/>
            <w:vAlign w:val="bottom"/>
            <w:gridSpan w:val="2"/>
          </w:tcPr>
          <w:p>
            <w:pPr>
              <w:jc w:val="right"/>
              <w:ind w:right="5488"/>
              <w:spacing w:after="0"/>
              <w:rPr>
                <w:sz w:val="20"/>
                <w:szCs w:val="20"/>
                <w:color w:val="auto"/>
              </w:rPr>
            </w:pPr>
            <w:r>
              <w:rPr>
                <w:rFonts w:ascii="Arial" w:cs="Arial" w:eastAsia="Arial" w:hAnsi="Arial"/>
                <w:sz w:val="17"/>
                <w:szCs w:val="17"/>
                <w:color w:val="auto"/>
              </w:rPr>
              <w:t>P77</w:t>
            </w:r>
          </w:p>
        </w:tc>
        <w:tc>
          <w:tcPr>
            <w:tcW w:w="0" w:type="dxa"/>
            <w:vAlign w:val="bottom"/>
          </w:tcPr>
          <w:p>
            <w:pPr>
              <w:spacing w:after="0"/>
              <w:rPr>
                <w:sz w:val="1"/>
                <w:szCs w:val="1"/>
                <w:color w:val="auto"/>
              </w:rPr>
            </w:pPr>
          </w:p>
        </w:tc>
      </w:tr>
    </w:tbl>
    <w:p>
      <w:pPr>
        <w:sectPr>
          <w:pgSz w:w="11900" w:h="16838" w:orient="portrait"/>
          <w:cols w:equalWidth="0" w:num="1">
            <w:col w:w="11420"/>
          </w:cols>
          <w:pgMar w:left="240" w:top="543" w:right="239" w:bottom="144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color w:val="auto"/>
        </w:rPr>
        <w:t>Adjustments for 2017-2019 Performance Award</w:t>
      </w:r>
    </w:p>
    <w:p>
      <w:pPr>
        <w:spacing w:after="0" w:line="2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For the 2017-2019 performance award payout calculations, the Compensation Committee made the following adjustments to reported EPS consistent with our reporting of non-GAAP financial measures:</w:t>
      </w:r>
    </w:p>
    <w:p>
      <w:pPr>
        <w:spacing w:after="0" w:line="60" w:lineRule="exact"/>
        <w:rPr>
          <w:sz w:val="20"/>
          <w:szCs w:val="20"/>
          <w:color w:val="auto"/>
        </w:rPr>
      </w:pPr>
    </w:p>
    <w:p>
      <w:pPr>
        <w:ind w:left="660" w:hanging="422"/>
        <w:spacing w:after="0"/>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2018, 2017 and 2016: Eliminated the impact of the charges recognized for acquired in-process research and development</w:t>
      </w:r>
    </w:p>
    <w:p>
      <w:pPr>
        <w:spacing w:after="0" w:line="29" w:lineRule="exact"/>
        <w:rPr>
          <w:rFonts w:ascii="Arial" w:cs="Arial" w:eastAsia="Arial" w:hAnsi="Arial"/>
          <w:sz w:val="17"/>
          <w:szCs w:val="17"/>
          <w:color w:val="auto"/>
        </w:rPr>
      </w:pPr>
    </w:p>
    <w:p>
      <w:pPr>
        <w:ind w:left="660" w:hanging="422"/>
        <w:spacing w:after="0"/>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2018, 2017 and 2016: Eliminated the impact of amortization of certain intangible assets</w:t>
      </w:r>
    </w:p>
    <w:p>
      <w:pPr>
        <w:spacing w:after="0" w:line="7" w:lineRule="exact"/>
        <w:rPr>
          <w:rFonts w:ascii="Arial" w:cs="Arial" w:eastAsia="Arial" w:hAnsi="Arial"/>
          <w:sz w:val="17"/>
          <w:szCs w:val="17"/>
          <w:color w:val="auto"/>
        </w:rPr>
      </w:pPr>
    </w:p>
    <w:p>
      <w:pPr>
        <w:ind w:left="660" w:hanging="422"/>
        <w:spacing w:after="0"/>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2018, 2017 and 2016: Eliminated the impact of asset impairments, restructuring, and other special charges</w:t>
      </w:r>
    </w:p>
    <w:p>
      <w:pPr>
        <w:spacing w:after="0" w:line="7" w:lineRule="exact"/>
        <w:rPr>
          <w:rFonts w:ascii="Arial" w:cs="Arial" w:eastAsia="Arial" w:hAnsi="Arial"/>
          <w:sz w:val="17"/>
          <w:szCs w:val="17"/>
          <w:color w:val="auto"/>
        </w:rPr>
      </w:pPr>
    </w:p>
    <w:p>
      <w:pPr>
        <w:ind w:left="660" w:right="220" w:hanging="422"/>
        <w:spacing w:after="0" w:line="248"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2018 and 2017: Eliminated the impact of certain income tax items, including the 2017 Toll Tax (and related adjustments made during 2018) and other matters related to U.S. tax reform, as well as taxes associated with the separation of the Elanco animal health business</w:t>
      </w:r>
    </w:p>
    <w:p>
      <w:pPr>
        <w:spacing w:after="0" w:line="1" w:lineRule="exact"/>
        <w:rPr>
          <w:rFonts w:ascii="Arial" w:cs="Arial" w:eastAsia="Arial" w:hAnsi="Arial"/>
          <w:sz w:val="17"/>
          <w:szCs w:val="17"/>
          <w:color w:val="auto"/>
        </w:rPr>
      </w:pPr>
    </w:p>
    <w:p>
      <w:pPr>
        <w:ind w:left="660" w:hanging="422"/>
        <w:spacing w:after="0"/>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2018 and 2017: Eliminated the impact of other specified items</w:t>
      </w:r>
    </w:p>
    <w:p>
      <w:pPr>
        <w:spacing w:after="0" w:line="7" w:lineRule="exact"/>
        <w:rPr>
          <w:rFonts w:ascii="Arial" w:cs="Arial" w:eastAsia="Arial" w:hAnsi="Arial"/>
          <w:sz w:val="17"/>
          <w:szCs w:val="17"/>
          <w:color w:val="auto"/>
        </w:rPr>
      </w:pPr>
    </w:p>
    <w:p>
      <w:pPr>
        <w:ind w:left="660" w:hanging="422"/>
        <w:spacing w:after="0"/>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2016: Eliminated the impact of the Venezuelan financial crisis</w:t>
      </w:r>
    </w:p>
    <w:p>
      <w:pPr>
        <w:spacing w:after="0" w:line="188"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color w:val="auto"/>
        </w:rPr>
        <w:t>In addition to the adjustments consistent with our reporting of non-GAAP financial measures, the Compensation Committee made the following other adjustments:</w:t>
      </w:r>
    </w:p>
    <w:p>
      <w:pPr>
        <w:spacing w:after="0" w:line="132" w:lineRule="exact"/>
        <w:rPr>
          <w:sz w:val="20"/>
          <w:szCs w:val="20"/>
          <w:color w:val="auto"/>
        </w:rPr>
      </w:pPr>
    </w:p>
    <w:p>
      <w:pPr>
        <w:ind w:left="660" w:right="80" w:hanging="409"/>
        <w:spacing w:after="0" w:line="270"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When the Compensation Committee set 2017-2019 performance award targets, the EPS goals were set assuming a higher effective tax rate prior to the enactment of U.S. tax reform. The Compensation Committee neutralized the impact of the reduction in our effective tax rate resulting from U.S. tax reform.</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these adjustments to our reported EPS are below:</w:t>
      </w:r>
    </w:p>
    <w:p>
      <w:pPr>
        <w:spacing w:after="0" w:line="39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Growth</w:t>
            </w:r>
          </w:p>
        </w:tc>
        <w:tc>
          <w:tcPr>
            <w:tcW w:w="1340" w:type="dxa"/>
            <w:vAlign w:val="bottom"/>
            <w:tcBorders>
              <w:right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Growth</w:t>
            </w:r>
          </w:p>
        </w:tc>
      </w:tr>
      <w:tr>
        <w:trPr>
          <w:trHeight w:val="225"/>
        </w:trPr>
        <w:tc>
          <w:tcPr>
            <w:tcW w:w="4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2017</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2018 vs. 2017</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2016</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2017 vs. 2016</w:t>
            </w:r>
          </w:p>
        </w:tc>
      </w:tr>
      <w:tr>
        <w:trPr>
          <w:trHeight w:val="206"/>
        </w:trPr>
        <w:tc>
          <w:tcPr>
            <w:tcW w:w="4400" w:type="dxa"/>
            <w:vAlign w:val="bottom"/>
          </w:tcPr>
          <w:p>
            <w:pPr>
              <w:ind w:left="20"/>
              <w:spacing w:after="0"/>
              <w:rPr>
                <w:sz w:val="20"/>
                <w:szCs w:val="20"/>
                <w:color w:val="auto"/>
              </w:rPr>
            </w:pPr>
            <w:r>
              <w:rPr>
                <w:rFonts w:ascii="Arial" w:cs="Arial" w:eastAsia="Arial" w:hAnsi="Arial"/>
                <w:sz w:val="14"/>
                <w:szCs w:val="14"/>
                <w:color w:val="auto"/>
              </w:rPr>
              <w:t>EPS as reported</w:t>
            </w:r>
          </w:p>
        </w:tc>
        <w:tc>
          <w:tcPr>
            <w:tcW w:w="1340" w:type="dxa"/>
            <w:vAlign w:val="bottom"/>
          </w:tcPr>
          <w:p>
            <w:pPr>
              <w:jc w:val="center"/>
              <w:spacing w:after="0"/>
              <w:rPr>
                <w:sz w:val="20"/>
                <w:szCs w:val="20"/>
                <w:color w:val="auto"/>
              </w:rPr>
            </w:pPr>
            <w:r>
              <w:rPr>
                <w:rFonts w:ascii="Arial" w:cs="Arial" w:eastAsia="Arial" w:hAnsi="Arial"/>
                <w:sz w:val="14"/>
                <w:szCs w:val="14"/>
                <w:color w:val="auto"/>
              </w:rPr>
              <w:t>$3.13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$(0.19)</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NM</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$2.58</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NM</w:t>
            </w:r>
          </w:p>
        </w:tc>
      </w:tr>
      <w:tr>
        <w:trPr>
          <w:trHeight w:val="270"/>
        </w:trPr>
        <w:tc>
          <w:tcPr>
            <w:tcW w:w="4400" w:type="dxa"/>
            <w:vAlign w:val="bottom"/>
          </w:tcPr>
          <w:p>
            <w:pPr>
              <w:ind w:left="20"/>
              <w:spacing w:after="0"/>
              <w:rPr>
                <w:sz w:val="20"/>
                <w:szCs w:val="20"/>
                <w:color w:val="auto"/>
              </w:rPr>
            </w:pPr>
            <w:r>
              <w:rPr>
                <w:rFonts w:ascii="Arial" w:cs="Arial" w:eastAsia="Arial" w:hAnsi="Arial"/>
                <w:sz w:val="14"/>
                <w:szCs w:val="14"/>
                <w:color w:val="auto"/>
              </w:rPr>
              <w:t>Eliminate acquired in-process research and development charges</w:t>
            </w:r>
          </w:p>
        </w:tc>
        <w:tc>
          <w:tcPr>
            <w:tcW w:w="1340" w:type="dxa"/>
            <w:vAlign w:val="bottom"/>
          </w:tcPr>
          <w:p>
            <w:pPr>
              <w:jc w:val="center"/>
              <w:spacing w:after="0"/>
              <w:rPr>
                <w:sz w:val="20"/>
                <w:szCs w:val="20"/>
                <w:color w:val="auto"/>
              </w:rPr>
            </w:pPr>
            <w:r>
              <w:rPr>
                <w:rFonts w:ascii="Arial" w:cs="Arial" w:eastAsia="Arial" w:hAnsi="Arial"/>
                <w:sz w:val="14"/>
                <w:szCs w:val="14"/>
                <w:color w:val="auto"/>
              </w:rPr>
              <w:t>$1.83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0.97</w:t>
            </w:r>
          </w:p>
        </w:tc>
        <w:tc>
          <w:tcPr>
            <w:tcW w:w="132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$0.02</w:t>
            </w:r>
          </w:p>
        </w:tc>
        <w:tc>
          <w:tcPr>
            <w:tcW w:w="1460" w:type="dxa"/>
            <w:vAlign w:val="bottom"/>
            <w:tcBorders>
              <w:right w:val="single" w:sz="8" w:color="auto"/>
            </w:tcBorders>
          </w:tcPr>
          <w:p>
            <w:pPr>
              <w:spacing w:after="0"/>
              <w:rPr>
                <w:sz w:val="23"/>
                <w:szCs w:val="23"/>
                <w:color w:val="auto"/>
              </w:rPr>
            </w:pPr>
          </w:p>
        </w:tc>
      </w:tr>
      <w:tr>
        <w:trPr>
          <w:trHeight w:val="270"/>
        </w:trPr>
        <w:tc>
          <w:tcPr>
            <w:tcW w:w="4400" w:type="dxa"/>
            <w:vAlign w:val="bottom"/>
          </w:tcPr>
          <w:p>
            <w:pPr>
              <w:ind w:left="20"/>
              <w:spacing w:after="0"/>
              <w:rPr>
                <w:sz w:val="20"/>
                <w:szCs w:val="20"/>
                <w:color w:val="auto"/>
              </w:rPr>
            </w:pPr>
            <w:r>
              <w:rPr>
                <w:rFonts w:ascii="Arial" w:cs="Arial" w:eastAsia="Arial" w:hAnsi="Arial"/>
                <w:sz w:val="14"/>
                <w:szCs w:val="14"/>
                <w:color w:val="auto"/>
              </w:rPr>
              <w:t>Eliminate amortization of certain intangible assets</w:t>
            </w:r>
          </w:p>
        </w:tc>
        <w:tc>
          <w:tcPr>
            <w:tcW w:w="1340" w:type="dxa"/>
            <w:vAlign w:val="bottom"/>
          </w:tcPr>
          <w:p>
            <w:pPr>
              <w:jc w:val="center"/>
              <w:spacing w:after="0"/>
              <w:rPr>
                <w:sz w:val="20"/>
                <w:szCs w:val="20"/>
                <w:color w:val="auto"/>
              </w:rPr>
            </w:pPr>
            <w:r>
              <w:rPr>
                <w:rFonts w:ascii="Arial" w:cs="Arial" w:eastAsia="Arial" w:hAnsi="Arial"/>
                <w:sz w:val="14"/>
                <w:szCs w:val="14"/>
                <w:color w:val="auto"/>
              </w:rPr>
              <w:t>$0.43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0.44</w:t>
            </w:r>
          </w:p>
        </w:tc>
        <w:tc>
          <w:tcPr>
            <w:tcW w:w="132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$0.44</w:t>
            </w:r>
          </w:p>
        </w:tc>
        <w:tc>
          <w:tcPr>
            <w:tcW w:w="1460" w:type="dxa"/>
            <w:vAlign w:val="bottom"/>
            <w:tcBorders>
              <w:right w:val="single" w:sz="8" w:color="auto"/>
            </w:tcBorders>
          </w:tcPr>
          <w:p>
            <w:pPr>
              <w:spacing w:after="0"/>
              <w:rPr>
                <w:sz w:val="23"/>
                <w:szCs w:val="23"/>
                <w:color w:val="auto"/>
              </w:rPr>
            </w:pPr>
          </w:p>
        </w:tc>
      </w:tr>
      <w:tr>
        <w:trPr>
          <w:trHeight w:val="184"/>
        </w:trPr>
        <w:tc>
          <w:tcPr>
            <w:tcW w:w="4400" w:type="dxa"/>
            <w:vAlign w:val="bottom"/>
          </w:tcPr>
          <w:p>
            <w:pPr>
              <w:ind w:left="20"/>
              <w:spacing w:after="0"/>
              <w:rPr>
                <w:sz w:val="20"/>
                <w:szCs w:val="20"/>
                <w:color w:val="auto"/>
              </w:rPr>
            </w:pPr>
            <w:r>
              <w:rPr>
                <w:rFonts w:ascii="Arial" w:cs="Arial" w:eastAsia="Arial" w:hAnsi="Arial"/>
                <w:sz w:val="14"/>
                <w:szCs w:val="14"/>
                <w:color w:val="auto"/>
              </w:rPr>
              <w:t>Eliminate asset impairments, restructuring and other special</w:t>
            </w:r>
          </w:p>
        </w:tc>
        <w:tc>
          <w:tcPr>
            <w:tcW w:w="134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r>
      <w:tr>
        <w:trPr>
          <w:trHeight w:val="194"/>
        </w:trPr>
        <w:tc>
          <w:tcPr>
            <w:tcW w:w="4400" w:type="dxa"/>
            <w:vAlign w:val="bottom"/>
          </w:tcPr>
          <w:p>
            <w:pPr>
              <w:ind w:left="20"/>
              <w:spacing w:after="0"/>
              <w:rPr>
                <w:sz w:val="20"/>
                <w:szCs w:val="20"/>
                <w:color w:val="auto"/>
              </w:rPr>
            </w:pPr>
            <w:r>
              <w:rPr>
                <w:rFonts w:ascii="Arial" w:cs="Arial" w:eastAsia="Arial" w:hAnsi="Arial"/>
                <w:sz w:val="14"/>
                <w:szCs w:val="14"/>
                <w:color w:val="auto"/>
              </w:rPr>
              <w:t>charges</w:t>
            </w:r>
          </w:p>
        </w:tc>
        <w:tc>
          <w:tcPr>
            <w:tcW w:w="1340" w:type="dxa"/>
            <w:vAlign w:val="bottom"/>
          </w:tcPr>
          <w:p>
            <w:pPr>
              <w:jc w:val="center"/>
              <w:spacing w:after="0"/>
              <w:rPr>
                <w:sz w:val="20"/>
                <w:szCs w:val="20"/>
                <w:color w:val="auto"/>
              </w:rPr>
            </w:pPr>
            <w:r>
              <w:rPr>
                <w:rFonts w:ascii="Arial" w:cs="Arial" w:eastAsia="Arial" w:hAnsi="Arial"/>
                <w:sz w:val="14"/>
                <w:szCs w:val="14"/>
                <w:color w:val="auto"/>
              </w:rPr>
              <w:t>0.41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$1.23</w:t>
            </w:r>
          </w:p>
        </w:tc>
        <w:tc>
          <w:tcPr>
            <w:tcW w:w="13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$0.29</w:t>
            </w:r>
          </w:p>
        </w:tc>
        <w:tc>
          <w:tcPr>
            <w:tcW w:w="1460" w:type="dxa"/>
            <w:vAlign w:val="bottom"/>
            <w:tcBorders>
              <w:right w:val="single" w:sz="8" w:color="auto"/>
            </w:tcBorders>
          </w:tcPr>
          <w:p>
            <w:pPr>
              <w:spacing w:after="0"/>
              <w:rPr>
                <w:sz w:val="16"/>
                <w:szCs w:val="16"/>
                <w:color w:val="auto"/>
              </w:rPr>
            </w:pPr>
          </w:p>
        </w:tc>
      </w:tr>
      <w:tr>
        <w:trPr>
          <w:trHeight w:val="270"/>
        </w:trPr>
        <w:tc>
          <w:tcPr>
            <w:tcW w:w="4400" w:type="dxa"/>
            <w:vAlign w:val="bottom"/>
          </w:tcPr>
          <w:p>
            <w:pPr>
              <w:ind w:left="20"/>
              <w:spacing w:after="0"/>
              <w:rPr>
                <w:sz w:val="20"/>
                <w:szCs w:val="20"/>
                <w:color w:val="auto"/>
              </w:rPr>
            </w:pPr>
            <w:r>
              <w:rPr>
                <w:rFonts w:ascii="Arial" w:cs="Arial" w:eastAsia="Arial" w:hAnsi="Arial"/>
                <w:sz w:val="14"/>
                <w:szCs w:val="14"/>
                <w:color w:val="auto"/>
              </w:rPr>
              <w:t>Eliminate certain income tax items</w:t>
            </w:r>
          </w:p>
        </w:tc>
        <w:tc>
          <w:tcPr>
            <w:tcW w:w="1340" w:type="dxa"/>
            <w:vAlign w:val="bottom"/>
          </w:tcPr>
          <w:p>
            <w:pPr>
              <w:jc w:val="center"/>
              <w:spacing w:after="0"/>
              <w:rPr>
                <w:sz w:val="20"/>
                <w:szCs w:val="20"/>
                <w:color w:val="auto"/>
              </w:rPr>
            </w:pPr>
            <w:r>
              <w:rPr>
                <w:rFonts w:ascii="Arial" w:cs="Arial" w:eastAsia="Arial" w:hAnsi="Arial"/>
                <w:sz w:val="14"/>
                <w:szCs w:val="14"/>
                <w:color w:val="auto"/>
              </w:rPr>
              <w:t>$(0.25)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$1.81</w:t>
            </w:r>
          </w:p>
        </w:tc>
        <w:tc>
          <w:tcPr>
            <w:tcW w:w="132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Borders>
              <w:right w:val="single" w:sz="8" w:color="auto"/>
            </w:tcBorders>
          </w:tcPr>
          <w:p>
            <w:pPr>
              <w:spacing w:after="0"/>
              <w:rPr>
                <w:sz w:val="23"/>
                <w:szCs w:val="23"/>
                <w:color w:val="auto"/>
              </w:rPr>
            </w:pPr>
          </w:p>
        </w:tc>
      </w:tr>
      <w:tr>
        <w:trPr>
          <w:trHeight w:val="270"/>
        </w:trPr>
        <w:tc>
          <w:tcPr>
            <w:tcW w:w="4400" w:type="dxa"/>
            <w:vAlign w:val="bottom"/>
          </w:tcPr>
          <w:p>
            <w:pPr>
              <w:ind w:left="20"/>
              <w:spacing w:after="0"/>
              <w:rPr>
                <w:sz w:val="20"/>
                <w:szCs w:val="20"/>
                <w:color w:val="auto"/>
              </w:rPr>
            </w:pPr>
            <w:r>
              <w:rPr>
                <w:rFonts w:ascii="Arial" w:cs="Arial" w:eastAsia="Arial" w:hAnsi="Arial"/>
                <w:sz w:val="14"/>
                <w:szCs w:val="14"/>
                <w:color w:val="auto"/>
              </w:rPr>
              <w:t>Eliminate other specified items</w:t>
            </w:r>
          </w:p>
        </w:tc>
        <w:tc>
          <w:tcPr>
            <w:tcW w:w="1340" w:type="dxa"/>
            <w:vAlign w:val="bottom"/>
          </w:tcPr>
          <w:p>
            <w:pPr>
              <w:jc w:val="center"/>
              <w:spacing w:after="0"/>
              <w:rPr>
                <w:sz w:val="20"/>
                <w:szCs w:val="20"/>
                <w:color w:val="auto"/>
              </w:rPr>
            </w:pPr>
            <w:r>
              <w:rPr>
                <w:rFonts w:ascii="Arial" w:cs="Arial" w:eastAsia="Arial" w:hAnsi="Arial"/>
                <w:sz w:val="14"/>
                <w:szCs w:val="14"/>
                <w:color w:val="auto"/>
              </w:rPr>
              <w:t>$0.01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$0.03</w:t>
            </w:r>
          </w:p>
        </w:tc>
        <w:tc>
          <w:tcPr>
            <w:tcW w:w="132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Borders>
              <w:right w:val="single" w:sz="8" w:color="auto"/>
            </w:tcBorders>
          </w:tcPr>
          <w:p>
            <w:pPr>
              <w:spacing w:after="0"/>
              <w:rPr>
                <w:sz w:val="23"/>
                <w:szCs w:val="23"/>
                <w:color w:val="auto"/>
              </w:rPr>
            </w:pPr>
          </w:p>
        </w:tc>
      </w:tr>
      <w:tr>
        <w:trPr>
          <w:trHeight w:val="274"/>
        </w:trPr>
        <w:tc>
          <w:tcPr>
            <w:tcW w:w="4400" w:type="dxa"/>
            <w:vAlign w:val="bottom"/>
          </w:tcPr>
          <w:p>
            <w:pPr>
              <w:ind w:left="20"/>
              <w:spacing w:after="0"/>
              <w:rPr>
                <w:sz w:val="20"/>
                <w:szCs w:val="20"/>
                <w:color w:val="auto"/>
              </w:rPr>
            </w:pPr>
            <w:r>
              <w:rPr>
                <w:rFonts w:ascii="Arial" w:cs="Arial" w:eastAsia="Arial" w:hAnsi="Arial"/>
                <w:sz w:val="14"/>
                <w:szCs w:val="14"/>
                <w:color w:val="auto"/>
              </w:rPr>
              <w:t>Eliminate impact of the Venezuelan financial crisis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Borders>
              <w:right w:val="single" w:sz="8" w:color="auto"/>
            </w:tcBorders>
          </w:tcPr>
          <w:p>
            <w:pPr>
              <w:spacing w:after="0"/>
              <w:rPr>
                <w:sz w:val="23"/>
                <w:szCs w:val="23"/>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$0.19</w:t>
            </w:r>
          </w:p>
        </w:tc>
        <w:tc>
          <w:tcPr>
            <w:tcW w:w="1460" w:type="dxa"/>
            <w:vAlign w:val="bottom"/>
            <w:tcBorders>
              <w:right w:val="single" w:sz="8" w:color="auto"/>
            </w:tcBorders>
          </w:tcPr>
          <w:p>
            <w:pPr>
              <w:spacing w:after="0"/>
              <w:rPr>
                <w:sz w:val="23"/>
                <w:szCs w:val="23"/>
                <w:color w:val="auto"/>
              </w:rPr>
            </w:pPr>
          </w:p>
        </w:tc>
      </w:tr>
      <w:tr>
        <w:trPr>
          <w:trHeight w:val="206"/>
        </w:trPr>
        <w:tc>
          <w:tcPr>
            <w:tcW w:w="4400" w:type="dxa"/>
            <w:vAlign w:val="bottom"/>
          </w:tcPr>
          <w:p>
            <w:pPr>
              <w:ind w:left="20"/>
              <w:spacing w:after="0"/>
              <w:rPr>
                <w:sz w:val="20"/>
                <w:szCs w:val="20"/>
                <w:color w:val="auto"/>
              </w:rPr>
            </w:pPr>
            <w:r>
              <w:rPr>
                <w:rFonts w:ascii="Arial" w:cs="Arial" w:eastAsia="Arial" w:hAnsi="Arial"/>
                <w:sz w:val="14"/>
                <w:szCs w:val="14"/>
                <w:color w:val="auto"/>
              </w:rPr>
              <w:t>Non-GAAP EPS</w:t>
            </w:r>
          </w:p>
        </w:tc>
        <w:tc>
          <w:tcPr>
            <w:tcW w:w="1340" w:type="dxa"/>
            <w:vAlign w:val="bottom"/>
          </w:tcPr>
          <w:p>
            <w:pPr>
              <w:jc w:val="center"/>
              <w:spacing w:after="0"/>
              <w:rPr>
                <w:sz w:val="20"/>
                <w:szCs w:val="20"/>
                <w:color w:val="auto"/>
              </w:rPr>
            </w:pPr>
            <w:r>
              <w:rPr>
                <w:rFonts w:ascii="Arial" w:cs="Arial" w:eastAsia="Arial" w:hAnsi="Arial"/>
                <w:sz w:val="14"/>
                <w:szCs w:val="14"/>
                <w:color w:val="auto"/>
              </w:rPr>
              <w:t>$5.55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$4.28</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29.7%</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$3.52</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21.6%</w:t>
            </w:r>
          </w:p>
        </w:tc>
      </w:tr>
      <w:tr>
        <w:trPr>
          <w:trHeight w:val="274"/>
        </w:trPr>
        <w:tc>
          <w:tcPr>
            <w:tcW w:w="4400" w:type="dxa"/>
            <w:vAlign w:val="bottom"/>
          </w:tcPr>
          <w:p>
            <w:pPr>
              <w:ind w:left="20"/>
              <w:spacing w:after="0"/>
              <w:rPr>
                <w:sz w:val="20"/>
                <w:szCs w:val="20"/>
                <w:color w:val="auto"/>
              </w:rPr>
            </w:pPr>
            <w:r>
              <w:rPr>
                <w:rFonts w:ascii="Arial" w:cs="Arial" w:eastAsia="Arial" w:hAnsi="Arial"/>
                <w:sz w:val="14"/>
                <w:szCs w:val="14"/>
                <w:color w:val="auto"/>
              </w:rPr>
              <w:t>U.S. tax reform adjustment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$(0.24)</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Borders>
              <w:right w:val="single" w:sz="8" w:color="auto"/>
            </w:tcBorders>
          </w:tcPr>
          <w:p>
            <w:pPr>
              <w:spacing w:after="0"/>
              <w:rPr>
                <w:sz w:val="23"/>
                <w:szCs w:val="23"/>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Borders>
              <w:right w:val="single" w:sz="8" w:color="auto"/>
            </w:tcBorders>
          </w:tcPr>
          <w:p>
            <w:pPr>
              <w:spacing w:after="0"/>
              <w:rPr>
                <w:sz w:val="23"/>
                <w:szCs w:val="23"/>
                <w:color w:val="auto"/>
              </w:rPr>
            </w:pPr>
          </w:p>
        </w:tc>
      </w:tr>
      <w:tr>
        <w:trPr>
          <w:trHeight w:val="207"/>
        </w:trPr>
        <w:tc>
          <w:tcPr>
            <w:tcW w:w="4400" w:type="dxa"/>
            <w:vAlign w:val="bottom"/>
          </w:tcPr>
          <w:p>
            <w:pPr>
              <w:ind w:left="20"/>
              <w:spacing w:after="0"/>
              <w:rPr>
                <w:sz w:val="20"/>
                <w:szCs w:val="20"/>
                <w:color w:val="auto"/>
              </w:rPr>
            </w:pPr>
            <w:r>
              <w:rPr>
                <w:rFonts w:ascii="Arial" w:cs="Arial" w:eastAsia="Arial" w:hAnsi="Arial"/>
                <w:sz w:val="14"/>
                <w:szCs w:val="14"/>
                <w:color w:val="auto"/>
              </w:rPr>
              <w:t>Adjusted Non-GAAP EPS</w:t>
            </w:r>
          </w:p>
        </w:tc>
        <w:tc>
          <w:tcPr>
            <w:tcW w:w="1340" w:type="dxa"/>
            <w:vAlign w:val="bottom"/>
          </w:tcPr>
          <w:p>
            <w:pPr>
              <w:jc w:val="center"/>
              <w:spacing w:after="0"/>
              <w:rPr>
                <w:sz w:val="20"/>
                <w:szCs w:val="20"/>
                <w:color w:val="auto"/>
              </w:rPr>
            </w:pPr>
            <w:r>
              <w:rPr>
                <w:rFonts w:ascii="Arial" w:cs="Arial" w:eastAsia="Arial" w:hAnsi="Arial"/>
                <w:sz w:val="14"/>
                <w:szCs w:val="14"/>
                <w:color w:val="auto"/>
              </w:rPr>
              <w:t>$5.31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$4.28</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24.1%</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$3.52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21.6%</w:t>
            </w:r>
          </w:p>
        </w:tc>
      </w:tr>
      <w:tr>
        <w:trPr>
          <w:trHeight w:val="262"/>
        </w:trPr>
        <w:tc>
          <w:tcPr>
            <w:tcW w:w="4400" w:type="dxa"/>
            <w:vAlign w:val="bottom"/>
          </w:tcPr>
          <w:p>
            <w:pPr>
              <w:ind w:left="20"/>
              <w:spacing w:after="0"/>
              <w:rPr>
                <w:sz w:val="20"/>
                <w:szCs w:val="20"/>
                <w:color w:val="auto"/>
              </w:rPr>
            </w:pPr>
            <w:r>
              <w:rPr>
                <w:rFonts w:ascii="Arial" w:cs="Arial" w:eastAsia="Arial" w:hAnsi="Arial"/>
                <w:sz w:val="14"/>
                <w:szCs w:val="14"/>
                <w:color w:val="auto"/>
              </w:rPr>
              <w:t>*Numbers may not add due to rounding</w:t>
            </w: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P78</w:t>
      </w:r>
    </w:p>
    <w:p>
      <w:pPr>
        <w:sectPr>
          <w:pgSz w:w="11900" w:h="16838" w:orient="portrait"/>
          <w:cols w:equalWidth="0" w:num="1">
            <w:col w:w="11340"/>
          </w:cols>
          <w:pgMar w:left="240" w:top="810" w:right="319" w:bottom="1440" w:gutter="0" w:footer="0" w:header="0"/>
        </w:sectPr>
      </w:pPr>
    </w:p>
    <w:bookmarkStart w:id="82" w:name="page83"/>
    <w:bookmarkEnd w:id="82"/>
    <w:p>
      <w:pPr>
        <w:ind w:right="960"/>
        <w:spacing w:after="0" w:line="306" w:lineRule="auto"/>
        <w:rPr>
          <w:sz w:val="20"/>
          <w:szCs w:val="20"/>
          <w:color w:val="auto"/>
        </w:rPr>
      </w:pPr>
      <w:r>
        <w:rPr>
          <w:rFonts w:ascii="Arial" w:cs="Arial" w:eastAsia="Arial" w:hAnsi="Arial"/>
          <w:sz w:val="32"/>
          <w:szCs w:val="32"/>
          <w:b w:val="1"/>
          <w:bCs w:val="1"/>
          <w:color w:val="EF3729"/>
        </w:rPr>
        <w:t>Appendix B - Proposed Amendments to the Company's Articles of Incorporation</w:t>
      </w:r>
    </w:p>
    <w:p>
      <w:pPr>
        <w:spacing w:after="0" w:line="8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Proposed changes to the company’s articles of incorporation are shown below related to </w:t>
      </w:r>
      <w:r>
        <w:rPr>
          <w:rFonts w:ascii="Arial" w:cs="Arial" w:eastAsia="Arial" w:hAnsi="Arial"/>
          <w:sz w:val="17"/>
          <w:szCs w:val="17"/>
          <w:u w:val="single" w:color="auto"/>
          <w:color w:val="auto"/>
        </w:rPr>
        <w:t>Items 4 and 5</w:t>
      </w:r>
      <w:r>
        <w:rPr>
          <w:rFonts w:ascii="Arial" w:cs="Arial" w:eastAsia="Arial" w:hAnsi="Arial"/>
          <w:sz w:val="17"/>
          <w:szCs w:val="17"/>
          <w:color w:val="auto"/>
        </w:rPr>
        <w:t xml:space="preserve">, “Items of Business To Be Acted Upon at the Meeting.” The changes shown to Article 9(b) will be effective if </w:t>
      </w:r>
      <w:r>
        <w:rPr>
          <w:rFonts w:ascii="Arial" w:cs="Arial" w:eastAsia="Arial" w:hAnsi="Arial"/>
          <w:sz w:val="17"/>
          <w:szCs w:val="17"/>
          <w:u w:val="single" w:color="auto"/>
          <w:color w:val="auto"/>
        </w:rPr>
        <w:t>Item 4</w:t>
      </w:r>
      <w:r>
        <w:rPr>
          <w:rFonts w:ascii="Arial" w:cs="Arial" w:eastAsia="Arial" w:hAnsi="Arial"/>
          <w:sz w:val="17"/>
          <w:szCs w:val="17"/>
          <w:color w:val="auto"/>
        </w:rPr>
        <w:t xml:space="preserve">, "Proposal to Amend the Company’s Articles of Incorporation to Eliminate the Classified Board Structure,” receives the vote of at least 80 percent of the outstanding shares. The changes to Articles 9(c), 9(d), and 13 will be effective if </w:t>
      </w:r>
      <w:r>
        <w:rPr>
          <w:rFonts w:ascii="Arial" w:cs="Arial" w:eastAsia="Arial" w:hAnsi="Arial"/>
          <w:sz w:val="17"/>
          <w:szCs w:val="17"/>
          <w:u w:val="single" w:color="auto"/>
          <w:color w:val="auto"/>
        </w:rPr>
        <w:t>Item 5</w:t>
      </w:r>
      <w:r>
        <w:rPr>
          <w:rFonts w:ascii="Arial" w:cs="Arial" w:eastAsia="Arial" w:hAnsi="Arial"/>
          <w:sz w:val="17"/>
          <w:szCs w:val="17"/>
          <w:color w:val="auto"/>
        </w:rPr>
        <w:t>, "Proposal to Amend the Company’s Articles of Incorporation to Eliminate Supermajority Voting Provisions,” receives the vote of at least 80 percent of the outstanding shares. Additions are indicated by underlining and deletions are indicated by strike-outs. The full text of the company's Articles of Incorporation can be found on our website at: https://www.lilly.com/who-we-are/governance.</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 . . . .</w:t>
      </w:r>
    </w:p>
    <w:p>
      <w:pPr>
        <w:spacing w:after="0" w:line="7" w:lineRule="exact"/>
        <w:rPr>
          <w:sz w:val="20"/>
          <w:szCs w:val="20"/>
          <w:color w:val="auto"/>
        </w:rPr>
      </w:pPr>
    </w:p>
    <w:p>
      <w:pPr>
        <w:ind w:right="40" w:firstLine="8"/>
        <w:spacing w:after="0" w:line="265" w:lineRule="auto"/>
        <w:tabs>
          <w:tab w:leader="none" w:pos="19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following provisions are inserted for the management of the business and for the conduct of the affairs of the Corporation, and it is expressly provided that the same are intended to be in furtherance and not in limitation or exclusion of the powers conferred by statute:</w:t>
      </w:r>
    </w:p>
    <w:p>
      <w:pPr>
        <w:spacing w:after="0" w:line="154" w:lineRule="exact"/>
        <w:rPr>
          <w:sz w:val="20"/>
          <w:szCs w:val="20"/>
          <w:color w:val="auto"/>
        </w:rPr>
      </w:pPr>
    </w:p>
    <w:p>
      <w:pPr>
        <w:ind w:left="660" w:right="3040" w:hanging="4"/>
        <w:spacing w:after="0" w:line="263" w:lineRule="auto"/>
        <w:tabs>
          <w:tab w:leader="none" w:pos="91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number of directors of the Corporation, exclusive of directors who may be elected by the holders of any one or more series of Preferred Stock pursuant to Article 7(b) (the "Preferred Stock Directors"), shall not be less than nine, the exact number to be fixed from time to time solely by resolution of the Board of Directors, acting by not less than a majority of the directors then in office.</w:t>
      </w:r>
    </w:p>
    <w:p>
      <w:pPr>
        <w:spacing w:after="0" w:line="156" w:lineRule="exact"/>
        <w:rPr>
          <w:rFonts w:ascii="Arial" w:cs="Arial" w:eastAsia="Arial" w:hAnsi="Arial"/>
          <w:sz w:val="17"/>
          <w:szCs w:val="17"/>
          <w:color w:val="auto"/>
        </w:rPr>
      </w:pPr>
    </w:p>
    <w:p>
      <w:pPr>
        <w:ind w:left="660" w:right="2600" w:hanging="4"/>
        <w:spacing w:after="0" w:line="251" w:lineRule="auto"/>
        <w:tabs>
          <w:tab w:leader="none" w:pos="916"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Prior to the 2020 annual meeting of directors,</w:t>
      </w:r>
      <w:r>
        <w:rPr>
          <w:rFonts w:ascii="Arial" w:cs="Arial" w:eastAsia="Arial" w:hAnsi="Arial"/>
          <w:sz w:val="17"/>
          <w:szCs w:val="17"/>
          <w:color w:val="auto"/>
        </w:rPr>
        <w:t xml:space="preserve"> the Board of Directors (exclusive of Preferred Stock Directors) shall be divided into three classes, with the term of office of one class expiring each year. </w:t>
      </w:r>
      <w:r>
        <w:rPr>
          <w:rFonts w:ascii="Arial" w:cs="Arial" w:eastAsia="Arial" w:hAnsi="Arial"/>
          <w:sz w:val="17"/>
          <w:szCs w:val="17"/>
          <w:color w:val="auto"/>
          <w:strike w:val="1"/>
        </w:rPr>
        <w:t>At the annual meeting of shareholders in 1985, five directors of the first class shall be elected to</w:t>
      </w:r>
      <w:r>
        <w:rPr>
          <w:rFonts w:ascii="Arial" w:cs="Arial" w:eastAsia="Arial" w:hAnsi="Arial"/>
          <w:sz w:val="17"/>
          <w:szCs w:val="17"/>
          <w:color w:val="auto"/>
        </w:rPr>
        <w:t xml:space="preserve"> </w:t>
      </w:r>
      <w:r>
        <w:rPr>
          <w:rFonts w:ascii="Arial" w:cs="Arial" w:eastAsia="Arial" w:hAnsi="Arial"/>
          <w:sz w:val="17"/>
          <w:szCs w:val="17"/>
          <w:color w:val="auto"/>
          <w:strike w:val="1"/>
        </w:rPr>
        <w:t>hold office for a term expiring at the 1986 annual meeting, five directors of the second class shall be elected to hold office for a term expiring at the 1987 annual meeting, and six directors of the third class shall be elected to hold office for a term expiring at the 1988 annual meeting. Commencing with the annual meeting of shareholders in 1986</w:t>
      </w:r>
      <w:r>
        <w:rPr>
          <w:rFonts w:ascii="Arial" w:cs="Arial" w:eastAsia="Arial" w:hAnsi="Arial"/>
          <w:sz w:val="17"/>
          <w:szCs w:val="17"/>
          <w:u w:val="single" w:color="auto"/>
          <w:color w:val="auto"/>
          <w:strike w:val="1"/>
        </w:rPr>
        <w:t>2020</w:t>
      </w:r>
      <w:r>
        <w:rPr>
          <w:rFonts w:ascii="Arial" w:cs="Arial" w:eastAsia="Arial" w:hAnsi="Arial"/>
          <w:sz w:val="17"/>
          <w:szCs w:val="17"/>
          <w:color w:val="auto"/>
          <w:strike w:val="1"/>
        </w:rPr>
        <w:t>, each class of directors whose term shall then expire shall be elected to hold office for a three</w:t>
      </w:r>
      <w:r>
        <w:rPr>
          <w:rFonts w:ascii="Arial" w:cs="Arial" w:eastAsia="Arial" w:hAnsi="Arial"/>
          <w:sz w:val="17"/>
          <w:szCs w:val="17"/>
          <w:u w:val="single" w:color="auto"/>
          <w:color w:val="auto"/>
          <w:strike w:val="1"/>
        </w:rPr>
        <w:t>one</w:t>
      </w:r>
      <w:r>
        <w:rPr>
          <w:rFonts w:ascii="Arial" w:cs="Arial" w:eastAsia="Arial" w:hAnsi="Arial"/>
          <w:sz w:val="17"/>
          <w:szCs w:val="17"/>
          <w:color w:val="auto"/>
          <w:strike w:val="1"/>
        </w:rPr>
        <w:t xml:space="preserve">-year term </w:t>
      </w:r>
      <w:r>
        <w:rPr>
          <w:rFonts w:ascii="Arial" w:cs="Arial" w:eastAsia="Arial" w:hAnsi="Arial"/>
          <w:sz w:val="17"/>
          <w:szCs w:val="17"/>
          <w:u w:val="single" w:color="auto"/>
          <w:color w:val="auto"/>
          <w:strike w:val="1"/>
        </w:rPr>
        <w:t>expiring at the next annual meeting of shareholders.</w:t>
      </w:r>
      <w:r>
        <w:rPr>
          <w:rFonts w:ascii="Arial" w:cs="Arial" w:eastAsia="Arial" w:hAnsi="Arial"/>
          <w:sz w:val="17"/>
          <w:szCs w:val="17"/>
          <w:color w:val="auto"/>
          <w:strike w:val="1"/>
        </w:rPr>
        <w:t xml:space="preserve"> In the case of any vacancy on the Board of Directors including a vacancy created by an increase in the number of Directors, the vacancy shall be filled by election of the Board of Directors with the director so elected to serve for the remainder of the term of the director being replaced or, in the case of an additional director, for the remainder of the term of the class to which the director has been assinged. </w:t>
      </w:r>
      <w:r>
        <w:rPr>
          <w:rFonts w:ascii="Arial" w:cs="Arial" w:eastAsia="Arial" w:hAnsi="Arial"/>
          <w:sz w:val="17"/>
          <w:szCs w:val="17"/>
          <w:u w:val="single" w:color="auto"/>
          <w:color w:val="auto"/>
          <w:strike w:val="1"/>
        </w:rPr>
        <w:t>until the next annual meeting of shareholders.</w:t>
      </w:r>
      <w:r>
        <w:rPr>
          <w:rFonts w:ascii="Arial" w:cs="Arial" w:eastAsia="Arial" w:hAnsi="Arial"/>
          <w:sz w:val="17"/>
          <w:szCs w:val="17"/>
          <w:color w:val="auto"/>
          <w:strike w:val="1"/>
        </w:rPr>
        <w:t xml:space="preserve"> All directors shall continue in office until the election and qualification of their respective successors in office. When the number of directors is changed, any newly created directorships or any decrease in directorships shall be so assigned among the classes by a majority of the directors then in office, though less than a quorum, as to make all classes as nearly equal in number as possible. No decrease in the number of directors shall have the effect of shortening the term of any incumbent director. Election of directors need not be by written ballot unless the By-laws so provide.</w:t>
      </w:r>
    </w:p>
    <w:p>
      <w:pPr>
        <w:spacing w:after="0" w:line="371" w:lineRule="exact"/>
        <w:rPr>
          <w:rFonts w:ascii="Arial" w:cs="Arial" w:eastAsia="Arial" w:hAnsi="Arial"/>
          <w:sz w:val="17"/>
          <w:szCs w:val="17"/>
          <w:color w:val="auto"/>
        </w:rPr>
      </w:pPr>
    </w:p>
    <w:p>
      <w:pPr>
        <w:ind w:left="900" w:hanging="244"/>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director or directors (exclusive of Preferred Stock Directors) may be removed from office at</w:t>
      </w:r>
    </w:p>
    <w:p>
      <w:pPr>
        <w:spacing w:after="0" w:line="29" w:lineRule="exact"/>
        <w:rPr>
          <w:sz w:val="20"/>
          <w:szCs w:val="20"/>
          <w:color w:val="auto"/>
        </w:rPr>
      </w:pPr>
    </w:p>
    <w:p>
      <w:pPr>
        <w:ind w:left="660" w:right="2560"/>
        <w:spacing w:after="0" w:line="256" w:lineRule="auto"/>
        <w:rPr>
          <w:sz w:val="20"/>
          <w:szCs w:val="20"/>
          <w:color w:val="auto"/>
        </w:rPr>
      </w:pPr>
      <w:r>
        <w:rPr>
          <w:rFonts w:ascii="Arial" w:cs="Arial" w:eastAsia="Arial" w:hAnsi="Arial"/>
          <w:sz w:val="17"/>
          <w:szCs w:val="17"/>
          <w:color w:val="auto"/>
        </w:rPr>
        <w:t xml:space="preserve">any time, but only for cause and only by the affirmative vote of </w:t>
      </w:r>
      <w:r>
        <w:rPr>
          <w:rFonts w:ascii="Arial" w:cs="Arial" w:eastAsia="Arial" w:hAnsi="Arial"/>
          <w:sz w:val="17"/>
          <w:szCs w:val="17"/>
          <w:color w:val="auto"/>
          <w:strike w:val="1"/>
        </w:rPr>
        <w:t>at least 80%</w:t>
      </w:r>
      <w:r>
        <w:rPr>
          <w:rFonts w:ascii="Arial" w:cs="Arial" w:eastAsia="Arial" w:hAnsi="Arial"/>
          <w:sz w:val="17"/>
          <w:szCs w:val="17"/>
          <w:u w:val="single" w:color="auto"/>
          <w:color w:val="auto"/>
        </w:rPr>
        <w:t>a majority</w:t>
      </w:r>
      <w:r>
        <w:rPr>
          <w:rFonts w:ascii="Arial" w:cs="Arial" w:eastAsia="Arial" w:hAnsi="Arial"/>
          <w:sz w:val="17"/>
          <w:szCs w:val="17"/>
          <w:color w:val="auto"/>
        </w:rPr>
        <w:t xml:space="preserve"> of </w:t>
      </w:r>
      <w:r>
        <w:rPr>
          <w:rFonts w:ascii="Arial" w:cs="Arial" w:eastAsia="Arial" w:hAnsi="Arial"/>
          <w:sz w:val="17"/>
          <w:szCs w:val="17"/>
          <w:color w:val="auto"/>
          <w:strike w:val="1"/>
        </w:rPr>
        <w:t>the</w:t>
      </w:r>
      <w:r>
        <w:rPr>
          <w:rFonts w:ascii="Arial" w:cs="Arial" w:eastAsia="Arial" w:hAnsi="Arial"/>
          <w:sz w:val="17"/>
          <w:szCs w:val="17"/>
          <w:color w:val="auto"/>
        </w:rPr>
        <w:t xml:space="preserve"> votes </w:t>
      </w:r>
      <w:r>
        <w:rPr>
          <w:rFonts w:ascii="Arial" w:cs="Arial" w:eastAsia="Arial" w:hAnsi="Arial"/>
          <w:sz w:val="17"/>
          <w:szCs w:val="17"/>
          <w:color w:val="auto"/>
          <w:strike w:val="1"/>
        </w:rPr>
        <w:t>entitled</w:t>
      </w:r>
      <w:r>
        <w:rPr>
          <w:rFonts w:ascii="Arial" w:cs="Arial" w:eastAsia="Arial" w:hAnsi="Arial"/>
          <w:sz w:val="17"/>
          <w:szCs w:val="17"/>
          <w:color w:val="auto"/>
        </w:rPr>
        <w:t xml:space="preserve"> </w:t>
      </w:r>
      <w:r>
        <w:rPr>
          <w:rFonts w:ascii="Arial" w:cs="Arial" w:eastAsia="Arial" w:hAnsi="Arial"/>
          <w:sz w:val="17"/>
          <w:szCs w:val="17"/>
          <w:color w:val="auto"/>
          <w:strike w:val="1"/>
        </w:rPr>
        <w:t>to be</w:t>
      </w:r>
      <w:r>
        <w:rPr>
          <w:rFonts w:ascii="Arial" w:cs="Arial" w:eastAsia="Arial" w:hAnsi="Arial"/>
          <w:sz w:val="17"/>
          <w:szCs w:val="17"/>
          <w:color w:val="auto"/>
        </w:rPr>
        <w:t xml:space="preserve">cast by </w:t>
      </w:r>
      <w:r>
        <w:rPr>
          <w:rFonts w:ascii="Arial" w:cs="Arial" w:eastAsia="Arial" w:hAnsi="Arial"/>
          <w:sz w:val="17"/>
          <w:szCs w:val="17"/>
          <w:u w:val="single" w:color="auto"/>
          <w:color w:val="auto"/>
        </w:rPr>
        <w:t>the</w:t>
      </w:r>
      <w:r>
        <w:rPr>
          <w:rFonts w:ascii="Arial" w:cs="Arial" w:eastAsia="Arial" w:hAnsi="Arial"/>
          <w:sz w:val="17"/>
          <w:szCs w:val="17"/>
          <w:color w:val="auto"/>
        </w:rPr>
        <w:t xml:space="preserve"> holders </w:t>
      </w:r>
      <w:r>
        <w:rPr>
          <w:rFonts w:ascii="Arial" w:cs="Arial" w:eastAsia="Arial" w:hAnsi="Arial"/>
          <w:sz w:val="17"/>
          <w:szCs w:val="17"/>
          <w:color w:val="auto"/>
          <w:strike w:val="1"/>
        </w:rPr>
        <w:t>of all the outstanding shared</w:t>
      </w:r>
      <w:r>
        <w:rPr>
          <w:rFonts w:ascii="Arial" w:cs="Arial" w:eastAsia="Arial" w:hAnsi="Arial"/>
          <w:sz w:val="17"/>
          <w:szCs w:val="17"/>
          <w:color w:val="auto"/>
        </w:rPr>
        <w:t xml:space="preserve"> of Voting Stock (as defined in Article 13 hereof), voting together as a single class.</w:t>
      </w:r>
    </w:p>
    <w:p>
      <w:pPr>
        <w:spacing w:after="0" w:line="163" w:lineRule="exact"/>
        <w:rPr>
          <w:sz w:val="20"/>
          <w:szCs w:val="20"/>
          <w:color w:val="auto"/>
        </w:rPr>
      </w:pPr>
    </w:p>
    <w:p>
      <w:pPr>
        <w:ind w:left="660" w:right="2640" w:hanging="4"/>
        <w:spacing w:after="0" w:line="259" w:lineRule="auto"/>
        <w:tabs>
          <w:tab w:leader="none" w:pos="916" w:val="left"/>
        </w:tabs>
        <w:numPr>
          <w:ilvl w:val="1"/>
          <w:numId w:val="102"/>
        </w:numPr>
        <w:rPr>
          <w:rFonts w:ascii="Arial" w:cs="Arial" w:eastAsia="Arial" w:hAnsi="Arial"/>
          <w:sz w:val="17"/>
          <w:szCs w:val="17"/>
          <w:color w:val="auto"/>
        </w:rPr>
      </w:pPr>
      <w:r>
        <w:rPr>
          <w:rFonts w:ascii="Arial" w:cs="Arial" w:eastAsia="Arial" w:hAnsi="Arial"/>
          <w:sz w:val="17"/>
          <w:szCs w:val="17"/>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at least 80% of the votes entitled to be cast by holders of all the outstanding shares of Voting Stock, voting together as a single class, shall be required to alter, amend or repeal this Article 9.</w:t>
      </w:r>
    </w:p>
    <w:p>
      <w:pPr>
        <w:spacing w:after="0" w:line="160" w:lineRule="exact"/>
        <w:rPr>
          <w:rFonts w:ascii="Arial" w:cs="Arial" w:eastAsia="Arial" w:hAnsi="Arial"/>
          <w:sz w:val="17"/>
          <w:szCs w:val="17"/>
          <w:color w:val="auto"/>
        </w:rPr>
      </w:pPr>
    </w:p>
    <w:p>
      <w:pPr>
        <w:ind w:right="2700" w:firstLine="8"/>
        <w:spacing w:after="0" w:line="257" w:lineRule="auto"/>
        <w:tabs>
          <w:tab w:leader="none" w:pos="28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In addition to all other requirements imposed by law and these Amended Articles </w:t>
      </w:r>
      <w:r>
        <w:rPr>
          <w:rFonts w:ascii="Arial" w:cs="Arial" w:eastAsia="Arial" w:hAnsi="Arial"/>
          <w:sz w:val="17"/>
          <w:szCs w:val="17"/>
          <w:color w:val="auto"/>
          <w:strike w:val="1"/>
        </w:rPr>
        <w:t>and except as otherwise</w:t>
      </w:r>
      <w:r>
        <w:rPr>
          <w:rFonts w:ascii="Arial" w:cs="Arial" w:eastAsia="Arial" w:hAnsi="Arial"/>
          <w:sz w:val="17"/>
          <w:szCs w:val="17"/>
          <w:color w:val="auto"/>
        </w:rPr>
        <w:t xml:space="preserve"> </w:t>
      </w:r>
      <w:r>
        <w:rPr>
          <w:rFonts w:ascii="Arial" w:cs="Arial" w:eastAsia="Arial" w:hAnsi="Arial"/>
          <w:sz w:val="17"/>
          <w:szCs w:val="17"/>
          <w:color w:val="auto"/>
          <w:strike w:val="1"/>
        </w:rPr>
        <w:t>expressly provided in paragraph (c) of this Article 13</w:t>
      </w:r>
      <w:r>
        <w:rPr>
          <w:rFonts w:ascii="Arial" w:cs="Arial" w:eastAsia="Arial" w:hAnsi="Arial"/>
          <w:sz w:val="17"/>
          <w:szCs w:val="17"/>
          <w:color w:val="auto"/>
        </w:rPr>
        <w:t xml:space="preserve">, none of the actions or transactions listed </w:t>
      </w:r>
      <w:r>
        <w:rPr>
          <w:rFonts w:ascii="Arial" w:cs="Arial" w:eastAsia="Arial" w:hAnsi="Arial"/>
          <w:sz w:val="17"/>
          <w:szCs w:val="17"/>
          <w:u w:val="single" w:color="auto"/>
          <w:color w:val="auto"/>
        </w:rPr>
        <w:t>in paragraph (a)</w:t>
      </w:r>
      <w:r>
        <w:rPr>
          <w:rFonts w:ascii="Arial" w:cs="Arial" w:eastAsia="Arial" w:hAnsi="Arial"/>
          <w:sz w:val="17"/>
          <w:szCs w:val="17"/>
          <w:color w:val="auto"/>
        </w:rPr>
        <w:t xml:space="preserve"> below shall be effected by the Corporation, or approved by the Corporation as a shareholder of any majority-owned subsidiary of the Corporation if, as of the record date for the determination of the shareholders entitled to vote thereon, any Related Person (as hereinafter defined) exists, unless the applicable requirements of paragraphs (b), (c), (d), </w:t>
      </w:r>
      <w:r>
        <w:rPr>
          <w:rFonts w:ascii="Arial" w:cs="Arial" w:eastAsia="Arial" w:hAnsi="Arial"/>
          <w:sz w:val="17"/>
          <w:szCs w:val="17"/>
          <w:color w:val="auto"/>
          <w:strike w:val="1"/>
        </w:rPr>
        <w:t>(e)</w:t>
      </w:r>
      <w:r>
        <w:rPr>
          <w:rFonts w:ascii="Arial" w:cs="Arial" w:eastAsia="Arial" w:hAnsi="Arial"/>
          <w:sz w:val="17"/>
          <w:szCs w:val="17"/>
          <w:color w:val="auto"/>
        </w:rPr>
        <w:t>, and (</w:t>
      </w:r>
      <w:r>
        <w:rPr>
          <w:rFonts w:ascii="Arial" w:cs="Arial" w:eastAsia="Arial" w:hAnsi="Arial"/>
          <w:sz w:val="17"/>
          <w:szCs w:val="17"/>
          <w:color w:val="auto"/>
          <w:strike w:val="1"/>
        </w:rPr>
        <w:t>f</w:t>
      </w:r>
      <w:r>
        <w:rPr>
          <w:rFonts w:ascii="Arial" w:cs="Arial" w:eastAsia="Arial" w:hAnsi="Arial"/>
          <w:sz w:val="17"/>
          <w:szCs w:val="17"/>
          <w:u w:val="single" w:color="auto"/>
          <w:color w:val="auto"/>
        </w:rPr>
        <w:t>e</w:t>
      </w:r>
      <w:r>
        <w:rPr>
          <w:rFonts w:ascii="Arial" w:cs="Arial" w:eastAsia="Arial" w:hAnsi="Arial"/>
          <w:sz w:val="17"/>
          <w:szCs w:val="17"/>
          <w:color w:val="auto"/>
        </w:rPr>
        <w:t>) of this Article 13 are satisfied.</w:t>
      </w:r>
    </w:p>
    <w:p>
      <w:pPr>
        <w:spacing w:after="0" w:line="162" w:lineRule="exact"/>
        <w:rPr>
          <w:rFonts w:ascii="Arial" w:cs="Arial" w:eastAsia="Arial" w:hAnsi="Arial"/>
          <w:sz w:val="17"/>
          <w:szCs w:val="17"/>
          <w:color w:val="auto"/>
        </w:rPr>
      </w:pPr>
    </w:p>
    <w:p>
      <w:pPr>
        <w:ind w:left="920" w:hanging="264"/>
        <w:spacing w:after="0"/>
        <w:tabs>
          <w:tab w:leader="none" w:pos="92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actions or transactions within the scope of this Article 13 are as follows:</w:t>
      </w: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P79</w:t>
      </w:r>
    </w:p>
    <w:p>
      <w:pPr>
        <w:sectPr>
          <w:pgSz w:w="11900" w:h="16838" w:orient="portrait"/>
          <w:cols w:equalWidth="0" w:num="1">
            <w:col w:w="11160"/>
          </w:cols>
          <w:pgMar w:left="240" w:top="543" w:right="499" w:bottom="1440" w:gutter="0" w:footer="0" w:header="0"/>
        </w:sectPr>
      </w:pPr>
    </w:p>
    <w:bookmarkStart w:id="83" w:name="page84"/>
    <w:bookmarkEnd w:id="83"/>
    <w:p>
      <w:pPr>
        <w:ind w:left="644" w:right="2019" w:firstLine="5"/>
        <w:spacing w:after="0" w:line="292" w:lineRule="auto"/>
        <w:tabs>
          <w:tab w:leader="none" w:pos="84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of its subsidiaries into or with such Related Person;</w:t>
      </w:r>
    </w:p>
    <w:p>
      <w:pPr>
        <w:spacing w:after="0" w:line="132" w:lineRule="exact"/>
        <w:rPr>
          <w:rFonts w:ascii="Arial" w:cs="Arial" w:eastAsia="Arial" w:hAnsi="Arial"/>
          <w:sz w:val="17"/>
          <w:szCs w:val="17"/>
          <w:color w:val="auto"/>
        </w:rPr>
      </w:pPr>
    </w:p>
    <w:p>
      <w:pPr>
        <w:ind w:left="644" w:right="1819" w:firstLine="5"/>
        <w:spacing w:after="0" w:line="292" w:lineRule="auto"/>
        <w:tabs>
          <w:tab w:leader="none" w:pos="88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any sale, lease, exchange, or other disposition of all or any substantial part of the assets of the Corporation or any of its majority-owned subsidiaries to or with such Related Person;</w:t>
      </w:r>
    </w:p>
    <w:p>
      <w:pPr>
        <w:spacing w:after="0" w:line="334" w:lineRule="exact"/>
        <w:rPr>
          <w:rFonts w:ascii="Arial" w:cs="Arial" w:eastAsia="Arial" w:hAnsi="Arial"/>
          <w:sz w:val="17"/>
          <w:szCs w:val="17"/>
          <w:color w:val="auto"/>
        </w:rPr>
      </w:pPr>
    </w:p>
    <w:p>
      <w:pPr>
        <w:ind w:left="644" w:right="1659" w:firstLine="5"/>
        <w:spacing w:after="0" w:line="270" w:lineRule="auto"/>
        <w:tabs>
          <w:tab w:leader="none" w:pos="91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issuance or delivery of any Voting Stock (as hereinafter defined) or of voting securities of any of the Corporation's majority-owned subsidiaries to such Related Person in exchange for cash, other assets or securities, or a combination thereof;</w:t>
      </w:r>
    </w:p>
    <w:p>
      <w:pPr>
        <w:spacing w:after="0" w:line="150" w:lineRule="exact"/>
        <w:rPr>
          <w:rFonts w:ascii="Arial" w:cs="Arial" w:eastAsia="Arial" w:hAnsi="Arial"/>
          <w:sz w:val="17"/>
          <w:szCs w:val="17"/>
          <w:color w:val="auto"/>
        </w:rPr>
      </w:pPr>
    </w:p>
    <w:p>
      <w:pPr>
        <w:ind w:left="924" w:hanging="275"/>
        <w:spacing w:after="0"/>
        <w:tabs>
          <w:tab w:leader="none" w:pos="924"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any voluntary dissolution or liquidation of the Corporation;</w:t>
      </w:r>
    </w:p>
    <w:p>
      <w:pPr>
        <w:spacing w:after="0" w:line="209" w:lineRule="exact"/>
        <w:rPr>
          <w:rFonts w:ascii="Arial" w:cs="Arial" w:eastAsia="Arial" w:hAnsi="Arial"/>
          <w:sz w:val="17"/>
          <w:szCs w:val="17"/>
          <w:color w:val="auto"/>
        </w:rPr>
      </w:pPr>
    </w:p>
    <w:p>
      <w:pPr>
        <w:ind w:left="644" w:right="1779" w:firstLine="5"/>
        <w:spacing w:after="0" w:line="262" w:lineRule="auto"/>
        <w:tabs>
          <w:tab w:leader="none" w:pos="89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any reclassification of securities (including any reverse stock split), or recapitalization of the Corporation, or any merger or consolidation of the Corporation with any of its subsidiaries, or</w:t>
      </w:r>
    </w:p>
    <w:p>
      <w:pPr>
        <w:jc w:val="both"/>
        <w:ind w:left="644" w:right="1699"/>
        <w:spacing w:after="0" w:line="254" w:lineRule="auto"/>
        <w:rPr>
          <w:sz w:val="20"/>
          <w:szCs w:val="20"/>
          <w:color w:val="auto"/>
        </w:rPr>
      </w:pPr>
      <w:r>
        <w:rPr>
          <w:rFonts w:ascii="Arial" w:cs="Arial" w:eastAsia="Arial" w:hAnsi="Arial"/>
          <w:sz w:val="17"/>
          <w:szCs w:val="17"/>
          <w:color w:val="auto"/>
        </w:rPr>
        <w:t>any other transaction (whether or not with or otherwise involving a Related Person) that has the effect, directly or indirectly, of increasing the proportionate share of any class or series of capital stock of the Corporation, or any securities convertible into capital stock of the Corporation or into equity securities of any subsidiary, that is beneficially owned by any Related Person; or</w:t>
      </w:r>
    </w:p>
    <w:p>
      <w:pPr>
        <w:spacing w:after="0" w:line="163" w:lineRule="exact"/>
        <w:rPr>
          <w:sz w:val="20"/>
          <w:szCs w:val="20"/>
          <w:color w:val="auto"/>
        </w:rPr>
      </w:pPr>
    </w:p>
    <w:p>
      <w:pPr>
        <w:ind w:left="644" w:right="1739" w:firstLine="5"/>
        <w:spacing w:after="0" w:line="292" w:lineRule="auto"/>
        <w:tabs>
          <w:tab w:leader="none" w:pos="929" w:val="left"/>
        </w:tabs>
        <w:numPr>
          <w:ilvl w:val="1"/>
          <w:numId w:val="105"/>
        </w:numPr>
        <w:rPr>
          <w:rFonts w:ascii="Arial" w:cs="Arial" w:eastAsia="Arial" w:hAnsi="Arial"/>
          <w:sz w:val="17"/>
          <w:szCs w:val="17"/>
          <w:color w:val="auto"/>
        </w:rPr>
      </w:pPr>
      <w:r>
        <w:rPr>
          <w:rFonts w:ascii="Arial" w:cs="Arial" w:eastAsia="Arial" w:hAnsi="Arial"/>
          <w:sz w:val="17"/>
          <w:szCs w:val="17"/>
          <w:color w:val="auto"/>
        </w:rPr>
        <w:t>any agreement, contract, or other arrangement providing for any one or more of the actions specified in the foregoing clauses (i) through (v).</w:t>
      </w:r>
    </w:p>
    <w:p>
      <w:pPr>
        <w:spacing w:after="0" w:line="132" w:lineRule="exact"/>
        <w:rPr>
          <w:rFonts w:ascii="Arial" w:cs="Arial" w:eastAsia="Arial" w:hAnsi="Arial"/>
          <w:sz w:val="17"/>
          <w:szCs w:val="17"/>
          <w:color w:val="auto"/>
        </w:rPr>
      </w:pPr>
    </w:p>
    <w:p>
      <w:pPr>
        <w:ind w:left="4" w:right="1479" w:hanging="4"/>
        <w:spacing w:after="0" w:line="270" w:lineRule="auto"/>
        <w:tabs>
          <w:tab w:leader="none" w:pos="2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The actions and transactions described in paragraph (a) of this Article 13 shall have been authorized by the affirmative vote of </w:t>
      </w:r>
      <w:r>
        <w:rPr>
          <w:rFonts w:ascii="Arial" w:cs="Arial" w:eastAsia="Arial" w:hAnsi="Arial"/>
          <w:sz w:val="17"/>
          <w:szCs w:val="17"/>
          <w:color w:val="auto"/>
          <w:strike w:val="1"/>
        </w:rPr>
        <w:t>at least 80% of all</w:t>
      </w:r>
      <w:r>
        <w:rPr>
          <w:rFonts w:ascii="Arial" w:cs="Arial" w:eastAsia="Arial" w:hAnsi="Arial"/>
          <w:sz w:val="17"/>
          <w:szCs w:val="17"/>
          <w:u w:val="single" w:color="auto"/>
          <w:color w:val="auto"/>
        </w:rPr>
        <w:t>a majority</w:t>
      </w:r>
      <w:r>
        <w:rPr>
          <w:rFonts w:ascii="Arial" w:cs="Arial" w:eastAsia="Arial" w:hAnsi="Arial"/>
          <w:sz w:val="17"/>
          <w:szCs w:val="17"/>
          <w:color w:val="auto"/>
        </w:rPr>
        <w:t xml:space="preserve"> of the votes entitled to be cast by holders of </w:t>
      </w:r>
      <w:r>
        <w:rPr>
          <w:rFonts w:ascii="Arial" w:cs="Arial" w:eastAsia="Arial" w:hAnsi="Arial"/>
          <w:sz w:val="17"/>
          <w:szCs w:val="17"/>
          <w:u w:val="single" w:color="auto"/>
          <w:color w:val="auto"/>
        </w:rPr>
        <w:t>all</w:t>
      </w:r>
      <w:r>
        <w:rPr>
          <w:rFonts w:ascii="Arial" w:cs="Arial" w:eastAsia="Arial" w:hAnsi="Arial"/>
          <w:sz w:val="17"/>
          <w:szCs w:val="17"/>
          <w:color w:val="auto"/>
        </w:rPr>
        <w:t xml:space="preserve"> the outstanding shares of Voting Stock, voting together as a single class.</w:t>
      </w:r>
    </w:p>
    <w:p>
      <w:pPr>
        <w:spacing w:after="0" w:line="150" w:lineRule="exact"/>
        <w:rPr>
          <w:rFonts w:ascii="Arial" w:cs="Arial" w:eastAsia="Arial" w:hAnsi="Arial"/>
          <w:sz w:val="17"/>
          <w:szCs w:val="17"/>
          <w:color w:val="auto"/>
        </w:rPr>
      </w:pPr>
    </w:p>
    <w:p>
      <w:pPr>
        <w:ind w:left="244" w:hanging="244"/>
        <w:spacing w:after="0"/>
        <w:tabs>
          <w:tab w:leader="none" w:pos="244" w:val="left"/>
        </w:tabs>
        <w:numPr>
          <w:ilvl w:val="0"/>
          <w:numId w:val="106"/>
        </w:numPr>
        <w:rPr>
          <w:rFonts w:ascii="Arial" w:cs="Arial" w:eastAsia="Arial" w:hAnsi="Arial"/>
          <w:sz w:val="17"/>
          <w:szCs w:val="17"/>
          <w:color w:val="auto"/>
          <w:strike w:val="1"/>
        </w:rPr>
      </w:pPr>
      <w:r>
        <w:rPr>
          <w:rFonts w:ascii="Arial" w:cs="Arial" w:eastAsia="Arial" w:hAnsi="Arial"/>
          <w:sz w:val="17"/>
          <w:szCs w:val="17"/>
          <w:color w:val="auto"/>
          <w:strike w:val="1"/>
        </w:rPr>
        <w:t>Notwithstanding paragraph (b) of this Article 13, the 80% voting requirement shall not be applicable if</w:t>
      </w:r>
    </w:p>
    <w:p>
      <w:pPr>
        <w:spacing w:after="0" w:line="29" w:lineRule="exact"/>
        <w:rPr>
          <w:rFonts w:ascii="Arial" w:cs="Arial" w:eastAsia="Arial" w:hAnsi="Arial"/>
          <w:sz w:val="17"/>
          <w:szCs w:val="17"/>
          <w:color w:val="auto"/>
          <w:strike w:val="1"/>
        </w:rPr>
      </w:pPr>
    </w:p>
    <w:p>
      <w:pPr>
        <w:ind w:left="4" w:right="1459"/>
        <w:spacing w:after="0" w:line="265" w:lineRule="auto"/>
        <w:rPr>
          <w:rFonts w:ascii="Arial" w:cs="Arial" w:eastAsia="Arial" w:hAnsi="Arial"/>
          <w:sz w:val="17"/>
          <w:szCs w:val="17"/>
          <w:color w:val="auto"/>
          <w:strike w:val="1"/>
        </w:rPr>
      </w:pPr>
      <w:r>
        <w:rPr>
          <w:rFonts w:ascii="Arial" w:cs="Arial" w:eastAsia="Arial" w:hAnsi="Arial"/>
          <w:sz w:val="17"/>
          <w:szCs w:val="17"/>
          <w:color w:val="auto"/>
          <w:strike w:val="1"/>
        </w:rPr>
        <w:t>any action or transaction specified in paragraph (a) is approved by the Corporation's Board of Directors and by a majority of the Continuing Directors (as hereinafter defined).</w:t>
      </w:r>
    </w:p>
    <w:p>
      <w:pPr>
        <w:spacing w:after="0" w:line="154" w:lineRule="exact"/>
        <w:rPr>
          <w:sz w:val="20"/>
          <w:szCs w:val="20"/>
          <w:color w:val="auto"/>
        </w:rPr>
      </w:pPr>
    </w:p>
    <w:p>
      <w:pPr>
        <w:ind w:left="4" w:right="1819"/>
        <w:spacing w:after="0" w:line="292" w:lineRule="auto"/>
        <w:rPr>
          <w:sz w:val="20"/>
          <w:szCs w:val="20"/>
          <w:color w:val="auto"/>
        </w:rPr>
      </w:pPr>
      <w:r>
        <w:rPr>
          <w:rFonts w:ascii="Arial" w:cs="Arial" w:eastAsia="Arial" w:hAnsi="Arial"/>
          <w:sz w:val="17"/>
          <w:szCs w:val="17"/>
          <w:color w:val="auto"/>
          <w:strike w:val="1"/>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Unless approved by a majority of the Continuing Directors, after becoming a Related Person and prior to consummation of such action or transaction.:</w:t>
      </w:r>
    </w:p>
    <w:p>
      <w:pPr>
        <w:spacing w:after="0" w:line="132" w:lineRule="exact"/>
        <w:rPr>
          <w:sz w:val="20"/>
          <w:szCs w:val="20"/>
          <w:color w:val="auto"/>
        </w:rPr>
      </w:pPr>
    </w:p>
    <w:p>
      <w:pPr>
        <w:ind w:left="644" w:right="1419" w:firstLine="5"/>
        <w:spacing w:after="0" w:line="257" w:lineRule="auto"/>
        <w:tabs>
          <w:tab w:leader="none" w:pos="84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Related Person shall not have acquired from the Corporation or any of its subsidiaries any newly issued or treasury shares of capital stock or any newly issued securities convertible into capital stock of the Corporation or any of its majority-owned subsidiaries, directly or indirectly (except upon conversion of convertible securities acquired by it prior to becoming a Related Person or as a result of a pro rata stock dividend or stock split or other distribution of stock to all shareholders pro rata);</w:t>
      </w:r>
    </w:p>
    <w:p>
      <w:pPr>
        <w:spacing w:after="0" w:line="162" w:lineRule="exact"/>
        <w:rPr>
          <w:rFonts w:ascii="Arial" w:cs="Arial" w:eastAsia="Arial" w:hAnsi="Arial"/>
          <w:sz w:val="17"/>
          <w:szCs w:val="17"/>
          <w:color w:val="auto"/>
        </w:rPr>
      </w:pPr>
    </w:p>
    <w:p>
      <w:pPr>
        <w:ind w:left="644" w:right="1439" w:firstLine="5"/>
        <w:spacing w:after="0" w:line="257" w:lineRule="auto"/>
        <w:tabs>
          <w:tab w:leader="none" w:pos="88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such Related Person shall not have received the benefit directly or indirectly (except proportionately as a shareholder) of any loans, advances, guarantees, pledges, or other financial assistance or tax credits provided by the Corporation or any of its majority-owned subsidiaries, or made any major changes in the Corporation's or any of its majority-owned subsidiaries' businesses or Corporation's capital stock below the rate in effect immediately prior to the time such Related Person became a Related Person; and</w:t>
      </w:r>
    </w:p>
    <w:p>
      <w:pPr>
        <w:spacing w:after="0" w:line="162" w:lineRule="exact"/>
        <w:rPr>
          <w:rFonts w:ascii="Arial" w:cs="Arial" w:eastAsia="Arial" w:hAnsi="Arial"/>
          <w:sz w:val="17"/>
          <w:szCs w:val="17"/>
          <w:color w:val="auto"/>
        </w:rPr>
      </w:pPr>
    </w:p>
    <w:p>
      <w:pPr>
        <w:ind w:left="644" w:right="1399" w:firstLine="5"/>
        <w:spacing w:after="0" w:line="257" w:lineRule="auto"/>
        <w:tabs>
          <w:tab w:leader="none" w:pos="91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such Related Person shall have taken all required actions within its power to ensure that the Corporation's Board of Directors included representation by Continuing Directors at least proportionate to the voting power of the shareholdings of Voting Stock of the Corporation's Remaining Public Shareholders (as hereinafter defined), with a Continuing Director to occupy an additional Board position if a fractional right to a director results and, in any event, with at least one Continuing Director to serve on the Board so long as there are any Remaining Public Shareholders.</w:t>
      </w:r>
    </w:p>
    <w:p>
      <w:pPr>
        <w:spacing w:after="0" w:line="162" w:lineRule="exact"/>
        <w:rPr>
          <w:sz w:val="20"/>
          <w:szCs w:val="20"/>
          <w:color w:val="auto"/>
        </w:rPr>
      </w:pPr>
    </w:p>
    <w:p>
      <w:pPr>
        <w:ind w:left="4" w:right="135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auto"/>
          <w:strike w:val="1"/>
        </w:rPr>
        <w:t>e</w:t>
      </w:r>
      <w:r>
        <w:rPr>
          <w:rFonts w:ascii="Arial" w:cs="Arial" w:eastAsia="Arial" w:hAnsi="Arial"/>
          <w:sz w:val="17"/>
          <w:szCs w:val="17"/>
          <w:u w:val="single" w:color="auto"/>
          <w:color w:val="auto"/>
        </w:rPr>
        <w:t>d</w:t>
      </w:r>
      <w:r>
        <w:rPr>
          <w:rFonts w:ascii="Arial" w:cs="Arial" w:eastAsia="Arial" w:hAnsi="Arial"/>
          <w:sz w:val="17"/>
          <w:szCs w:val="17"/>
          <w:color w:val="auto"/>
        </w:rPr>
        <w:t>) A proxy statement responsive to the requirements of the Securities Exchange Act of 1934, as amended, whether or not the Corporation is then subject to such requirements, shall be mailed to the shareholders of the Corporation for the purpose of soliciting shareholder approval of such action or transaction and shall contain at the front thereof, in a prominent place, any recommendations as to the advisability or inadvisability of the action or transaction which the Continuing Directors may choose to state and, if deemed advisable by a majority of the Continuing Directors, the opinion of an investment banking firm</w:t>
      </w:r>
    </w:p>
    <w:p>
      <w:pPr>
        <w:sectPr>
          <w:pgSz w:w="11900" w:h="16838" w:orient="portrait"/>
          <w:cols w:equalWidth="0" w:num="1">
            <w:col w:w="9563"/>
          </w:cols>
          <w:pgMar w:left="896" w:top="759" w:right="1440" w:bottom="1440" w:gutter="0" w:footer="0" w:header="0"/>
        </w:sectPr>
      </w:pPr>
    </w:p>
    <w:p>
      <w:pPr>
        <w:spacing w:after="0" w:line="203" w:lineRule="exact"/>
        <w:rPr>
          <w:sz w:val="20"/>
          <w:szCs w:val="20"/>
          <w:color w:val="auto"/>
        </w:rPr>
      </w:pPr>
    </w:p>
    <w:p>
      <w:pPr>
        <w:ind w:left="4904"/>
        <w:spacing w:after="0"/>
        <w:rPr>
          <w:sz w:val="20"/>
          <w:szCs w:val="20"/>
          <w:color w:val="auto"/>
        </w:rPr>
      </w:pPr>
      <w:r>
        <w:rPr>
          <w:rFonts w:ascii="Arial" w:cs="Arial" w:eastAsia="Arial" w:hAnsi="Arial"/>
          <w:sz w:val="16"/>
          <w:szCs w:val="16"/>
          <w:color w:val="auto"/>
        </w:rPr>
        <w:t>P80</w:t>
      </w:r>
    </w:p>
    <w:p>
      <w:pPr>
        <w:sectPr>
          <w:pgSz w:w="11900" w:h="16838" w:orient="portrait"/>
          <w:cols w:equalWidth="0" w:num="1">
            <w:col w:w="9563"/>
          </w:cols>
          <w:pgMar w:left="896" w:top="759" w:right="1440" w:bottom="1440" w:gutter="0" w:footer="0" w:header="0"/>
          <w:type w:val="continuous"/>
        </w:sectPr>
      </w:pPr>
    </w:p>
    <w:bookmarkStart w:id="84" w:name="page85"/>
    <w:bookmarkEnd w:id="84"/>
    <w:p>
      <w:pPr>
        <w:ind w:right="1459"/>
        <w:spacing w:after="0" w:line="259" w:lineRule="auto"/>
        <w:rPr>
          <w:sz w:val="20"/>
          <w:szCs w:val="20"/>
          <w:color w:val="auto"/>
        </w:rPr>
      </w:pPr>
      <w:r>
        <w:rPr>
          <w:rFonts w:ascii="Arial" w:cs="Arial" w:eastAsia="Arial" w:hAnsi="Arial"/>
          <w:sz w:val="17"/>
          <w:szCs w:val="17"/>
          <w:color w:val="auto"/>
        </w:rPr>
        <w:t>selected by a majority of the Continuing Directors as to the fairness (or not) of the terms of the action or transaction from a financial point of view to the Remaining Public Shareholders, such investment banking firm to be paid a reasonable fee for its services by the Corporation. The requirements of this paragraph (</w:t>
      </w:r>
      <w:r>
        <w:rPr>
          <w:rFonts w:ascii="Arial" w:cs="Arial" w:eastAsia="Arial" w:hAnsi="Arial"/>
          <w:sz w:val="17"/>
          <w:szCs w:val="17"/>
          <w:color w:val="auto"/>
          <w:strike w:val="1"/>
        </w:rPr>
        <w:t>e</w:t>
      </w:r>
      <w:r>
        <w:rPr>
          <w:rFonts w:ascii="Arial" w:cs="Arial" w:eastAsia="Arial" w:hAnsi="Arial"/>
          <w:sz w:val="17"/>
          <w:szCs w:val="17"/>
          <w:u w:val="single" w:color="auto"/>
          <w:color w:val="auto"/>
        </w:rPr>
        <w:t>d</w:t>
      </w:r>
      <w:r>
        <w:rPr>
          <w:rFonts w:ascii="Arial" w:cs="Arial" w:eastAsia="Arial" w:hAnsi="Arial"/>
          <w:sz w:val="17"/>
          <w:szCs w:val="17"/>
          <w:color w:val="auto"/>
        </w:rPr>
        <w:t>) shall not apply to any such action or transaction which is approved by a majority of the Continuing Directors.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auto"/>
          <w:strike w:val="1"/>
        </w:rPr>
        <w:t>f</w:t>
      </w:r>
      <w:r>
        <w:rPr>
          <w:rFonts w:ascii="Arial" w:cs="Arial" w:eastAsia="Arial" w:hAnsi="Arial"/>
          <w:sz w:val="17"/>
          <w:szCs w:val="17"/>
          <w:u w:val="single" w:color="auto"/>
          <w:color w:val="auto"/>
        </w:rPr>
        <w:t>e</w:t>
      </w:r>
      <w:r>
        <w:rPr>
          <w:rFonts w:ascii="Arial" w:cs="Arial" w:eastAsia="Arial" w:hAnsi="Arial"/>
          <w:sz w:val="17"/>
          <w:szCs w:val="17"/>
          <w:color w:val="auto"/>
        </w:rPr>
        <w:t>) For the purpose of this Article 13</w:t>
      </w:r>
    </w:p>
    <w:p>
      <w:pPr>
        <w:spacing w:after="0" w:line="210" w:lineRule="exact"/>
        <w:rPr>
          <w:sz w:val="20"/>
          <w:szCs w:val="20"/>
          <w:color w:val="auto"/>
        </w:rPr>
      </w:pPr>
    </w:p>
    <w:p>
      <w:pPr>
        <w:ind w:left="640" w:right="1039" w:firstLine="5"/>
        <w:spacing w:after="0" w:line="254" w:lineRule="auto"/>
        <w:tabs>
          <w:tab w:leader="none" w:pos="839"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term "Related Person" shall mean any other corporation, person, or entity which beneficially owns or controls, directly or indirectly, 5% or more of the outstanding shares of Voting Stock, and any Affiliate or Associate (as those terms are defined in the General Rules and Regulations under the Securities Exchange Act of 1934) of a Related Person; provided, however, that the term Related Person shall not include (a) the Corporation or any of its subsidiaries, (b) any profit-sharing, employee stock ownership or other employee benefit plan of the Corporation or any subsidiary of the Corporation or any trustee of or fiduciary with respect to any such plan when acting in such capacity, or (c) Lilly Endowment, Inc.; and further provided, that no corporation, person, or entity shall be deemed to be a Related Person solely by reason of being an Affiliate or Associate of Lilly Endowment, Inc.;</w:t>
      </w:r>
    </w:p>
    <w:p>
      <w:pPr>
        <w:spacing w:after="0" w:line="190" w:lineRule="exact"/>
        <w:rPr>
          <w:rFonts w:ascii="Arial" w:cs="Arial" w:eastAsia="Arial" w:hAnsi="Arial"/>
          <w:sz w:val="17"/>
          <w:szCs w:val="17"/>
          <w:color w:val="auto"/>
        </w:rPr>
      </w:pPr>
    </w:p>
    <w:p>
      <w:pPr>
        <w:ind w:left="640" w:right="1059" w:firstLine="5"/>
        <w:spacing w:after="0" w:line="270" w:lineRule="auto"/>
        <w:tabs>
          <w:tab w:leader="none" w:pos="87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 Related Person shall be deemed to own or control, directly or indirectly, any outstanding shares of Voting Stock owned by it or any Affiliate or Associate of record or beneficially, including without limitation shares</w:t>
      </w:r>
    </w:p>
    <w:p>
      <w:pPr>
        <w:spacing w:after="0" w:line="150" w:lineRule="exact"/>
        <w:rPr>
          <w:rFonts w:ascii="Arial" w:cs="Arial" w:eastAsia="Arial" w:hAnsi="Arial"/>
          <w:sz w:val="17"/>
          <w:szCs w:val="17"/>
          <w:color w:val="auto"/>
        </w:rPr>
      </w:pPr>
    </w:p>
    <w:p>
      <w:pPr>
        <w:ind w:left="1300" w:right="1199" w:hanging="7"/>
        <w:spacing w:after="0" w:line="292" w:lineRule="auto"/>
        <w:tabs>
          <w:tab w:leader="none" w:pos="149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which it has the right to acquire pursuant to any agreement, or upon exercise of conversion rights, warrants, or options, or otherwise or</w:t>
      </w:r>
    </w:p>
    <w:p>
      <w:pPr>
        <w:spacing w:after="0" w:line="132" w:lineRule="exact"/>
        <w:rPr>
          <w:rFonts w:ascii="Arial" w:cs="Arial" w:eastAsia="Arial" w:hAnsi="Arial"/>
          <w:sz w:val="17"/>
          <w:szCs w:val="17"/>
          <w:color w:val="auto"/>
        </w:rPr>
      </w:pPr>
    </w:p>
    <w:p>
      <w:pPr>
        <w:ind w:left="1300" w:right="1099" w:hanging="7"/>
        <w:spacing w:after="0" w:line="259" w:lineRule="auto"/>
        <w:tabs>
          <w:tab w:leader="none" w:pos="149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which are beneficially owned, directly or indirectly (including shares deemed owned through application of clause a. above), by any other corporation, person, or other entity with which it or its Affiliate or Associate has any agreement, arrangement, or understanding for the purpose of acquiring, holding, voting, or disposing of Voting Stock, or which is its Affiliate (other than the Corporation) or Associate (other than the Corporation);</w:t>
      </w:r>
    </w:p>
    <w:p>
      <w:pPr>
        <w:spacing w:after="0" w:line="160" w:lineRule="exact"/>
        <w:rPr>
          <w:rFonts w:ascii="Arial" w:cs="Arial" w:eastAsia="Arial" w:hAnsi="Arial"/>
          <w:sz w:val="17"/>
          <w:szCs w:val="17"/>
          <w:color w:val="auto"/>
        </w:rPr>
      </w:pPr>
    </w:p>
    <w:p>
      <w:pPr>
        <w:ind w:left="640" w:right="1219" w:firstLine="5"/>
        <w:spacing w:after="0" w:line="292" w:lineRule="auto"/>
        <w:tabs>
          <w:tab w:leader="none" w:pos="91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term "Voting Stock" shall mean all shares of any class of capital stock of the Corporation which are entitled to vote generally in the election of directors;</w:t>
      </w:r>
    </w:p>
    <w:p>
      <w:pPr>
        <w:spacing w:after="0" w:line="132" w:lineRule="exact"/>
        <w:rPr>
          <w:rFonts w:ascii="Arial" w:cs="Arial" w:eastAsia="Arial" w:hAnsi="Arial"/>
          <w:sz w:val="17"/>
          <w:szCs w:val="17"/>
          <w:color w:val="auto"/>
        </w:rPr>
      </w:pPr>
    </w:p>
    <w:p>
      <w:pPr>
        <w:ind w:left="640" w:right="1039" w:firstLine="5"/>
        <w:spacing w:after="0" w:line="259" w:lineRule="auto"/>
        <w:tabs>
          <w:tab w:leader="none" w:pos="92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term "Continuing Director" shall mean a director who is not an Affiliate or Associate or representative of a Related Person and who was a member of the Board of Directors of the Corporation immediately prior to the time that any Related Person involved in the proposed action or transaction became a Related Person or a director who is not an Affiliate or Associate or representative of a Related Person and who was nominated by a majority of the remaining Continuing Directors; and</w:t>
      </w:r>
    </w:p>
    <w:p>
      <w:pPr>
        <w:spacing w:after="0" w:line="160" w:lineRule="exact"/>
        <w:rPr>
          <w:rFonts w:ascii="Arial" w:cs="Arial" w:eastAsia="Arial" w:hAnsi="Arial"/>
          <w:sz w:val="17"/>
          <w:szCs w:val="17"/>
          <w:color w:val="auto"/>
        </w:rPr>
      </w:pPr>
    </w:p>
    <w:p>
      <w:pPr>
        <w:ind w:left="640" w:right="1179" w:firstLine="5"/>
        <w:spacing w:after="0" w:line="292" w:lineRule="auto"/>
        <w:tabs>
          <w:tab w:leader="none" w:pos="88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term "Remaining Public Shareholders" shall mean the holders of the Corporation's capital stock other than the Related Person.</w:t>
      </w:r>
    </w:p>
    <w:p>
      <w:pPr>
        <w:spacing w:after="0" w:line="132" w:lineRule="exact"/>
        <w:rPr>
          <w:sz w:val="20"/>
          <w:szCs w:val="20"/>
          <w:color w:val="auto"/>
        </w:rPr>
      </w:pPr>
    </w:p>
    <w:p>
      <w:pPr>
        <w:ind w:right="103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auto"/>
          <w:strike w:val="1"/>
        </w:rPr>
        <w:t>g</w:t>
      </w:r>
      <w:r>
        <w:rPr>
          <w:rFonts w:ascii="Arial" w:cs="Arial" w:eastAsia="Arial" w:hAnsi="Arial"/>
          <w:sz w:val="17"/>
          <w:szCs w:val="17"/>
          <w:u w:val="single" w:color="auto"/>
          <w:color w:val="auto"/>
        </w:rPr>
        <w:t>f</w:t>
      </w:r>
      <w:r>
        <w:rPr>
          <w:rFonts w:ascii="Arial" w:cs="Arial" w:eastAsia="Arial" w:hAnsi="Arial"/>
          <w:sz w:val="17"/>
          <w:szCs w:val="17"/>
          <w:color w:val="auto"/>
        </w:rPr>
        <w:t>) A majority of the Continuing Directors of the Corporation shall have the power and duty to determine for the purposes of this Article 13, on the basis of information then known to the Continuing Directors, whether (i) any Related Person exists or is an Affiliate or an Associate of another and (ii) any proposed sale, lease, exchange, or other disposition of part of the assets of the Corporation or any majority-owned subsidiary involves a substantial part of the assets of the Corporation or any of its subsidiaries. Any such determination by the Continuing Directors shall be conclusive and binding for all purposes.</w:t>
      </w:r>
    </w:p>
    <w:p>
      <w:pPr>
        <w:spacing w:after="0" w:line="162" w:lineRule="exact"/>
        <w:rPr>
          <w:sz w:val="20"/>
          <w:szCs w:val="20"/>
          <w:color w:val="auto"/>
        </w:rPr>
      </w:pPr>
    </w:p>
    <w:p>
      <w:pPr>
        <w:ind w:right="1519"/>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auto"/>
          <w:strike w:val="1"/>
        </w:rPr>
        <w:t>h</w:t>
      </w:r>
      <w:r>
        <w:rPr>
          <w:rFonts w:ascii="Arial" w:cs="Arial" w:eastAsia="Arial" w:hAnsi="Arial"/>
          <w:sz w:val="17"/>
          <w:szCs w:val="17"/>
          <w:u w:val="single" w:color="auto"/>
          <w:color w:val="auto"/>
        </w:rPr>
        <w:t>g</w:t>
      </w:r>
      <w:r>
        <w:rPr>
          <w:rFonts w:ascii="Arial" w:cs="Arial" w:eastAsia="Arial" w:hAnsi="Arial"/>
          <w:sz w:val="17"/>
          <w:szCs w:val="17"/>
          <w:color w:val="auto"/>
        </w:rPr>
        <w:t>) Nothing contained in this Article 13 shall be construed to relieve any Related Person or any Affiliate or Associate of any Related Person from any fiduciary obligation imposed by law.</w:t>
      </w:r>
    </w:p>
    <w:p>
      <w:pPr>
        <w:spacing w:after="0" w:line="132" w:lineRule="exact"/>
        <w:rPr>
          <w:sz w:val="20"/>
          <w:szCs w:val="20"/>
          <w:color w:val="auto"/>
        </w:rPr>
      </w:pPr>
    </w:p>
    <w:p>
      <w:pPr>
        <w:ind w:right="95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auto"/>
          <w:strike w:val="1"/>
        </w:rPr>
        <w:t>i</w:t>
      </w:r>
      <w:r>
        <w:rPr>
          <w:rFonts w:ascii="Arial" w:cs="Arial" w:eastAsia="Arial" w:hAnsi="Arial"/>
          <w:sz w:val="17"/>
          <w:szCs w:val="17"/>
          <w:u w:val="single" w:color="auto"/>
          <w:color w:val="auto"/>
        </w:rPr>
        <w:t>h</w:t>
      </w:r>
      <w:r>
        <w:rPr>
          <w:rFonts w:ascii="Arial" w:cs="Arial" w:eastAsia="Arial" w:hAnsi="Arial"/>
          <w:sz w:val="17"/>
          <w:szCs w:val="17"/>
          <w:color w:val="auto"/>
        </w:rPr>
        <w:t>) The fact that any action or transaction complies with the provisions of this Article 13 shall not be construed to waive or satisfy any other requirement of law or these Amended Articles of Incorporation or to impose any fiduciary duty, obligation, or responsibility on the Board of Directors or any member thereof, to approve such action or transaction or recommend its adoption or approval to the shareholders of the Corporation, nor shall such compliance limit, prohibit, or otherwise restrict in any manner the Board of Directors, or any member thereof, with respect to evaluations of or actions and responses taken with respect to such action or transaction. The Board of Directors of the Corporation, when evaluating any actions or transactions described in paragraph (a) of this Article 13, shall, in connection with the exercise of its judgment in determining what is in the best interests</w:t>
      </w:r>
    </w:p>
    <w:p>
      <w:pPr>
        <w:spacing w:after="0" w:line="209"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P81</w:t>
      </w:r>
    </w:p>
    <w:p>
      <w:pPr>
        <w:sectPr>
          <w:pgSz w:w="11900" w:h="16838" w:orient="portrait"/>
          <w:cols w:equalWidth="0" w:num="1">
            <w:col w:w="9559"/>
          </w:cols>
          <w:pgMar w:left="900" w:top="557" w:right="1440" w:bottom="1440" w:gutter="0" w:footer="0" w:header="0"/>
        </w:sectPr>
      </w:pPr>
    </w:p>
    <w:bookmarkStart w:id="85" w:name="page86"/>
    <w:bookmarkEnd w:id="85"/>
    <w:p>
      <w:pPr>
        <w:ind w:left="4" w:right="1079"/>
        <w:spacing w:after="0" w:line="263" w:lineRule="auto"/>
        <w:rPr>
          <w:sz w:val="20"/>
          <w:szCs w:val="20"/>
          <w:color w:val="auto"/>
        </w:rPr>
      </w:pPr>
      <w:r>
        <w:rPr>
          <w:rFonts w:ascii="Arial" w:cs="Arial" w:eastAsia="Arial" w:hAnsi="Arial"/>
          <w:sz w:val="17"/>
          <w:szCs w:val="17"/>
          <w:color w:val="auto"/>
        </w:rPr>
        <w:t>of the Corporation and its shareholders, give due consideration to all relevant factors, including without limitation the social and economic effects on the employees, customers, suppliers, and other constituents of the Corporation and its subsidiaries and on the communities in which the Corporation and its subsidiaries operate or are located.</w:t>
      </w:r>
    </w:p>
    <w:p>
      <w:pPr>
        <w:spacing w:after="0" w:line="156" w:lineRule="exact"/>
        <w:rPr>
          <w:sz w:val="20"/>
          <w:szCs w:val="20"/>
          <w:color w:val="auto"/>
        </w:rPr>
      </w:pPr>
    </w:p>
    <w:p>
      <w:pPr>
        <w:ind w:left="4" w:right="1239" w:hanging="4"/>
        <w:spacing w:after="0" w:line="259" w:lineRule="auto"/>
        <w:tabs>
          <w:tab w:leader="none" w:pos="203" w:val="left"/>
        </w:tabs>
        <w:numPr>
          <w:ilvl w:val="0"/>
          <w:numId w:val="109"/>
        </w:numPr>
        <w:rPr>
          <w:rFonts w:ascii="Arial" w:cs="Arial" w:eastAsia="Arial" w:hAnsi="Arial"/>
          <w:sz w:val="17"/>
          <w:szCs w:val="17"/>
          <w:color w:val="auto"/>
          <w:strike w:val="1"/>
        </w:rPr>
      </w:pPr>
      <w:r>
        <w:rPr>
          <w:rFonts w:ascii="Arial" w:cs="Arial" w:eastAsia="Arial" w:hAnsi="Arial"/>
          <w:sz w:val="17"/>
          <w:szCs w:val="17"/>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the holders of at least 80% of the votes entitled to be cast by holders of all the outstanding shares of Voting Stock, voting together as a single class, shall be required to alter, amend, or repeal this Article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04"/>
        <w:spacing w:after="0"/>
        <w:rPr>
          <w:sz w:val="20"/>
          <w:szCs w:val="20"/>
          <w:color w:val="auto"/>
        </w:rPr>
      </w:pPr>
      <w:r>
        <w:rPr>
          <w:rFonts w:ascii="Arial" w:cs="Arial" w:eastAsia="Arial" w:hAnsi="Arial"/>
          <w:sz w:val="17"/>
          <w:szCs w:val="17"/>
          <w:color w:val="auto"/>
        </w:rPr>
        <w:t>P82</w:t>
      </w:r>
    </w:p>
    <w:p>
      <w:pPr>
        <w:sectPr>
          <w:pgSz w:w="11900" w:h="16838" w:orient="portrait"/>
          <w:cols w:equalWidth="0" w:num="1">
            <w:col w:w="9563"/>
          </w:cols>
          <w:pgMar w:left="896" w:top="557" w:right="1440" w:bottom="1440" w:gutter="0" w:footer="0" w:header="0"/>
        </w:sectPr>
      </w:pPr>
    </w:p>
    <w:bookmarkStart w:id="86" w:name="page87"/>
    <w:bookmarkEnd w:id="86"/>
    <w:p>
      <w:pPr>
        <w:spacing w:after="0"/>
        <w:rPr>
          <w:sz w:val="20"/>
          <w:szCs w:val="20"/>
          <w:color w:val="auto"/>
        </w:rPr>
      </w:pPr>
      <w:r>
        <w:rPr>
          <w:rFonts w:ascii="Arial" w:cs="Arial" w:eastAsia="Arial" w:hAnsi="Arial"/>
          <w:sz w:val="27"/>
          <w:szCs w:val="27"/>
          <w:b w:val="1"/>
          <w:bCs w:val="1"/>
          <w:color w:val="EF3729"/>
        </w:rPr>
        <w:t>Directions and Parking</w:t>
      </w:r>
    </w:p>
    <w:p>
      <w:pPr>
        <w:spacing w:after="0" w:line="3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From I-70 take Exit 79B; follow signs to McCarty Street. Turn right (east) on McCarty Street; go straight into Lilly Corporate Center. You will be directed to parking. Parking will be available on a first-come, first-served basis in the garage. Entrance to the Lilly Center Auditorium is adjacent to the parking garage.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548630" cy="258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4863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P83</w:t>
      </w:r>
    </w:p>
    <w:p>
      <w:pPr>
        <w:sectPr>
          <w:pgSz w:w="11900" w:h="16838" w:orient="portrait"/>
          <w:cols w:equalWidth="0" w:num="1">
            <w:col w:w="11360"/>
          </w:cols>
          <w:pgMar w:left="240" w:top="938" w:right="299" w:bottom="1440"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5866130" cy="75380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3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5866130" cy="74783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478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5866130" cy="74783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478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5866130" cy="7520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209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x"/>
      <w:numFmt w:val="bullet"/>
      <w:start w:val="1"/>
    </w:lvl>
  </w:abstractNum>
  <w:abstractNum w:abstractNumId="1">
    <w:nsid w:val="649BB77C"/>
    <w:multiLevelType w:val="hybridMultilevel"/>
    <w:lvl w:ilvl="0">
      <w:lvlJc w:val="left"/>
      <w:lvlText w:val="o"/>
      <w:numFmt w:val="bullet"/>
      <w:start w:val="1"/>
    </w:lvl>
  </w:abstractNum>
  <w:abstractNum w:abstractNumId="2">
    <w:nsid w:val="275AC794"/>
    <w:multiLevelType w:val="hybridMultilevel"/>
    <w:lvl w:ilvl="0">
      <w:lvlJc w:val="left"/>
      <w:lvlText w:val="o"/>
      <w:numFmt w:val="bullet"/>
      <w:start w:val="1"/>
    </w:lvl>
    <w:lvl w:ilvl="1">
      <w:lvlJc w:val="left"/>
      <w:lvlText w:val="(%2)"/>
      <w:numFmt w:val="decimal"/>
      <w:start w:val="1"/>
    </w:lvl>
  </w:abstractNum>
  <w:abstractNum w:abstractNumId="3">
    <w:nsid w:val="39386575"/>
    <w:multiLevelType w:val="hybridMultilevel"/>
    <w:lvl w:ilvl="0">
      <w:lvlJc w:val="left"/>
      <w:lvlText w:val="o"/>
      <w:numFmt w:val="bullet"/>
      <w:start w:val="1"/>
    </w:lvl>
    <w:lvl w:ilvl="1">
      <w:lvlJc w:val="left"/>
      <w:lvlText w:val="(%2)"/>
      <w:numFmt w:val="decimal"/>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ü"/>
      <w:numFmt w:val="bullet"/>
      <w:start w:val="1"/>
    </w:lvl>
  </w:abstractNum>
  <w:abstractNum w:abstractNumId="8">
    <w:nsid w:val="354FE9F9"/>
    <w:multiLevelType w:val="hybridMultilevel"/>
    <w:lvl w:ilvl="0">
      <w:lvlJc w:val="left"/>
      <w:lvlText w:val="ü"/>
      <w:numFmt w:val="bullet"/>
      <w:start w:val="1"/>
    </w:lvl>
  </w:abstractNum>
  <w:abstractNum w:abstractNumId="9">
    <w:nsid w:val="15B5AF5C"/>
    <w:multiLevelType w:val="hybridMultilevel"/>
    <w:lvl w:ilvl="0">
      <w:lvlJc w:val="left"/>
      <w:lvlText w:val="ü"/>
      <w:numFmt w:val="bullet"/>
      <w:start w:val="1"/>
    </w:lvl>
  </w:abstractNum>
  <w:abstractNum w:abstractNumId="10">
    <w:nsid w:val="741226BB"/>
    <w:multiLevelType w:val="hybridMultilevel"/>
    <w:lvl w:ilvl="0">
      <w:lvlJc w:val="left"/>
      <w:lvlText w:val="ü"/>
      <w:numFmt w:val="bullet"/>
      <w:start w:val="1"/>
    </w:lvl>
  </w:abstractNum>
  <w:abstractNum w:abstractNumId="11">
    <w:nsid w:val="D34B6A8"/>
    <w:multiLevelType w:val="hybridMultilevel"/>
    <w:lvl w:ilvl="0">
      <w:lvlJc w:val="left"/>
      <w:lvlText w:val="ü"/>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lvl w:ilvl="1">
      <w:lvlJc w:val="left"/>
      <w:lvlText w:val="-"/>
      <w:numFmt w:val="bullet"/>
      <w:start w:val="1"/>
    </w:lvl>
  </w:abstractNum>
  <w:abstractNum w:abstractNumId="14">
    <w:nsid w:val="61574095"/>
    <w:multiLevelType w:val="hybridMultilevel"/>
    <w:lvl w:ilvl="0">
      <w:lvlJc w:val="left"/>
      <w:lvlText w:val="•"/>
      <w:numFmt w:val="bullet"/>
      <w:start w:val="1"/>
    </w:lvl>
    <w:lvl w:ilvl="1">
      <w:lvlJc w:val="left"/>
      <w:lvlText w:val="-"/>
      <w:numFmt w:val="bullet"/>
      <w:start w:val="1"/>
    </w:lvl>
  </w:abstractNum>
  <w:abstractNum w:abstractNumId="15">
    <w:nsid w:val="7E0C57B1"/>
    <w:multiLevelType w:val="hybridMultilevel"/>
    <w:lvl w:ilvl="0">
      <w:lvlJc w:val="left"/>
      <w:lvlText w:val="•"/>
      <w:numFmt w:val="bullet"/>
      <w:start w:val="1"/>
    </w:lvl>
    <w:lvl w:ilvl="1">
      <w:lvlJc w:val="left"/>
      <w:lvlText w:val="-"/>
      <w:numFmt w:val="bullet"/>
      <w:start w:val="1"/>
    </w:lvl>
  </w:abstractNum>
  <w:abstractNum w:abstractNumId="16">
    <w:nsid w:val="77AE35EB"/>
    <w:multiLevelType w:val="hybridMultilevel"/>
    <w:lvl w:ilvl="0">
      <w:lvlJc w:val="left"/>
      <w:lvlText w:val="•"/>
      <w:numFmt w:val="bullet"/>
      <w:start w:val="1"/>
    </w:lvl>
    <w:lvl w:ilvl="1">
      <w:lvlJc w:val="left"/>
      <w:lvlText w:val="-"/>
      <w:numFmt w:val="bullet"/>
      <w:start w:val="1"/>
    </w:lvl>
  </w:abstractNum>
  <w:abstractNum w:abstractNumId="17">
    <w:nsid w:val="579BE4F1"/>
    <w:multiLevelType w:val="hybridMultilevel"/>
    <w:lvl w:ilvl="0">
      <w:lvlJc w:val="left"/>
      <w:lvlText w:val="•"/>
      <w:numFmt w:val="bullet"/>
      <w:start w:val="1"/>
    </w:lvl>
    <w:lvl w:ilvl="1">
      <w:lvlJc w:val="left"/>
      <w:lvlText w:val="-"/>
      <w:numFmt w:val="bullet"/>
      <w:start w:val="1"/>
    </w:lvl>
  </w:abstractNum>
  <w:abstractNum w:abstractNumId="18">
    <w:nsid w:val="310C50B3"/>
    <w:multiLevelType w:val="hybridMultilevel"/>
    <w:lvl w:ilvl="0">
      <w:lvlJc w:val="left"/>
      <w:lvlText w:val="•"/>
      <w:numFmt w:val="bullet"/>
      <w:start w:val="1"/>
    </w:lvl>
    <w:lvl w:ilvl="1">
      <w:lvlJc w:val="left"/>
      <w:lvlText w:val="-"/>
      <w:numFmt w:val="bullet"/>
      <w:start w:val="1"/>
    </w:lvl>
  </w:abstractNum>
  <w:abstractNum w:abstractNumId="19">
    <w:nsid w:val="5FF87E05"/>
    <w:multiLevelType w:val="hybridMultilevel"/>
    <w:lvl w:ilvl="0">
      <w:lvlJc w:val="left"/>
      <w:lvlText w:val="•"/>
      <w:numFmt w:val="bullet"/>
      <w:start w:val="1"/>
    </w:lvl>
    <w:lvl w:ilvl="1">
      <w:lvlJc w:val="left"/>
      <w:lvlText w:val="-"/>
      <w:numFmt w:val="bullet"/>
      <w:start w:val="1"/>
    </w:lvl>
  </w:abstractNum>
  <w:abstractNum w:abstractNumId="20">
    <w:nsid w:val="2F305DEF"/>
    <w:multiLevelType w:val="hybridMultilevel"/>
    <w:lvl w:ilvl="0">
      <w:lvlJc w:val="left"/>
      <w:lvlText w:val="•"/>
      <w:numFmt w:val="bullet"/>
      <w:start w:val="1"/>
    </w:lvl>
    <w:lvl w:ilvl="1">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lvl w:ilvl="1">
      <w:lvlJc w:val="left"/>
      <w:lvlText w:val="-"/>
      <w:numFmt w:val="bullet"/>
      <w:start w:val="1"/>
    </w:lvl>
  </w:abstractNum>
  <w:abstractNum w:abstractNumId="23">
    <w:nsid w:val="4AD084E9"/>
    <w:multiLevelType w:val="hybridMultilevel"/>
    <w:lvl w:ilvl="0">
      <w:lvlJc w:val="left"/>
      <w:lvlText w:val="•"/>
      <w:numFmt w:val="bullet"/>
      <w:start w:val="1"/>
    </w:lvl>
    <w:lvl w:ilvl="1">
      <w:lvlJc w:val="left"/>
      <w:lvlText w:val="-"/>
      <w:numFmt w:val="bullet"/>
      <w:start w:val="1"/>
    </w:lvl>
  </w:abstractNum>
  <w:abstractNum w:abstractNumId="24">
    <w:nsid w:val="1F48EAA1"/>
    <w:multiLevelType w:val="hybridMultilevel"/>
    <w:lvl w:ilvl="0">
      <w:lvlJc w:val="left"/>
      <w:lvlText w:val="•"/>
      <w:numFmt w:val="bullet"/>
      <w:start w:val="1"/>
    </w:lvl>
    <w:lvl w:ilvl="1">
      <w:lvlJc w:val="left"/>
      <w:lvlText w:val="-"/>
      <w:numFmt w:val="bullet"/>
      <w:start w:val="1"/>
    </w:lvl>
  </w:abstractNum>
  <w:abstractNum w:abstractNumId="25">
    <w:nsid w:val="1381823A"/>
    <w:multiLevelType w:val="hybridMultilevel"/>
    <w:lvl w:ilvl="0">
      <w:lvlJc w:val="left"/>
      <w:lvlText w:val="•"/>
      <w:numFmt w:val="bullet"/>
      <w:start w:val="1"/>
    </w:lvl>
    <w:lvl w:ilvl="1">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lvl w:ilvl="1">
      <w:lvlJc w:val="left"/>
      <w:lvlText w:val="-"/>
      <w:numFmt w:val="bullet"/>
      <w:start w:val="1"/>
    </w:lvl>
  </w:abstractNum>
  <w:abstractNum w:abstractNumId="28">
    <w:nsid w:val="6590700B"/>
    <w:multiLevelType w:val="hybridMultilevel"/>
    <w:lvl w:ilvl="0">
      <w:lvlJc w:val="left"/>
      <w:lvlText w:val="(%1)"/>
      <w:numFmt w:val="lowerRoman"/>
      <w:start w:val="1"/>
    </w:lvl>
  </w:abstractNum>
  <w:abstractNum w:abstractNumId="29">
    <w:nsid w:val="15014ACB"/>
    <w:multiLevelType w:val="hybridMultilevel"/>
    <w:lvl w:ilvl="0">
      <w:lvlJc w:val="left"/>
      <w:lvlText w:val="C"/>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lvl w:ilvl="1">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6"/>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
      <w:numFmt w:val="bullet"/>
      <w:start w:val="1"/>
    </w:lvl>
    <w:lvl w:ilvl="1">
      <w:lvlJc w:val="left"/>
      <w:lvlText w:val="•"/>
      <w:numFmt w:val="bullet"/>
      <w:start w:val="1"/>
    </w:lvl>
  </w:abstractNum>
  <w:abstractNum w:abstractNumId="49">
    <w:nsid w:val="3B0FD379"/>
    <w:multiLevelType w:val="hybridMultilevel"/>
    <w:lvl w:ilvl="0">
      <w:lvlJc w:val="left"/>
      <w:lvlText w:val="•"/>
      <w:numFmt w:val="bullet"/>
      <w:start w:val="1"/>
    </w:lvl>
    <w:lvl w:ilvl="1">
      <w:lvlJc w:val="left"/>
      <w:lvlText w:val="◦"/>
      <w:numFmt w:val="bullet"/>
      <w:start w:val="1"/>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1"/>
      <w:numFmt w:val="bullet"/>
      <w:start w:val="1"/>
    </w:lvl>
  </w:abstractNum>
  <w:abstractNum w:abstractNumId="58">
    <w:nsid w:val="100F59DC"/>
    <w:multiLevelType w:val="hybridMultilevel"/>
    <w:lvl w:ilvl="0">
      <w:lvlJc w:val="left"/>
      <w:lvlText w:val="1"/>
      <w:numFmt w:val="bullet"/>
      <w:start w:val="1"/>
    </w:lvl>
  </w:abstractNum>
  <w:abstractNum w:abstractNumId="59">
    <w:nsid w:val="7FB7E0AA"/>
    <w:multiLevelType w:val="hybridMultilevel"/>
    <w:lvl w:ilvl="0">
      <w:lvlJc w:val="left"/>
      <w:lvlText w:val="1"/>
      <w:numFmt w:val="bullet"/>
      <w:start w:val="1"/>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1."/>
      <w:numFmt w:val="decimal"/>
      <w:start w:val="718"/>
    </w:lvl>
  </w:abstractNum>
  <w:abstractNum w:abstractNumId="67">
    <w:nsid w:val="14E17E33"/>
    <w:multiLevelType w:val="hybridMultilevel"/>
    <w:lvl w:ilvl="0">
      <w:lvlJc w:val="left"/>
      <w:lvlText w:val="1"/>
      <w:numFmt w:val="bullet"/>
      <w:start w:val="1"/>
    </w:lvl>
  </w:abstractNum>
  <w:abstractNum w:abstractNumId="68">
    <w:nsid w:val="3222E7CD"/>
    <w:multiLevelType w:val="hybridMultilevel"/>
    <w:lvl w:ilvl="0">
      <w:lvlJc w:val="left"/>
      <w:lvlText w:val="2"/>
      <w:numFmt w:val="bullet"/>
      <w:start w:val="1"/>
    </w:lvl>
  </w:abstractNum>
  <w:abstractNum w:abstractNumId="69">
    <w:nsid w:val="74DE0EE3"/>
    <w:multiLevelType w:val="hybridMultilevel"/>
    <w:lvl w:ilvl="0">
      <w:lvlJc w:val="left"/>
      <w:lvlText w:val="3"/>
      <w:numFmt w:val="bullet"/>
      <w:start w:val="1"/>
    </w:lvl>
  </w:abstractNum>
  <w:abstractNum w:abstractNumId="70">
    <w:nsid w:val="68EBC550"/>
    <w:multiLevelType w:val="hybridMultilevel"/>
    <w:lvl w:ilvl="0">
      <w:lvlJc w:val="left"/>
      <w:lvlText w:val="4"/>
      <w:numFmt w:val="bullet"/>
      <w:start w:val="1"/>
    </w:lvl>
  </w:abstractNum>
  <w:abstractNum w:abstractNumId="71">
    <w:nsid w:val="2DF6D648"/>
    <w:multiLevelType w:val="hybridMultilevel"/>
    <w:lvl w:ilvl="0">
      <w:lvlJc w:val="left"/>
      <w:lvlText w:val="5"/>
      <w:numFmt w:val="bullet"/>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1"/>
      <w:numFmt w:val="bullet"/>
      <w:start w:val="1"/>
    </w:lvl>
  </w:abstractNum>
  <w:abstractNum w:abstractNumId="74">
    <w:nsid w:val="39EE015C"/>
    <w:multiLevelType w:val="hybridMultilevel"/>
    <w:lvl w:ilvl="0">
      <w:lvlJc w:val="left"/>
      <w:lvlText w:val="•"/>
      <w:numFmt w:val="bullet"/>
      <w:start w:val="1"/>
    </w:lvl>
  </w:abstractNum>
  <w:abstractNum w:abstractNumId="75">
    <w:nsid w:val="57FC4FBB"/>
    <w:multiLevelType w:val="hybridMultilevel"/>
    <w:lvl w:ilvl="0">
      <w:lvlJc w:val="left"/>
      <w:lvlText w:val="1"/>
      <w:numFmt w:val="bullet"/>
      <w:start w:val="1"/>
    </w:lvl>
  </w:abstractNum>
  <w:abstractNum w:abstractNumId="76">
    <w:nsid w:val="CC1016F"/>
    <w:multiLevelType w:val="hybridMultilevel"/>
    <w:lvl w:ilvl="0">
      <w:lvlJc w:val="left"/>
      <w:lvlText w:val="2"/>
      <w:numFmt w:val="bullet"/>
      <w:start w:val="1"/>
    </w:lvl>
  </w:abstractNum>
  <w:abstractNum w:abstractNumId="77">
    <w:nsid w:val="43F18422"/>
    <w:multiLevelType w:val="hybridMultilevel"/>
    <w:lvl w:ilvl="0">
      <w:lvlJc w:val="left"/>
      <w:lvlText w:val="3"/>
      <w:numFmt w:val="bullet"/>
      <w:start w:val="1"/>
    </w:lvl>
  </w:abstractNum>
  <w:abstractNum w:abstractNumId="78">
    <w:nsid w:val="60EF0119"/>
    <w:multiLevelType w:val="hybridMultilevel"/>
    <w:lvl w:ilvl="0">
      <w:lvlJc w:val="left"/>
      <w:lvlText w:val="1"/>
      <w:numFmt w:val="bullet"/>
      <w:start w:val="1"/>
    </w:lvl>
  </w:abstractNum>
  <w:abstractNum w:abstractNumId="79">
    <w:nsid w:val="26F324BA"/>
    <w:multiLevelType w:val="hybridMultilevel"/>
    <w:lvl w:ilvl="0">
      <w:lvlJc w:val="left"/>
      <w:lvlText w:val="2"/>
      <w:numFmt w:val="bullet"/>
      <w:start w:val="1"/>
    </w:lvl>
  </w:abstractNum>
  <w:abstractNum w:abstractNumId="80">
    <w:nsid w:val="7F01579B"/>
    <w:multiLevelType w:val="hybridMultilevel"/>
    <w:lvl w:ilvl="0">
      <w:lvlJc w:val="left"/>
      <w:lvlText w:val="3"/>
      <w:numFmt w:val="bullet"/>
      <w:start w:val="1"/>
    </w:lvl>
  </w:abstractNum>
  <w:abstractNum w:abstractNumId="81">
    <w:nsid w:val="49DA307D"/>
    <w:multiLevelType w:val="hybridMultilevel"/>
    <w:lvl w:ilvl="0">
      <w:lvlJc w:val="left"/>
      <w:lvlText w:val="•"/>
      <w:numFmt w:val="bullet"/>
      <w:start w:val="1"/>
    </w:lvl>
  </w:abstractNum>
  <w:abstractNum w:abstractNumId="82">
    <w:nsid w:val="7055A5F5"/>
    <w:multiLevelType w:val="hybridMultilevel"/>
    <w:lvl w:ilvl="0">
      <w:lvlJc w:val="left"/>
      <w:lvlText w:val="•"/>
      <w:numFmt w:val="bullet"/>
      <w:start w:val="1"/>
    </w:lvl>
    <w:lvl w:ilvl="1">
      <w:lvlJc w:val="left"/>
      <w:lvlText w:val="•"/>
      <w:numFmt w:val="bullet"/>
      <w:start w:val="1"/>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
      <w:numFmt w:val="bullet"/>
      <w:start w:val="1"/>
    </w:lvl>
  </w:abstractNum>
  <w:abstractNum w:abstractNumId="86">
    <w:nsid w:val="5FB8011C"/>
    <w:multiLevelType w:val="hybridMultilevel"/>
    <w:lvl w:ilvl="0">
      <w:lvlJc w:val="left"/>
      <w:lvlText w:val="•"/>
      <w:numFmt w:val="bullet"/>
      <w:start w:val="1"/>
    </w:lvl>
  </w:abstractNum>
  <w:abstractNum w:abstractNumId="87">
    <w:nsid w:val="6AA78F7F"/>
    <w:multiLevelType w:val="hybridMultilevel"/>
    <w:lvl w:ilvl="0">
      <w:lvlJc w:val="left"/>
      <w:lvlText w:val="•"/>
      <w:numFmt w:val="bullet"/>
      <w:start w:val="1"/>
    </w:lvl>
  </w:abstractNum>
  <w:abstractNum w:abstractNumId="88">
    <w:nsid w:val="7672BD23"/>
    <w:multiLevelType w:val="hybridMultilevel"/>
    <w:lvl w:ilvl="0">
      <w:lvlJc w:val="left"/>
      <w:lvlText w:val="%1."/>
      <w:numFmt w:val="decimal"/>
      <w:start w:val="1"/>
    </w:lvl>
  </w:abstractNum>
  <w:abstractNum w:abstractNumId="89">
    <w:nsid w:val="6FC75AF8"/>
    <w:multiLevelType w:val="hybridMultilevel"/>
    <w:lvl w:ilvl="0">
      <w:lvlJc w:val="left"/>
      <w:lvlText w:val="•"/>
      <w:numFmt w:val="bullet"/>
      <w:start w:val="1"/>
    </w:lvl>
  </w:abstractNum>
  <w:abstractNum w:abstractNumId="90">
    <w:nsid w:val="6A5F7029"/>
    <w:multiLevelType w:val="hybridMultilevel"/>
    <w:lvl w:ilvl="0">
      <w:lvlJc w:val="left"/>
      <w:lvlText w:val="•"/>
      <w:numFmt w:val="bullet"/>
      <w:start w:val="1"/>
    </w:lvl>
  </w:abstractNum>
  <w:abstractNum w:abstractNumId="91">
    <w:nsid w:val="7D5E18F8"/>
    <w:multiLevelType w:val="hybridMultilevel"/>
    <w:lvl w:ilvl="0">
      <w:lvlJc w:val="left"/>
      <w:lvlText w:val="•"/>
      <w:numFmt w:val="bullet"/>
      <w:start w:val="1"/>
    </w:lvl>
  </w:abstractNum>
  <w:abstractNum w:abstractNumId="92">
    <w:nsid w:val="5F3534A4"/>
    <w:multiLevelType w:val="hybridMultilevel"/>
    <w:lvl w:ilvl="0">
      <w:lvlJc w:val="left"/>
      <w:lvlText w:val="•"/>
      <w:numFmt w:val="bullet"/>
      <w:start w:val="1"/>
    </w:lvl>
  </w:abstractNum>
  <w:abstractNum w:abstractNumId="93">
    <w:nsid w:val="73A1821B"/>
    <w:multiLevelType w:val="hybridMultilevel"/>
    <w:lvl w:ilvl="0">
      <w:lvlJc w:val="left"/>
      <w:lvlText w:val="•"/>
      <w:numFmt w:val="bullet"/>
      <w:start w:val="1"/>
    </w:lvl>
  </w:abstractNum>
  <w:abstractNum w:abstractNumId="94">
    <w:nsid w:val="7DE67713"/>
    <w:multiLevelType w:val="hybridMultilevel"/>
    <w:lvl w:ilvl="0">
      <w:lvlJc w:val="left"/>
      <w:lvlText w:val="•"/>
      <w:numFmt w:val="bullet"/>
      <w:start w:val="1"/>
    </w:lvl>
  </w:abstractNum>
  <w:abstractNum w:abstractNumId="95">
    <w:nsid w:val="555C55B5"/>
    <w:multiLevelType w:val="hybridMultilevel"/>
    <w:lvl w:ilvl="0">
      <w:lvlJc w:val="left"/>
      <w:lvlText w:val="•"/>
      <w:numFmt w:val="bullet"/>
      <w:start w:val="1"/>
    </w:lvl>
  </w:abstractNum>
  <w:abstractNum w:abstractNumId="96">
    <w:nsid w:val="3FA62ACA"/>
    <w:multiLevelType w:val="hybridMultilevel"/>
    <w:lvl w:ilvl="0">
      <w:lvlJc w:val="left"/>
      <w:lvlText w:val="•"/>
      <w:numFmt w:val="bullet"/>
      <w:start w:val="1"/>
    </w:lvl>
  </w:abstractNum>
  <w:abstractNum w:abstractNumId="97">
    <w:nsid w:val="14FCE74E"/>
    <w:multiLevelType w:val="hybridMultilevel"/>
    <w:lvl w:ilvl="0">
      <w:lvlJc w:val="left"/>
      <w:lvlText w:val="•"/>
      <w:numFmt w:val="bullet"/>
      <w:start w:val="1"/>
    </w:lvl>
  </w:abstractNum>
  <w:abstractNum w:abstractNumId="98">
    <w:nsid w:val="6A3DD3E8"/>
    <w:multiLevelType w:val="hybridMultilevel"/>
    <w:lvl w:ilvl="0">
      <w:lvlJc w:val="left"/>
      <w:lvlText w:val="•"/>
      <w:numFmt w:val="bullet"/>
      <w:start w:val="1"/>
    </w:lvl>
  </w:abstractNum>
  <w:abstractNum w:abstractNumId="99">
    <w:nsid w:val="71C91298"/>
    <w:multiLevelType w:val="hybridMultilevel"/>
    <w:lvl w:ilvl="0">
      <w:lvlJc w:val="left"/>
      <w:lvlText w:val="%1."/>
      <w:numFmt w:val="decimal"/>
      <w:start w:val="9"/>
    </w:lvl>
  </w:abstractNum>
  <w:abstractNum w:abstractNumId="100">
    <w:nsid w:val="9DAF632"/>
    <w:multiLevelType w:val="hybridMultilevel"/>
    <w:lvl w:ilvl="0">
      <w:lvlJc w:val="left"/>
      <w:lvlText w:val="(%1)"/>
      <w:numFmt w:val="lowerLetter"/>
      <w:start w:val="1"/>
    </w:lvl>
  </w:abstractNum>
  <w:abstractNum w:abstractNumId="101">
    <w:nsid w:val="53299938"/>
    <w:multiLevelType w:val="hybridMultilevel"/>
    <w:lvl w:ilvl="0">
      <w:lvlJc w:val="left"/>
      <w:lvlText w:val="%1"/>
      <w:numFmt w:val="decimal"/>
      <w:start w:val="1"/>
    </w:lvl>
    <w:lvl w:ilvl="1">
      <w:lvlJc w:val="left"/>
      <w:lvlText w:val="(%2)"/>
      <w:numFmt w:val="lowerLetter"/>
      <w:start w:val="4"/>
    </w:lvl>
  </w:abstractNum>
  <w:abstractNum w:abstractNumId="102">
    <w:nsid w:val="1FBFE8E0"/>
    <w:multiLevelType w:val="hybridMultilevel"/>
    <w:lvl w:ilvl="0">
      <w:lvlJc w:val="left"/>
      <w:lvlText w:val="%1."/>
      <w:numFmt w:val="decimal"/>
      <w:start w:val="13"/>
    </w:lvl>
    <w:lvl w:ilvl="1">
      <w:lvlJc w:val="left"/>
      <w:lvlText w:val="(%2)"/>
      <w:numFmt w:val="lowerLetter"/>
      <w:start w:val="1"/>
    </w:lvl>
  </w:abstractNum>
  <w:abstractNum w:abstractNumId="103">
    <w:nsid w:val="5092CA79"/>
    <w:multiLevelType w:val="hybridMultilevel"/>
    <w:lvl w:ilvl="0">
      <w:lvlJc w:val="left"/>
      <w:lvlText w:val="(%1)"/>
      <w:numFmt w:val="lowerRoman"/>
      <w:start w:val="1"/>
    </w:lvl>
  </w:abstractNum>
  <w:abstractNum w:abstractNumId="104">
    <w:nsid w:val="1D545C4D"/>
    <w:multiLevelType w:val="hybridMultilevel"/>
    <w:lvl w:ilvl="0">
      <w:lvlJc w:val="left"/>
      <w:lvlText w:val="%1"/>
      <w:numFmt w:val="lowerLetter"/>
      <w:start w:val="1"/>
    </w:lvl>
    <w:lvl w:ilvl="1">
      <w:lvlJc w:val="left"/>
      <w:lvlText w:val="(%2)"/>
      <w:numFmt w:val="lowerRoman"/>
      <w:start w:val="6"/>
    </w:lvl>
  </w:abstractNum>
  <w:abstractNum w:abstractNumId="105">
    <w:nsid w:val="59ADEA3D"/>
    <w:multiLevelType w:val="hybridMultilevel"/>
    <w:lvl w:ilvl="0">
      <w:lvlJc w:val="left"/>
      <w:lvlText w:val="(%1)"/>
      <w:numFmt w:val="lowerLetter"/>
      <w:start w:val="2"/>
    </w:lvl>
    <w:lvl w:ilvl="1">
      <w:lvlJc w:val="left"/>
      <w:lvlText w:val="%2"/>
      <w:numFmt w:val="lowerRoman"/>
      <w:start w:val="1"/>
    </w:lvl>
  </w:abstractNum>
  <w:abstractNum w:abstractNumId="106">
    <w:nsid w:val="288F1A34"/>
    <w:multiLevelType w:val="hybridMultilevel"/>
    <w:lvl w:ilvl="0">
      <w:lvlJc w:val="left"/>
      <w:lvlText w:val="(%1)"/>
      <w:numFmt w:val="lowerRoman"/>
      <w:start w:val="1"/>
    </w:lvl>
  </w:abstractNum>
  <w:abstractNum w:abstractNumId="107">
    <w:nsid w:val="2A155DBC"/>
    <w:multiLevelType w:val="hybridMultilevel"/>
    <w:lvl w:ilvl="0">
      <w:lvlJc w:val="left"/>
      <w:lvlText w:val="(%1)"/>
      <w:numFmt w:val="lowerRoman"/>
      <w:start w:val="1"/>
    </w:lvl>
    <w:lvl w:ilvl="1">
      <w:lvlJc w:val="left"/>
      <w:lvlText w:val="%2."/>
      <w:numFmt w:val="lowerLetter"/>
      <w:start w:val="1"/>
    </w:lvl>
  </w:abstractNum>
  <w:abstractNum w:abstractNumId="108">
    <w:nsid w:val="1D9F6E5F"/>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2019-12-04T23:23:08Z</dcterms:created>
  <dcterms:modified xsi:type="dcterms:W3CDTF">2019-12-04T23:23:08Z</dcterms:modified>
</cp:coreProperties>
</file>