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2023</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001-06351</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1900" w:type="dxa"/>
        <w:tblCellMar>
          <w:top w:w="0" w:type="dxa"/>
          <w:left w:w="0" w:type="dxa"/>
          <w:bottom w:w="0" w:type="dxa"/>
          <w:right w:w="0" w:type="dxa"/>
        </w:tblCellMar>
      </w:tblPr>
      <w:tr>
        <w:trPr>
          <w:trHeight w:val="190"/>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Indiana</w:t>
            </w:r>
          </w:p>
        </w:tc>
        <w:tc>
          <w:tcPr>
            <w:tcW w:w="3000" w:type="dxa"/>
            <w:vAlign w:val="bottom"/>
          </w:tcPr>
          <w:p>
            <w:pPr>
              <w:ind w:left="1900"/>
              <w:spacing w:after="0"/>
              <w:rPr>
                <w:sz w:val="20"/>
                <w:szCs w:val="20"/>
                <w:color w:val="auto"/>
              </w:rPr>
            </w:pPr>
            <w:r>
              <w:rPr>
                <w:rFonts w:ascii="Arial" w:cs="Arial" w:eastAsia="Arial" w:hAnsi="Arial"/>
                <w:sz w:val="14"/>
                <w:szCs w:val="14"/>
                <w:color w:val="auto"/>
              </w:rPr>
              <w:t>35-0470950</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(State or other jurisdiction of</w:t>
            </w:r>
          </w:p>
        </w:tc>
        <w:tc>
          <w:tcPr>
            <w:tcW w:w="3000" w:type="dxa"/>
            <w:vAlign w:val="bottom"/>
          </w:tcPr>
          <w:p>
            <w:pPr>
              <w:ind w:left="1920"/>
              <w:spacing w:after="0"/>
              <w:rPr>
                <w:sz w:val="20"/>
                <w:szCs w:val="20"/>
                <w:color w:val="auto"/>
              </w:rPr>
            </w:pPr>
            <w:r>
              <w:rPr>
                <w:rFonts w:ascii="Arial" w:cs="Arial" w:eastAsia="Arial" w:hAnsi="Arial"/>
                <w:sz w:val="14"/>
                <w:szCs w:val="14"/>
                <w:color w:val="auto"/>
              </w:rPr>
              <w:t>(I.R.S. Employer</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incorporation or organization)</w:t>
            </w:r>
          </w:p>
        </w:tc>
        <w:tc>
          <w:tcPr>
            <w:tcW w:w="3000" w:type="dxa"/>
            <w:vAlign w:val="bottom"/>
          </w:tcPr>
          <w:p>
            <w:pPr>
              <w:ind w:left="1880"/>
              <w:spacing w:after="0"/>
              <w:rPr>
                <w:sz w:val="20"/>
                <w:szCs w:val="20"/>
                <w:color w:val="auto"/>
              </w:rPr>
            </w:pPr>
            <w:r>
              <w:rPr>
                <w:rFonts w:ascii="Arial" w:cs="Arial" w:eastAsia="Arial" w:hAnsi="Arial"/>
                <w:sz w:val="14"/>
                <w:szCs w:val="14"/>
                <w:color w:val="auto"/>
              </w:rPr>
              <w:t>Identification No.)</w:t>
            </w: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Lilly Corporate Center, Indianapolis, Indiana 46285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gridSpan w:val="3"/>
          </w:tcPr>
          <w:p>
            <w:pPr>
              <w:ind w:left="10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15"/>
        </w:trPr>
        <w:tc>
          <w:tcPr>
            <w:tcW w:w="30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LLY25</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LLY30</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2"/>
        </w:trPr>
        <w:tc>
          <w:tcPr>
            <w:tcW w:w="30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0.500% Notes due 2033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2043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LLY49A</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1.125% Notes due 2051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LLY51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1.375% Notes due 2061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LLY61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Exchange Act: </w:t>
      </w:r>
      <w:r>
        <w:rPr>
          <w:rFonts w:ascii="Arial" w:cs="Arial" w:eastAsia="Arial" w:hAnsi="Arial"/>
          <w:sz w:val="14"/>
          <w:szCs w:val="14"/>
          <w:color w:val="auto"/>
        </w:rPr>
        <w:t>None</w:t>
      </w:r>
    </w:p>
    <w:p>
      <w:pPr>
        <w:spacing w:after="0" w:line="35" w:lineRule="exact"/>
        <w:rPr>
          <w:sz w:val="24"/>
          <w:szCs w:val="24"/>
          <w:color w:val="auto"/>
        </w:rPr>
      </w:pPr>
    </w:p>
    <w:p>
      <w:pPr>
        <w:ind w:right="3680"/>
        <w:spacing w:after="0" w:line="199"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ind w:right="8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40"/>
        <w:spacing w:after="0" w:line="25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8" w:lineRule="exact"/>
        <w:rPr>
          <w:sz w:val="24"/>
          <w:szCs w:val="24"/>
          <w:color w:val="auto"/>
        </w:rPr>
      </w:pPr>
    </w:p>
    <w:p>
      <w:pPr>
        <w:ind w:right="100"/>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w w:val="94"/>
              </w:rPr>
              <w:t xml:space="preserve">Large accelerated filer </w:t>
            </w:r>
            <w:r>
              <w:rPr>
                <w:rFonts w:ascii="MS PGothic" w:cs="MS PGothic" w:eastAsia="MS PGothic" w:hAnsi="MS PGothic"/>
                <w:sz w:val="13"/>
                <w:szCs w:val="13"/>
                <w:color w:val="auto"/>
                <w:w w:val="94"/>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Smaller reporting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4940" w:type="dxa"/>
            <w:vAlign w:val="bottom"/>
          </w:tcPr>
          <w:p>
            <w:pPr>
              <w:spacing w:after="0"/>
              <w:rPr>
                <w:sz w:val="18"/>
                <w:szCs w:val="18"/>
                <w:color w:val="auto"/>
              </w:rPr>
            </w:pP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Emerging growth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73" w:lineRule="exact"/>
        <w:rPr>
          <w:sz w:val="24"/>
          <w:szCs w:val="24"/>
          <w:color w:val="auto"/>
        </w:rPr>
      </w:pPr>
    </w:p>
    <w:p>
      <w:pPr>
        <w:ind w:right="36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right="34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right="580"/>
        <w:spacing w:after="0" w:line="17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240"/>
        <w:spacing w:after="0" w:line="281" w:lineRule="auto"/>
        <w:rPr>
          <w:sz w:val="20"/>
          <w:szCs w:val="20"/>
          <w:color w:val="auto"/>
        </w:rPr>
      </w:pPr>
      <w:r>
        <w:rPr>
          <w:rFonts w:ascii="Arial" w:cs="Arial" w:eastAsia="Arial" w:hAnsi="Arial"/>
          <w:sz w:val="13"/>
          <w:szCs w:val="13"/>
          <w:color w:val="auto"/>
        </w:rPr>
        <w:t>Aggregate market value of the common equity held by non-affiliates computed by reference to the price at which the common equity was last sold as of the last business day of the Registrant's most recently completed second fiscal quarter: approximately $398,291,000,000.</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Number of shares of common stock outstanding as of February 16, 2024: 950,164,452</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Proxy Statement for the 2024 Annual Meeting of Shareholders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2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Eli Lilly and Company</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Form 10-K</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54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9"/>
              </w:rPr>
              <w:t>For the Year Ended December 31, 2023</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80" w:type="dxa"/>
            <w:vAlign w:val="bottom"/>
            <w:gridSpan w:val="10"/>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 w:type="dxa"/>
            <w:vAlign w:val="bottom"/>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Arial" w:cs="Arial" w:eastAsia="Arial" w:hAnsi="Arial"/>
                <w:sz w:val="18"/>
                <w:szCs w:val="18"/>
                <w:color w:val="0000FF"/>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9"/>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1.</w:t>
            </w:r>
          </w:p>
        </w:tc>
        <w:tc>
          <w:tcPr>
            <w:tcW w:w="700" w:type="dxa"/>
            <w:vAlign w:val="bottom"/>
            <w:gridSpan w:val="2"/>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8060" w:type="dxa"/>
            <w:vAlign w:val="bottom"/>
            <w:gridSpan w:val="22"/>
          </w:tcPr>
          <w:p>
            <w:pPr>
              <w:spacing w:after="0"/>
              <w:rPr>
                <w:sz w:val="24"/>
                <w:szCs w:val="24"/>
                <w:color w:val="auto"/>
              </w:rPr>
            </w:pPr>
          </w:p>
        </w:tc>
        <w:tc>
          <w:tcPr>
            <w:tcW w:w="720" w:type="dxa"/>
            <w:vAlign w:val="bottom"/>
            <w:gridSpan w:val="6"/>
          </w:tcPr>
          <w:p>
            <w:pPr>
              <w:jc w:val="center"/>
              <w:ind w:left="450"/>
              <w:spacing w:after="0"/>
              <w:rPr>
                <w:sz w:val="20"/>
                <w:szCs w:val="20"/>
                <w:color w:val="auto"/>
              </w:rPr>
            </w:pPr>
            <w:r>
              <w:rPr>
                <w:rFonts w:ascii="Arial" w:cs="Arial" w:eastAsia="Arial" w:hAnsi="Arial"/>
                <w:sz w:val="18"/>
                <w:szCs w:val="18"/>
                <w:color w:val="0000FF"/>
                <w:w w:val="99"/>
              </w:rPr>
              <w:t>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1A.</w:t>
            </w:r>
          </w:p>
        </w:tc>
        <w:tc>
          <w:tcPr>
            <w:tcW w:w="620" w:type="dxa"/>
            <w:vAlign w:val="bottom"/>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1B.</w:t>
            </w:r>
          </w:p>
        </w:tc>
        <w:tc>
          <w:tcPr>
            <w:tcW w:w="6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1C.</w:t>
            </w:r>
          </w:p>
        </w:tc>
        <w:tc>
          <w:tcPr>
            <w:tcW w:w="6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rPr>
              <w:t>Cybersecurity</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rPr>
              <w:t>Item 2.</w:t>
            </w:r>
          </w:p>
        </w:tc>
        <w:tc>
          <w:tcPr>
            <w:tcW w:w="62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0000FF"/>
              </w:rPr>
              <w:t>Properties</w:t>
            </w:r>
          </w:p>
        </w:tc>
        <w:tc>
          <w:tcPr>
            <w:tcW w:w="7700" w:type="dxa"/>
            <w:vAlign w:val="bottom"/>
            <w:gridSpan w:val="18"/>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3.</w:t>
            </w:r>
          </w:p>
        </w:tc>
        <w:tc>
          <w:tcPr>
            <w:tcW w:w="6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300" w:type="dxa"/>
            <w:vAlign w:val="bottom"/>
            <w:gridSpan w:val="16"/>
          </w:tcPr>
          <w:p>
            <w:pPr>
              <w:spacing w:after="0"/>
              <w:rPr>
                <w:sz w:val="18"/>
                <w:szCs w:val="18"/>
                <w:color w:val="auto"/>
              </w:rPr>
            </w:pP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5"/>
              </w:rPr>
              <w:t>Part II</w:t>
            </w:r>
          </w:p>
        </w:tc>
        <w:tc>
          <w:tcPr>
            <w:tcW w:w="80" w:type="dxa"/>
            <w:vAlign w:val="bottom"/>
            <w:tcBorders>
              <w:top w:val="single" w:sz="8" w:color="0000FF"/>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 Equity</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Securities</w:t>
            </w:r>
          </w:p>
        </w:tc>
        <w:tc>
          <w:tcPr>
            <w:tcW w:w="7560" w:type="dxa"/>
            <w:vAlign w:val="bottom"/>
            <w:tcBorders>
              <w:top w:val="single" w:sz="8" w:color="0000FF"/>
            </w:tcBorders>
            <w:gridSpan w:val="20"/>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6.</w:t>
            </w:r>
          </w:p>
        </w:tc>
        <w:tc>
          <w:tcPr>
            <w:tcW w:w="700" w:type="dxa"/>
            <w:vAlign w:val="bottom"/>
            <w:gridSpan w:val="2"/>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7920" w:type="dxa"/>
            <w:vAlign w:val="bottom"/>
            <w:gridSpan w:val="20"/>
          </w:tcPr>
          <w:p>
            <w:pPr>
              <w:spacing w:after="0"/>
              <w:rPr>
                <w:sz w:val="19"/>
                <w:szCs w:val="19"/>
                <w:color w:val="auto"/>
              </w:rPr>
            </w:pPr>
          </w:p>
        </w:tc>
        <w:tc>
          <w:tcPr>
            <w:tcW w:w="520" w:type="dxa"/>
            <w:vAlign w:val="bottom"/>
            <w:gridSpan w:val="3"/>
          </w:tcPr>
          <w:p>
            <w:pPr>
              <w:spacing w:after="0"/>
              <w:rPr>
                <w:sz w:val="19"/>
                <w:szCs w:val="19"/>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7.</w:t>
            </w:r>
          </w:p>
        </w:tc>
        <w:tc>
          <w:tcPr>
            <w:tcW w:w="700" w:type="dxa"/>
            <w:vAlign w:val="bottom"/>
            <w:gridSpan w:val="2"/>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Results of Operations and Financial Condition</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40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7A.</w:t>
            </w:r>
          </w:p>
        </w:tc>
        <w:tc>
          <w:tcPr>
            <w:tcW w:w="880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56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rPr>
              <w:t>Financial Statements and Supplementary Data</w:t>
            </w:r>
          </w:p>
        </w:tc>
        <w:tc>
          <w:tcPr>
            <w:tcW w:w="4080" w:type="dxa"/>
            <w:vAlign w:val="bottom"/>
            <w:gridSpan w:val="7"/>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57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9.</w:t>
            </w:r>
          </w:p>
        </w:tc>
        <w:tc>
          <w:tcPr>
            <w:tcW w:w="700" w:type="dxa"/>
            <w:vAlign w:val="bottom"/>
            <w:gridSpan w:val="2"/>
          </w:tcPr>
          <w:p>
            <w:pPr>
              <w:spacing w:after="0"/>
              <w:rPr>
                <w:sz w:val="18"/>
                <w:szCs w:val="18"/>
                <w:color w:val="auto"/>
              </w:rPr>
            </w:pPr>
          </w:p>
        </w:tc>
        <w:tc>
          <w:tcPr>
            <w:tcW w:w="71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66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Item 9A.</w:t>
            </w:r>
          </w:p>
        </w:tc>
        <w:tc>
          <w:tcPr>
            <w:tcW w:w="620" w:type="dxa"/>
            <w:vAlign w:val="bottom"/>
          </w:tcPr>
          <w:p>
            <w:pPr>
              <w:spacing w:after="0"/>
              <w:rPr>
                <w:sz w:val="18"/>
                <w:szCs w:val="18"/>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3"/>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9B.</w:t>
            </w:r>
          </w:p>
        </w:tc>
        <w:tc>
          <w:tcPr>
            <w:tcW w:w="620" w:type="dxa"/>
            <w:vAlign w:val="bottom"/>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9C.</w:t>
            </w:r>
          </w:p>
        </w:tc>
        <w:tc>
          <w:tcPr>
            <w:tcW w:w="620" w:type="dxa"/>
            <w:vAlign w:val="bottom"/>
          </w:tcPr>
          <w:p>
            <w:pPr>
              <w:spacing w:after="0"/>
              <w:rPr>
                <w:sz w:val="19"/>
                <w:szCs w:val="19"/>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Part III</w:t>
            </w:r>
          </w:p>
        </w:tc>
        <w:tc>
          <w:tcPr>
            <w:tcW w:w="6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10.</w:t>
            </w:r>
          </w:p>
        </w:tc>
        <w:tc>
          <w:tcPr>
            <w:tcW w:w="880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Item 11.</w:t>
            </w:r>
          </w:p>
        </w:tc>
        <w:tc>
          <w:tcPr>
            <w:tcW w:w="6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9"/>
              </w:rPr>
              <w:t>Executive Compensation</w:t>
            </w:r>
          </w:p>
        </w:tc>
        <w:tc>
          <w:tcPr>
            <w:tcW w:w="2560" w:type="dxa"/>
            <w:vAlign w:val="bottom"/>
            <w:tcBorders>
              <w:top w:val="single" w:sz="8" w:color="0000FF"/>
            </w:tcBorders>
            <w:gridSpan w:val="5"/>
          </w:tcPr>
          <w:p>
            <w:pPr>
              <w:spacing w:after="0"/>
              <w:rPr>
                <w:sz w:val="18"/>
                <w:szCs w:val="18"/>
                <w:color w:val="auto"/>
              </w:rPr>
            </w:pPr>
          </w:p>
        </w:tc>
        <w:tc>
          <w:tcPr>
            <w:tcW w:w="424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top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12.</w:t>
            </w:r>
          </w:p>
        </w:tc>
        <w:tc>
          <w:tcPr>
            <w:tcW w:w="880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13.</w:t>
            </w:r>
          </w:p>
        </w:tc>
        <w:tc>
          <w:tcPr>
            <w:tcW w:w="880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15.</w:t>
            </w:r>
          </w:p>
        </w:tc>
        <w:tc>
          <w:tcPr>
            <w:tcW w:w="880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16.</w:t>
            </w:r>
          </w:p>
        </w:tc>
        <w:tc>
          <w:tcPr>
            <w:tcW w:w="8800" w:type="dxa"/>
            <w:vAlign w:val="bottom"/>
            <w:gridSpan w:val="23"/>
          </w:tcPr>
          <w:p>
            <w:pPr>
              <w:spacing w:after="0"/>
              <w:rPr>
                <w:sz w:val="20"/>
                <w:szCs w:val="20"/>
                <w:color w:val="auto"/>
              </w:rPr>
            </w:pPr>
            <w:r>
              <w:rPr>
                <w:rFonts w:ascii="Arial" w:cs="Arial" w:eastAsia="Arial" w:hAnsi="Arial"/>
                <w:sz w:val="18"/>
                <w:szCs w:val="18"/>
                <w:color w:val="0000FF"/>
              </w:rPr>
              <w:t>Form 10-K Summary</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9"/>
        </w:trPr>
        <w:tc>
          <w:tcPr>
            <w:tcW w:w="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Borders>
              <w:top w:val="single" w:sz="8" w:color="0000FF"/>
            </w:tcBorders>
            <w:gridSpan w:val="8"/>
          </w:tcPr>
          <w:p>
            <w:pPr>
              <w:spacing w:after="0"/>
              <w:rPr>
                <w:sz w:val="24"/>
                <w:szCs w:val="24"/>
                <w:color w:val="auto"/>
              </w:rPr>
            </w:pPr>
          </w:p>
        </w:tc>
        <w:tc>
          <w:tcPr>
            <w:tcW w:w="2880" w:type="dxa"/>
            <w:vAlign w:val="bottom"/>
            <w:gridSpan w:val="7"/>
          </w:tcPr>
          <w:p>
            <w:pPr>
              <w:jc w:val="center"/>
              <w:ind w:left="233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auto"/>
        </w:rPr>
        <w:t>Forward-Looking Statements</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Annual Report on Form 10-K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products;</w:t>
      </w:r>
    </w:p>
    <w:p>
      <w:pPr>
        <w:spacing w:after="0" w:line="63" w:lineRule="exact"/>
        <w:rPr>
          <w:rFonts w:ascii="Arial" w:cs="Arial" w:eastAsia="Arial" w:hAnsi="Arial"/>
          <w:sz w:val="18"/>
          <w:szCs w:val="18"/>
          <w:color w:val="auto"/>
        </w:rPr>
      </w:pPr>
    </w:p>
    <w:p>
      <w:pPr>
        <w:ind w:left="340" w:right="9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an increasingly consolidated supply chain;</w:t>
      </w:r>
    </w:p>
    <w:p>
      <w:pPr>
        <w:spacing w:after="0" w:line="1" w:lineRule="exact"/>
        <w:rPr>
          <w:rFonts w:ascii="Arial" w:cs="Arial" w:eastAsia="Arial" w:hAnsi="Arial"/>
          <w:sz w:val="18"/>
          <w:szCs w:val="18"/>
          <w:color w:val="auto"/>
        </w:rPr>
      </w:pPr>
    </w:p>
    <w:p>
      <w:pPr>
        <w:ind w:left="340" w:right="4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 and risks from the proliferation of counterfeit or illegally compounded products;</w:t>
      </w:r>
    </w:p>
    <w:p>
      <w:pPr>
        <w:spacing w:after="0" w:line="1"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may exacerbate competitive, regulatory, litigation, cybersecurity and other risks;</w:t>
      </w:r>
    </w:p>
    <w:p>
      <w:pPr>
        <w:spacing w:after="0" w:line="1" w:lineRule="exact"/>
        <w:rPr>
          <w:rFonts w:ascii="Arial" w:cs="Arial" w:eastAsia="Arial" w:hAnsi="Arial"/>
          <w:sz w:val="18"/>
          <w:szCs w:val="18"/>
          <w:color w:val="auto"/>
        </w:rPr>
      </w:pPr>
    </w:p>
    <w:p>
      <w:pPr>
        <w:ind w:left="340" w:right="300" w:hanging="332"/>
        <w:spacing w:after="0" w:line="298" w:lineRule="auto"/>
        <w:tabs>
          <w:tab w:leader="none" w:pos="33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including uneven economic growth or downturns or uncertainty, trade disruptions, international tension, conflicts, regional dependencies, or other costs, uncertainties and risks related to engaging in business globally;</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Investors should also carefully read the factors described under Item 1A, "Risk Factors" in this Annual Report on Form 10-K for a description of certain risks that could, among other things, cause our actual results to differ from those expressed in forward-looking statements. Investors should understand that it is not possible to predict or identify all such factors and should not consider the risks described above and under Item 1A, "Risk Factors" to be a complete statement of all potential risks and uncertainties.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forward-looking statements speak only as of the date of this Annual Report and are expressly qualified in their entirety by the risk factors and cautionary statements included in this Annual Report. Except as is required by law, we expressly disclaim any obligation to publicly release any revisions to forward-looking statements to reflect events after the date of this Annual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Part I</w:t>
      </w: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  Business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Eli Lilly and Company (referred to as the company, Lilly, we, or us) was incorporated in 1901 in Indiana to succeed to the drug manufacturing business founded in Indianapolis, Indiana, in 1876 by Colonel Eli Lilly. We discover, develop, manufacture, and market products in a single business segment—human pharmaceutical products.</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Most of the products that we sell today were discovered or developed by our own scientists, and our long-term success depends on our ability to continually discover or acquire, develop, and commercialize innovative medicines.</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manufacture and distribute our products through facilities in the United States (U.S.), including Puerto Rico, and in Europe and Asia. Our products are sold in approximately 105 countries.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Diabetes, Obesity</w:t>
            </w:r>
          </w:p>
        </w:tc>
        <w:tc>
          <w:tcPr>
            <w:tcW w:w="2340" w:type="dxa"/>
            <w:vAlign w:val="bottom"/>
            <w:tcBorders>
              <w:right w:val="single" w:sz="8" w:color="auto"/>
            </w:tcBorders>
          </w:tcPr>
          <w:p>
            <w:pPr>
              <w:spacing w:after="0" w:line="208"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Boehringer Ingelheim, a long-acting human insulin analog for the</w:t>
            </w:r>
          </w:p>
        </w:tc>
      </w:tr>
      <w:tr>
        <w:trPr>
          <w:trHeight w:val="245"/>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and Other</w:t>
            </w:r>
          </w:p>
        </w:tc>
        <w:tc>
          <w:tcPr>
            <w:tcW w:w="2340" w:type="dxa"/>
            <w:vAlign w:val="bottom"/>
            <w:tcBorders>
              <w:bottom w:val="single" w:sz="8" w:color="auto"/>
              <w:right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treatment of diabetes.</w:t>
            </w:r>
          </w:p>
        </w:tc>
      </w:tr>
      <w:tr>
        <w:trPr>
          <w:trHeight w:val="189"/>
        </w:trPr>
        <w:tc>
          <w:tcPr>
            <w:tcW w:w="180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Cardiometabolic</w:t>
            </w:r>
          </w:p>
        </w:tc>
        <w:tc>
          <w:tcPr>
            <w:tcW w:w="234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Humalog Mix</w:t>
            </w:r>
          </w:p>
        </w:tc>
        <w:tc>
          <w:tcPr>
            <w:tcW w:w="69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Human insulin analogs for the treatment of diabetes.</w:t>
            </w:r>
          </w:p>
        </w:tc>
      </w:tr>
      <w:tr>
        <w:trPr>
          <w:trHeight w:val="253"/>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products</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75/25, Humalog U-100,</w:t>
            </w:r>
          </w:p>
        </w:tc>
        <w:tc>
          <w:tcPr>
            <w:tcW w:w="6900" w:type="dxa"/>
            <w:vAlign w:val="bottom"/>
            <w:tcBorders>
              <w:right w:val="single" w:sz="8" w:color="auto"/>
            </w:tcBorders>
          </w:tcPr>
          <w:p>
            <w:pPr>
              <w:spacing w:after="0"/>
              <w:rPr>
                <w:sz w:val="22"/>
                <w:szCs w:val="22"/>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Humalog U-200, Humalog</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Mix 50/50, insulin lispro,</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insulin lispro protamine, and</w:t>
            </w:r>
          </w:p>
        </w:tc>
        <w:tc>
          <w:tcPr>
            <w:tcW w:w="6900" w:type="dxa"/>
            <w:vAlign w:val="bottom"/>
            <w:tcBorders>
              <w:right w:val="single" w:sz="8" w:color="auto"/>
            </w:tcBorders>
          </w:tcPr>
          <w:p>
            <w:pPr>
              <w:spacing w:after="0"/>
              <w:rPr>
                <w:sz w:val="18"/>
                <w:szCs w:val="18"/>
                <w:color w:val="auto"/>
              </w:rPr>
            </w:pPr>
          </w:p>
        </w:tc>
      </w:tr>
      <w:tr>
        <w:trPr>
          <w:trHeight w:val="237"/>
        </w:trPr>
        <w:tc>
          <w:tcPr>
            <w:tcW w:w="180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insulin lispro mix 75/25</w:t>
            </w:r>
          </w:p>
        </w:tc>
        <w:tc>
          <w:tcPr>
            <w:tcW w:w="6900" w:type="dxa"/>
            <w:vAlign w:val="bottom"/>
            <w:tcBorders>
              <w:right w:val="single" w:sz="8" w:color="auto"/>
            </w:tcBorders>
          </w:tcPr>
          <w:p>
            <w:pPr>
              <w:spacing w:after="0"/>
              <w:rPr>
                <w:sz w:val="20"/>
                <w:szCs w:val="20"/>
                <w:color w:val="auto"/>
              </w:rPr>
            </w:pPr>
          </w:p>
        </w:tc>
      </w:tr>
      <w:tr>
        <w:trPr>
          <w:trHeight w:val="44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18"/>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line="218"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Humulin 70/30,</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Human insulins of recombinant DNA origin for the treatment of diabetes.</w:t>
            </w:r>
          </w:p>
        </w:tc>
      </w:tr>
      <w:tr>
        <w:trPr>
          <w:trHeight w:val="218"/>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 xml:space="preserve">Humulin N, Humulin R, </w:t>
            </w:r>
            <w:r>
              <w:rPr>
                <w:rFonts w:ascii="Arial" w:cs="Arial" w:eastAsia="Arial" w:hAnsi="Arial"/>
                <w:sz w:val="18"/>
                <w:szCs w:val="18"/>
                <w:color w:val="auto"/>
              </w:rPr>
              <w:t>and</w:t>
            </w:r>
          </w:p>
        </w:tc>
        <w:tc>
          <w:tcPr>
            <w:tcW w:w="6900" w:type="dxa"/>
            <w:vAlign w:val="bottom"/>
            <w:tcBorders>
              <w:right w:val="single" w:sz="8" w:color="auto"/>
            </w:tcBorders>
          </w:tcPr>
          <w:p>
            <w:pPr>
              <w:spacing w:after="0"/>
              <w:rPr>
                <w:sz w:val="18"/>
                <w:szCs w:val="18"/>
                <w:color w:val="auto"/>
              </w:rPr>
            </w:pPr>
          </w:p>
        </w:tc>
      </w:tr>
      <w:tr>
        <w:trPr>
          <w:trHeight w:val="237"/>
        </w:trPr>
        <w:tc>
          <w:tcPr>
            <w:tcW w:w="180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Humulin U-500</w:t>
            </w:r>
          </w:p>
        </w:tc>
        <w:tc>
          <w:tcPr>
            <w:tcW w:w="6900" w:type="dxa"/>
            <w:vAlign w:val="bottom"/>
            <w:tcBorders>
              <w:right w:val="single" w:sz="8" w:color="auto"/>
            </w:tcBorders>
          </w:tcPr>
          <w:p>
            <w:pPr>
              <w:spacing w:after="0"/>
              <w:rPr>
                <w:sz w:val="20"/>
                <w:szCs w:val="20"/>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Boehringer Ingelheim, for the treatment of type 2 diabetes; to reduce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the risk of cardiovascular death in adult patients with type 2 diabetes and established</w:t>
            </w:r>
          </w:p>
        </w:tc>
      </w:tr>
      <w:tr>
        <w:trPr>
          <w:trHeight w:val="202"/>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cardiovascular disease; to reduce the risk of cardiovascular death and hospitalizations for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heart failure in adults; and to reduce the risk of sustained decline in estimated glomerular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filtration rate (eGFR), end-stage kidney disease, cardiovascular death and hospitalization</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adults with chronic kidney disease (CKD) at risk of progression.</w:t>
            </w:r>
          </w:p>
        </w:tc>
      </w:tr>
      <w:tr>
        <w:trPr>
          <w:trHeight w:val="445"/>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Mounjaro</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 glucose-dependent insulinotropic polypeptide and glucagon-like peptide-1 receptor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agonist, for the treatment of adults with type 2 diabetes in combination with diet and</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exercise to improve glycemic control.</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Trulicit</w:t>
            </w:r>
            <w:r>
              <w:rPr>
                <w:rFonts w:ascii="Arial" w:cs="Arial" w:eastAsia="Arial" w:hAnsi="Arial"/>
                <w:sz w:val="18"/>
                <w:szCs w:val="18"/>
                <w:color w:val="auto"/>
              </w:rPr>
              <w:t>y</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type 2 diabetes in adults and pediatric patients 10 years of age and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older; and to reduce the risk of major adverse cardiovascular events in adult patients with</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type 2 diabetes and established cardiovascular disease or multiple cardiovascular risk</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factors.</w:t>
            </w:r>
          </w:p>
        </w:tc>
      </w:tr>
      <w:tr>
        <w:trPr>
          <w:trHeight w:val="229"/>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adults with obesity or overweight with weight-related comorbidities as</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an adjunct to a reduced-calorie diet and increased physical activity (marketed under</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Mounjaro in the European Union (EU) and in various other markets outside the U.S.).</w:t>
            </w:r>
          </w:p>
        </w:tc>
      </w:tr>
      <w:tr>
        <w:trPr>
          <w:trHeight w:val="216"/>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180"/>
          </w:cols>
          <w:pgMar w:left="320" w:top="879" w:right="3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Oncology products</w:t>
            </w:r>
          </w:p>
        </w:tc>
        <w:tc>
          <w:tcPr>
            <w:tcW w:w="2340" w:type="dxa"/>
            <w:vAlign w:val="bottom"/>
            <w:tcBorders>
              <w:right w:val="single" w:sz="8" w:color="auto"/>
            </w:tcBorders>
          </w:tcPr>
          <w:p>
            <w:pPr>
              <w:spacing w:after="0" w:line="208"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first-line treatment, in combination with two other agents, of advanced non-small</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cell lung cancer (NSCLC) for patients with non-squamous cell histology and no epidermal</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growth factor receptor or anaplastic lymphoma kinase genomic tumor aberrations; for the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first-line treatment, in combination with another agent, of advanced non-squamous</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NSCLC; for the second-line treatment of advanced non-squamous NSCLC; as</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monotherapy for the maintenance treatment of advanced non-squamous NSCLC in</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patients whose disease has not progressed immediately following chemotherapy</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and in combination with another agent for the treatment of malignant pleural</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mesothelioma.</w:t>
            </w:r>
          </w:p>
        </w:tc>
      </w:tr>
      <w:tr>
        <w:trPr>
          <w:trHeight w:val="418"/>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use as monotherapy or in combination with another agent as a second-line treatment</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advanced or metastatic gastric cancer or gastro-esophageal junction adenocarcinoma;</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combination with another agent as a second-line treatment of metastatic NSCLC; in</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combination with another agent as a second-line treatment of metastatic colorectal</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cancer; as a monotherapy as a second-line treatment of hepatocellular carcinoma; and in</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combination with another agent as a first-line treatment of adult patients with metastatic</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NSCLC with activating epidermal growth factor receptor mutations.</w:t>
            </w:r>
          </w:p>
        </w:tc>
      </w:tr>
      <w:tr>
        <w:trPr>
          <w:trHeight w:val="418"/>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Indicated both as monotherapy and in combination with another agent for the treatment of</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certain types of colorectal cancers; and as monotherapy, in combination with</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chemotherapy, or in combination with radiation therapy for the treatment of certain types of</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head and neck cancers.</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Jaypirca</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patients with relapsed or refractory mantle cell lymphoma (MCL)</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after at least two lines of systemic therapy, including a BTK inhibitor; and for the treatment</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adult patients with chronic lymphocytic leukemia or small lymphocytic lymphoma who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have received at least two prior lines of therapy, including a BTK inhibitor and a BCL-2</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inhibitor.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Retevmo</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metastatic NSCLC with a rearranged during transfection (RET) gene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fusion in adult patients; for the treatment of advanced metastatic medullary thyroid cancer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with a RET mutation who require systemic therapy in adult and pediatric patients; for the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advanced or metastatic thyroid cancer with a RET gene fusion in adult and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pediatric patients who require systemic therapy and are radioactive iodine-refractory; and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patients with locally advanced or metastatic solid tumors with a</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RET gene fusion who have progressed on or following prior systemic treatment or who</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have no satisfactory alternative treatment options.</w:t>
            </w:r>
          </w:p>
        </w:tc>
      </w:tr>
      <w:tr>
        <w:trPr>
          <w:trHeight w:val="43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Innovent Biologics, Inc., for the treatment of relapsed or refractory</w:t>
            </w:r>
          </w:p>
        </w:tc>
      </w:tr>
      <w:tr>
        <w:trPr>
          <w:trHeight w:val="202"/>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classic Hodgkin's lymphoma; for the first-line treatment of non-squamous NSCLC in</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combination with Alimta and another agent; for the first-line treatment of squamous</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NSCLC in combination with two other agents; for the first-line treatment of hepatocellular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carcinoma in combination with another agent; for the first-line treatment of esophageal</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squamous cell carcinoma in combination with certain other agents; for the first-line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gastric cancer in combination with two other agents; and, in combination with</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two other agents, for patients with epidermal growth factor receptor (EGFR)-mutated non-</w:t>
            </w:r>
          </w:p>
        </w:tc>
      </w:tr>
      <w:tr>
        <w:trPr>
          <w:trHeight w:val="202"/>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squamous NSCLC that progressed after EGFR-tyrosine kinase inhibitor therapy, each in</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43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use as monotherapy or in combination with endocrine therapy for the treatment of</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HR+, HER2- metastatic breast cancer and in combination with endocrine therapy for</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HR+, HER2-, node positive, early breast cancer at high risk of recurrence.</w:t>
            </w:r>
          </w:p>
        </w:tc>
      </w:tr>
      <w:tr>
        <w:trPr>
          <w:trHeight w:val="216"/>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020"/>
          </w:cols>
          <w:pgMar w:left="320" w:top="1024" w:right="5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24" w:right="5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Immunology</w:t>
            </w:r>
          </w:p>
        </w:tc>
        <w:tc>
          <w:tcPr>
            <w:tcW w:w="2340" w:type="dxa"/>
            <w:vAlign w:val="bottom"/>
            <w:tcBorders>
              <w:right w:val="single" w:sz="8" w:color="auto"/>
            </w:tcBorders>
          </w:tcPr>
          <w:p>
            <w:pPr>
              <w:spacing w:after="0" w:line="208" w:lineRule="exact"/>
              <w:rPr>
                <w:sz w:val="20"/>
                <w:szCs w:val="20"/>
                <w:color w:val="auto"/>
              </w:rPr>
            </w:pPr>
            <w:r>
              <w:rPr>
                <w:rFonts w:ascii="Arial" w:cs="Arial" w:eastAsia="Arial" w:hAnsi="Arial"/>
                <w:sz w:val="18"/>
                <w:szCs w:val="18"/>
                <w:i w:val="1"/>
                <w:iCs w:val="1"/>
                <w:color w:val="auto"/>
              </w:rPr>
              <w:t>Ebglyss</w:t>
            </w:r>
            <w:r>
              <w:rPr>
                <w:rFonts w:ascii="Arial" w:cs="Arial" w:eastAsia="Arial" w:hAnsi="Arial"/>
                <w:sz w:val="23"/>
                <w:szCs w:val="23"/>
                <w:color w:val="auto"/>
                <w:vertAlign w:val="superscript"/>
              </w:rPr>
              <w: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and adolescent patients 12 years or older with moderate to</w:t>
            </w:r>
          </w:p>
        </w:tc>
      </w:tr>
      <w:tr>
        <w:trPr>
          <w:trHeight w:val="256"/>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products</w:t>
            </w:r>
          </w:p>
        </w:tc>
        <w:tc>
          <w:tcPr>
            <w:tcW w:w="2340" w:type="dxa"/>
            <w:vAlign w:val="bottom"/>
            <w:tcBorders>
              <w:right w:val="single" w:sz="8" w:color="auto"/>
            </w:tcBorders>
          </w:tcPr>
          <w:p>
            <w:pPr>
              <w:spacing w:after="0"/>
              <w:rPr>
                <w:sz w:val="22"/>
                <w:szCs w:val="22"/>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atopic dermatitis in Japan and, in collaboration with Almirall S.A., in Europe.</w:t>
            </w:r>
          </w:p>
        </w:tc>
      </w:tr>
      <w:tr>
        <w:trPr>
          <w:trHeight w:val="212"/>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In collaboration with Incyte Corporation, for the treatment of adults with moderately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severely active rheumatoid arthritis after treatment with one or more tumor necrosis factor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(TNF) blockers that did not work well enough or could not be tolerated; moderate to severe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atopic dermatitis; severe alopecia areata; and for the treatment of hospitalized adults with</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COVID-19 who require supplemental oxygen, mechanical ventilation, or extracorporeal</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membrane oxygenation.</w:t>
            </w:r>
          </w:p>
        </w:tc>
      </w:tr>
      <w:tr>
        <w:trPr>
          <w:trHeight w:val="229"/>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310"/>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i w:val="1"/>
                <w:iCs w:val="1"/>
                <w:color w:val="auto"/>
              </w:rPr>
              <w:t>Omvoh</w:t>
            </w:r>
            <w:r>
              <w:rPr>
                <w:rFonts w:ascii="Arial" w:cs="Arial" w:eastAsia="Arial" w:hAnsi="Arial"/>
                <w:sz w:val="23"/>
                <w:szCs w:val="23"/>
                <w:i w:val="1"/>
                <w:iCs w:val="1"/>
                <w:color w:val="auto"/>
                <w:vertAlign w:val="superscript"/>
              </w:rPr>
              <w:t>TM</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the treatment of adults with moderately to severely active ulcerative colitis.</w:t>
            </w:r>
          </w:p>
        </w:tc>
      </w:tr>
      <w:tr>
        <w:trPr>
          <w:trHeight w:val="143"/>
        </w:trPr>
        <w:tc>
          <w:tcPr>
            <w:tcW w:w="1800" w:type="dxa"/>
            <w:vAlign w:val="bottom"/>
            <w:tcBorders>
              <w:left w:val="single" w:sz="8" w:color="auto"/>
              <w:right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6900" w:type="dxa"/>
            <w:vAlign w:val="bottom"/>
            <w:tcBorders>
              <w:bottom w:val="single" w:sz="8" w:color="auto"/>
              <w:right w:val="single" w:sz="8" w:color="auto"/>
            </w:tcBorders>
          </w:tcPr>
          <w:p>
            <w:pPr>
              <w:spacing w:after="0"/>
              <w:rPr>
                <w:sz w:val="12"/>
                <w:szCs w:val="12"/>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the treatment of adults and pediatric patients aged 6 years or older with moderate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severe plaque psoriasis; adults with active psoriatic arthritis; adults with ankylosing</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spondylitis; and adults with active non-radiographic axial spondyloarthritis.</w:t>
            </w:r>
          </w:p>
        </w:tc>
      </w:tr>
      <w:tr>
        <w:trPr>
          <w:trHeight w:val="216"/>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99"/>
              </w:rPr>
              <w:t>Neuroscience</w:t>
            </w:r>
          </w:p>
        </w:tc>
        <w:tc>
          <w:tcPr>
            <w:tcW w:w="2340" w:type="dxa"/>
            <w:vAlign w:val="bottom"/>
          </w:tcPr>
          <w:p>
            <w:pPr>
              <w:spacing w:after="0" w:line="201"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the treatment of major depressive disorder; diabetic peripheral neuropathic pain;</w:t>
            </w:r>
          </w:p>
        </w:tc>
      </w:tr>
      <w:tr>
        <w:trPr>
          <w:trHeight w:val="203"/>
        </w:trPr>
        <w:tc>
          <w:tcPr>
            <w:tcW w:w="1800" w:type="dxa"/>
            <w:vAlign w:val="bottom"/>
            <w:tcBorders>
              <w:lef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products</w:t>
            </w:r>
          </w:p>
        </w:tc>
        <w:tc>
          <w:tcPr>
            <w:tcW w:w="2340" w:type="dxa"/>
            <w:vAlign w:val="bottom"/>
          </w:tcPr>
          <w:p>
            <w:pPr>
              <w:spacing w:after="0"/>
              <w:rPr>
                <w:sz w:val="17"/>
                <w:szCs w:val="17"/>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generalized anxiety disorder; fibromyalgia; and chronic musculoskeletal pain due to</w:t>
            </w:r>
          </w:p>
        </w:tc>
      </w:tr>
      <w:tr>
        <w:trPr>
          <w:trHeight w:val="225"/>
        </w:trPr>
        <w:tc>
          <w:tcPr>
            <w:tcW w:w="1800" w:type="dxa"/>
            <w:vAlign w:val="bottom"/>
            <w:tcBorders>
              <w:lef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chronic low back pain or chronic pain due to osteoarthritis.</w:t>
            </w:r>
          </w:p>
        </w:tc>
      </w:tr>
      <w:tr>
        <w:trPr>
          <w:trHeight w:val="216"/>
        </w:trPr>
        <w:tc>
          <w:tcPr>
            <w:tcW w:w="1800" w:type="dxa"/>
            <w:vAlign w:val="bottom"/>
            <w:tcBorders>
              <w:left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309"/>
        </w:trPr>
        <w:tc>
          <w:tcPr>
            <w:tcW w:w="1800" w:type="dxa"/>
            <w:vAlign w:val="bottom"/>
            <w:tcBorders>
              <w:left w:val="single" w:sz="8" w:color="auto"/>
            </w:tcBorders>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migraine prevention and the treatment of episodic cluster headache in adults.</w:t>
            </w:r>
          </w:p>
        </w:tc>
      </w:tr>
      <w:tr>
        <w:trPr>
          <w:trHeight w:val="144"/>
        </w:trPr>
        <w:tc>
          <w:tcPr>
            <w:tcW w:w="1800" w:type="dxa"/>
            <w:vAlign w:val="bottom"/>
            <w:tcBorders>
              <w:left w:val="single" w:sz="8" w:color="auto"/>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6900" w:type="dxa"/>
            <w:vAlign w:val="bottom"/>
            <w:tcBorders>
              <w:bottom w:val="single" w:sz="8" w:color="auto"/>
              <w:right w:val="single" w:sz="8" w:color="auto"/>
            </w:tcBorders>
          </w:tcPr>
          <w:p>
            <w:pPr>
              <w:spacing w:after="0"/>
              <w:rPr>
                <w:sz w:val="12"/>
                <w:szCs w:val="12"/>
                <w:color w:val="auto"/>
              </w:rPr>
            </w:pPr>
          </w:p>
        </w:tc>
      </w:tr>
      <w:tr>
        <w:trPr>
          <w:trHeight w:val="218"/>
        </w:trPr>
        <w:tc>
          <w:tcPr>
            <w:tcW w:w="4140" w:type="dxa"/>
            <w:vAlign w:val="bottom"/>
            <w:tcBorders>
              <w:left w:val="single" w:sz="8" w:color="auto"/>
            </w:tcBorders>
            <w:gridSpan w:val="2"/>
          </w:tcPr>
          <w:p>
            <w:pPr>
              <w:ind w:left="180"/>
              <w:spacing w:after="0" w:line="218" w:lineRule="exact"/>
              <w:rPr>
                <w:sz w:val="20"/>
                <w:szCs w:val="20"/>
                <w:color w:val="auto"/>
              </w:rPr>
            </w:pPr>
            <w:r>
              <w:rPr>
                <w:rFonts w:ascii="Arial" w:cs="Arial" w:eastAsia="Arial" w:hAnsi="Arial"/>
                <w:sz w:val="18"/>
                <w:szCs w:val="18"/>
                <w:color w:val="auto"/>
              </w:rPr>
              <w:t xml:space="preserve">Other products and </w:t>
            </w:r>
            <w:r>
              <w:rPr>
                <w:rFonts w:ascii="Arial" w:cs="Arial" w:eastAsia="Arial" w:hAnsi="Arial"/>
                <w:sz w:val="18"/>
                <w:szCs w:val="18"/>
                <w:i w:val="1"/>
                <w:iCs w:val="1"/>
                <w:color w:val="auto"/>
              </w:rPr>
              <w:t>Cialis</w:t>
            </w:r>
            <w:r>
              <w:rPr>
                <w:rFonts w:ascii="Arial" w:cs="Arial" w:eastAsia="Arial" w:hAnsi="Arial"/>
                <w:sz w:val="23"/>
                <w:szCs w:val="23"/>
                <w:color w:val="auto"/>
                <w:vertAlign w:val="superscript"/>
              </w:rPr>
              <w:t>®</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the treatment of erectile dysfunction and benign prostatic hyperplasia.</w:t>
            </w:r>
          </w:p>
        </w:tc>
      </w:tr>
      <w:tr>
        <w:trPr>
          <w:trHeight w:val="244"/>
        </w:trPr>
        <w:tc>
          <w:tcPr>
            <w:tcW w:w="180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9"/>
              </w:rPr>
              <w:t>therapies</w:t>
            </w:r>
          </w:p>
        </w:tc>
        <w:tc>
          <w:tcPr>
            <w:tcW w:w="2340" w:type="dxa"/>
            <w:vAlign w:val="bottom"/>
            <w:tcBorders>
              <w:bottom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spacing w:after="0"/>
              <w:rPr>
                <w:sz w:val="21"/>
                <w:szCs w:val="21"/>
                <w:color w:val="auto"/>
              </w:rPr>
            </w:pPr>
          </w:p>
        </w:tc>
      </w:tr>
      <w:tr>
        <w:trPr>
          <w:trHeight w:val="206"/>
        </w:trPr>
        <w:tc>
          <w:tcPr>
            <w:tcW w:w="1800" w:type="dxa"/>
            <w:vAlign w:val="bottom"/>
            <w:tcBorders>
              <w:left w:val="single" w:sz="8" w:color="auto"/>
            </w:tcBorders>
          </w:tcPr>
          <w:p>
            <w:pPr>
              <w:spacing w:after="0"/>
              <w:rPr>
                <w:sz w:val="17"/>
                <w:szCs w:val="17"/>
                <w:color w:val="auto"/>
              </w:rPr>
            </w:pPr>
          </w:p>
        </w:tc>
        <w:tc>
          <w:tcPr>
            <w:tcW w:w="2340" w:type="dxa"/>
            <w:vAlign w:val="bottom"/>
          </w:tcPr>
          <w:p>
            <w:pPr>
              <w:spacing w:after="0" w:line="205"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color w:val="auto"/>
                <w:vertAlign w:val="superscript"/>
              </w:rPr>
              <w:t>®</w:t>
            </w: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the treatment of osteoporosis in men and postmenopausal women at high risk for</w:t>
            </w:r>
          </w:p>
        </w:tc>
      </w:tr>
      <w:tr>
        <w:trPr>
          <w:trHeight w:val="225"/>
        </w:trPr>
        <w:tc>
          <w:tcPr>
            <w:tcW w:w="1800" w:type="dxa"/>
            <w:vAlign w:val="bottom"/>
            <w:tcBorders>
              <w:lef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broken bones or fracture and for glucocorticoid-induced osteoporosis in men and women.</w:t>
            </w:r>
          </w:p>
        </w:tc>
      </w:tr>
      <w:tr>
        <w:trPr>
          <w:trHeight w:val="243"/>
        </w:trPr>
        <w:tc>
          <w:tcPr>
            <w:tcW w:w="1800" w:type="dxa"/>
            <w:vAlign w:val="bottom"/>
            <w:tcBorders>
              <w:left w:val="single" w:sz="8" w:color="auto"/>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 and comply with local regulations.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promote our major products in the U.S. through sales representatives who engage with physicians and other healthcare professionals. We also educate healthcare providers about our products in various other ways, including promoting in online channels, distributing literature and samples of certain products to physicians, and exhibiting at medical meetings. In addition, we advertise certain products directly to consumers in the U.S., and we maintain websites and other media channels (e.g., social media) with information about our major products. We supplement our employee sales force with contract sales organizations to leverage our resources and reach additional patients in need.</w:t>
      </w:r>
    </w:p>
    <w:p>
      <w:pPr>
        <w:spacing w:after="0" w:line="5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account managers service wholesalers, pharmacy benefit managers, managed care organizations, group purchasing organizations, government and long-term care institutions, hospitals, and certain retail pharmacies. We enter into arrangements with these organizations to provide discounts or rebates on our products.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healthcare professionals, and hospitals. In 2023, 2022, and 2021, three wholesale distributors in the U.S.—McKesson Corporation, Cencora, Inc. (formerly AmerisourceBergen Corporation), and Cardinal Health, Inc.—each accounted for a significant percentage of our consolidated revenue. No other customer accounted for more than 10 percent of our consolidated revenue in any of these years. For additional information, see Item 8, "Financial Statements and Supplementary Data—Note 2: Revenue."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products we market and their distribution vary from country to country. Outside the U.S., we promote our products to healthcare providers through sales representatives and other channels. In most countries in which we operate, we maintain our own sales organizations, but in some countries we market our products through third parties, some of which we have engaged through distribution and promotion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Collaborations</w:t>
      </w:r>
    </w:p>
    <w:p>
      <w:pPr>
        <w:spacing w:after="0" w:line="117"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Certain of our products are marketed in arrangements with other pharmaceutical companies. For example, we and Boehringer Ingelheim have a global agreement to develop and commercialize a portfolio of diabetes products, including Trajenta</w:t>
      </w:r>
      <w:r>
        <w:rPr>
          <w:rFonts w:ascii="Arial" w:cs="Arial" w:eastAsia="Arial" w:hAnsi="Arial"/>
          <w:sz w:val="23"/>
          <w:szCs w:val="23"/>
          <w:color w:val="auto"/>
          <w:vertAlign w:val="superscript"/>
        </w:rPr>
        <w:t>®</w:t>
      </w:r>
      <w:r>
        <w:rPr>
          <w:rFonts w:ascii="Arial" w:cs="Arial" w:eastAsia="Arial" w:hAnsi="Arial"/>
          <w:sz w:val="18"/>
          <w:szCs w:val="18"/>
          <w:color w:val="auto"/>
        </w:rPr>
        <w:t>, Jentadueto</w:t>
      </w:r>
      <w:r>
        <w:rPr>
          <w:rFonts w:ascii="Arial" w:cs="Arial" w:eastAsia="Arial" w:hAnsi="Arial"/>
          <w:sz w:val="23"/>
          <w:szCs w:val="23"/>
          <w:color w:val="auto"/>
          <w:vertAlign w:val="superscript"/>
        </w:rPr>
        <w:t>®</w:t>
      </w:r>
      <w:r>
        <w:rPr>
          <w:rFonts w:ascii="Arial" w:cs="Arial" w:eastAsia="Arial" w:hAnsi="Arial"/>
          <w:sz w:val="18"/>
          <w:szCs w:val="18"/>
          <w:color w:val="auto"/>
        </w:rPr>
        <w:t>, Jardiance, Glyxambi</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XR, Basaglar, and Rezvoglar</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8, "Financial Statements and Supplementary Data—Note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many other pharmaceutical products in highly competitive markets.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Important competitive factors include effectiveness, safety, and ease of use; formulary placement, price, payer coverage and reimbursement rates, and demonstrated cost-effectiveness; regulatory approvals; marketing effectiveness; and research and development of new products, processes, modalities, and uses. Early market entry and rapid patient access can also be important to achieve product acceptance and success.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Most new products or uses that we introduce must compete with other branded, biosimilar, or generic products already on the market or that are later developed by competitors. When competitors introduce new products, uses, or delivery systems with therapeutic or cost advantages, including by developing new modalities, our products become subject to decreased sales volumes, progressive price reductions, or both.</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believe our long-term competitive success depends on discovering and developing (either alone or in collaboration with others) or acquiring innovative, cost-effective products that provide improved outcomes for patients and deliver value to payers, and continuously improving the productivity of our operations in a highly competitive environment. There can be no assurance that our efforts will result in commercially successful products, and it is possible that our products will be, or will become, uncompetitive from time to time as a result of products or uses developed by our competitors.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 and Biosimilars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Generic pharmaceuticals and biosimilars can pose major competitive challenges to our business. In most major jurisdictions,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As a result, generic manufacturers generally invest far fewer resources than we do for our branded products in research and development and can price their products significantly lower than our branded products. Accordingly, when a branded non-biologic pharmaceutical loses its market exclusivity, it normally faces intense price competition from generic forms of the product, which can result in the loss of a significant portion of the branded product's revenue in a very short period of time. Moreover, governments in some countries leverage generic entrants to drive price concessions through the utilization of volume-based procurement bidding and other measures.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public and private payers typically encourage the use of generics as alternatives to branded products. Laws in the U.S. generally allow, and in many cases require, pharmacists to substitute generics that have been rated under government procedures to be essentially equivalent to a branded product. Where substitution is mandatory, it must be made unless the prescribing physician expressly forbids it. In certain countries, intellectual property protection is weak, and we must compete with generic versions of our products at or relatively shortly after launch.</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competition for our biologics, which constitute a substantial portion of our products and pipeline, may be affected by the approval of follow-on biologics, also known as biosimilars. A biosimilar is a subsequent version of an approved innovator biologic that, due to its analytical and clinical similarity to the innovator biologic, may be approved based on an abbreviated data package that relies in part on the full testing required of the innovator biologic.</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Globally, most governments have developed abbreviated regulatory pathways to approve biosimilars as follow-ons to innovator biologics, including the Biologics Price Competition and Innovation Act of 2009 (the BPCIA)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right="160"/>
        <w:spacing w:after="0" w:line="259" w:lineRule="auto"/>
        <w:rPr>
          <w:sz w:val="20"/>
          <w:szCs w:val="20"/>
          <w:color w:val="auto"/>
        </w:rPr>
      </w:pPr>
      <w:r>
        <w:rPr>
          <w:rFonts w:ascii="Arial" w:cs="Arial" w:eastAsia="Arial" w:hAnsi="Arial"/>
          <w:sz w:val="18"/>
          <w:szCs w:val="18"/>
          <w:color w:val="auto"/>
        </w:rPr>
        <w:t>the U.S. A number of biosimilars have been licensed under the BPCIA, as well as in Europe and Japan. Regulatory interpretation of important aspects of the laws regulating biosimilars continues to evolve, and therefore the impact of these laws on our business remains subject to substantial uncertainty. For example, the extent to which a biosimilar, once approved, will be substituted for the innovator biologic in a way that is similar to traditional generic substitution for non-biologic products will depend on a number of regulatory and marketplace factors that are still developing.</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Biosimilars may present both competitive challenges and opportunities. While competitors have developed biosimilars that compete with our products, we have developed our own biosimilar and may develop others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U.S. private sector, consolidation and integration among healthcare organizations significantly affects the competitive marketplace for pharmaceuticals. Health plans, managed care organizations, pharmacy benefit managers, wholesalers, pharmacies, and other supply chain entities have been consolidating into fewer, larger entities, thus enhancing their market power and importance. Private third-party insurers, as well as governments, typically maintain formularies that specify coverage (the conditions under which drugs are included on a plan's formulary) and reimbursement (the associated out-of-pocket cost to the consumer) to control costs by negotiating discounts or rebates in exchange for formulary inclusion and placement.</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Formulary placement can lead to reduced usage of a product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face increased pressure in negotiations, and compete fiercely for formulary placement, not only on the basis of product attributes such as efficacy, safety profile, or patient ease of use, but also by providing rebates or other concessions. As payers and pharmaceutical companies continue to negotiate formulary placement and rebates, value-based agreements, where rebates may be based on achievement (or not) of specified outcomes, are another increasingly prevalent tool. Rebates and net cost are increasingly important factors in formulary decisions, particularly in treatment areas in which the payer has taken the position that multiple branded products are therapeutically comparable. These pressures have negatively affected, and could continue to negatively affect, our consolidated results of operations. In addition to formulary placement, changes in insurance designs continue to drive greater consumer cost-sharing through high deductible plans, higher co-insurance, or co-pays, including increased utilization of co-pay accumulator adjustment or maximization programs. Supply chain entities have also increasingly imposed utilization management tools to favor the use of generic products or otherwise limit access to our products. For additional information on pricing and reimbursement for our pharmaceutical products, see "—Regulations and Private Payer Actions Affecting Pharmaceutical Pricing, Reimbursement, and Access—U.S."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and uses. Loss of effective patent protection for pharmaceuticals, especially for non-biologic products, typically results in the loss of effective market exclusivity for the product, often leading to a severe and rapid decline in revenues for the product. We own, have applied for, or are licensed under, a large number of patents in the U.S. and many other countries relating to products, product uses, formulations, and manufacturing processes. In addition, for some products we have effective intellectual property protection in the form of data protection under pharmaceutical regulatory laws.</w:t>
      </w:r>
    </w:p>
    <w:p>
      <w:pPr>
        <w:spacing w:after="0" w:line="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patent protection anticipated to be of most relevance to pharmaceuticals is provided by patents claiming the active ingredient (the compound patent) for our products, particularly those in major markets such as the U.S., major European countries, and Japan. In general, patents in each relevant country last for a period of 20 years from their filing date, which is often years prior to the launch of a commercial product. Further patent term adjustments and restorations may extend the original patent term:</w:t>
      </w:r>
    </w:p>
    <w:p>
      <w:pPr>
        <w:spacing w:after="0" w:line="68" w:lineRule="exact"/>
        <w:rPr>
          <w:sz w:val="20"/>
          <w:szCs w:val="20"/>
          <w:color w:val="auto"/>
        </w:rPr>
      </w:pPr>
    </w:p>
    <w:p>
      <w:pPr>
        <w:ind w:left="660" w:right="3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 adjustment is available to all U.S. patent applicants to provide relief in the event that a patent grant is delayed during examination by the U.S. Patent and Trademark Office (USPTO).</w:t>
      </w:r>
    </w:p>
    <w:p>
      <w:pPr>
        <w:spacing w:after="0" w:line="44" w:lineRule="exact"/>
        <w:rPr>
          <w:rFonts w:ascii="Arial" w:cs="Arial" w:eastAsia="Arial" w:hAnsi="Arial"/>
          <w:sz w:val="18"/>
          <w:szCs w:val="18"/>
          <w:color w:val="auto"/>
        </w:rPr>
      </w:pPr>
    </w:p>
    <w:p>
      <w:pPr>
        <w:ind w:left="660" w:right="30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 restoration for a single patent for a pharmaceutical product is provided to U.S. patent holders to compensate for a portion of the time invested in clinical trials and the U.S. Food and Drug Administration (FDA) review process. There is a five-year cap on any restoration, and no patent's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 w:name="page10"/>
    <w:bookmarkEnd w:id="9"/>
    <w:p>
      <w:pPr>
        <w:ind w:left="660" w:right="120"/>
        <w:spacing w:after="0" w:line="262" w:lineRule="auto"/>
        <w:rPr>
          <w:sz w:val="20"/>
          <w:szCs w:val="20"/>
          <w:color w:val="auto"/>
        </w:rPr>
      </w:pPr>
      <w:r>
        <w:rPr>
          <w:rFonts w:ascii="Arial" w:cs="Arial" w:eastAsia="Arial" w:hAnsi="Arial"/>
          <w:sz w:val="18"/>
          <w:szCs w:val="18"/>
          <w:color w:val="auto"/>
        </w:rPr>
        <w:t>expiration date may be extended beyond 14 years from FDA approval. Some countries outside the U.S. similarly offer forms of patent term restoration. For example, Supplementary Protection Certificates are available to extend the life of a European patent up to an additional five years (subject to a 15-year cap from European Medicines Agency (EMA) approval) and in Japan patent terms can be extended up to five years.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some cases, the innovator company may retain exclusivity despite approval of the generic, biosimilar, or other follow-on versions of a new medicine beyond the expiration of the compound patent through market dynamics and challenges, later-expiring patents on manufacturing processes, methods of use or formulations, or data protection that may be available under pharmaceutical regulatory laws. The primary forms of data protection are as follows:</w:t>
      </w:r>
    </w:p>
    <w:p>
      <w:pPr>
        <w:spacing w:after="0" w:line="68" w:lineRule="exact"/>
        <w:rPr>
          <w:sz w:val="20"/>
          <w:szCs w:val="20"/>
          <w:color w:val="auto"/>
        </w:rPr>
      </w:pPr>
    </w:p>
    <w:p>
      <w:pPr>
        <w:ind w:left="660" w:right="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package protection generally prohibits other manufacturers from submitting regulatory applications for marketing approval in reliance on the innovator company's regulatory submission data for the drug. The base period is generally five years in the U.S. (12 years for new biologics under the BPCIA, subject to certain conditions), effectively 10 years in Europe, and eight years in Japan. The period begins on the date of product approval and runs concurrently with the patent term for any relevant patents.</w:t>
      </w:r>
    </w:p>
    <w:p>
      <w:pPr>
        <w:spacing w:after="0" w:line="68"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populations within a specified time period. If granted, this "pediatric exclusivity" provides an additional six months of exclusivity, which is added to the term of data protection, orphan drug exclusivity and, for products other than biologics, to the term of any relevant and non-expired patents.</w:t>
      </w:r>
    </w:p>
    <w:p>
      <w:pPr>
        <w:spacing w:after="0" w:line="68" w:lineRule="exact"/>
        <w:rPr>
          <w:rFonts w:ascii="Arial" w:cs="Arial" w:eastAsia="Arial" w:hAnsi="Arial"/>
          <w:sz w:val="18"/>
          <w:szCs w:val="18"/>
          <w:color w:val="auto"/>
        </w:rPr>
      </w:pPr>
    </w:p>
    <w:p>
      <w:pPr>
        <w:ind w:left="660" w:right="10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specific use of a drug or biologic can receive "orphan" designation in the U.S. if it is intended to treat a disease or condition affecting fewer than 200,000 people in the U.S., or where it is not reasonably expected to recover development and marketing costs through U.S. sales. Orphan designation entitles a particular use of the drug to seven years of market exclusivity, which runs in parallel with any applicable patents.</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vary widely. International and U.S. free trade agreements like the Agreement on Trade-Related Aspects of Intellectual Property Rights (TRIPs Agreement) administered by the World Trade Organization provide global protection of certain intellectual property rights. But in a number of markets we are unable to patent our products or to enforce the patents that we receive for our products. Further, many developing countries, and some developed countries, do not provide effective data package protection even though it is specified in the TRIPs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consider intellectual property protection for certain products, processes, uses, and formulations to be important to our business. In addition to the patents and data protection identified below, we may hold patents on manufacturing processes, formulations, devices, or uses that extend exclusivity beyond the dates shown below. For approved products, dates include, where applicable, pending or granted patent term extensions.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 w:name="page11"/>
    <w:bookmarkEnd w:id="10"/>
    <w:p>
      <w:pPr>
        <w:ind w:right="580"/>
        <w:spacing w:after="0" w:line="287" w:lineRule="auto"/>
        <w:rPr>
          <w:sz w:val="20"/>
          <w:szCs w:val="20"/>
          <w:color w:val="auto"/>
        </w:rPr>
      </w:pPr>
      <w:r>
        <w:rPr>
          <w:rFonts w:ascii="Arial" w:cs="Arial" w:eastAsia="Arial" w:hAnsi="Arial"/>
          <w:sz w:val="18"/>
          <w:szCs w:val="18"/>
          <w:color w:val="auto"/>
        </w:rPr>
        <w:t>The most relevant patent protection or data protection and associated expiry dates for our major or recently launched patent-protected marketed products are as follows: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16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Product</w:t>
            </w:r>
          </w:p>
        </w:tc>
        <w:tc>
          <w:tcPr>
            <w:tcW w:w="2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Protection</w:t>
            </w:r>
          </w:p>
        </w:tc>
        <w:tc>
          <w:tcPr>
            <w:tcW w:w="520" w:type="dxa"/>
            <w:vAlign w:val="bottom"/>
            <w:tcBorders>
              <w:top w:val="single" w:sz="8" w:color="auto"/>
              <w:bottom w:val="single" w:sz="8" w:color="auto"/>
              <w:right w:val="single" w:sz="8" w:color="auto"/>
            </w:tcBorders>
          </w:tcPr>
          <w:p>
            <w:pPr>
              <w:spacing w:after="0"/>
              <w:rPr>
                <w:sz w:val="24"/>
                <w:szCs w:val="24"/>
                <w:color w:val="auto"/>
              </w:rPr>
            </w:pPr>
          </w:p>
        </w:tc>
        <w:tc>
          <w:tcPr>
            <w:tcW w:w="272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Territory</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Expiry Date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Diabetes, Obesity</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Jardiance</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and Cardiometabolic</w:t>
            </w:r>
          </w:p>
        </w:tc>
        <w:tc>
          <w:tcPr>
            <w:tcW w:w="1660" w:type="dxa"/>
            <w:vAlign w:val="bottom"/>
            <w:tcBorders>
              <w:right w:val="single" w:sz="8" w:color="auto"/>
            </w:tcBorders>
          </w:tcPr>
          <w:p>
            <w:pPr>
              <w:spacing w:after="0"/>
              <w:rPr>
                <w:sz w:val="3"/>
                <w:szCs w:val="3"/>
                <w:color w:val="auto"/>
              </w:rPr>
            </w:pPr>
          </w:p>
        </w:tc>
        <w:tc>
          <w:tcPr>
            <w:tcW w:w="200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2029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products</w:t>
            </w:r>
          </w:p>
        </w:tc>
        <w:tc>
          <w:tcPr>
            <w:tcW w:w="1660" w:type="dxa"/>
            <w:vAlign w:val="bottom"/>
            <w:tcBorders>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72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2030</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2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Mounjaro/Zepbound</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2040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2040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Trulicity</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biologics 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Oncology products</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Cyramza</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biologics 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820" w:type="dxa"/>
            <w:vAlign w:val="bottom"/>
            <w:tcBorders>
              <w:left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Jaypirca</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Retevmo</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Verzenio</w:t>
            </w:r>
          </w:p>
        </w:tc>
        <w:tc>
          <w:tcPr>
            <w:tcW w:w="2000" w:type="dxa"/>
            <w:vAlign w:val="bottom"/>
          </w:tcPr>
          <w:p>
            <w:pPr>
              <w:ind w:left="20"/>
              <w:spacing w:after="0"/>
              <w:rPr>
                <w:sz w:val="20"/>
                <w:szCs w:val="20"/>
                <w:color w:val="auto"/>
              </w:rPr>
            </w:pPr>
            <w:r>
              <w:rPr>
                <w:rFonts w:ascii="Arial" w:cs="Arial" w:eastAsia="Arial" w:hAnsi="Arial"/>
                <w:sz w:val="18"/>
                <w:szCs w:val="18"/>
                <w:color w:val="auto"/>
              </w:rPr>
              <w:t>compound patent</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data protection</w:t>
            </w: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1"/>
        </w:trPr>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2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8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77"/>
        </w:trPr>
        <w:tc>
          <w:tcPr>
            <w:tcW w:w="1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15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Protection</w:t>
            </w:r>
          </w:p>
        </w:tc>
        <w:tc>
          <w:tcPr>
            <w:tcW w:w="2760" w:type="dxa"/>
            <w:vAlign w:val="bottom"/>
            <w:tcBorders>
              <w:top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Immunology</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Ebglyss</w:t>
            </w: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4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products</w:t>
            </w:r>
          </w:p>
        </w:tc>
        <w:tc>
          <w:tcPr>
            <w:tcW w:w="1540" w:type="dxa"/>
            <w:vAlign w:val="bottom"/>
            <w:tcBorders>
              <w:right w:val="single" w:sz="8" w:color="auto"/>
            </w:tcBorders>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continue"/>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68"/>
        </w:trPr>
        <w:tc>
          <w:tcPr>
            <w:tcW w:w="182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2034</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Olumiant</w:t>
            </w: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Omvoh</w:t>
            </w: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2039</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biologics 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Taltz</w:t>
            </w: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biologics 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Neuroscience</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Emgality</w:t>
            </w: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4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products</w:t>
            </w:r>
          </w:p>
        </w:tc>
        <w:tc>
          <w:tcPr>
            <w:tcW w:w="1540" w:type="dxa"/>
            <w:vAlign w:val="bottom"/>
            <w:tcBorders>
              <w:right w:val="single" w:sz="8" w:color="auto"/>
            </w:tcBorders>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vMerge w:val="continue"/>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68"/>
        </w:trPr>
        <w:tc>
          <w:tcPr>
            <w:tcW w:w="182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biologics 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20" w:type="dxa"/>
            <w:vAlign w:val="bottom"/>
            <w:tcBorders>
              <w:left w:val="single" w:sz="8" w:color="auto"/>
              <w:right w:val="single" w:sz="8" w:color="auto"/>
            </w:tcBorders>
          </w:tcPr>
          <w:p>
            <w:pPr>
              <w:spacing w:after="0"/>
              <w:rPr>
                <w:sz w:val="22"/>
                <w:szCs w:val="22"/>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Reyvow</w:t>
            </w:r>
            <w:r>
              <w:rPr>
                <w:rFonts w:ascii="Arial" w:cs="Arial" w:eastAsia="Arial" w:hAnsi="Arial"/>
                <w:sz w:val="23"/>
                <w:szCs w:val="23"/>
                <w:color w:val="auto"/>
                <w:vertAlign w:val="superscript"/>
              </w:rPr>
              <w:t>®</w:t>
            </w: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protection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82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Jardiance and the related combination product, Glyxambi.</w:t>
      </w:r>
    </w:p>
    <w:p>
      <w:pPr>
        <w:spacing w:after="0" w:line="11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following product candidates are the most relevant that are currently under regulatory review. Upon approval, we expect relevant compound patent and data protections to apply:</w:t>
      </w:r>
    </w:p>
    <w:p>
      <w:pPr>
        <w:spacing w:after="0" w:line="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Donanemab has been submitted for regulatory review in the U.S., the EU and Japan for the treatment of early Alzheimer's disease.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Lebrikizumab has been submitted for regulatory review in the U.S. for the treatment of moderate to severe atopic dermatitis.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Pirtobrutinib has been submitted for regulatory review in Japan for the treatment of certain patients with relapsed or refractory mantle cell lymphoma.</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Worldwide, we sell all of our major products under trademarks consisting of our product names, logos, and unique product appearances that we consider in the aggregate to be important to our operations. Trademark protection varies throughout the world. Trademark protection typically extends beyond the patent and data protection for a product.</w:t>
      </w:r>
    </w:p>
    <w:p>
      <w:pPr>
        <w:sectPr>
          <w:pgSz w:w="11900" w:h="16838" w:orient="portrait"/>
          <w:cols w:equalWidth="0" w:num="1">
            <w:col w:w="11200"/>
          </w:cols>
          <w:pgMar w:left="320" w:top="1024"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4" w:right="379" w:bottom="1440" w:gutter="0" w:footer="0" w:header="0"/>
          <w:type w:val="continuous"/>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We also rely in some circumstances on trade secrets and other unpatented know-how. We seek to protect our confidential information in part through confidentiality agreements with our employees, corporate partners, collaborators, and vendors. These agreements may be breached, and we cannot be certain that we have adequate remedies. If our trade secrets or confidential information become known or are independently discovered by competitors, or if we enter into disputes over ownership of inventions, our business and results of operations could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 and Collaborations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Some of our products are subject to significant license and collaboration agreements. For information on our license and collaboration agreements, see Item 8, "Financial Statements and Supplementary Data—Note 4: Collaborations and Other Arrangements."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when the generic manufacturer files an Abbreviated New Drug Application (ANDA).</w:t>
      </w:r>
    </w:p>
    <w:p>
      <w:pPr>
        <w:spacing w:after="0" w:line="6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the patent(s) listed in the innovator's New Drug Application (NDA) are invalid, unenforceable or not infringed.</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Generic manufacturers use this process extensively to challenge patents on innovative pharmaceuticals. In addition, generic companies have shown willingness to launch "at risk," i.e., after receiving ANDA approval but before final resolution of their patent challenge.</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Under the BPCIA, the FDA cannot approve an application for a biosimilar product until data protection expires, 12 years after initial marketing approval of the innovator biologic, and an application may not be submitted until four years following the date the innovator biologic was first approved. However, the BPCIA does provide a mechanism for a prospective biosimilar competitor to challenge the validity of an innovator's patents as early as four years after initial marketing approval of the innovator biologic.</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patent litigation scheme under the BPCIA, and the BPCIA itself, is complex and continues to be interpreted and implemented by the FDA, as well as by courts. Courts have held that biosimilar applicants are not required to engage in the BPCIA patent litigation scheme and patent holders retain the right to bring suit under normal patent law procedures if a biosimilar applicant attempts to commercialize a product prior to patent expiration. 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and challenged patents are not accorded the presumption of validity. Generic drug companies and even some investment firms have engaged in the IPR process in attempts to invalidate our patents. In addition, in December 2023, the U.S. presidential administration released a proposed framework that would permit the federal government to consider the price of a drug developed using federal funds as a factor in determining whether it may exercise "march-in rights" and license it to a third party to manufacture. A comment period on the proposal runs through February 6, 2024, and we are not able to predict whether a final rule will be adopted in accordance with the proposed framework.</w:t>
      </w:r>
    </w:p>
    <w:p>
      <w:pPr>
        <w:spacing w:after="0" w:line="7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more information on patent challenges and litigation involving our intellectual property rights, see Item 1A, "Risk Factors—Risks Related to Our Business—Our long-term success depends on intellectual property protection; if our intellectual property rights are invalidated, circumvented, or weakened, our business will be adversely affected." and Item 8, "Financial Statements and Supplementary Data—Note 16: Contingencies."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regulated extensively by numerous government agencies.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Products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lengthy process of laboratory and clinical testing, data analysis, manufacturing development, and regulatory review necessary for governmental approvals of our products is extremely costly and can significantly delay product introductions and revenue generation. In addition, our operations are subject to complex federal, state, local, and foreign laws and regulations concerning relationships with healthcare providers and suppliers, pricing and reimbursement for our products, the environment, occupational health and safety, data privacy and security, and other matters. Evolving regulatory priorities have intensified governmental scrutiny of our operations and those of other healthcare intermediaries, including with respect to current Good Manufacturing Practices (cGMP), quality assurance, and similar regulations. Regulatory oversight of the pharmaceutical industry entails judgment and interpretation, which can result in inconsistent administration of laws and regulations by health authorities. Compliance with the laws and regulations affecting the manufacture and sale of current products and the discovery, development, and introduction of new products and uses has and will continue to require substantial effort, expense, and capital investment.</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particular importance to our business is regulation by the FDA in the U.S. Pursuant to laws and regulations that include the Federal Food, Drug, and Cosmetic Act (FDCA), the FDA has jurisdiction over all of our products and devices in the U.S. and administers requirements covering the testing, safety, effectiveness, manufacturing, quality control, distribution, labeling, marketing, promotion, advertising, dissemination of information, and post-marketing surveillance of those products and devices. The FDA holds broad discretion under the FDCA and other statutes to interpret the conditions and evidence necessary for timely approval of our drugs and devices.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approval, our products remain subject to regulation by various government and regulatory agencies in connection with labeling, import, export, sale, storage, recordkeeping, advertising, promotion, and safety reporting. We conduct extensive post-marketing surveillance of the safety of the products we sell and comply with notification requirements related to safety and efficacy, product supply, and other aspects of our products and operations. The FDA may withdraw approval of a product if compliance with regulatory requirements and standards is not maintained or if problems occur after a product reaches the market, including as may be identified through market surveillance or third-party studies involving our products. The FDA may also mandate labeling changes to products at any point in a product's life cycle based on new safety information or as part of a labeling change to a particular class of products. In addition, the FDA strictly regulates marketing, labeling, advertising, and promotion of products to prescribers and patients. Pharmaceutical products may be promoted only for approved indications and in accordance with the provisions of the approved label. The FDA and other agencies actively enforce the laws and regulations prohibiting the promotion of off-label uses.</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Outside the U.S., our products and operations are subject to similar regulatory requirements, notably by the EMA in Europe, the Ministry of Health, Labor and Welfare in Japan, and the National Medical Products Administration in China. Specific regulatory requirements vary from country to country. Regulatory and compliance requirements, as well as approval processes outside the U.S., may differ from those in the U.S. and may involve additional costs, uncertainties, and risks.</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FDA and other regulatory agencies outside the U.S. extensively regulate all aspects of manufacturing quality for pharmaceuticals under their cGMP regulations. Regulators assess compliance with these regulations by inspecting the equipment, facilities, laboratories, and processes used in the manufacturing and testing of our products prior to marketing approval with periodic reinspection thereafter; this may include inspection of our third-party business partners. We make substantial investments of capital and operating expenses to implement comprehensive, company-wide quality systems and controls in our manufacturing, product development, and process development operations in an effort to maintain sustained compliance with cGMP and other regulations. Nonetheless, manufacturing quality and other aspects of pharmaceutical regulatory compliance is heavily scrutinized and results in government investigations,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any issues, any of which have and could adversely affect our business and reputation. Certain of our products, devices and components are manufactured by third parties, and their failure to comply with these regulations has and could in the future adversely affect us, including through failure to supply product to us or delays in approvals of new products or indications. For example, in 2023 we received complete response letters based on FDA observations made during inspections of manufacturing facilities rather than any issues related to efficacy or safety. These resulted in certain delays in the approval of new products.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4" w:name="page15"/>
    <w:bookmarkEnd w:id="14"/>
    <w:p>
      <w:pPr>
        <w:jc w:val="both"/>
        <w:ind w:right="100"/>
        <w:spacing w:after="0" w:line="268" w:lineRule="auto"/>
        <w:rPr>
          <w:sz w:val="20"/>
          <w:szCs w:val="20"/>
          <w:color w:val="auto"/>
        </w:rPr>
      </w:pPr>
      <w:r>
        <w:rPr>
          <w:rFonts w:ascii="Arial" w:cs="Arial" w:eastAsia="Arial" w:hAnsi="Arial"/>
          <w:sz w:val="18"/>
          <w:szCs w:val="18"/>
          <w:color w:val="auto"/>
        </w:rPr>
        <w:t>Any determination by the FDA or other regulatory authorities of manufacturing or other deficiencies could adversely affect our business and reputation. For more information on product regulation challenges, see Item 1A, "Risk Factors—Risks Related to Our Operations—Reliance on third-party relationships and outsourcing arrangements could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Use Authorizations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Secretary of Health and Human Services may issue an Emergency Use Authorization (EUA) to authorize unapproved medical products, or unapproved uses of approved medical products, to be manufactured, marketed, and sold in the context of an actual or potential emergency that has been designated by the government. For example, certain of our products were previously made available for the treatment of COVID-19 under respective EUAs. An EUA terminates when the emergency determination underlying the EUA terminates, and EUAs can be revoked under other circumstances, the timing of which may occur unexpectedly or be difficult to predict.</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Outside the U.S., the emergency use of medical products is subject to regulatory processes and requirements that vary and differ from those in the 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as well as analogous foreign laws and regulations, including the federal anti-kickback statute, the False Claims Act, antitrust laws, and state laws governing kickbacks, false claims, unfair trade practices, and consumer protection. These laws are administered by, among others, the Department of Justice, the Office of Inspector General of the U.S. Department of Health and Human Services (HHS), the Federal Trade Commission, the Office of Personnel Management, and state attorneys general. State, federal, and foreign governments, agencies, and other regulatory bodies are active in their oversight, enforcement activities, and coordination with respect to pharmaceutical companies, which has resulted in intensified scrutiny, litigation costs, corporate criminal sanctions, and substantial civil settlements in the pharmaceutical industry.</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our business is heavily regulated and therefore involves significant interaction with officials outside the U.S. Additionally, in many countries outside the U.S., healthcare providers who prescribe pharmaceuticals are employed by the government and purchasers of pharmaceuticals are government entities; therefore, our interactions with these prescribers and purchasers are subject to regulation under the FCPA.</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have enhanced their laws and regulations in this area, increased their enforcement activities, and/or increased the level of cross-border coordination and information sharing.</w:t>
      </w:r>
    </w:p>
    <w:p>
      <w:pPr>
        <w:spacing w:after="0" w:line="6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criminal sanctions, and administrative remedies, including exclusion from U.S. federal and other healthcare programs. It is possible that an adverse outcome in future actions could have a material adverse impact on our consolidated results of operations, liquidity, and financial position in any given period.</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5" w:name="page16"/>
    <w:bookmarkEnd w:id="15"/>
    <w:p>
      <w:pPr>
        <w:ind w:right="2480"/>
        <w:spacing w:after="0" w:line="375" w:lineRule="auto"/>
        <w:rPr>
          <w:sz w:val="20"/>
          <w:szCs w:val="20"/>
          <w:color w:val="auto"/>
        </w:rPr>
      </w:pPr>
      <w:r>
        <w:rPr>
          <w:rFonts w:ascii="Arial" w:cs="Arial" w:eastAsia="Arial" w:hAnsi="Arial"/>
          <w:sz w:val="18"/>
          <w:szCs w:val="18"/>
          <w:b w:val="1"/>
          <w:bCs w:val="1"/>
          <w:color w:val="auto"/>
        </w:rPr>
        <w:t>Regulations and Private Payer Actions Affecting Pharmaceutical Pricing, Reimbursement, and Access U.S.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continues to be considerable public and government scrutiny of pharmaceutical pricing. In addition, U.S. government actions to reduce federal spending on entitlement programs, including Medicare and Medicaid, may affect payment for our products or services associated with the provision of our products.</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2022, the U.S. government enacted the Inflation Reduction Act of 2022 (IRA). Among other measures, the IRA requires HHS to effectively set prices for certain single-source drugs and biologics reimbursed under Medicare Part B and Part D. Generally, these government prices apply nine years (for medicines approved under an NDA) or thirteen years (for medicines approved under a Biologics License Application (BLA)) following initial FDA approval and will be set at a price that is likely to represent a significant discount from existing average prices to wholesalers and direct purchasers. While the law specifies a ceiling price, it does not set a minimum or floor price. In August 2023, HHS selected Jardiance, which is part of our collaboration with Boehringer Ingelheim, as one of the first ten medicines subject to government-set prices effective in 2026. Given our product portfolio, we expect additional significant products will be selected in future years, which would have the effect of accelerating revenue erosion prior to expiry of exclusivities. The effect of reducing prices and reimbursement for certain of our products would significantly impact our business and consolidated results of operations.</w:t>
      </w:r>
    </w:p>
    <w:p>
      <w:pPr>
        <w:spacing w:after="0" w:line="7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Other IRA provisions require drug manufacturers to provide rebates for Medicare Part B and Part D medicines under certain circumstances. Also, the Part D benefit redesign will replace the Part D Coverage Gap Discount Program (CGDP) with a new manufacturer discount program. Beginning in January 2025, the 70 percent CGDP discount will be replaced by a 10 percent manufacturer discount for all Medicare Part D beneficiaries that have met their deductible and incurred out of pocket drug costs below a $ 2,000 threshold and a 20 percent discount for beneficiaries that have incurred out of pocket drug costs above the $2,000 threshold under the Part D benefit redesign. Manufacturers that fail to comply with the IRA may be subject to various penalties, including civil monetary penalties, which could be significant.</w:t>
      </w:r>
    </w:p>
    <w:p>
      <w:pPr>
        <w:spacing w:after="0" w:line="6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IRA has and will meaningfully influence our business strategies and those of our competitors. In particular, the nine-year timeline to set prices for medicines approved under an NDA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Heightened governmental scrutiny over the manner in which drug manufacturers price their marketed products and the practices of pharmacy benefit managers and other supply chain entities has also resulted in several U.S. Congressional inquiries and proposed and enacted federal and state legislation designed to, among other things, bring more transparency to product pricing, review the relationship between pricing and manufacturer patient programs, require advance notice of list price increases, establish upper payment limits or other restrictions by drug affordability review boards, allow the importation of drugs from other countries, address pharmacy benefit manager practices, and reform government program reimbursement methodologies for drug products. Restrictive or unfavorable pricing, coverage, or reimbursement determinations for our medicines or product candidates by governments, regulatory agencies, courts, or private payers could also adversely impact our business and financial results. Additional policies, regulations, legislation, or enforcement, including those proposed or pursued by the U.S. Congress, the U.S. executive branch and regulatory authorities worldwide, could intensify these efforts and adversely impact our business and consolidated results of operations.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U.S., we are required to provide rebates to the federal government and state governments on their purchases of our pharmaceuticals under various federal and state healthcare programs, including state Medicaid and Medicaid Managed Care programs (a minimum of 23.1 percent plus adjustments for price increases above the consumer price index over time) and discounts to private entities who treat patients in certain types of healthcare facilities intended to serve low-income and uninsured patients (known as 340B covered entities). Additionally, an annual fee is imposed on pharmaceutical manufacturers and importers that sell branded prescription drugs to specified government programs.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to the 340B program or the Medicaid programs could have a material adverse impact on our business. For example, continued expansion of the 340B program and growth of entities claiming entitlement to 340B pricing, including in ways that may be inconsistent with the statutory scheme, impacts our revenue on an increasing percentage of sales. Changes to the calculation of rebates under the Medicaid program could also increase our Medicaid rebate obligations and decrease the prices charged to 340B covered entities.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6" w:name="page17"/>
    <w:bookmarkEnd w:id="16"/>
    <w:p>
      <w:pPr>
        <w:ind w:right="20"/>
        <w:spacing w:after="0" w:line="254" w:lineRule="auto"/>
        <w:rPr>
          <w:sz w:val="20"/>
          <w:szCs w:val="20"/>
          <w:color w:val="auto"/>
        </w:rPr>
      </w:pPr>
      <w:r>
        <w:rPr>
          <w:rFonts w:ascii="Arial" w:cs="Arial" w:eastAsia="Arial" w:hAnsi="Arial"/>
          <w:sz w:val="18"/>
          <w:szCs w:val="18"/>
          <w:color w:val="auto"/>
        </w:rPr>
        <w:t>We have implemented a Contract Pharmacy Limited Distribution System applicable to sales through the 340B program, which generally limits distribution of 340B-priced product to: (i) covered entities and their child sites; (ii) contract pharmacies wholly owned by the covered entity; or (iii) if a covered entity lacks an in-house outpatient pharmacy, a single contract pharmacy designated by a covered entity to establish a 340B bill to/ship to arrangement. Our Contract Pharmacy Limited Distribution System contains certain exceptions that permit broader contract pharmacy usage, including for "penny priced" insulin products, provided that the covered entity passes through all discounts to eligible patients at the point of sale and meets other conditions. We believe our Contract Pharmacy Limited Distribution System complies with the 340B statute, but it remains subject to ongoing inquiries and litigation that could have a material impact on our business, as discussed in Item 8, "Financial Statements and Supplementary Data—Note 16: Contingencies." Other aspects of the 340B program, including the proper definitions of "patient" and "child site" under the 340B statute, are also subject to ongoing litigation by other parties, the resolution of which could impact the growth and scope of the 340B program.</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Rebates are also negotiated in the private sector. We pay rebates to private payers that provide prescription drug benefits to seniors covered by Medicare and to private payers that provide prescription drug benefits to their customers. These rebates are affected by the introduction of competitive products and generics in the same class. Our approach to the rebates we offer to private payers that provide prescription drug benefits to seniors covered by Medicare may be impacted by the 2020 regulatory amendments to the anti-kickback statute's discount safe harbor, which have been stayed until at least January 1, 2032.</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a discussion of risks related to how we price our products, see Item 1A, "Risk Factors—Risks Related to Our Business—We face litigation and investigations related to our products, how we price or commercialize our products, and other aspects of our business, which could adversely affect our business, and we are self-insured for such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Globally, public and private payers are increasingly restricting access to pharmaceuticals based on assessments of comparative effectiveness and value, including through the establishment of formal health technology assessment processes. In addition, third-party organizations, including professional associations, academic institutions, and non-profit entities associated with payers, conduct and publish comparative effectiveness and cost/benefit analyses on medicines, the impact of which can influence pharmaceutical access and pricing.</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regulatory hurdles, restrictions on physician prescription levels, and mandatory generic substitution. In these markets, healthcare services and the determination of pricing and reimbursement for pharmaceutical products are impacted by government control at the point of care or as the primary payer.</w:t>
      </w:r>
    </w:p>
    <w:p>
      <w:pPr>
        <w:spacing w:after="0" w:line="7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European Commission published its draft General Pharmaceutical Legislation in April 2023. While certain elements in the European Commission draft could expedite regulatory timelines, we anticipate that the overall market and patient impact would be negative if the legislation is approved as drafted. Implementation timing is unknown at this time. Health care cost containment remains a focus in the EU, among other jurisdictions. Most countries in the EU attempt to contain drug costs by engaging in some form of reference pricing in which authorities examine pre-determined internal or external markets for published prices of a product or national class of drugs. Member states also have the power to restrict the range of pharmaceutical products for which their national health insurance systems provide reimbursement and may condition access on agreement of a reimbursement price or completion of cost-effectiveness or other gating studies.</w:t>
      </w:r>
    </w:p>
    <w:p>
      <w:pPr>
        <w:spacing w:after="0" w:line="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Japan, our products generally are subject to government-mandated annual price reductions. The government may also order re-pricings for specific products or classes of products if certain criteria are met, including exceeding product use thresholds.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China has introduced and implemented reforms to accelerate access to innovative products and reduce costs. To drive patient access, we seek inclusion of many of our branded products on China's National Reimbursement Drug List, a list of drugs fully or partially reimbursed by China’s national basic health insurance. In exchange for broad access, these products are generally subject to negotiation of significant price concessions. China also utilizes a value-based procurement program process for products that have generic substitutes. Products that we choose to tender through this process are similarly subject to price reductions. Our performance in China may be significantly impacted by the country's evolving pharmaceutical regulatory environment, including access, intellectual property protection, regulatory enforcement and compliance, and trade policies.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7" w:name="page18"/>
    <w:bookmarkEnd w:id="17"/>
    <w:p>
      <w:pPr>
        <w:ind w:right="60"/>
        <w:spacing w:after="0" w:line="262" w:lineRule="auto"/>
        <w:rPr>
          <w:sz w:val="20"/>
          <w:szCs w:val="20"/>
          <w:color w:val="auto"/>
        </w:rPr>
      </w:pPr>
      <w:r>
        <w:rPr>
          <w:rFonts w:ascii="Arial" w:cs="Arial" w:eastAsia="Arial" w:hAnsi="Arial"/>
          <w:sz w:val="18"/>
          <w:szCs w:val="18"/>
          <w:color w:val="auto"/>
        </w:rPr>
        <w:t>Governments in many emerging markets are also focused on limiting health care costs and have enacted price controls and measures impacting intellectual property. Reforms in our product markets, including those that may stem from periods of uneven economic growth or downturns or uncertainty, or as a result of high inflation, emergence, or escalation of, and responses to, international tension and conflicts, or government budgeting priorities, may continue to result in added pressure on pricing and reimbursement for our products.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cannot predict the extent to which our business may be affected by current or potential future legislative, regulatory, or payer developments. However, in general we expect to see continued focus on regulating pricing, resulting in additional state, federal, and international legislative and regulatory developments that could have further negative effects on pricing and reimbursement for our products as well as overall operations.</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See Item 7, "Management's Discussion and Analysis—Executive Overview—Other Matters—Trends Affecting Pharmaceutical Pricing, Reimbursement, and Access" for additional information regarding recent legislative, administrative, and other pricing initiatives and their impact on our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2023, we employed approximately 10,000 people in pharmaceutical research and development activities, including a substantial number of physicians, scientists holding graduate or postgraduate degrees, and highly skilled technical personnel.</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internal pharmaceutical research focuses primarily on the areas of metabolism (including diabetes, obesity and cardiovascular), immunology, neuroscience, and oncology. In addition to discovering and developing new medicines, we seek to expand the value of existing products through new uses, formulations, and therapeutic approaches, including complementary delivery devices or diagnostic tools, that can provide additional value to patients.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medicines. We also invest in external research and technologies that we believe complement and strengthen our own efforts. These investments can take many forms, including, among others, licensing arrangements, co-development agreements, co-promotion arrangements, joint ventures, acquisitions, and equity investments.</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Pharmaceutical development is time-consuming, expensive, and risky. Very few of the candidates discovered by researchers ultimately become approved medicines. The process from discovery to regulatory approval can take over a decade. Candidates can fail at any stage of the process, and even late-stage candidates sometimes fail to receive regulatory approval or achieve commercial success. In addition, novel modalities can present more challenging or lengthy development timelines. The following describes in more detail the research and development process for pharmaceutical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00" w:hanging="230"/>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17" w:lineRule="exact"/>
        <w:rPr>
          <w:rFonts w:ascii="Arial" w:cs="Arial" w:eastAsia="Arial" w:hAnsi="Arial"/>
          <w:sz w:val="18"/>
          <w:szCs w:val="18"/>
          <w:b w:val="1"/>
          <w:bCs w:val="1"/>
          <w:color w:val="auto"/>
        </w:rPr>
      </w:pPr>
    </w:p>
    <w:p>
      <w:pPr>
        <w:ind w:left="4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discovery phase, scientists identify, design, and synthesize promising candidates by analyzing their effect on biological targets thought to play a role in disease. Targets are often unproven and only candidates that have the desired effect on the target and meet other design criteria move to the next phase of development, which includes the initiation of studies in animals to support regulatory and safety requirements for clinical research in humans. The discovery phase can take years and the probability of any one candidate becoming a medicine is extremely 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7" w:lineRule="exact"/>
        <w:rPr>
          <w:rFonts w:ascii="Arial" w:cs="Arial" w:eastAsia="Arial" w:hAnsi="Arial"/>
          <w:sz w:val="18"/>
          <w:szCs w:val="18"/>
          <w:b w:val="1"/>
          <w:bCs w:val="1"/>
          <w:color w:val="auto"/>
        </w:rPr>
      </w:pPr>
    </w:p>
    <w:p>
      <w:pPr>
        <w:ind w:left="42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Early development includes initial testing for safety and efficacy and early analyses of manufacturing requirements. Safety testing is initially performed in laboratory tests and animals, as necessary. In general, the first human tests (often referred to as Phase I) are conducted in small groups of subjects to assess safety and evaluate the potential dosing range. Subsequently, larger populations of patients are studied (Phase II) to identify signs of efficacy while continuing to assess safety. In parallel, scientists work to identify safe, effective, and economical manufacturing processes. Long-term animal studies continue to test for potential safety issues. Of the candidates that enter the early development phase, approximately 10 percent move to the late development phase. The early development phase varies but can take several years to complete.</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Late Development Phase</w:t>
      </w:r>
    </w:p>
    <w:p>
      <w:pPr>
        <w:spacing w:after="0" w:line="117"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Late phase development projects (typically Phase III) have met initial safety requirements and shown initial evidence of efficacy in earlier studies. As a result, these candidates generally have a higher likelihood of success and trials include larger patient populations to demonstrate safety and efficacy in the disease. These studies are designed to demonstrate the benefit and risk of the potential new medicine and may be compared to competitive therapies, placebo, or both. Phase III studies are generally conducted globally, are costly, and are designed to support regulatory filings for marketing approval. The duration of Phase III testing varies by disease and may take years.</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7" w:lineRule="exact"/>
        <w:rPr>
          <w:sz w:val="20"/>
          <w:szCs w:val="20"/>
          <w:color w:val="auto"/>
        </w:rPr>
      </w:pPr>
    </w:p>
    <w:p>
      <w:pPr>
        <w:ind w:left="420" w:right="20"/>
        <w:spacing w:after="0" w:line="259" w:lineRule="auto"/>
        <w:rPr>
          <w:sz w:val="20"/>
          <w:szCs w:val="20"/>
          <w:color w:val="auto"/>
        </w:rPr>
      </w:pPr>
      <w:r>
        <w:rPr>
          <w:rFonts w:ascii="Arial" w:cs="Arial" w:eastAsia="Arial" w:hAnsi="Arial"/>
          <w:sz w:val="18"/>
          <w:szCs w:val="18"/>
          <w:color w:val="auto"/>
        </w:rPr>
        <w:t>Once a potential new medicine is submitted to regulatory agencies, the time to final marketing approval can vary from several months to several years, depending on the disease state, the strength and complexity of available data, the degree of unmet need, and the time required for the regulatory agency(ies) to evaluate the submission, which can depend on prioritization by regulators and other factors. There is no guarantee that a potential medicine will receive marketing approval, or that decisions on marketing approvals or indications will be consistent across geographic areas.</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See Item 7, "Management's Discussion and Analysis—Executive Overview—Late-Stage Pipeline," for more information on our late-stage product candidates.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Product Supply</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certain raw or intermediate materials are procured from a single source. We seek to maintain sufficient inventory to provide reliability of production and manage unforeseen supply variability. However, various developments have led, and may in the future lead, to interruption or shortages in supply until we establish new sources, implement alternative processes, bring new manufacturing facilities online, or pause or discontinue product sales in one or more markets.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majority of our revenue comes from products produced predominantly in our own facilities. Our principal active ingredient manufacturing occurs at sites we own in the U.S., including Puerto Rico, and Ireland. Finishing operations, including formulation, filling, assembling, delivery device manufacturing, and packaging, take place at a number of sites throughout the world. To support anticipated demand for our current and prospective products, we have undertaken significant manufacturing expansion initiatives. During 2023, commercial production commenced at our Research Triangle Park manufacturing site in Durham, North Carolina. Further investments to increase our manufacturing capacity include planned sites in Concord, North Carolina, Limerick, Ireland, Alzey, Rhineland-Palatinate, Germany, and two in Lebanon, Indiana. We also utilize and are expanding arrangements with third parties for certain active ingredient manufacturing, filling, finishing operations, and for device or component production and assembly.</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product demand while maintaining flexibility to reallocate manufacturing capacity to improve efficiency and respond to changes in supply and demand. To maintain supply of our products, we use a variety of techniques, including comprehensive quality systems, inventory management, and back-up sites.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right="20"/>
        <w:spacing w:after="0" w:line="252"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is a very lengthy process requiring significant capital expenditures, process modifications, and regulatory approvals. Accordingly, developments such as unanticipated demand, unplanned plant shutdowns, manufacturing or quality assurance difficulties at one of our facilities or contracted facilities, failure or refusal of a supplier or contract manufacturer to supply contracted quantities, increases in demand on a supplier, or difficulties in predicting or variability in demand for our products and those of our competitors have led, and may in the future lead, to interruption or higher costs in the supply of certain products, product shortages, or pauses or discontinuations of product sales in one or more markets. For example, we have experienced challenges in meeting strong demand for our incretin products in recent periods, partially due to the limited availability of competitor therapies, and expect tight supply to persist while additional manufacturing capacity is operationalized. Further, cost and wage inflation, availability of adequate capacity in global transportation, supply chain complexities, including consolidation therein, labor market issues, international tension and conflicts, uneven economic growth or downturns, an increase in overall demand in our industry for certain products and materials, and public health outbreaks, epidemics, or pandemics, such as the COVID-19 pandemic, have caused, and in the future may cause, delays or disruptions in and/or increased costs related to distribution of our medicines, the construction or acquisition of manufacturing capacity, procurement activity, and supplier or contract manufacturer arrangements, as well as other general business impacts. For more information on the additional risks we face in connection with any difficulties, disruptions, and shortages in the manufacturing, distribution, and sale of our products, see Item 1A, "Risk Factors—Risks Related to Our Business—Manufacturing, quality, or supply chain difficulties, disruptions, or shortages could lead to product supply problems."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success depends in great measure on customer confidence in the quality of our products and in the integrity of the data that support their safety and effectiveness. Product quality requires a total commitment to quality in all parts of our operations, including research and development, purchasing, facilities planning, manufacturing, distribution, and dissemination of information about our medicines.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ensure that the product meets all applicable regulatory requirements and our internal standards. These tests may involve chemical and physical chemical analyses, microbiological testing, testing in animals, or a combination thereof. Additional assurance of quality is provided by quality assurance groups that audit and monitor all aspects of quality related to pharmaceutical manufacturing procedures and systems in company operations and at third-party suppliers.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6, 2024 in connection with the company's annual meeting of shareholders,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15"/>
        </w:trPr>
        <w:tc>
          <w:tcPr>
            <w:tcW w:w="1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5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Titles and Business Experience</w:t>
            </w:r>
          </w:p>
        </w:tc>
        <w:tc>
          <w:tcPr>
            <w:tcW w:w="0" w:type="dxa"/>
            <w:vAlign w:val="bottom"/>
          </w:tcPr>
          <w:p>
            <w:pPr>
              <w:spacing w:after="0"/>
              <w:rPr>
                <w:sz w:val="1"/>
                <w:szCs w:val="1"/>
                <w:color w:val="auto"/>
              </w:rPr>
            </w:pPr>
          </w:p>
        </w:tc>
      </w:tr>
      <w:tr>
        <w:trPr>
          <w:trHeight w:val="174"/>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David Ricks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Chair, President, and Chief Executive Officer (CEO) (since 2017). Previously, Mr. Ricks held various leadership roles with Lilly,</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senior vice president and president, Lilly Bio-Medicines. Mr. Ricks has 27 years of service with Lilly.</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Financial Officer (since 2021). Previously, Ms. Ashkenazi held various leadership roles with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Ashkenazi</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controller and chief financial officer, Lilly Research Laboratories, and vice president, finance and chief</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financial officer, Lilly Diabetes and Lilly global manufacturing and quality. Ms. Ashkenazi has 22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Human Resources and Diversity (since 2022). Previously, Mr. Dozier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Eric Dozier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chief commercial officer for Loxo@Lilly, and vice president, global ethics and compliance officer. Mr.</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Dozier has 26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General Counsel and Secretary (since 2020). Prior to joining Lilly, Ms. Hakim was senior vice president,</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and secretary of WellCare Health Plans, Inc. (WellCare) from 2016 to 2018, and executive vice president, general</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Hakim</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counsel and secretary of WellCare from 2018 to 2020. Prior to joining WellCare, she served as divisional vice president and associate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intellectual property litigation at Abbott Laboratories from 2010 to 2013 and divisional vice president and associate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litigation from 2013 to 2016. Ms. Hakim has four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Manufacturing Operations (since 2021). Previously, Mr. Hernandez held various leadership</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Edgardo Hernandez</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roles with Lilly, including senior vice president, global parenteral drug product, delivery devices and regional manufacturing, and 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Fegersheim operations. Mr. Hernandez has 19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Diabetes and Obesity and President, Lilly USA (since 2024). Mr. Jonsson has held</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Patrik Jonsson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various leadership roles with Lilly, including, most recently, as Executive Vice President and President, Lilly Immunology and Lilly</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USA, and Chief Customer Officer. Previously, he served as senior vice president and president, Lilly Bio-Medicines and president and</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manager, Lilly Japan. Mr. Jonsson has 33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Global Quality (since 2017). Previously, Ms. Norton held various leadership roles with Lilly, including vice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Norton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global quality assurance API manufacturing and product research and development. Ms. Norton has 33 years of service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Information and Digital Officer (since 2021). Prior to joining Lilly, Mr. Rau was senior director of</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Diogo Rau</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information systems and technology for retail and online stores of Apple Inc. from 2011 to 2021. Prior to his tenure at Apple, he served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 a partner at McKinsey &amp; Company. Mr. Rau has three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Chief Scientific Officer and President, Lilly Research Laboratories and Lilly Immunology (since 2024). Prior</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Daniel Skovronsky, M.D.,</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 assuming his current role, Dr. Skovronsky served as Executive Vice President, Chief Scientific and Medical Officer, and President,</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Lilly Research Laboratories since 2018. Dr. Skovronsky has held other leadership roles with Lilly, including as senior vice president,</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clinical and product development and vice president, diabetes research. Dr. Skovronsky has 13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Loxo@Lilly (since 2021). Previously, Mr. Van Naarden served as chief executive officer-Loxo</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Oncology at Lilly, and chief operating officer-Loxo Oncology at Lilly. Mr. Van Naarden joined Lilly in 2019 when the company acquired</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Jacob Van Naarden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Loxo Oncology, Inc., where he was the chief operating officer. In previous roles, Mr. Van Naarden worked in various biotechnology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investing, operating, and advisory capacities, including positions with HealthCor Management, Aisling Capital, and Goldman Sachs.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Mr. Van Naarden has five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Enterprise Risk Management, and Chief Ethics and Compliance Officer (since 2021). Previously, Mr.</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Alonzo Weems</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Weems held various leadership roles with Lilly, including vice president and deputy general counsel for corporate legal functions,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for Lilly USA, and general counsel for biomedicines and diabetes. Mr. Weems has 26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Neuroscience (since 2021). Previously, Ms. White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White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Oncology, vice president of Portfolio Management, Chorus, and Next Generation</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Research and Development. Ms. White has 28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International (since 2021). Previously, Mr. Yuffa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Ilya Yuffa</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Bio-Medicines, vice president of U.S. Diabetes, general manager of Italy Hub, and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vice president, global ethics and compliance officer since 2014. Mr. Yuffa has 27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19" w:right="5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Human Capital Management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core values—integrity, excellence, and respect for people—shape our approach to attracting, retaining, engaging, and developing a diverse and highly skilled and ethical workforce, which is critical to executing our strategy. We believe the strength of our workforce significantly contributes to our financial performance and enables us to make life better for people around the world. For instance, most of the products we sell today were discovered or developed by our own scientists, and our long-term success depends on our ability to continually discover or acquire, develop, and commercialize innovative medicines. We believe that fostering a positive culture that values the contributions of our talented colleagues helps drive our success.</w:t>
      </w:r>
    </w:p>
    <w:p>
      <w:pPr>
        <w:spacing w:after="0" w:line="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are committed to creating a safe, supportive, ethical, and rewarding work environment through strategic focus on our human capital management process, fairness and nondiscrimination in our employment practices, robust training and development opportunities, and competitive pay and benefits. We believe our dedication to promoting diversity, equity, and inclusion within our company reflects our values and is a key driver of business success and growth.</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regularly conduct confidential employee surveys to seek feedback from our workforce on a variety of topics. These results are reviewed and analyzed by our leaders to identify opportunities to adjust our policies and benefits to improve our employees' experience. As a result of our efforts, we believe that we have a highly performing, cohesive workforce and that our employee relations are good.</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At the end of 2023, we employed approximately 43,000 people, including approximately 23,000 employees outside the U.S. Our employees include approximately 10,000 people engaged in research and development activities.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Oversight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committed to fairness and nondiscrimination in our employment practices, and we deeply value diverse backgrounds, skills, and global perspectives. Because dedication to human capital management is also a core component of our corporate governance, our board of directors regularly engages with management and facilitates a system of reporting designed to monitor human capital management initiatives and progress as part of the overarching framework that guides how we attract, retain, engage, and develop a workforce that aligns with our values and mission.</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Across all levels of our workforce, from the end of 2019 through the end of 2023, we have seen positive changes in representation for minority group members (MGM) in the United States and women globally. In addition, 4 of 13 current members (approximately 31 percent) of our executive committee (which includes our CEO) are women and 3 are MGMs. In addition, as of the filing of this Annual Report on Form 10-K, the company's 12-member board of directors includes five women and five members who are MGMs.</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recruitment strategy focuses on opportunities to expand our pool of candidates to reach more candidates across a variety of dimensions, including but not limited to race, religion, sexual orientation, gender identity, national origin, veteran status, disability status, education, and experience. We also strive to provide a diverse panel of interviewers for open positions. We believe that recruiting in this way helps ensure that everyone will have an equal opportunity to advance their careers.</w:t>
      </w:r>
    </w:p>
    <w:p>
      <w:pPr>
        <w:spacing w:after="0" w:line="1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implemented development tools and resources for all employees, improved our talent programs and processes to provide broader access to information, and increased transparency regarding career development and advancement at Lilly.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Information Available on Our Website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www.lilly.com</w:t>
      </w:r>
      <w:r>
        <w:rPr>
          <w:rFonts w:ascii="Arial" w:cs="Arial" w:eastAsia="Arial" w:hAnsi="Arial"/>
          <w:sz w:val="18"/>
          <w:szCs w:val="18"/>
          <w:color w:val="auto"/>
        </w:rPr>
        <w:t xml:space="preserve">. None of the information accessible on or through our website is incorporated into this Annual Report on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5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Paper copies of the company's Annual Report on Form 10-K and Quarterly Reports on Form 10-Q that are filed with the SEC are available without charge upon written request to:</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 LILLY AND COMPANY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Indiana 46285</w:t>
      </w:r>
    </w:p>
    <w:p>
      <w:pPr>
        <w:spacing w:after="0" w:line="99"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 xml:space="preserve">In addition, the "Governance" section of our website includes our corporate governance guidelines, board of directors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lilly.com/leadership/governance</w:t>
      </w:r>
      <w:r>
        <w:rPr>
          <w:rFonts w:ascii="Arial" w:cs="Arial" w:eastAsia="Arial" w:hAnsi="Arial"/>
          <w:sz w:val="18"/>
          <w:szCs w:val="18"/>
          <w:color w:val="auto"/>
        </w:rPr>
        <w:t>.</w:t>
      </w:r>
    </w:p>
    <w:p>
      <w:pPr>
        <w:spacing w:after="0" w:line="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routinely post important information for investors in the “Investors” section of our website, </w:t>
      </w:r>
      <w:r>
        <w:rPr>
          <w:rFonts w:ascii="Arial" w:cs="Arial" w:eastAsia="Arial" w:hAnsi="Arial"/>
          <w:sz w:val="18"/>
          <w:szCs w:val="18"/>
          <w:b w:val="1"/>
          <w:bCs w:val="1"/>
          <w:color w:val="auto"/>
        </w:rPr>
        <w:t>www.lilly.com</w:t>
      </w:r>
      <w:r>
        <w:rPr>
          <w:rFonts w:ascii="Arial" w:cs="Arial" w:eastAsia="Arial" w:hAnsi="Arial"/>
          <w:sz w:val="18"/>
          <w:szCs w:val="18"/>
          <w:color w:val="auto"/>
        </w:rPr>
        <w:t>.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Annual Report on Form 10-K.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spacing w:after="0"/>
        <w:rPr>
          <w:sz w:val="20"/>
          <w:szCs w:val="20"/>
          <w:color w:val="auto"/>
        </w:rPr>
      </w:pPr>
      <w:r>
        <w:rPr>
          <w:rFonts w:ascii="Arial" w:cs="Arial" w:eastAsia="Arial" w:hAnsi="Arial"/>
          <w:sz w:val="32"/>
          <w:szCs w:val="32"/>
          <w:b w:val="1"/>
          <w:bCs w:val="1"/>
          <w:i w:val="1"/>
          <w:iCs w:val="1"/>
          <w:color w:val="auto"/>
        </w:rPr>
        <w:t>Item 1A.Risk Factors</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our company. It is possible that our business, financial condition, liquidity, cash flows, results of operations, reputation, and prospects could be materially adversely affected by any of these risks. Additional risks and uncertainties not presently known to us or that we currently believe to be immaterial could also adversely affect our business, financial condition, liquidity, cash flows, results of operations, reputation,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7" w:lineRule="exact"/>
        <w:rPr>
          <w:sz w:val="20"/>
          <w:szCs w:val="20"/>
          <w:color w:val="auto"/>
        </w:rPr>
      </w:pPr>
    </w:p>
    <w:p>
      <w:pPr>
        <w:jc w:val="both"/>
        <w:ind w:left="340" w:right="20" w:hanging="332"/>
        <w:spacing w:after="0" w:line="273"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w:t>
      </w:r>
    </w:p>
    <w:p>
      <w:pPr>
        <w:spacing w:after="0" w:line="49" w:lineRule="exact"/>
        <w:rPr>
          <w:rFonts w:ascii="Arial" w:cs="Arial" w:eastAsia="Arial" w:hAnsi="Arial"/>
          <w:sz w:val="18"/>
          <w:szCs w:val="18"/>
          <w:b w:val="1"/>
          <w:bCs w:val="1"/>
          <w:color w:val="auto"/>
        </w:rPr>
      </w:pPr>
    </w:p>
    <w:p>
      <w:pPr>
        <w:ind w:left="340" w:right="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There are many difficulties and uncertainties inherent in pharmaceutical research and development, the introduction of new products and indications, business development activities to enhance or refine our product pipeline, and commercialization of our products.</w:t>
      </w:r>
    </w:p>
    <w:p>
      <w:pPr>
        <w:spacing w:after="0" w:line="44" w:lineRule="exact"/>
        <w:rPr>
          <w:rFonts w:ascii="Arial" w:cs="Arial" w:eastAsia="Arial" w:hAnsi="Arial"/>
          <w:sz w:val="18"/>
          <w:szCs w:val="18"/>
          <w:b w:val="1"/>
          <w:bCs w:val="1"/>
          <w:color w:val="auto"/>
        </w:rPr>
      </w:pPr>
    </w:p>
    <w:p>
      <w:pPr>
        <w:ind w:left="340" w:right="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There is a high rate of failure inherent in drug discovery and development. To bring a product from the discovery phase to market takes considerable time and entails significant cost. Failure can occur at any point in the process, including in later stages after substantial investment. As a result, most funds invested in research and development programs will not generate financial returns. New product candidates that appear promising in development or prior to being acquired may fail to reach the market or may have only limited commercial success because of efficacy or safety concerns, inability to obtain or maintain necessary regulatory approvals or payer reimbursement or coverage, failure to obtain placement on guidelines or recommendations published by third-party organizations that are commensurate with clinical data, the application of pricing controls, limited scope of approved uses, label changes, changes in the relevant treatment standards or the availability of newer, better, or more cost-effective competitive products, difficulty or excessive costs to manufacture, insufficient infrastructure to support detection, diagnostic or other requisites for treatment, ineffectiveness in reaching healthcare professionals, including digitally given the increase in virtual engagements, or infringement of the patents or intellectual property rights of others. We may also fail to allocate research and development resources efficiently, fail to pursue or invest sufficiently in product candidates or indications that may have been successful, or fail to optimally balance trial design, conduct, and speed to accomplish desired outcomes.</w:t>
      </w:r>
    </w:p>
    <w:p>
      <w:pPr>
        <w:spacing w:after="0" w:line="79"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Regulatory agencies establish high hurdles for the efficacy and safety of new products and indications. Delay, uncertainty, unpredictability, and inconsistency in drug approval processes across markets and agencies can result in delays in product launches, lost market opportunities, impairment of inventories, and other negative impacts. In addition, it can be very difficult to predict revenue growth rates of, or variability in demand for, new products and indications, which in some cases leads to difficulty meeting product demand or, on the other hand, excess inventory and related financial charges.</w:t>
      </w:r>
    </w:p>
    <w:p>
      <w:pPr>
        <w:spacing w:after="0" w:line="71" w:lineRule="exact"/>
        <w:rPr>
          <w:rFonts w:ascii="Arial" w:cs="Arial" w:eastAsia="Arial" w:hAnsi="Arial"/>
          <w:sz w:val="18"/>
          <w:szCs w:val="18"/>
          <w:b w:val="1"/>
          <w:bCs w:val="1"/>
          <w:color w:val="auto"/>
        </w:rPr>
      </w:pPr>
    </w:p>
    <w:p>
      <w:pPr>
        <w:ind w:left="340" w:right="10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We cannot state with certainty when or whether our products and indications now under development will be approved or launched; whether, if initially granted, such approval will be maintained; whether we will be able to develop, license, or otherwise acquire additional product candidates, indications or products; or whether our products and indications, once launched, will be commercially successful.</w:t>
      </w:r>
    </w:p>
    <w:p>
      <w:pPr>
        <w:spacing w:after="0" w:line="44" w:lineRule="exact"/>
        <w:rPr>
          <w:rFonts w:ascii="Arial" w:cs="Arial" w:eastAsia="Arial" w:hAnsi="Arial"/>
          <w:sz w:val="18"/>
          <w:szCs w:val="18"/>
          <w:b w:val="1"/>
          <w:bCs w:val="1"/>
          <w:color w:val="auto"/>
        </w:rPr>
      </w:pPr>
    </w:p>
    <w:p>
      <w:pPr>
        <w:ind w:left="34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Through internal innovation and business development we must maintain a continuous flow of successful new products and indications or line extensions sufficient both to cover our substantial research and development costs and investments and to replace revenues that are lost as profitable products become subject to pricing controls, lose intellectual property exclusivity, or are displaced by competing products or therapies. Failure to timely replenish our product portfolio and pipeline would have a material adverse effect on our business, results of operations, cash flows, and financial position. Our dependence on, or focus in, one or more key products or product classes may exacerbate this risk. In addition, the growth of our business and revenue base increases the risk that products developed or acquired by us may not provide adequate value to sustain further long-term growth.</w:t>
      </w:r>
    </w:p>
    <w:p>
      <w:pPr>
        <w:spacing w:after="0" w:line="74" w:lineRule="exact"/>
        <w:rPr>
          <w:rFonts w:ascii="Arial" w:cs="Arial" w:eastAsia="Arial" w:hAnsi="Arial"/>
          <w:sz w:val="18"/>
          <w:szCs w:val="18"/>
          <w:b w:val="1"/>
          <w:bCs w:val="1"/>
          <w:color w:val="auto"/>
        </w:rPr>
      </w:pPr>
    </w:p>
    <w:p>
      <w:pPr>
        <w:ind w:left="34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engage in various forms of business development activities to enhance or refine our product pipeline, including licensing arrangements, co-development agreements, co-promotion arrangements, distribution and promotion agreements, joint ventures, acquisitions, equity investments, and divestitures. There are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4" w:name="page25"/>
    <w:bookmarkEnd w:id="24"/>
    <w:p>
      <w:pPr>
        <w:ind w:left="332"/>
        <w:spacing w:after="0" w:line="269" w:lineRule="auto"/>
        <w:rPr>
          <w:sz w:val="20"/>
          <w:szCs w:val="20"/>
          <w:color w:val="auto"/>
        </w:rPr>
      </w:pPr>
      <w:r>
        <w:rPr>
          <w:rFonts w:ascii="Arial" w:cs="Arial" w:eastAsia="Arial" w:hAnsi="Arial"/>
          <w:sz w:val="17"/>
          <w:szCs w:val="17"/>
          <w:color w:val="auto"/>
        </w:rPr>
        <w:t>substantial risks associated with identifying successful business development targets and consummating related transactions. Increased focus on business combinations in our industry, including by the Federal Trade Commission and competition authorities in Europe and other jurisdictions, and heightened competition for attractive targets has and could continue to delay, jeopardize, or increase the costs of our business development activities. In addition, failures or difficulties in integrating or retaining new personnel or the operations of the businesses, products, or assets we acquire (including related technology, commercial operations, compliance programs, information security, manufacturing, distribution, and general business operations and procedures) may affect our ability to realize the expected benefits of business development transactions and may result in our incurrence of substantial asset impairment or restructuring charges. We also may fail to generate the expected revenue and pipeline enhancement from business development activities due to limited diligence opportunities, unsuccessful clinical trials, issues related to the quality, integrity, or broad applicability of data, regulatory impediments, and manufacturing or commercialization challenges. Additionally, business development activity focused on new modalities may entail additional risks and costs. Accordingly, business development transactions may not be completed in a timely manner (if at all), may not result in successful development outcomes or successful commercialization of any product, may give rise to legal proceedings or regulatory scrutiny, and may result in charges that negatively impact our financial position or results of operations in any given period.</w:t>
      </w:r>
    </w:p>
    <w:p>
      <w:pPr>
        <w:spacing w:after="0" w:line="68" w:lineRule="exact"/>
        <w:rPr>
          <w:sz w:val="20"/>
          <w:szCs w:val="20"/>
          <w:color w:val="auto"/>
        </w:rPr>
      </w:pPr>
    </w:p>
    <w:p>
      <w:pPr>
        <w:ind w:left="332" w:right="200"/>
        <w:spacing w:after="0" w:line="287" w:lineRule="auto"/>
        <w:rPr>
          <w:sz w:val="20"/>
          <w:szCs w:val="20"/>
          <w:color w:val="auto"/>
        </w:rPr>
      </w:pPr>
      <w:r>
        <w:rPr>
          <w:rFonts w:ascii="Arial" w:cs="Arial" w:eastAsia="Arial" w:hAnsi="Arial"/>
          <w:sz w:val="18"/>
          <w:szCs w:val="18"/>
          <w:color w:val="auto"/>
        </w:rPr>
        <w:t>See Item 1, "Business—Research and Development—Phases of New Drug Development" and Item 7, "Management's Discussion and Analysis—Executive Overview—Late-Stage Pipeline," for more details about our current product pipeline.</w:t>
      </w:r>
    </w:p>
    <w:p>
      <w:pPr>
        <w:spacing w:after="0" w:line="45" w:lineRule="exact"/>
        <w:rPr>
          <w:sz w:val="20"/>
          <w:szCs w:val="20"/>
          <w:color w:val="auto"/>
        </w:rPr>
      </w:pPr>
    </w:p>
    <w:p>
      <w:pPr>
        <w:ind w:left="332" w:right="140" w:hanging="332"/>
        <w:spacing w:after="0" w:line="328" w:lineRule="auto"/>
        <w:tabs>
          <w:tab w:leader="none" w:pos="327"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We and our products face intense competition from multinational pharmaceutical companies, biotechnology companies, and lower-cost generic and biosimilar manufacturers, and such competition could have a material adverse effect on our business.</w:t>
      </w:r>
    </w:p>
    <w:p>
      <w:pPr>
        <w:spacing w:after="0" w:line="5" w:lineRule="exact"/>
        <w:rPr>
          <w:rFonts w:ascii="Arial" w:cs="Arial" w:eastAsia="Arial" w:hAnsi="Arial"/>
          <w:sz w:val="17"/>
          <w:szCs w:val="17"/>
          <w:color w:val="auto"/>
        </w:rPr>
      </w:pPr>
    </w:p>
    <w:p>
      <w:pPr>
        <w:ind w:left="332" w:right="200"/>
        <w:spacing w:after="0" w:line="255" w:lineRule="auto"/>
        <w:rPr>
          <w:rFonts w:ascii="Arial" w:cs="Arial" w:eastAsia="Arial" w:hAnsi="Arial"/>
          <w:sz w:val="17"/>
          <w:szCs w:val="17"/>
          <w:color w:val="auto"/>
        </w:rPr>
      </w:pPr>
      <w:r>
        <w:rPr>
          <w:rFonts w:ascii="Arial" w:cs="Arial" w:eastAsia="Arial" w:hAnsi="Arial"/>
          <w:sz w:val="18"/>
          <w:szCs w:val="18"/>
          <w:color w:val="auto"/>
        </w:rPr>
        <w:t>We compete with a large number of multinational pharmaceutical companies, biotechnology companies, and generic pharmaceutical companies and, in many cases, our products compete against the leading products of one or more of our competitors. To compete successfully, we must continue to deliver to the market innovative, cost-effective products through internal innovation or business development that meet important medical needs, provide improved outcomes for patients, and deliver value to payers. Our product revenues and prospects are adversely affected by the introduction by competitors of branded products that are first to market, have better marketplace access, have greater brand recognition or are perceived as superior by the marketplace, by generic or biosimilar versions of our branded products, and by generic or biosimilar versions of other products in the same therapeutic class as our branded products. Our revenues are also adversely affected by treatment innovations, including new or superior modalities, that eliminate or minimize the need for treatment with our drugs.</w:t>
      </w:r>
    </w:p>
    <w:p>
      <w:pPr>
        <w:spacing w:after="0" w:line="72" w:lineRule="exact"/>
        <w:rPr>
          <w:rFonts w:ascii="Arial" w:cs="Arial" w:eastAsia="Arial" w:hAnsi="Arial"/>
          <w:sz w:val="17"/>
          <w:szCs w:val="17"/>
          <w:color w:val="auto"/>
        </w:rPr>
      </w:pPr>
    </w:p>
    <w:p>
      <w:pPr>
        <w:ind w:left="332" w:right="40"/>
        <w:spacing w:after="0" w:line="256" w:lineRule="auto"/>
        <w:rPr>
          <w:rFonts w:ascii="Arial" w:cs="Arial" w:eastAsia="Arial" w:hAnsi="Arial"/>
          <w:sz w:val="17"/>
          <w:szCs w:val="17"/>
          <w:color w:val="auto"/>
        </w:rPr>
      </w:pPr>
      <w:r>
        <w:rPr>
          <w:rFonts w:ascii="Arial" w:cs="Arial" w:eastAsia="Arial" w:hAnsi="Arial"/>
          <w:sz w:val="18"/>
          <w:szCs w:val="18"/>
          <w:color w:val="auto"/>
        </w:rPr>
        <w:t>Regulation of generic and biosimilar products varies around the world and such regulation is complex and subject to ongoing interpretation and implementation by regulatory agencies and courts. Particularly for biosimilars, health authority guidelines and legislative actions could make it less burdensome for competitor products to enter the market and further incentivize uptake of biosimilars. Given the importance to us of marketed biologic products and those in our clinical-stage pipeline, such regulation could have a material adverse effect on our business. See Item 1, "Business—Competition" and "Business—Research and Development," for more details. Alternatively, actual or perceived failure of robust generic and biosimilar competition could propel governments to adopt additional policies and legislation that threaten our intellectual property, pricing of our products, or other aspects of our business.</w:t>
      </w:r>
    </w:p>
    <w:p>
      <w:pPr>
        <w:spacing w:after="0" w:line="74" w:lineRule="exact"/>
        <w:rPr>
          <w:rFonts w:ascii="Arial" w:cs="Arial" w:eastAsia="Arial" w:hAnsi="Arial"/>
          <w:sz w:val="17"/>
          <w:szCs w:val="17"/>
          <w:color w:val="auto"/>
        </w:rPr>
      </w:pPr>
    </w:p>
    <w:p>
      <w:pPr>
        <w:ind w:left="332" w:right="40"/>
        <w:spacing w:after="0" w:line="254" w:lineRule="auto"/>
        <w:rPr>
          <w:rFonts w:ascii="Arial" w:cs="Arial" w:eastAsia="Arial" w:hAnsi="Arial"/>
          <w:sz w:val="17"/>
          <w:szCs w:val="17"/>
          <w:color w:val="auto"/>
        </w:rPr>
      </w:pPr>
      <w:r>
        <w:rPr>
          <w:rFonts w:ascii="Arial" w:cs="Arial" w:eastAsia="Arial" w:hAnsi="Arial"/>
          <w:sz w:val="18"/>
          <w:szCs w:val="18"/>
          <w:color w:val="auto"/>
        </w:rPr>
        <w:t>In addition, we rely on our ability to attract, engage, and retain highly qualified and skilled scientific, technical, management, and other personnel in order to compete effectively. To continue to commercialize our products, and advance the research, development, and commercialization of additional modalities, indications, and product candidates, we have expanded, and will likely need to further expand, our workforce, including in the areas of manufacturing, clinical trials management, regulatory affairs, and sales and marketing, both in and outside the U.S. We continue to face intense competition for qualified individuals from numerous multinational pharmaceutical companies, biotechnology companies, academic and other research institutions, as well as employers near our manufacturing and other facilities, which has and may continue to increase our labor costs. Our ability to attract and retain talent in our increasingly competitive environment is further complicated by evolving employment trends. Our failure to compete effectively for talent could negatively affect sales of our current and any future approved products and indications, and could result in material financial, legal, commercial, or reputational harm to our business.</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9" w:right="359" w:bottom="1440" w:gutter="0" w:footer="0" w:header="0"/>
        </w:sectPr>
      </w:pPr>
    </w:p>
    <w:bookmarkStart w:id="25" w:name="page26"/>
    <w:bookmarkEnd w:id="25"/>
    <w:p>
      <w:pPr>
        <w:ind w:left="340" w:right="180" w:hanging="332"/>
        <w:spacing w:after="0" w:line="273" w:lineRule="auto"/>
        <w:tabs>
          <w:tab w:leader="none" w:pos="3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Our business is subject to increasing government price controls and other public and private restrictions on pricing, reimbursement, and access for our drugs, which could have a material adverse effect on our results of operations, reputation or business.</w:t>
      </w:r>
    </w:p>
    <w:p>
      <w:pPr>
        <w:spacing w:after="0" w:line="49" w:lineRule="exact"/>
        <w:rPr>
          <w:rFonts w:ascii="Arial" w:cs="Arial" w:eastAsia="Arial" w:hAnsi="Arial"/>
          <w:sz w:val="18"/>
          <w:szCs w:val="18"/>
          <w:b w:val="1"/>
          <w:bCs w:val="1"/>
          <w:color w:val="auto"/>
        </w:rPr>
      </w:pPr>
    </w:p>
    <w:p>
      <w:pPr>
        <w:ind w:left="3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Public and private payers continue to take aggressive steps to control their expenditures for pharmaceuticals by placing restrictions on pricing and reimbursement for, and patient access to, our medicines. These pressures have negatively affected, and could continue to negatively affect, our consolidated results of operations. Governments and private payers worldwide have intensified their scrutiny of, and actions intended to address, pricing, reimbursement, and access to pharmaceutical products and are demanding greater commercial and clinical value from pharmaceutical companies in the form of strong product differentiation and demonstrated value. We have experienced increased scrutiny on the pricing of current and potential diabetes, obesity, and Alzheimer's products due to payer concern over projected growth in these markets and, for certain of these drugs, the anticipated duration of treatment. We have also observed scrutiny of pricing and access disparities across jurisdictions.</w:t>
      </w:r>
    </w:p>
    <w:p>
      <w:pPr>
        <w:spacing w:after="0" w:line="76" w:lineRule="exact"/>
        <w:rPr>
          <w:rFonts w:ascii="Arial" w:cs="Arial" w:eastAsia="Arial" w:hAnsi="Arial"/>
          <w:sz w:val="18"/>
          <w:szCs w:val="18"/>
          <w:b w:val="1"/>
          <w:bCs w:val="1"/>
          <w:color w:val="auto"/>
        </w:rPr>
      </w:pPr>
    </w:p>
    <w:p>
      <w:pPr>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Additional policies, regulations, legislation, or enforcement, including because of the regulatory priorities of the U.S. presidential administration and regulatory authorities worldwide, could adversely impact our business and consolidated results of operations. For example, in August 2023, HHS selected Jardiance, which is part of our collaboration with Boehringer Ingelheim, as one of the first ten medicines subject to government-set prices effective in 2026. Given our product portfolio, we expect additional significant products will be selected in future years, which would have the effect of accelerating revenue erosion prior to exclusivity expiry. The effect of reducing prices and reimbursement for certain of our products would significantly impact our business and consolidated results of operations. Within the U.S., state level transparency initiatives, importation rules, reporting requirements, and mandated programs, including the establishment of drug affordability boards with the power to set upper payment limits on certain drugs in state-regulated plans, have also increased administrative costs, in some cases, compromised confidential business practices and otherwise detrimentally impacted our business. Certain states have also undertaken efforts to codify 340B contract pharmacies into statute which would increase the cost of 340B programs. For more details, see Item 1, "Business—Regulations and Private Payer Actions Affecting Pharmaceutical Pricing, Reimbursement, and Access."</w:t>
      </w:r>
    </w:p>
    <w:p>
      <w:pPr>
        <w:spacing w:after="0" w:line="81" w:lineRule="exact"/>
        <w:rPr>
          <w:rFonts w:ascii="Arial" w:cs="Arial" w:eastAsia="Arial" w:hAnsi="Arial"/>
          <w:sz w:val="18"/>
          <w:szCs w:val="18"/>
          <w:b w:val="1"/>
          <w:bCs w:val="1"/>
          <w:color w:val="auto"/>
        </w:rPr>
      </w:pPr>
    </w:p>
    <w:p>
      <w:pPr>
        <w:ind w:left="34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Further, restrictive or unfavorable pricing, coverage, or reimbursement determinations for our medicines or product candidates by governments, regulatory agencies, courts, or private payers, including in relation to the implementation of the IRA, reference pricing, and compulsory licensing, may adversely impact our business and financial results. We continue to experience additional pricing pressures, rebates, clawbacks, and other changes in reimbursement policies and programs resulting from the financial strain of the COVID-19 pandemic, periods of uneven economic growth or downturns or uncertainty, and the emergence or escalation of, and responses to, international tension and conflicts.</w:t>
      </w:r>
    </w:p>
    <w:p>
      <w:pPr>
        <w:spacing w:after="0" w:line="74" w:lineRule="exact"/>
        <w:rPr>
          <w:rFonts w:ascii="Arial" w:cs="Arial" w:eastAsia="Arial" w:hAnsi="Arial"/>
          <w:sz w:val="18"/>
          <w:szCs w:val="18"/>
          <w:b w:val="1"/>
          <w:bCs w:val="1"/>
          <w:color w:val="auto"/>
        </w:rPr>
      </w:pPr>
    </w:p>
    <w:p>
      <w:pPr>
        <w:ind w:left="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government price reporting and payment regulations are complex, and require ongoing assessment of the methods by which we calculate and report pricing. Calculation methodologies are inherently subjective and are subject to review and challenge by government agencies. If agencies disagree with our calculations, or the methodologies and assumptions underlying them, we may need to restate previously reported data and could be subject to financial and legal liability, which may be significant. In addition, changes to calculation methodologies could adversely affect our financial position or consolidated results of operations in any given period.</w:t>
      </w:r>
    </w:p>
    <w:p>
      <w:pPr>
        <w:spacing w:after="0" w:line="71" w:lineRule="exact"/>
        <w:rPr>
          <w:rFonts w:ascii="Arial" w:cs="Arial" w:eastAsia="Arial" w:hAnsi="Arial"/>
          <w:sz w:val="18"/>
          <w:szCs w:val="18"/>
          <w:b w:val="1"/>
          <w:bCs w:val="1"/>
          <w:color w:val="auto"/>
        </w:rPr>
      </w:pPr>
    </w:p>
    <w:p>
      <w:pPr>
        <w:ind w:left="34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more details, see Item 1, "Business—Regulations and Private Payer Actions Affecting Pharmaceutical Pricing, Reimbursement, and Access," Item 7, "Management's Discussion and Analysis—Executive Overview—Other Matters—Trends Affecting Pharmaceutical Pricing, Reimbursement, and Access," and Item 8, "Financial Statements and Supplementary Data—Note 16: Contingencies."</w:t>
      </w:r>
    </w:p>
    <w:p>
      <w:pPr>
        <w:spacing w:after="0" w:line="62" w:lineRule="exact"/>
        <w:rPr>
          <w:rFonts w:ascii="Arial" w:cs="Arial" w:eastAsia="Arial" w:hAnsi="Arial"/>
          <w:sz w:val="18"/>
          <w:szCs w:val="18"/>
          <w:b w:val="1"/>
          <w:bCs w:val="1"/>
          <w:color w:val="auto"/>
        </w:rPr>
      </w:pPr>
    </w:p>
    <w:p>
      <w:pPr>
        <w:ind w:left="340" w:right="60" w:hanging="332"/>
        <w:spacing w:after="0" w:line="296"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safety or efficacy concerns, which could have a material adverse effect on our revenues, income, and reputation.</w:t>
      </w:r>
    </w:p>
    <w:p>
      <w:pPr>
        <w:spacing w:after="0" w:line="29" w:lineRule="exact"/>
        <w:rPr>
          <w:rFonts w:ascii="Arial" w:cs="Arial" w:eastAsia="Arial" w:hAnsi="Arial"/>
          <w:sz w:val="18"/>
          <w:szCs w:val="18"/>
          <w:color w:val="auto"/>
        </w:rPr>
      </w:pPr>
    </w:p>
    <w:p>
      <w:pPr>
        <w:ind w:left="340" w:right="40"/>
        <w:spacing w:after="0" w:line="257" w:lineRule="auto"/>
        <w:rPr>
          <w:rFonts w:ascii="Arial" w:cs="Arial" w:eastAsia="Arial" w:hAnsi="Arial"/>
          <w:sz w:val="18"/>
          <w:szCs w:val="18"/>
          <w:color w:val="auto"/>
        </w:rPr>
      </w:pPr>
      <w:r>
        <w:rPr>
          <w:rFonts w:ascii="Arial" w:cs="Arial" w:eastAsia="Arial" w:hAnsi="Arial"/>
          <w:sz w:val="18"/>
          <w:szCs w:val="18"/>
          <w:color w:val="auto"/>
        </w:rPr>
        <w:t>Pharmaceutical products receive regulatory approval based on data obtained in controlled clinical trials of fixed duration and defined populations. After approval and launch, the products are used for longer periods of time by much larger numbers of patients, which may lead to identifying new safety or efficacy concerns. We and others (including regulatory agencies and private payers) collect extensive information on the efficacy and safety of our marketed products by continuously monitoring the use of our products in the marketplace. In addition, we or others (including our competitors, in some cases) may conduct post-marketing clinical studies on efficacy and safety of our marketed products. New safety or efficacy data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left="332"/>
        <w:spacing w:after="0" w:line="256" w:lineRule="auto"/>
        <w:rPr>
          <w:sz w:val="20"/>
          <w:szCs w:val="20"/>
          <w:color w:val="auto"/>
        </w:rPr>
      </w:pPr>
      <w:r>
        <w:rPr>
          <w:rFonts w:ascii="Arial" w:cs="Arial" w:eastAsia="Arial" w:hAnsi="Arial"/>
          <w:sz w:val="18"/>
          <w:szCs w:val="18"/>
          <w:color w:val="auto"/>
        </w:rPr>
        <w:t>from both market surveillance and post-marketing clinical studies of our products or those of our competitors may result in product label changes, or other measures that could reduce the product's market acceptance and result in declining sales. Relatedly, safety or efficacy concerns raised about a product in the same class or with the same mechanism of action as one of our products or product candidates could be imputed and have an adverse impact on the availability or commercial viability of our products or approval of product candidates. Serious safety or efficacy issues that arise after product approval have, and could in the future, result in voluntary or mandatory product recalls or withdrawals from the market. Safety issues have, and could in the future, result in costly product liability claims. Any of these outcomes could result in material financial, legal, commercial, or reputational harm to our business.</w:t>
      </w:r>
    </w:p>
    <w:p>
      <w:pPr>
        <w:spacing w:after="0" w:line="75" w:lineRule="exact"/>
        <w:rPr>
          <w:sz w:val="20"/>
          <w:szCs w:val="20"/>
          <w:color w:val="auto"/>
        </w:rPr>
      </w:pPr>
    </w:p>
    <w:p>
      <w:pPr>
        <w:ind w:left="332" w:right="20" w:hanging="332"/>
        <w:spacing w:after="0" w:line="296" w:lineRule="auto"/>
        <w:tabs>
          <w:tab w:leader="none" w:pos="32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derive a significant percentage of our total revenue from relatively few products and sell our products through increasingly consolidated supply chain entities, which may subject us to, or exacerbate, various risks.</w:t>
      </w:r>
    </w:p>
    <w:p>
      <w:pPr>
        <w:spacing w:after="0" w:line="29" w:lineRule="exact"/>
        <w:rPr>
          <w:rFonts w:ascii="Arial" w:cs="Arial" w:eastAsia="Arial" w:hAnsi="Arial"/>
          <w:sz w:val="18"/>
          <w:szCs w:val="18"/>
          <w:b w:val="1"/>
          <w:bCs w:val="1"/>
          <w:color w:val="auto"/>
        </w:rPr>
      </w:pPr>
    </w:p>
    <w:p>
      <w:pPr>
        <w:ind w:left="33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derived direct product and/or alliance revenues of more than $2 billion for each of Trulicity, Mounjaro, Verzenio, Taltz and Jardiance (including Glyxambi, Synjardy, and Trijardy XR) that collectively accounted for 63 percent of our total revenues in 2023. In particular, Trulicity and Mounjaro accounted for 36 percent of our total revenues in 2023 and we expect products with GLP-1 receptor agonist activity, including the recently launched Zepbound, to represent a significant and growing portion of our business, revenues, and prospects. Loss of patent protection, changes in prescription rates, material product liability or pricing litigation, unexpected side effects or safety concerns, significant changes in demand, regulatory proceedings and investigations, negative publicity affecting doctor or patient confidence, pressure from existing or new competitive products, counterfeit and illegally compounded drugs, changes in labeling, pricing, and insufficient access, or supply shortages or disruptions for these products or any of our other major products could materially impact our results of operations.</w:t>
      </w:r>
    </w:p>
    <w:p>
      <w:pPr>
        <w:spacing w:after="0" w:line="72" w:lineRule="exact"/>
        <w:rPr>
          <w:rFonts w:ascii="Arial" w:cs="Arial" w:eastAsia="Arial" w:hAnsi="Arial"/>
          <w:sz w:val="18"/>
          <w:szCs w:val="18"/>
          <w:b w:val="1"/>
          <w:bCs w:val="1"/>
          <w:color w:val="auto"/>
        </w:rPr>
      </w:pPr>
    </w:p>
    <w:p>
      <w:pPr>
        <w:ind w:left="33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addition, in the U.S., most of our products are distributed through wholesalers and if one of these significant wholesalers should encounter financial or other difficulties, it might decrease the amount of business the wholesaler does with us or we might be unable to timely collect the amounts that the wholesaler owes us, which could negatively impact our results of operations. See Item 1, "Business— Marketing and Distribution," for more details. Challenges to U.S. retail pharmacies due to pharmacy benefit manager reimbursement pressures, among other things, have resulted in financial difficulties for some pharmacies that may impact patient experiences, lead to determinations by certain pharmacies to not carry one or more of our significant products or threaten the viability of these pharmacies, which could negatively impact our business and results of operations.</w:t>
      </w:r>
    </w:p>
    <w:p>
      <w:pPr>
        <w:spacing w:after="0" w:line="74"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Moreover, the negotiating power of health plans, managed care organizations, pharmacy benefit managers, and other supply chain entities has increased due to consolidation, regulatory, and other market impacts, and they, along with governments, increasingly employ formularies to control costs and encourage utilization of certain drugs, including through the use of formulary inclusion, or favorable formulary placement. Such stakeholders have also increasingly imposed utilization management tools to favor the use of generic products or otherwise limit access to our products. As these practices expand, including due to potential further consolidation of U.S. private third-party payers, we may face difficulty in obtaining or maintaining timely or adequate pricing or formulary placement of our products. We expect that consolidation of supply chain entities will continue to increase competitive and pricing pressures on pharmaceutical manufacturers.</w:t>
      </w:r>
    </w:p>
    <w:p>
      <w:pPr>
        <w:spacing w:after="0" w:line="76" w:lineRule="exact"/>
        <w:rPr>
          <w:rFonts w:ascii="Arial" w:cs="Arial" w:eastAsia="Arial" w:hAnsi="Arial"/>
          <w:sz w:val="18"/>
          <w:szCs w:val="18"/>
          <w:b w:val="1"/>
          <w:bCs w:val="1"/>
          <w:color w:val="auto"/>
        </w:rPr>
      </w:pPr>
    </w:p>
    <w:p>
      <w:pPr>
        <w:ind w:left="332"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Pharmacy benefit manager practices have come under increased scrutiny from U.S. policymakers at the federal and state level who have proposed legislation intended to address concerns regarding the impact that these intermediaries have on drug pricing and patients’ out of pocket costs. If promulgated, such legislation could have resultant implications, costs, or consequences for our business and how we interact with these entities. For additional information on pricing and reimbursement for our pharmaceutical products, see Item 1, "Business—U.S. Private Sector Dynamics" and "Regulations and Private Payer Actions Affecting Pharmaceutical Pricing, Reimbursement, and Access—U.S."</w:t>
      </w:r>
    </w:p>
    <w:p>
      <w:pPr>
        <w:spacing w:after="0" w:line="200" w:lineRule="exact"/>
        <w:rPr>
          <w:sz w:val="20"/>
          <w:szCs w:val="20"/>
          <w:color w:val="auto"/>
        </w:rPr>
      </w:pPr>
    </w:p>
    <w:p>
      <w:pPr>
        <w:spacing w:after="0" w:line="36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39"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ind w:left="340" w:hanging="332"/>
        <w:spacing w:after="0" w:line="273" w:lineRule="auto"/>
        <w:tabs>
          <w:tab w:leader="none" w:pos="3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products with intellectual property protection for most of our revenues, cash flows, and earnings; the loss of effective intellectual property protection for certain of our products has resulted, and in the future is likely to continue to result, in rapid and severe declines in revenues for those products.</w:t>
      </w:r>
    </w:p>
    <w:p>
      <w:pPr>
        <w:spacing w:after="0" w:line="49" w:lineRule="exact"/>
        <w:rPr>
          <w:rFonts w:ascii="Arial" w:cs="Arial" w:eastAsia="Arial" w:hAnsi="Arial"/>
          <w:sz w:val="18"/>
          <w:szCs w:val="18"/>
          <w:b w:val="1"/>
          <w:bCs w:val="1"/>
          <w:color w:val="auto"/>
        </w:rPr>
      </w:pPr>
    </w:p>
    <w:p>
      <w:pPr>
        <w:ind w:left="34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their lifecycles, our products lose significant patent protection and/or data protection in the U.S., as well as in key jurisdictions outside the U.S., after a specified period of time. Some products also lose patent protection as a result of successful third-party challenges. We have faced, and remain exposed to, generic competition following the expiration or loss of such intellectual property protection.</w:t>
      </w:r>
    </w:p>
    <w:p>
      <w:pPr>
        <w:spacing w:after="0" w:line="68" w:lineRule="exact"/>
        <w:rPr>
          <w:rFonts w:ascii="Arial" w:cs="Arial" w:eastAsia="Arial" w:hAnsi="Arial"/>
          <w:sz w:val="18"/>
          <w:szCs w:val="18"/>
          <w:b w:val="1"/>
          <w:bCs w:val="1"/>
          <w:color w:val="auto"/>
        </w:rPr>
      </w:pPr>
    </w:p>
    <w:p>
      <w:pPr>
        <w:ind w:left="3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For non-biologic products, loss of exclusivity (whether by expiration of legal rights or by termination thereof as a consequence of litigation) typically results in the entry of one or more generic competitors, leading to a rapid and severe decline in revenues, especially in the U.S. Generic pharmaceutical companies have in some cases introduced a generic product before resolution of any related patent litigation. For biologics, loss of exclusivity may or may not result in the near-term entry of competitor versions (i.e., biosimilars) due to many factors, including development timelines, manufacturing challenges, and/or uncertainties regarding the regulatory approval pathways.</w:t>
      </w:r>
    </w:p>
    <w:p>
      <w:pPr>
        <w:spacing w:after="0" w:line="74" w:lineRule="exact"/>
        <w:rPr>
          <w:rFonts w:ascii="Arial" w:cs="Arial" w:eastAsia="Arial" w:hAnsi="Arial"/>
          <w:sz w:val="18"/>
          <w:szCs w:val="18"/>
          <w:b w:val="1"/>
          <w:bCs w:val="1"/>
          <w:color w:val="auto"/>
        </w:rPr>
      </w:pPr>
    </w:p>
    <w:p>
      <w:pPr>
        <w:ind w:left="3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Patents held by third-parties have also contributed, and may in the future contribute, to a decision by us to not pursue all potential indications for a product candidate.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Analysis—Executive Overview—Other Matters—Patent Matters," and Item 1, "Business—Patents, Trademarks, and Other Intellectual Property Rights," for more details.</w:t>
      </w:r>
    </w:p>
    <w:p>
      <w:pPr>
        <w:spacing w:after="0" w:line="76"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Patents relating to pharmaceutical products are often obtained early in the development process. Given the limited duration of patent and data protection, the speed with which we develop products, complete clinical testing, receive regulatory approval, supply commercial product to the market, and obtain public and private payer access are important factors in recouping our development costs and generating financial returns, particularly given regulatory and market dynamics that have and may continue to put pressure on pricing, exclusivity periods, and competition. Delays in achieving these milestones in some cases limits our ability to capitalize on the innovative medicines that we develop or acquire.</w:t>
      </w:r>
    </w:p>
    <w:p>
      <w:pPr>
        <w:spacing w:after="0" w:line="74" w:lineRule="exact"/>
        <w:rPr>
          <w:rFonts w:ascii="Arial" w:cs="Arial" w:eastAsia="Arial" w:hAnsi="Arial"/>
          <w:sz w:val="18"/>
          <w:szCs w:val="18"/>
          <w:b w:val="1"/>
          <w:bCs w:val="1"/>
          <w:color w:val="auto"/>
        </w:rPr>
      </w:pPr>
    </w:p>
    <w:p>
      <w:pPr>
        <w:ind w:left="340" w:right="940" w:hanging="332"/>
        <w:spacing w:after="0" w:line="296" w:lineRule="auto"/>
        <w:tabs>
          <w:tab w:leader="none" w:pos="3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29" w:lineRule="exact"/>
        <w:rPr>
          <w:rFonts w:ascii="Arial" w:cs="Arial" w:eastAsia="Arial" w:hAnsi="Arial"/>
          <w:sz w:val="18"/>
          <w:szCs w:val="18"/>
          <w:b w:val="1"/>
          <w:bCs w:val="1"/>
          <w:color w:val="auto"/>
        </w:rPr>
      </w:pPr>
    </w:p>
    <w:p>
      <w:pPr>
        <w:ind w:left="34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medicines. Without strong intellectual property protection, we would be unable to generate the returns necessary to support our significant investments in research and development, as well as the other expenditures required to bring new drugs and indications to the market. Intellectual property protection varies throughout the world and is subject to change over time, depending on local laws and regulations. Changes to such laws, regulations, and enforcement practices could reduce protections for our innovative products and indications. For example, a proposal by the European Commission to revise the EU's general pharmaceutical legislation threatens the predictability and length of certain pharmaceutical intellectual property incentives, including by a two-year reduction of data package protection. Changes proposed by the USPTO and by certain bills in Congress to limit the number of, and differences between, patents obtained could also affect the scope of patent protection for our products in the U.S.</w:t>
      </w:r>
    </w:p>
    <w:p>
      <w:pPr>
        <w:spacing w:after="0" w:line="72" w:lineRule="exact"/>
        <w:rPr>
          <w:rFonts w:ascii="Arial" w:cs="Arial" w:eastAsia="Arial" w:hAnsi="Arial"/>
          <w:sz w:val="18"/>
          <w:szCs w:val="18"/>
          <w:b w:val="1"/>
          <w:bCs w:val="1"/>
          <w:color w:val="auto"/>
        </w:rPr>
      </w:pPr>
    </w:p>
    <w:p>
      <w:pPr>
        <w:ind w:left="340" w:right="2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addition, in December 2023, the U.S. presidential administration released a proposed framework that would permit the federal government to consider the price of a drug developed using federal funds as a factor in determining whether it may exercise "march-in rights" and license it to a third party to manufacture. A comment period on the proposal runs through February 6, 2024, and we are not able to predict whether a final rule will be adopted in accordance with the proposed framework.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left="340"/>
        <w:spacing w:after="0" w:line="253" w:lineRule="auto"/>
        <w:rPr>
          <w:sz w:val="20"/>
          <w:szCs w:val="20"/>
          <w:color w:val="auto"/>
        </w:rPr>
      </w:pPr>
      <w:r>
        <w:rPr>
          <w:rFonts w:ascii="Arial" w:cs="Arial" w:eastAsia="Arial" w:hAnsi="Arial"/>
          <w:sz w:val="18"/>
          <w:szCs w:val="18"/>
          <w:color w:val="auto"/>
        </w:rPr>
        <w:t>Also in the U.S., in addition to the process for challenging patents set forth in the BPCIA, which applies to biologic products, the Hatch-Waxman Act provides generic companies substantial incentives to seek to invalidate our patents covering small molecule pharmaceutical products. As a result, we expect that our U.S. patents on major pharmaceutical products, including biologics, will continue to be routinely challenged in litigation and may not be upheld. In addition, a separate IPR process currently allows competitors to seek invalidation of patents at the USPTO without the protections of the BPCIA or Hatch-Waxman Act. The use of IPR proceedings after the institution of litigation pursuant to the BPCIA or Hatch-Waxman Act is currently a topic of debate among legislators and the future ability of our competitors to use IPR proceedings as an alternative to Hatch-Waxman Act or BPCIA litigation procedures to challenge our patents remains uncertain. The USPTO issued an interim procedure regarding the use of discretionary denials of IPR proceedings when there is parallel district court litigation. However, it is not clear how this interim procedure could affect the ability of our competitors to institute IPR proceedings after institution of litigation. If our patents are challenged through this expedited review process, even if we prevail in demonstrating the validity of our patent, our win provides limited precedential value at the PTAB and no precedential value in federal district court, meaning the same patent can be challenged by other competitors.</w:t>
      </w:r>
    </w:p>
    <w:p>
      <w:pPr>
        <w:spacing w:after="0" w:line="82"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In addition, intellectual property protection in certain jurisdictions outside the U.S. is weak and we face heightened risks to our intellectual property rights in these jurisdictions, including competition with generic or counterfeit versions of our products at or relatively shortly after launch. See Item 1, "Business—Patents, Trademarks, and Other Intellectual Property Rights," and Item 8, "Financial Statements and Supplementary Data —Note 16: Contingencies," for more details.</w:t>
      </w:r>
    </w:p>
    <w:p>
      <w:pPr>
        <w:spacing w:after="0" w:line="77"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We also face challenges from the distribution of counterfeit and illegally compounded versions of our genuine drugs, including as related to our products with GLP-1 receptor agonist activity. Counterfeits, and in some cases illegally compounded drugs, fraudulently claim to be, or claim to contain, genuine branded medicines. Counterfeit and illegally compounded drugs may not have the same safety, quality, and effectiveness as approved drugs, and may pose serious health risks to patients. Our reputation and business could suffer harm from counterfeit or illegally compounded drugs and our actions to stop or prevent illegal sales of such drugs may be costly or ineffective.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17" w:lineRule="exact"/>
        <w:rPr>
          <w:sz w:val="20"/>
          <w:szCs w:val="20"/>
          <w:color w:val="auto"/>
        </w:rPr>
      </w:pPr>
    </w:p>
    <w:p>
      <w:pPr>
        <w:ind w:left="340" w:right="40" w:hanging="332"/>
        <w:spacing w:after="0" w:line="273" w:lineRule="auto"/>
        <w:tabs>
          <w:tab w:leader="none" w:pos="33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Failure, inadequacy, breach of, or unauthorized access to, our IT systems or those of our third-party service providers, unauthorized access to our confidential information, or violations of data protection laws, could each result in material harm to our business and reputation.</w:t>
      </w:r>
    </w:p>
    <w:p>
      <w:pPr>
        <w:spacing w:after="0" w:line="49" w:lineRule="exact"/>
        <w:rPr>
          <w:rFonts w:ascii="Arial" w:cs="Arial" w:eastAsia="Arial" w:hAnsi="Arial"/>
          <w:sz w:val="18"/>
          <w:szCs w:val="18"/>
          <w:b w:val="1"/>
          <w:bCs w:val="1"/>
          <w:color w:val="auto"/>
        </w:rPr>
      </w:pPr>
    </w:p>
    <w:p>
      <w:pPr>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Important confidential information owned by us, our business partners, or other third parties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cloud technologies, and hardware (together, IT systems), some of which are within our control and some of which are within the control of third parties, to accumulate, process, store, and transmit large amounts of confidential information and other data. We are subject to a variety of evolving and developing laws and regulations around the world related to privacy, data protection, and data security. Maintaining the security, confidentiality, integrity, and availability of our IT systems and confidential information is vital to our business. Our failure, or the failure of our third-party service providers, to protect and maintain the security, confidentiality, integrity, and availability of our (or their) IT systems and confidential information and other data could significantly harm our reputation as well as result in significant costs, including those related to fines, penalties, litigation, and obligations to comply with applicable data breach laws.</w:t>
      </w:r>
    </w:p>
    <w:p>
      <w:pPr>
        <w:spacing w:after="0" w:line="81" w:lineRule="exact"/>
        <w:rPr>
          <w:rFonts w:ascii="Arial" w:cs="Arial" w:eastAsia="Arial" w:hAnsi="Arial"/>
          <w:sz w:val="18"/>
          <w:szCs w:val="18"/>
          <w:b w:val="1"/>
          <w:bCs w:val="1"/>
          <w:color w:val="auto"/>
        </w:rPr>
      </w:pPr>
    </w:p>
    <w:p>
      <w:pPr>
        <w:ind w:left="34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IT systems are inherently vulnerable to system inadequacies, inadequate controls or procedures, operating failures, unauthorized access, service interruptions or failures, security breaches, malicious intrusions, theft, exfiltration, ransomware, or cyber-attacks from a variety of sources, which may remain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9" w:name="page30"/>
    <w:bookmarkEnd w:id="29"/>
    <w:p>
      <w:pPr>
        <w:ind w:right="100"/>
        <w:spacing w:after="0" w:line="254" w:lineRule="auto"/>
        <w:rPr>
          <w:sz w:val="20"/>
          <w:szCs w:val="20"/>
          <w:color w:val="auto"/>
        </w:rPr>
      </w:pPr>
      <w:r>
        <w:rPr>
          <w:rFonts w:ascii="Arial" w:cs="Arial" w:eastAsia="Arial" w:hAnsi="Arial"/>
          <w:sz w:val="18"/>
          <w:szCs w:val="18"/>
          <w:color w:val="auto"/>
        </w:rPr>
        <w:t>undetected for significant periods of time. From time to time, we update, transition, acquire, or expand use of our and third-party IT systems, which may result in heightened vulnerability. Some third-party IT systems that are necessary for the operation of our business processes are maintained outside of our control but would impact business operations if compromised as a result of a cyber-attack. In February 2024, we completed the implementation of a new global enterprise resource planning (ERP) system, which replaced our operating and financial systems, and we recently began our post-implementation activities. We cannot assure that the ERP system and our post-implementation activities will be free of significant operating failures, service interruptions, or creation of additional vulnerabilities. See Item 9A, "Controls and Procedures" for more details. Vulnerabilities, inadequacies, or failures are in many cases more acute for IT systems associated with recently acquired businesses, and we may be unable to entirely address such vulnerabilities, inadequacies, or failures immediately after acquiring a business or ever. As a result, our newly acquired businesses are in some cases more vulnerable to failures, interruptions, breaches, intrusions, theft, exfiltration, or attacks.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Cyber-attacks are growing in their frequency, sophistication, and intensity, and are becoming increasingly difficult to detect, mitigate, or prevent. Cyber-attacks come in many forms, including the deployment of harmful malware, exploitation of vulnerabilities (including those of third-party software or systems), denial-of-service attacks, the use of social engineering, and other means to compromise the confidentiality, integrity, and availability of IT systems, confidential information, and other data. Breaches resulting in the compromise, disruption, degradation, manipulation, loss, theft, exfiltration, destruction, or unauthorized disclosure or use of confidential information, or the unauthorized access to, disruption of, interference with, or attack of, our IT systems, products and services, can occur in a variety of ways, including negligent or wrongful conduct by employees or others with permitted access to our systems and information, or wrongful conduct by hackers, competitors, governments, nation-states, state-sponsored or affiliated groups, current or former company personnel, and other actors. Our third-party partners, including third-party providers of data hosting or cloud services, as well as suppliers, distributors, alliances, and other third parties with whom we may share data, face similar risks, which could affect us directly or indirectly. Unassociated third parties present further risks, including by propagating misinformation related to our products, business, and industry, including through social media. We and others in the healthcare industry have been and continue to be targets for cyber-attacks, and the number of threats has increased over time. Numerous federal agencies that monitor and regulate internet and cyber-crime have issued guidance, alerts and directives warning of software vulnerabilities that require immediate patching, malicious actors targeting healthcare-related systems and nation-state sponsored hacking designed to steal valuable information.</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failure, inadequacy, or breach of our IT systems or business processes, the compromise, disruption, degradation, manipulation, loss, theft, exfiltration, destruction, or unauthorized access to, disclosure or use of, confidential information, or the unauthorized access to, disruption of, or interference with our products and services that rely on IT systems or business processes, could impair our ability to secure and maintain intellectual property rights; result in a product manufacturing interruption or failure, or in the interruption or failure of products or services that rely on IT systems or business processes; damage our operations, patient and other relationships, or reputation; undermine integration activities or otherwise delay or prevent the launch of acquired products; result in unfavorable clinical trial results by virtue of incorrect or unreliable data; expose us to ransom payment, other demands, or paralyze our operations; give rise to legal liability and regulatory action under data protection and privacy laws; require disclosure to government authorities and/or regulators; expose us to civil and criminal investigations; and/or cause us to lose trade secrets or other competitive advantages, which effects could endure for a long period of time. Unauthorized disclosure of personally identifiable information could further expose us to significant sanctions for violations of data privacy laws and regulations around the world, subject us to litigation, and damage public trust in our company. In addition, IT system security in jurisdictions outside the U.S. is weaker and may result in additional costs, uncertainties, and risks.</w:t>
      </w:r>
    </w:p>
    <w:p>
      <w:pPr>
        <w:spacing w:after="0" w:line="7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subject to various laws and regulations globally regarding privacy and data protection, including laws and regulations relating to the collection, storage, handling, use, disclosure, transfer, and security of personal information. The legislative and regulatory environment regarding privacy and data protection is continuously evolving and the subject of significant attention by regulators and private parties globally. Regulators are imposing new data privacy and security requirements, including new and greater monetary fines or penalties for privacy violations, and jurisdictions where we operate have passed, or continue to propose, data privacy legislation and/or regulations. For example, we are subject to existing laws in the EU, United Kingdom, China, and U.S., all of which provide for substantial penalties for</w:t>
      </w:r>
    </w:p>
    <w:p>
      <w:pPr>
        <w:spacing w:after="0" w:line="200" w:lineRule="exact"/>
        <w:rPr>
          <w:sz w:val="20"/>
          <w:szCs w:val="20"/>
          <w:color w:val="auto"/>
        </w:rPr>
      </w:pPr>
    </w:p>
    <w:p>
      <w:pPr>
        <w:spacing w:after="0" w:line="36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039" w:right="359" w:bottom="1440" w:gutter="0" w:footer="0" w:header="0"/>
        </w:sectPr>
      </w:pPr>
    </w:p>
    <w:bookmarkStart w:id="30" w:name="page31"/>
    <w:bookmarkEnd w:id="30"/>
    <w:p>
      <w:pPr>
        <w:ind w:left="332" w:right="80"/>
        <w:spacing w:after="0" w:line="268" w:lineRule="auto"/>
        <w:rPr>
          <w:sz w:val="20"/>
          <w:szCs w:val="20"/>
          <w:color w:val="auto"/>
        </w:rPr>
      </w:pPr>
      <w:r>
        <w:rPr>
          <w:rFonts w:ascii="Arial" w:cs="Arial" w:eastAsia="Arial" w:hAnsi="Arial"/>
          <w:sz w:val="18"/>
          <w:szCs w:val="18"/>
          <w:color w:val="auto"/>
        </w:rPr>
        <w:t>noncompliance. Other jurisdictions where we operate have passed, or continue to propose, similar legislation and regulations. Failure to comply with these current and future laws could result in significant penalties and reputational harm and could have a material adverse effect on our business and results of operations.</w:t>
      </w:r>
    </w:p>
    <w:p>
      <w:pPr>
        <w:spacing w:after="0" w:line="63" w:lineRule="exact"/>
        <w:rPr>
          <w:sz w:val="20"/>
          <w:szCs w:val="20"/>
          <w:color w:val="auto"/>
        </w:rPr>
      </w:pPr>
    </w:p>
    <w:p>
      <w:pPr>
        <w:ind w:left="332"/>
        <w:spacing w:after="0" w:line="253" w:lineRule="auto"/>
        <w:rPr>
          <w:sz w:val="20"/>
          <w:szCs w:val="20"/>
          <w:color w:val="auto"/>
        </w:rPr>
      </w:pPr>
      <w:r>
        <w:rPr>
          <w:rFonts w:ascii="Arial" w:cs="Arial" w:eastAsia="Arial" w:hAnsi="Arial"/>
          <w:sz w:val="18"/>
          <w:szCs w:val="18"/>
          <w:color w:val="auto"/>
        </w:rPr>
        <w:t>To date, system inadequacies, inadequate controls or procedures, operating failures, unauthorized access, service interruptions or failures, security breaches, malicious intrusions, theft, exfiltration, ransomware, cyber-attacks, and the compromise, disruption, degradation, manipulation, loss, theft, exfiltration, destruction, or unauthorized disclosure or use of confidential information, or the unauthorized access to, disruption of, interference with, or attack of, our IT systems, products and services have not had a material impact on our business strategy, results of operations or financial condition. We maintain cyber liability insurance; however, this insurance may not be sufficient to cover the financial, operational, legal, business, or reputational losses that may result from an interruption or breach of our IT systems. We continue to implement measures in an effort to protect, detect, respond to, and minimize or prevent these risks and to enhance the resiliency of our IT systems; however, these measures may not be successful, and we may fail to detect or remediate system inadequacies, inadequate controls or procedures, operating failures, unauthorized access, service interruptions or failures, security breaches, malicious intrusions, theft, exfiltration, ransomware, cyber-attacks, or other compromises of our systems. Any of these events could result in material financial, operational, legal, business, or reputational harm to our business. For a discussion of our management of cybersecurity risks, see Item 1C, "Cybersecurity—Risk Management and Strategy" and "— Governance."</w:t>
      </w:r>
    </w:p>
    <w:p>
      <w:pPr>
        <w:spacing w:after="0" w:line="79" w:lineRule="exact"/>
        <w:rPr>
          <w:sz w:val="20"/>
          <w:szCs w:val="20"/>
          <w:color w:val="auto"/>
        </w:rPr>
      </w:pPr>
    </w:p>
    <w:p>
      <w:pPr>
        <w:ind w:left="312" w:hanging="312"/>
        <w:spacing w:after="0"/>
        <w:tabs>
          <w:tab w:leader="none" w:pos="3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quality, or supply chain difficulties, disruptions, or shortages could lead to product supply problems.</w:t>
      </w:r>
    </w:p>
    <w:p>
      <w:pPr>
        <w:spacing w:after="0" w:line="117" w:lineRule="exact"/>
        <w:rPr>
          <w:rFonts w:ascii="Arial" w:cs="Arial" w:eastAsia="Arial" w:hAnsi="Arial"/>
          <w:sz w:val="18"/>
          <w:szCs w:val="18"/>
          <w:b w:val="1"/>
          <w:bCs w:val="1"/>
          <w:color w:val="auto"/>
        </w:rPr>
      </w:pPr>
    </w:p>
    <w:p>
      <w:pPr>
        <w:ind w:left="332"/>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are in the midst of a significant expansion of our manufacturing capabilities and substantial investment in long-term supply agreements to support current and anticipated demand for our products. Pharmaceutical manufacturing is complex and highly regulated. Manufacturing or quality assurance difficulties at our facilities or those of our contractors and suppliers, the failure or refusal of a supplier or contract manufacturer to supply contracted quantities, or increases in demand on a supplier with constrained capacity could result in delays and disruptions in the manufacturing, distribution, and sale of our products and/or product shortages, leading to lost revenue or reduced marked opportunities. In select cases, supply constraints may also lead to pauses, discontinuations, or other product availability issues in one or more markets, which could have a material adverse effect on our consolidated results of operations, cash flows, and reputation. Further, cost inflation and global transportation and logistics challenges, as well as tight labor markets, have caused, and in the future may cause, delays in, and/or increase costs related to, distribution of our medicines, the construction or other acquisition of additional manufacturing capacity, procurement activity, and supplier or contract manufacturer arrangements. These disruptions and challenges could result from actual or perceived quality, oversight, or regulatory compliance problems; natural disasters (including increased instances or severity of natural disasters or other events that may be due to climate change), public health outbreaks, epidemics, or pandemics; periods of uneven economic growth or downturns; emergence or escalation of, and responses to international tension and conflicts; equipment, mechanical, data, or IT system vulnerabilities, such as system inadequacies, inadequate controls or procedures, operating failures, unauthorized access, service interruptions or failures, security breaches, malicious intrusions, theft, exfiltration, ransomware or other cyber-attacks from a variety of sources; labor shortages; challenges and complexities in manufacturing new drug modalities; contractual disputes with our suppliers and contract manufacturers; vertical integration by competitors within our supply chain; or inability to obtain single-source or other raw or intermediate materials. Regional or single source dependencies may in some cases accentuate risks related to manufacturing and supply. For example, we, and the pharmaceutical industry generally, depend on China-based partners for integral chemical synthesis, reagents, starting materials, and ingredients. Finding alternative suppliers if and as necessary due to geopolitical developments or otherwise may not be feasible or could take a significant amount of time and involve significant expense due to the nature of our products and the need to obtain regulatory approvals which would cause disruptions to patients and detrimentally impact our business.</w:t>
      </w:r>
    </w:p>
    <w:p>
      <w:pPr>
        <w:spacing w:after="0" w:line="77" w:lineRule="exact"/>
        <w:rPr>
          <w:rFonts w:ascii="Arial" w:cs="Arial" w:eastAsia="Arial" w:hAnsi="Arial"/>
          <w:sz w:val="18"/>
          <w:szCs w:val="18"/>
          <w:b w:val="1"/>
          <w:bCs w:val="1"/>
          <w:color w:val="auto"/>
        </w:rPr>
      </w:pPr>
    </w:p>
    <w:p>
      <w:pPr>
        <w:ind w:left="332" w:right="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Difficulties in predicting or variability in demand for our products and those of our competitors and the very long lead times necessary for the expansion and regulatory qualification of pharmaceutical manufacturing capacity have resulted, and in the future may result, in difficulty meeting demand, or disruptions, shortages, and higher costs in the supply of, our products. For example, we have experienced challenges</w:t>
      </w:r>
    </w:p>
    <w:p>
      <w:pPr>
        <w:spacing w:after="0" w:line="200" w:lineRule="exact"/>
        <w:rPr>
          <w:sz w:val="20"/>
          <w:szCs w:val="20"/>
          <w:color w:val="auto"/>
        </w:rPr>
      </w:pPr>
    </w:p>
    <w:p>
      <w:pPr>
        <w:spacing w:after="0" w:line="3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39" w:right="379" w:bottom="1440" w:gutter="0" w:footer="0" w:header="0"/>
        </w:sectPr>
      </w:pPr>
    </w:p>
    <w:bookmarkStart w:id="31" w:name="page32"/>
    <w:bookmarkEnd w:id="31"/>
    <w:p>
      <w:pPr>
        <w:ind w:left="332"/>
        <w:spacing w:after="0" w:line="255" w:lineRule="auto"/>
        <w:rPr>
          <w:sz w:val="20"/>
          <w:szCs w:val="20"/>
          <w:color w:val="auto"/>
        </w:rPr>
      </w:pPr>
      <w:r>
        <w:rPr>
          <w:rFonts w:ascii="Arial" w:cs="Arial" w:eastAsia="Arial" w:hAnsi="Arial"/>
          <w:sz w:val="18"/>
          <w:szCs w:val="18"/>
          <w:color w:val="auto"/>
        </w:rPr>
        <w:t>in meeting demand for our incretin products in recent periods, partially due to the limited availability of competitor therapies, and expect tight supply to persist while additional manufacturing capacity is operationalized. Despite our ongoing efforts to meet significant expected demand by obtaining additional internal and contracted manufacturing capacity, there can be no assurances that such capacity increases will be realized as expected. Delays or challenges in operationalizing additional manufacturing capacity would limit our ability to capitalize on demand for our products. Conversely, unexpected events that limit demand for our products would undermine our ability to realize the full benefit of significant capital expenditures that we have incurred, and expect to continue to incur, to augment manufacturing capacity and may also subject us to contractual payment obligations, which may be significant. The foregoing risks and uncertainties could negatively impact our consolidated results of operations and reputation. See Item 1, "Business—Raw Materials and Product Supply," and Item 7, "Management's Discussion and Analysis—Financial Condition and Liquidity" for more details.</w:t>
      </w:r>
    </w:p>
    <w:p>
      <w:pPr>
        <w:spacing w:after="0" w:line="73" w:lineRule="exact"/>
        <w:rPr>
          <w:sz w:val="20"/>
          <w:szCs w:val="20"/>
          <w:color w:val="auto"/>
        </w:rPr>
      </w:pPr>
    </w:p>
    <w:p>
      <w:pPr>
        <w:ind w:left="312" w:hanging="312"/>
        <w:spacing w:after="0"/>
        <w:tabs>
          <w:tab w:leader="none" w:pos="3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7" w:lineRule="exact"/>
        <w:rPr>
          <w:rFonts w:ascii="Arial" w:cs="Arial" w:eastAsia="Arial" w:hAnsi="Arial"/>
          <w:sz w:val="18"/>
          <w:szCs w:val="18"/>
          <w:b w:val="1"/>
          <w:bCs w:val="1"/>
          <w:color w:val="auto"/>
        </w:rPr>
      </w:pPr>
    </w:p>
    <w:p>
      <w:pPr>
        <w:ind w:left="332"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and collaborations with other pharmaceutical and biotechnology companies, and third-party service providers, for selected aspects of product and clinical development, manufacturing, commercialization, hosting of, and support for, IT systems, product distribution, and certain financial transactional processes. As examples, we outsource the day-to-day management and oversight of some of our clinical trials to contract research organizations, certain active ingredient manufacturing, finishing operations, and device or component production and assembly to contract manufacturing organizations, and the distribution of our products through logistics providers. In some cases, product or indication approvals depend on the outcome of regulatory inspections of third parties on which we rely. For example, in September 2023, the FDA issued a complete response letter for our lebrikizumab BLA for the treatment of moderate to severe atopic dermatitis. In the letter, the FDA cited findings that arose during a multi-sponsor inspection of a third-party, contract manufacturing organization that included the monoclonal antibody drug substance for lebrikizumab. We may encounter similar difficulties in the future, which could delay or prevent product launches and otherwise negatively affect our business, results, and reputation.</w:t>
      </w:r>
    </w:p>
    <w:p>
      <w:pPr>
        <w:spacing w:after="0" w:line="74" w:lineRule="exact"/>
        <w:rPr>
          <w:rFonts w:ascii="Arial" w:cs="Arial" w:eastAsia="Arial" w:hAnsi="Arial"/>
          <w:sz w:val="18"/>
          <w:szCs w:val="18"/>
          <w:b w:val="1"/>
          <w:bCs w:val="1"/>
          <w:color w:val="auto"/>
        </w:rPr>
      </w:pPr>
    </w:p>
    <w:p>
      <w:pPr>
        <w:ind w:left="332"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Outsourcing involves many risks, including the risk that third parties may not perform to our standards or legal requirements, including applicable requirements for diversity in clinical trials; may not produce reliable results; may not perform in a timely manner; may not maintain the confidentiality, integrity, and availability of confidential and proprietary information relating to us, our clinical trial subjects, or patients; may experience disruption or fail to perform due to IT system vulnerabilities, such as inadequacies, inadequate controls or procedures, operating failures, unauthorized access, service interruptions or failures, security breaches, malicious intrusions, theft, exfiltration, ransomware or other cyber-attacks; may be unable to satisfy their commitments to us in which case we may not be able to achieve acceptable alternative sourcing; or may fail to perform at all. The foregoing risks may be heightened in jurisdictions outside the U.S., where we may have fewer alternative providers as well as face additional costs, uncertainties, and risks. Failure of third parties to meet their contractual, regulatory, confidentiality, privacy, security, or other obligations to us, our clinical trial subjects, and our patients could have a material adverse effect on our business.</w:t>
      </w:r>
    </w:p>
    <w:p>
      <w:pPr>
        <w:spacing w:after="0" w:line="77" w:lineRule="exact"/>
        <w:rPr>
          <w:rFonts w:ascii="Arial" w:cs="Arial" w:eastAsia="Arial" w:hAnsi="Arial"/>
          <w:sz w:val="18"/>
          <w:szCs w:val="18"/>
          <w:b w:val="1"/>
          <w:bCs w:val="1"/>
          <w:color w:val="auto"/>
        </w:rPr>
      </w:pPr>
    </w:p>
    <w:p>
      <w:pPr>
        <w:ind w:left="312" w:hanging="312"/>
        <w:spacing w:after="0"/>
        <w:tabs>
          <w:tab w:leader="none" w:pos="3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Our use of artificial intelligence (AI) or other emerging technologies could adversely impact our business and financial results.</w:t>
      </w:r>
    </w:p>
    <w:p>
      <w:pPr>
        <w:spacing w:after="0" w:line="117" w:lineRule="exact"/>
        <w:rPr>
          <w:rFonts w:ascii="Arial" w:cs="Arial" w:eastAsia="Arial" w:hAnsi="Arial"/>
          <w:sz w:val="18"/>
          <w:szCs w:val="18"/>
          <w:b w:val="1"/>
          <w:bCs w:val="1"/>
          <w:color w:val="auto"/>
        </w:rPr>
      </w:pPr>
    </w:p>
    <w:p>
      <w:pPr>
        <w:ind w:left="33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begun to deploy AI and other emerging technologies in various facets of our operations and we continue to explore further use cases for AI. The rapid advancement of these technologies presents opportunities for us in research, manufacturing, commercialization, and other business endeavors but also entails risks, including that AI-generated content, analyses, or recommendations we utilize could be deficient, that our competitors may more quickly or effectively adopt AI capabilities, or that our use of AI or other emerging technologies exacerbates regulatory, cybersecurity and other significant risks.</w:t>
      </w:r>
    </w:p>
    <w:p>
      <w:pPr>
        <w:spacing w:after="0" w:line="71" w:lineRule="exact"/>
        <w:rPr>
          <w:rFonts w:ascii="Arial" w:cs="Arial" w:eastAsia="Arial" w:hAnsi="Arial"/>
          <w:sz w:val="18"/>
          <w:szCs w:val="18"/>
          <w:b w:val="1"/>
          <w:bCs w:val="1"/>
          <w:color w:val="auto"/>
        </w:rPr>
      </w:pPr>
    </w:p>
    <w:p>
      <w:pPr>
        <w:ind w:left="33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development, management, and use of AI technologies is novel and complex, and there are technical challenges associated with achieving desired levels of accuracy, efficiency, and reliability. The algorithms and models utilized in AI systems may have limitations, including biases, errors, or inability to handle certain data types or scenarios or to render explainable outputs. Furthermore, there are risks associated with the fact that the platforms providing AI models are in many cases owned and operated by emerging companies with less contractual and compliance sophistication. These factors may undermine</w:t>
      </w:r>
    </w:p>
    <w:p>
      <w:pPr>
        <w:spacing w:after="0" w:line="200" w:lineRule="exact"/>
        <w:rPr>
          <w:sz w:val="20"/>
          <w:szCs w:val="20"/>
          <w:color w:val="auto"/>
        </w:rPr>
      </w:pP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39" w:right="339" w:bottom="1440" w:gutter="0" w:footer="0" w:header="0"/>
        </w:sectPr>
      </w:pPr>
    </w:p>
    <w:bookmarkStart w:id="32" w:name="page33"/>
    <w:bookmarkEnd w:id="32"/>
    <w:p>
      <w:pPr>
        <w:ind w:left="340" w:right="200"/>
        <w:spacing w:after="0" w:line="268" w:lineRule="auto"/>
        <w:rPr>
          <w:sz w:val="20"/>
          <w:szCs w:val="20"/>
          <w:color w:val="auto"/>
        </w:rPr>
      </w:pPr>
      <w:r>
        <w:rPr>
          <w:rFonts w:ascii="Arial" w:cs="Arial" w:eastAsia="Arial" w:hAnsi="Arial"/>
          <w:sz w:val="18"/>
          <w:szCs w:val="18"/>
          <w:color w:val="auto"/>
        </w:rPr>
        <w:t>our ability to effectively utilize AI or create competitive disadvantages should our competitors more skillfully make use of AI capabilities. Further, if we are unable to effectively manage the use of AI technologies by our employees, our confidential information, intellectual property, or reputation could be put at risk.</w:t>
      </w:r>
    </w:p>
    <w:p>
      <w:pPr>
        <w:spacing w:after="0" w:line="63"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The emergence of AI and other technologies, particularly generative AI,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 Several governmental authorities have already proposed or enacted laws and other guidance governing AI, such as the proposed EU Artificial Intelligence Act. These and other developing obligations may prevent or make it harder for us to conduct or enhance our business using AI, or lead to regulatory fines, penalties, or other liability. Further, use of AI technologies could lead to unintended consequences, such as cybersecurity risks or unintended biases, impact our ability to protect our confidential data and intellectual property, and expose us to intellectual property infringement claims by third parties.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Internationally</w:t>
      </w:r>
    </w:p>
    <w:p>
      <w:pPr>
        <w:spacing w:after="0" w:line="117" w:lineRule="exact"/>
        <w:rPr>
          <w:sz w:val="20"/>
          <w:szCs w:val="20"/>
          <w:color w:val="auto"/>
        </w:rPr>
      </w:pPr>
    </w:p>
    <w:p>
      <w:pPr>
        <w:ind w:left="340" w:right="240" w:hanging="332"/>
        <w:spacing w:after="0" w:line="296" w:lineRule="auto"/>
        <w:tabs>
          <w:tab w:leader="none" w:pos="33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Uneven economic growth or downturns or international trade and other global disruptions, geopolitical tensions, or disputes could adversely affect our business and operating results.</w:t>
      </w:r>
    </w:p>
    <w:p>
      <w:pPr>
        <w:spacing w:after="0" w:line="29" w:lineRule="exact"/>
        <w:rPr>
          <w:rFonts w:ascii="Arial" w:cs="Arial" w:eastAsia="Arial" w:hAnsi="Arial"/>
          <w:sz w:val="18"/>
          <w:szCs w:val="18"/>
          <w:b w:val="1"/>
          <w:bCs w:val="1"/>
          <w:color w:val="auto"/>
        </w:rPr>
      </w:pPr>
    </w:p>
    <w:p>
      <w:pPr>
        <w:ind w:left="34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Economic slowdowns could lead to decreased utilization of our products, affecting our sales. Declining tax revenues and increased government spending on other programs attributable to uneven economic growth or downturns increase the pressure on governments to reduce healthcare spending, leading to increased control of drug prices or lower utilization. Additionally, some customers, including governments or other entities reliant upon government funding and cash-pay patients, may be unable to pay for our products fully or in a timely manner. Also, if our customers, suppliers, or collaboration partners experience financial difficulties, we could experience slower customer collections, greater bad debt expense, and performance defaults by suppliers or collaboration partners. Similarly, uneven economic growth or downturns could limit our ability to access capital markets.</w:t>
      </w:r>
    </w:p>
    <w:p>
      <w:pPr>
        <w:spacing w:after="0" w:line="74" w:lineRule="exact"/>
        <w:rPr>
          <w:rFonts w:ascii="Arial" w:cs="Arial" w:eastAsia="Arial" w:hAnsi="Arial"/>
          <w:sz w:val="18"/>
          <w:szCs w:val="18"/>
          <w:b w:val="1"/>
          <w:bCs w:val="1"/>
          <w:color w:val="auto"/>
        </w:rPr>
      </w:pPr>
    </w:p>
    <w:p>
      <w:pPr>
        <w:ind w:left="34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addition, significant portions of our business are conducted in Europe, Asia, and other international geographies. 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cost inflation, strains on global transportation, manufacturing, and labor markets, and public health outbreaks, epidemics, or pandemics, such as the COVID-19 pandemic, affect our ability to do business. For example, tensions between the U.S. and China have led to a series of tariffs and sanctions being imposed by the U.S. on imports from China mainland, as well as other business restrictions. If geopolitical tensions were to increase and disrupt our operations in, or related to, China, such disruption would significantly impact our business. As a further example, the financial impact of higher energy prices, defense spending, and inflation due, in part, to geopolitical and economic disruptions, has further exacerbated financial pressures on governments with single-payer or government funded healthcare systems, leading to increased impetus for increases in rebates, clawbacks, and other reforms to reimbursement systems, particularly in Europe. These and similar events have adversely affected, and may continue to adversely affect, us, our business partners, and our customers. For more details, see Item 1, "Business—Regulations and Private Payer Actions Affecting Pharmaceutical Pricing, Reimbursement, and Access."</w:t>
      </w:r>
    </w:p>
    <w:p>
      <w:pPr>
        <w:spacing w:after="0" w:line="79" w:lineRule="exact"/>
        <w:rPr>
          <w:rFonts w:ascii="Arial" w:cs="Arial" w:eastAsia="Arial" w:hAnsi="Arial"/>
          <w:sz w:val="18"/>
          <w:szCs w:val="18"/>
          <w:b w:val="1"/>
          <w:bCs w:val="1"/>
          <w:color w:val="auto"/>
        </w:rPr>
      </w:pPr>
    </w:p>
    <w:p>
      <w:pPr>
        <w:ind w:left="34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addition to developments related to our business or financial results, or those of our competitors, uneven economic growth, downturns, or other negative global developments, could also undermine our growth or result in significant and sudden declines in the trading price of our common stock and market capitalization.</w:t>
      </w:r>
    </w:p>
    <w:p>
      <w:pPr>
        <w:spacing w:after="0" w:line="62" w:lineRule="exact"/>
        <w:rPr>
          <w:rFonts w:ascii="Arial" w:cs="Arial" w:eastAsia="Arial" w:hAnsi="Arial"/>
          <w:sz w:val="18"/>
          <w:szCs w:val="18"/>
          <w:b w:val="1"/>
          <w:bCs w:val="1"/>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foreign currency rates, interest rate risks, and inflation affect our results of operations.</w:t>
      </w:r>
    </w:p>
    <w:p>
      <w:pPr>
        <w:spacing w:after="0" w:line="117" w:lineRule="exact"/>
        <w:rPr>
          <w:rFonts w:ascii="Arial" w:cs="Arial" w:eastAsia="Arial" w:hAnsi="Arial"/>
          <w:sz w:val="18"/>
          <w:szCs w:val="18"/>
          <w:b w:val="1"/>
          <w:bCs w:val="1"/>
          <w:color w:val="auto"/>
        </w:rPr>
      </w:pPr>
    </w:p>
    <w:p>
      <w:pPr>
        <w:ind w:left="340" w:right="4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As a global company, we face foreign currency risk exposure from fluctuating currency exchange rates, interest rate risk from our exposure to floating and variable interest rates, and inflation risk from existing and expected rates of inflation in the U.S. and other jurisdictions, each of which impacts our results of operations. In recent periods, significant fluctuations in currency rates and inflation have impacted our results of operations. We are a net receiver of foreign currencies, and our results of operations are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left="340" w:right="40"/>
        <w:spacing w:after="0" w:line="256" w:lineRule="auto"/>
        <w:rPr>
          <w:sz w:val="20"/>
          <w:szCs w:val="20"/>
          <w:color w:val="auto"/>
        </w:rPr>
      </w:pPr>
      <w:r>
        <w:rPr>
          <w:rFonts w:ascii="Arial" w:cs="Arial" w:eastAsia="Arial" w:hAnsi="Arial"/>
          <w:sz w:val="18"/>
          <w:szCs w:val="18"/>
          <w:color w:val="auto"/>
        </w:rPr>
        <w:t>adversely impacted when the U.S. dollar is strong compared to foreign currencies. Further, in the event of an extreme devaluation of local currency in a particular market in which we operate, the price of our products could become unsustainable in the relevant market. Inflationary pressures in recent periods have also negatively impacted us and may continue to negatively impact us in various ways, including cost inflation, higher labor costs, and other higher expenses, with some of these higher expenses due in part to policy actions intended to curb inflation. See Item 7, "Management's Discussion and Analysis—Financial Condition and Liquidity" and Item 8, "Financial Statements and Supplementary Data—Note 1: Summary of Significant Accounting Policies and Implementation of New Financial Accounting Standards," for more details.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Litigation</w:t>
      </w:r>
    </w:p>
    <w:p>
      <w:pPr>
        <w:spacing w:after="0" w:line="117" w:lineRule="exact"/>
        <w:rPr>
          <w:sz w:val="20"/>
          <w:szCs w:val="20"/>
          <w:color w:val="auto"/>
        </w:rPr>
      </w:pPr>
    </w:p>
    <w:p>
      <w:pPr>
        <w:ind w:left="340" w:right="20" w:hanging="332"/>
        <w:spacing w:after="0" w:line="296" w:lineRule="auto"/>
        <w:tabs>
          <w:tab w:leader="none" w:pos="3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We face litigation and investigations related to our products, how we price or commercialize our products, and other aspects of our business, which could adversely affect our business, and we are self-insured for such matters.</w:t>
      </w:r>
    </w:p>
    <w:p>
      <w:pPr>
        <w:spacing w:after="0" w:line="29" w:lineRule="exact"/>
        <w:rPr>
          <w:rFonts w:ascii="Arial" w:cs="Arial" w:eastAsia="Arial" w:hAnsi="Arial"/>
          <w:sz w:val="18"/>
          <w:szCs w:val="18"/>
          <w:b w:val="1"/>
          <w:bCs w:val="1"/>
          <w:color w:val="auto"/>
        </w:rPr>
      </w:pPr>
    </w:p>
    <w:p>
      <w:pPr>
        <w:jc w:val="both"/>
        <w:ind w:left="340" w:right="2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are subject to a substantial number of claims involving various current and historical products, litigation, and investigations. These claims relate to how we commercialize and/or how we price our products, including relating to our 340B drug pricing program, product safety, as well as contractual matters and other disputes. See Item 8, "Financial Statements and Supplementary Data—Note 16:</w:t>
      </w:r>
    </w:p>
    <w:p>
      <w:pPr>
        <w:spacing w:after="0" w:line="1" w:lineRule="exact"/>
        <w:rPr>
          <w:rFonts w:ascii="Arial" w:cs="Arial" w:eastAsia="Arial" w:hAnsi="Arial"/>
          <w:sz w:val="18"/>
          <w:szCs w:val="18"/>
          <w:b w:val="1"/>
          <w:bCs w:val="1"/>
          <w:color w:val="auto"/>
        </w:rPr>
      </w:pPr>
    </w:p>
    <w:p>
      <w:pPr>
        <w:ind w:left="3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Contingencies" for more information on our current product liability litigation, as well as pricing and other litigation, investigations, and inquiries. Like many companies in our industry, from time to time investigations into aspects of our business include inquiries, subpoenas, and other types of information demands from government and regulatory authorities. There continues to be a significant volume of government and regulatory investigations and litigation against companies operating in our industry, as well as increasingly robust regulatory enforcement. Because of the nature of pharmaceutical products, we are, and could in the future become, subject to large numbers of product liability claims for our previous, current, or future products, or to further litigation or investigations, including related to product safety and pricing or other commercial practices. Some of these matters involve numerous plaintiffs and parties seeking large or indeterminate financial claims and may remain unresolved for several years. Such matters could negatively impact our reputation, affect our results of operations or require us to recognize substantial charges to resolve and, if involving marketed products, could adversely affect sales of the product and our consolidated results of operations in any given period. Due to a very restrictive market for liability insurance, we are predominately self-insured for litigation liability losses for all of our currently marketed products, as well as for litigation or investigations related to our pricing practices or other similar matters.</w:t>
      </w:r>
    </w:p>
    <w:p>
      <w:pPr>
        <w:spacing w:after="0" w:line="84" w:lineRule="exact"/>
        <w:rPr>
          <w:rFonts w:ascii="Arial" w:cs="Arial" w:eastAsia="Arial" w:hAnsi="Arial"/>
          <w:sz w:val="18"/>
          <w:szCs w:val="18"/>
          <w:b w:val="1"/>
          <w:bCs w:val="1"/>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We are subject to evolving and complex tax laws, which may result in additional liabilities and affect our results of operations.</w:t>
      </w:r>
    </w:p>
    <w:p>
      <w:pPr>
        <w:spacing w:after="0" w:line="117" w:lineRule="exact"/>
        <w:rPr>
          <w:rFonts w:ascii="Arial" w:cs="Arial" w:eastAsia="Arial" w:hAnsi="Arial"/>
          <w:sz w:val="18"/>
          <w:szCs w:val="18"/>
          <w:b w:val="1"/>
          <w:bCs w:val="1"/>
          <w:color w:val="auto"/>
        </w:rPr>
      </w:pPr>
    </w:p>
    <w:p>
      <w:pPr>
        <w:ind w:left="34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other jurisdictions, and in the course of our business, we make judgments about the expected tax treatment of various transactions and events. Changes in tax laws, regulations, administrative practices, principles, disclosure obligations, and interpretations, as well as events that differ from our expectations, have affected and may adversely affect our effective tax rates, cash flows, and/or results of operations. In addition, tax authorities in the U.S. and other jurisdictions in which we do business routinely examine our tax returns and are intensifying their scrutiny and examinations of cross-border tax issues, which could unfavorably impact our results of operations. Further, actions taken with respect to tax-related matters by associations such as the Organisation for Economic Co-operation and Development and the European Commission could influence tax laws in countries in which we operate, such as the recent enactments by both the EU and non-EU countries of a global minimum tax. Modifications to key elements of the U.S. or international tax framework could have a significant impact on our effective tax rate, results of operations, and cash flows. See Item 7, "Management's Discussion and Analysis—Executive Overview—Other Matters—Tax Matters" and Item 8, "Financial Statements and Supplementary Data—Note 14: Income Taxes," for more details.</w:t>
      </w:r>
    </w:p>
    <w:p>
      <w:pPr>
        <w:spacing w:after="0" w:line="74" w:lineRule="exact"/>
        <w:rPr>
          <w:rFonts w:ascii="Arial" w:cs="Arial" w:eastAsia="Arial" w:hAnsi="Arial"/>
          <w:sz w:val="18"/>
          <w:szCs w:val="18"/>
          <w:b w:val="1"/>
          <w:bCs w:val="1"/>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17" w:lineRule="exact"/>
        <w:rPr>
          <w:rFonts w:ascii="Arial" w:cs="Arial" w:eastAsia="Arial" w:hAnsi="Arial"/>
          <w:sz w:val="18"/>
          <w:szCs w:val="18"/>
          <w:b w:val="1"/>
          <w:bCs w:val="1"/>
          <w:color w:val="auto"/>
        </w:rPr>
      </w:pPr>
    </w:p>
    <w:p>
      <w:pPr>
        <w:ind w:left="34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scrutiny and regulation. Many companies, including us, are and have been subject to investigations, litigation, and claims related to these practices asserted by governmental authorities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line="252" w:lineRule="auto"/>
        <w:rPr>
          <w:sz w:val="20"/>
          <w:szCs w:val="20"/>
          <w:color w:val="auto"/>
        </w:rPr>
      </w:pPr>
      <w:r>
        <w:rPr>
          <w:rFonts w:ascii="Arial" w:cs="Arial" w:eastAsia="Arial" w:hAnsi="Arial"/>
          <w:sz w:val="18"/>
          <w:szCs w:val="18"/>
          <w:color w:val="auto"/>
        </w:rPr>
        <w:t>other parties. These investigations, litigation, and claims have resulted in substantial expense and other significant consequences. The final outcomes of such investigations, litigation, and claims include criminal charges and fines, penalties, or other monetary or non-monetary remedies, including exclusion from U.S. federal and other healthcare programs. Such investigations, litigation, and claims have intensified and may continue to intensify as a result of evolving U.S. and foreign regulatory priorities. New business practices or commercial capabilities may subject us to additional scrutiny over compliance with applicable regulatory schemes and compliance obligations or expose us to new regulatory schemes and compliance obligations entirely. In addition, regulatory issues concerning compliance with cGMP, quality assurance,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adversely affects our business. Regulatory oversight of the pharmaceutical industry entails judgment and interpretation, which can result in inconsistent administration of laws and regulations by health authorities. Regulatory compliance and processes in jurisdictions outside the U.S. may be particularly unpredictable and result in additional costs, uncertainties, and risks.U.S. and foreign governmental authorities are actively promulgating additional regulations that impact many aspects of our operations. These regulations are in some cases advanced with short notice. New regulations may undermine our ability to achieve business objectives, may be costly to implement, may provide only limited time for compliance, may change accounting and reporting standards, and may carry significant penalties for non-compliance. See Item 1, "Business—Government Regulation of Our Operations," for more details.</w:t>
      </w:r>
    </w:p>
    <w:p>
      <w:pPr>
        <w:spacing w:after="0" w:line="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Furthermore, there is an increased focus by foreign, federal, state, and local regulatory and legislative bodies regarding environmental policies relating to climate change, regulating greenhouse gas emissions, carbon taxes, emissions trading schemes, sustainability, human rights and equity matters, and disclosure regarding the foregoing, many of which may be ambiguous, inconsistent, dynamic or conflicting. We expect to experience increased restrictions and compliance costs, legal costs, and expenses related to such new or changing legal or regulatory requirements. Moreover, compliance with any such legal or regulatory requirements would require us to devote substantial time and attention to these matters. In addition, we may still be subject to penalties or potential litigation if such laws and regulations are interpreted or applied in a manner inconsistent with our practices.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we are subject to increased negative attention from the media, stockholders, activists, and other stakeholders on climate change, social, and sustainability matters. The perception that we have failed to act in a socially responsible manner, whether or not valid, results in adverse publicity that can negatively affect our business, brand, and reputation, as well as result in increased scrutiny from legislators and regulatory authorities. Moreover, from time to time we establish and publicly announce goals and commitments, including to reduce our impact on the environment. Our ability to achieve any stated environmental, social or governance goal, target or objective is subject to numerous factors and conditions, many of which are outside our control. Examples of such factors include evolving regulatory requirements affecting sustainability standards or disclosures or imposing different requirements, the availability of requisite financing, and the availability of suppliers that can meet our sustainability and other goals. If we fail to achieve, are perceived to have failed or been delayed in achieving, or improperly report our progress toward achieving these goals and commitments, it could negatively affect our reputation, brand, or investor confidence, and expose us to enforcement actions and litigation.</w:t>
      </w:r>
    </w:p>
    <w:p>
      <w:pPr>
        <w:spacing w:after="0" w:line="200" w:lineRule="exact"/>
        <w:rPr>
          <w:sz w:val="20"/>
          <w:szCs w:val="20"/>
          <w:color w:val="auto"/>
        </w:rPr>
      </w:pPr>
    </w:p>
    <w:p>
      <w:pPr>
        <w:spacing w:after="0" w:line="36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039" w:right="359" w:bottom="1440" w:gutter="0" w:footer="0" w:header="0"/>
        </w:sectPr>
      </w:pPr>
    </w:p>
    <w:bookmarkStart w:id="35" w:name="page36"/>
    <w:bookmarkEnd w:id="35"/>
    <w:p>
      <w:pPr>
        <w:spacing w:after="0"/>
        <w:rPr>
          <w:sz w:val="20"/>
          <w:szCs w:val="20"/>
          <w:color w:val="auto"/>
        </w:rPr>
      </w:pPr>
      <w:r>
        <w:rPr>
          <w:rFonts w:ascii="Arial" w:cs="Arial" w:eastAsia="Arial" w:hAnsi="Arial"/>
          <w:sz w:val="32"/>
          <w:szCs w:val="32"/>
          <w:b w:val="1"/>
          <w:bCs w:val="1"/>
          <w:i w:val="1"/>
          <w:iCs w:val="1"/>
          <w:color w:val="auto"/>
        </w:rPr>
        <w:t>Item 1B.Unresolved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1C.Cybersecurity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manage cybersecurity threats as part of our oversight, evaluation, and mitigation of enterprise-level risks. We have based our cybersecurity program on industry frameworks with the goal of building enterprise resilience against an evolving landscape of cybersecurity threats and to respond to cybersecurity threats as they materialize. Our program includes monitoring, identification, assessment, and management components, as well as information and escalation components designed to inform management and the board of directors of prospective risks and developments.</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information security program encompasses functions dedicated to both proactive and reactive management of cybersecurity threats. We implement our cybersecurity program internally through established policies, standards, reference architectures, and the use of enterprise security services that focus on emerging and ongoing cybersecurity risks. Our proactive management of cybersecurity risks entails many actions, including the maintenance of system access restrictions, utilization of data security technology, employee education and training initiatives, and retention of cyber liability insurance, among other measures. We regularly engage third-party auditors and consultants and leverage our internal audit function to assess various facets of our cybersecurity program. These engagements include completion of industry-standard assessments or certifications, maturity model reviews, threat simulations, as well as internal reviews to assess the effectiveness of our cybersecurity processes. We also maintain enterprise-wide processes to oversee and identify risks from cybersecurity threats associated with our use of third-party service providers. As examples, we generally review current and prospective third-party service providers for unacceptable cybersecurity risks, negotiate contractual provisions that require the establishment of third-party cybersecurity controls, and deploy communications security measures to protect third-party communications.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assess cybersecurity contingencies within our overall business continuity risk management planning process. Our Information Security team utilizes various tools to prevent, detect, monitor, and react to cybersecurity threats. Our Incident Response Playbook outlines processes, roles, responsibilities, engagements, escalations, notifications, and other communications applicable to the assessment, mitigation, and remediation of realized cybersecurity events. The nature and assessed risk of a realized cybersecurity event dictates the pace and extent of relevant processes, escalations, and communications, including an evaluation of any necessary or required disclosure. Roles and escalation paths range from within the Information Security team up to the Executive Committee, and the board of directors and its committees, as appropriate.</w:t>
      </w:r>
    </w:p>
    <w:p>
      <w:pPr>
        <w:spacing w:after="0" w:line="7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describe risks faced by us from identified cybersecurity threats in Item 1A, "Risk Factors—Risks Related to Our Operations— Failure, inadequacy, breach of, or unauthorized access to, our IT systems or those of our third-party service providers, unauthorized access to our confidential information, or violations of data protection laws, could each result in material harm to our business and reputation", "Risk Factors—Risks Related to Our Operations—Manufacturing, quality, or supply chain difficulties, disruptions, or shortages could lead to product supply problems" and "Risk Factors—Risks Related to Our Operations—Reliance on third-party relationships and outsourcing arrangements could adversely affect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Governance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under the supervision of our Chief Information Security Officer (CISO), is directly responsible for assessing and managing cybersecurity risks and otherwise implementing our cybersecurity program, which includes our Incident Response Playbook. The CISO reports directly to our Chief Information and Digital Officer (CIDO), who is a member of our Executive Committee and leads our information technology, cybersecurity, digital health, and advanced analytics and data science functions. Our CIDO in turn regularly updates our Executive Committee on cybersecurity matters. Our CISO and CIDO have significant experience managing global cybersecurity threats across the pharmaceutical, technology, entertainment, and defense industries. In addition to providing regular updates to the CIDO and his staff, the CISO is a member of our Executive Information Security Governance function (EISG), which meets regularly and is also composed of executive and senior leadership from a variety of functions, including information security, legal, finance, audit, and ethics and compliance to assess and manage cybersecurity developments and risks and our internal programs. Each of the CIDO, the CISO and the EISG may call upon business and legal stakeholders across our company to manage cybersecurity threats and incidents.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audit committee of our board of directors is responsible for oversight of the company's programs, policies, procedures, and risk management activities related to information security and data protection. The audit committee meets regularly with our CIDO and CISO to discuss threats, risks, and ongoing efforts to enhance cyber resiliency, as well as changes to the broader cybersecurity landscape. In addition, the ethics and compliance committee supports the audit committee and board in oversight of legal and regulatory compliance. Our board of directors also regularly participates in presentations on cybersecurity and information technology. In addition to regular presentations, management promptly updates our board of directors regarding significant threats and incidents as they arise.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2.  Properties</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2023, we owned eleven production, distribution, and corporate administrative sites in the United States (U.S.), including Puerto Rico. These facilities contain an aggregate of approximately 9.0 million square feet of floor area dedicated to production, distribution, and administration. Major production sites include Indianapolis, Indiana; Carolina, Puerto Rico; Durham, North Carolina; and Branchburg, New Jersey.</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also own production and distribution sites in Europe and Asia, containing an aggregate of approximately 4.7 million square feet of floor area. Major production sites include facilities in Ireland, France, Spain, Italy, and China. Additional U.S. and international production facilities and expansions of production facilities are expected to come online in future periods.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U.S., our research and development facilities contain an aggregate of approximately 4.9 million square feet of floor area, primarily consisting of owned facilities located in Indianapolis and smaller leased sites primarily in Boston, Massachusetts; San Diego, California; San Francisco, California; and New York, New York. Outside the U.S., we own a small research and development facility in Spain and lease a small site in Singapore.</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3.  Legal Proceedings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Information pertaining to legal proceedings is described in Item 8, "Financial Statements and Supplementary Data - Note 16: Contingencies," and incorporated by reference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4.  Mine Safety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37" w:name="page38"/>
    <w:bookmarkEnd w:id="37"/>
    <w:p>
      <w:pPr>
        <w:spacing w:after="0"/>
        <w:rPr>
          <w:sz w:val="20"/>
          <w:szCs w:val="20"/>
          <w:color w:val="auto"/>
        </w:rPr>
      </w:pPr>
      <w:r>
        <w:rPr>
          <w:rFonts w:ascii="Arial" w:cs="Arial" w:eastAsia="Arial" w:hAnsi="Arial"/>
          <w:sz w:val="32"/>
          <w:szCs w:val="32"/>
          <w:b w:val="1"/>
          <w:bCs w:val="1"/>
          <w:color w:val="auto"/>
        </w:rPr>
        <w:t>Part II</w:t>
      </w:r>
    </w:p>
    <w:p>
      <w:pPr>
        <w:spacing w:after="0" w:line="244" w:lineRule="exact"/>
        <w:rPr>
          <w:sz w:val="20"/>
          <w:szCs w:val="20"/>
          <w:color w:val="auto"/>
        </w:rPr>
      </w:pPr>
    </w:p>
    <w:p>
      <w:pPr>
        <w:ind w:left="1300" w:right="180" w:hanging="1295"/>
        <w:spacing w:after="0" w:line="288" w:lineRule="auto"/>
        <w:rPr>
          <w:sz w:val="20"/>
          <w:szCs w:val="20"/>
          <w:color w:val="auto"/>
        </w:rPr>
      </w:pPr>
      <w:r>
        <w:rPr>
          <w:rFonts w:ascii="Arial" w:cs="Arial" w:eastAsia="Arial" w:hAnsi="Arial"/>
          <w:sz w:val="32"/>
          <w:szCs w:val="32"/>
          <w:b w:val="1"/>
          <w:bCs w:val="1"/>
          <w:i w:val="1"/>
          <w:iCs w:val="1"/>
          <w:color w:val="auto"/>
        </w:rPr>
        <w:t>Item 5. Market for the Registrant's Common Equity, Related Stockholder Matters, and Issuer Purchases of Equity Securities</w:t>
      </w:r>
    </w:p>
    <w:p>
      <w:pPr>
        <w:spacing w:after="0" w:line="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Information relating to the principal market for our common stock, dividends, and related stockholder matters is described in Item 7, "Management's Discussion and Analysis of Results of Operations and Financial Condition" and Item 12, "Security Ownership of Certain Beneficial Owners and Management and Related Stockholder Matters." This information is incorporated herein by reference.</w:t>
      </w:r>
    </w:p>
    <w:p>
      <w:pPr>
        <w:spacing w:after="0" w:line="63"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As of February 16, 2024, there were approximately 18,871 holders of record of our common stock based on information provided by EQ Shareowner Services, our transfer agent. Our common stock is listed under the ticker symbol LLY on the New York Stock Exchange (NYSE).</w:t>
      </w:r>
    </w:p>
    <w:p>
      <w:pPr>
        <w:spacing w:after="0" w:line="2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jc w:val="center"/>
              <w:ind w:left="288"/>
              <w:spacing w:after="0"/>
              <w:rPr>
                <w:sz w:val="20"/>
                <w:szCs w:val="20"/>
                <w:color w:val="auto"/>
              </w:rPr>
            </w:pPr>
            <w:r>
              <w:rPr>
                <w:rFonts w:ascii="Arial" w:cs="Arial" w:eastAsia="Arial" w:hAnsi="Arial"/>
                <w:sz w:val="14"/>
                <w:szCs w:val="14"/>
                <w:b w:val="1"/>
                <w:bCs w:val="1"/>
                <w:color w:val="auto"/>
              </w:rPr>
              <w:t>Total Number of 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5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Purchased as Part of</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jc w:val="center"/>
              <w:ind w:right="241"/>
              <w:spacing w:after="0" w:line="14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Average Price Paid</w:t>
            </w:r>
          </w:p>
        </w:tc>
        <w:tc>
          <w:tcPr>
            <w:tcW w:w="280" w:type="dxa"/>
            <w:vAlign w:val="bottom"/>
          </w:tcPr>
          <w:p>
            <w:pPr>
              <w:spacing w:after="0"/>
              <w:rPr>
                <w:sz w:val="12"/>
                <w:szCs w:val="12"/>
                <w:color w:val="auto"/>
              </w:rPr>
            </w:pPr>
          </w:p>
        </w:tc>
        <w:tc>
          <w:tcPr>
            <w:tcW w:w="2180" w:type="dxa"/>
            <w:vAlign w:val="bottom"/>
          </w:tcPr>
          <w:p>
            <w:pPr>
              <w:jc w:val="center"/>
              <w:ind w:left="288"/>
              <w:spacing w:after="0" w:line="139" w:lineRule="exact"/>
              <w:rPr>
                <w:sz w:val="20"/>
                <w:szCs w:val="20"/>
                <w:color w:val="auto"/>
              </w:rPr>
            </w:pPr>
            <w:r>
              <w:rPr>
                <w:rFonts w:ascii="Arial" w:cs="Arial" w:eastAsia="Arial" w:hAnsi="Arial"/>
                <w:sz w:val="14"/>
                <w:szCs w:val="14"/>
                <w:b w:val="1"/>
                <w:bCs w:val="1"/>
                <w:color w:val="auto"/>
              </w:rPr>
              <w:t>Publicly Announced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jc w:val="center"/>
              <w:ind w:right="241"/>
              <w:spacing w:after="0" w:line="13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4"/>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Plans or Programs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jc w:val="center"/>
              <w:ind w:right="241"/>
              <w:spacing w:after="0" w:line="14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per Share</w:t>
            </w: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3"/>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October 2023</w:t>
            </w:r>
          </w:p>
        </w:tc>
        <w:tc>
          <w:tcPr>
            <w:tcW w:w="1580" w:type="dxa"/>
            <w:vAlign w:val="bottom"/>
            <w:shd w:val="clear" w:color="auto" w:fill="D8D8D8"/>
          </w:tcPr>
          <w:p>
            <w:pPr>
              <w:spacing w:after="0"/>
              <w:rPr>
                <w:sz w:val="19"/>
                <w:szCs w:val="19"/>
                <w:color w:val="auto"/>
              </w:rPr>
            </w:pPr>
          </w:p>
        </w:tc>
        <w:tc>
          <w:tcPr>
            <w:tcW w:w="188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 $</w:t>
            </w:r>
          </w:p>
        </w:tc>
        <w:tc>
          <w:tcPr>
            <w:tcW w:w="246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DBDBDB"/>
          </w:tcPr>
          <w:p>
            <w:pPr>
              <w:jc w:val="right"/>
              <w:ind w:right="7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November 2023</w:t>
            </w:r>
          </w:p>
        </w:tc>
        <w:tc>
          <w:tcPr>
            <w:tcW w:w="158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60" w:type="dxa"/>
            <w:vAlign w:val="bottom"/>
          </w:tcPr>
          <w:p>
            <w:pPr>
              <w:jc w:val="right"/>
              <w:ind w:right="7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2023</w:t>
            </w:r>
          </w:p>
        </w:tc>
        <w:tc>
          <w:tcPr>
            <w:tcW w:w="1580" w:type="dxa"/>
            <w:vAlign w:val="bottom"/>
            <w:tcBorders>
              <w:bottom w:val="single" w:sz="8" w:color="auto"/>
            </w:tcBorders>
            <w:shd w:val="clear" w:color="auto" w:fill="D8D8D8"/>
          </w:tcPr>
          <w:p>
            <w:pPr>
              <w:spacing w:after="0"/>
              <w:rPr>
                <w:sz w:val="19"/>
                <w:szCs w:val="19"/>
                <w:color w:val="auto"/>
              </w:rPr>
            </w:pPr>
          </w:p>
        </w:tc>
        <w:tc>
          <w:tcPr>
            <w:tcW w:w="2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8D8D8"/>
          </w:tcPr>
          <w:p>
            <w:pPr>
              <w:spacing w:after="0"/>
              <w:rPr>
                <w:sz w:val="19"/>
                <w:szCs w:val="19"/>
                <w:color w:val="auto"/>
              </w:rPr>
            </w:pPr>
          </w:p>
        </w:tc>
        <w:tc>
          <w:tcPr>
            <w:tcW w:w="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D8D8D8"/>
          </w:tcPr>
          <w:p>
            <w:pPr>
              <w:spacing w:after="0"/>
              <w:rPr>
                <w:sz w:val="19"/>
                <w:szCs w:val="19"/>
                <w:color w:val="auto"/>
              </w:rPr>
            </w:pPr>
          </w:p>
        </w:tc>
        <w:tc>
          <w:tcPr>
            <w:tcW w:w="36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2460" w:type="dxa"/>
            <w:vAlign w:val="bottom"/>
            <w:shd w:val="clear" w:color="auto" w:fill="D8D8D8"/>
          </w:tcPr>
          <w:p>
            <w:pPr>
              <w:jc w:val="right"/>
              <w:ind w:right="7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During the three months ended December 31, 2023, we did not repurchase any shares under our $5.00 billion share repurchase program authorized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graph compares the return on Lilly stock with that of the Standard &amp; Poor's (S&amp;P) 500 Stock Index and our peer group for the years 2019 through 2023. The graph assumes that, on the last business day of 2018, a person invested $100 each in Lilly stock, the S&amp;P 500 Stock Index, and the peer group's collective common stock. The graph measures total shareholder return, which takes into account both stock price and dividends. It assumes that dividends paid by a company are immediately reinvested in that company's stock.</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Value of $100 Invested on Last Business Day of 2018 Comparison of Five-Year Cumulative Total Shareholder Return Among Lilly, S&amp;P 500 Stock Index, and Peer Group</w:t>
      </w:r>
      <w:r>
        <w:rPr>
          <w:rFonts w:ascii="Arial" w:cs="Arial" w:eastAsia="Arial" w:hAnsi="Arial"/>
          <w:sz w:val="23"/>
          <w:szCs w:val="23"/>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3120" w:type="dxa"/>
        <w:tblCellMar>
          <w:top w:w="0" w:type="dxa"/>
          <w:left w:w="0" w:type="dxa"/>
          <w:bottom w:w="0" w:type="dxa"/>
          <w:right w:w="0" w:type="dxa"/>
        </w:tblCellMar>
      </w:tblPr>
      <w:tr>
        <w:trPr>
          <w:trHeight w:val="197"/>
        </w:trPr>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24"/>
        </w:trPr>
        <w:tc>
          <w:tcPr>
            <w:tcW w:w="10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Dec-18</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Dec-19</w:t>
            </w:r>
          </w:p>
        </w:tc>
        <w:tc>
          <w:tcPr>
            <w:tcW w:w="2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116.15</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118.31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131.49</w:t>
            </w:r>
          </w:p>
        </w:tc>
      </w:tr>
      <w:tr>
        <w:trPr>
          <w:trHeight w:val="229"/>
        </w:trPr>
        <w:tc>
          <w:tcPr>
            <w:tcW w:w="10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Dec-20</w:t>
            </w: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152.23</w:t>
            </w:r>
          </w:p>
        </w:tc>
        <w:tc>
          <w:tcPr>
            <w:tcW w:w="3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121.00</w:t>
            </w:r>
          </w:p>
        </w:tc>
        <w:tc>
          <w:tcPr>
            <w:tcW w:w="3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155.68</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Dec-21</w:t>
            </w:r>
          </w:p>
        </w:tc>
        <w:tc>
          <w:tcPr>
            <w:tcW w:w="2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252.82</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145.23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200.37</w:t>
            </w:r>
          </w:p>
        </w:tc>
      </w:tr>
      <w:tr>
        <w:trPr>
          <w:trHeight w:val="230"/>
        </w:trPr>
        <w:tc>
          <w:tcPr>
            <w:tcW w:w="10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Dec-22</w:t>
            </w: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339.38</w:t>
            </w:r>
          </w:p>
        </w:tc>
        <w:tc>
          <w:tcPr>
            <w:tcW w:w="3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158.70</w:t>
            </w:r>
          </w:p>
        </w:tc>
        <w:tc>
          <w:tcPr>
            <w:tcW w:w="3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164.08</w:t>
            </w:r>
          </w:p>
        </w:tc>
      </w:tr>
      <w:tr>
        <w:trPr>
          <w:trHeight w:val="239"/>
        </w:trPr>
        <w:tc>
          <w:tcPr>
            <w:tcW w:w="1020" w:type="dxa"/>
            <w:vAlign w:val="bottom"/>
          </w:tcPr>
          <w:p>
            <w:pPr>
              <w:ind w:left="20"/>
              <w:spacing w:after="0"/>
              <w:rPr>
                <w:sz w:val="20"/>
                <w:szCs w:val="20"/>
                <w:color w:val="auto"/>
              </w:rPr>
            </w:pPr>
            <w:r>
              <w:rPr>
                <w:rFonts w:ascii="Arial" w:cs="Arial" w:eastAsia="Arial" w:hAnsi="Arial"/>
                <w:sz w:val="18"/>
                <w:szCs w:val="18"/>
                <w:color w:val="auto"/>
              </w:rPr>
              <w:t>Dec-23</w:t>
            </w:r>
          </w:p>
        </w:tc>
        <w:tc>
          <w:tcPr>
            <w:tcW w:w="2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546.08</w:t>
            </w:r>
          </w:p>
        </w:tc>
        <w:tc>
          <w:tcPr>
            <w:tcW w:w="30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158.45</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207.21</w:t>
            </w:r>
          </w:p>
        </w:tc>
      </w:tr>
    </w:tbl>
    <w:p>
      <w:pPr>
        <w:spacing w:after="0" w:line="86" w:lineRule="exact"/>
        <w:rPr>
          <w:sz w:val="20"/>
          <w:szCs w:val="20"/>
          <w:color w:val="auto"/>
        </w:rPr>
      </w:pPr>
    </w:p>
    <w:p>
      <w:pPr>
        <w:ind w:left="340" w:right="80" w:hanging="332"/>
        <w:spacing w:after="0" w:line="238" w:lineRule="auto"/>
        <w:tabs>
          <w:tab w:leader="none" w:pos="234"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We constructed the peer group as the industry index for this graph. It is comprised of the following companies in the pharmaceutical and biotechnology industries: AbbVie Inc.; Amgen Inc.; AstraZeneca PLC; Biogen Inc.; Bristol-Myers Squibb Company; Gilead Sciences Inc.; GlaxoSmithKline plc; Johnson &amp; Johnson; Merck &amp; Co., Inc.; Novartis AG; Novo Nordisk A/S; Pfizer Inc.; Roche Holding AG; Sanofi S.A.; and Takeda Pharmaceutical Company Limited. The peer group used for performance benchmarking aligns with the peer group used for executive compensation purposes for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9" w:name="page40"/>
    <w:bookmarkEnd w:id="39"/>
    <w:p>
      <w:pPr>
        <w:spacing w:after="0"/>
        <w:rPr>
          <w:sz w:val="20"/>
          <w:szCs w:val="20"/>
          <w:color w:val="auto"/>
        </w:rPr>
      </w:pPr>
      <w:r>
        <w:rPr>
          <w:rFonts w:ascii="Arial" w:cs="Arial" w:eastAsia="Arial" w:hAnsi="Arial"/>
          <w:sz w:val="32"/>
          <w:szCs w:val="32"/>
          <w:b w:val="1"/>
          <w:bCs w:val="1"/>
          <w:i w:val="1"/>
          <w:iCs w:val="1"/>
          <w:color w:val="auto"/>
        </w:rPr>
        <w:t>Item 6. [Reserved]</w:t>
      </w:r>
    </w:p>
    <w:p>
      <w:pPr>
        <w:spacing w:after="0" w:line="200" w:lineRule="exact"/>
        <w:rPr>
          <w:sz w:val="20"/>
          <w:szCs w:val="20"/>
          <w:color w:val="auto"/>
        </w:rPr>
      </w:pPr>
    </w:p>
    <w:p>
      <w:pPr>
        <w:spacing w:after="0" w:line="229" w:lineRule="exact"/>
        <w:rPr>
          <w:sz w:val="20"/>
          <w:szCs w:val="20"/>
          <w:color w:val="auto"/>
        </w:rPr>
      </w:pPr>
    </w:p>
    <w:p>
      <w:pPr>
        <w:ind w:left="1300" w:right="1740" w:hanging="1295"/>
        <w:spacing w:after="0" w:line="304" w:lineRule="auto"/>
        <w:rPr>
          <w:sz w:val="20"/>
          <w:szCs w:val="20"/>
          <w:color w:val="auto"/>
        </w:rPr>
      </w:pPr>
      <w:r>
        <w:rPr>
          <w:rFonts w:ascii="Arial" w:cs="Arial" w:eastAsia="Arial" w:hAnsi="Arial"/>
          <w:sz w:val="32"/>
          <w:szCs w:val="32"/>
          <w:b w:val="1"/>
          <w:bCs w:val="1"/>
          <w:i w:val="1"/>
          <w:iCs w:val="1"/>
          <w:color w:val="auto"/>
        </w:rPr>
        <w:t>Item 7. Management's Discussion and Analysis of Results of Operations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Item 8, "Financial Statements and Supplementary Data." Certain statements in this Item 7 constitute forward-looking statements. Various risks and uncertainties, including those discussed in "Forward-Looking Statements" and Item 1A, "Risk Factors," may cause our actual results, financial position, and cash generated from operations to differ from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This section provides an overview of our financial results, late-stage pipeline developments, and other matters affecting our company and the pharmaceutical industry.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spacing w:after="0"/>
              <w:rPr>
                <w:sz w:val="17"/>
                <w:szCs w:val="17"/>
                <w:color w:val="auto"/>
              </w:rPr>
            </w:pPr>
          </w:p>
        </w:tc>
      </w:tr>
      <w:tr>
        <w:trPr>
          <w:trHeight w:val="197"/>
        </w:trPr>
        <w:tc>
          <w:tcPr>
            <w:tcW w:w="6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34,124.1</w:t>
            </w:r>
          </w:p>
        </w:tc>
        <w:tc>
          <w:tcPr>
            <w:tcW w:w="5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28,541.4</w:t>
            </w:r>
          </w:p>
        </w:tc>
        <w:tc>
          <w:tcPr>
            <w:tcW w:w="1300" w:type="dxa"/>
            <w:vAlign w:val="bottom"/>
            <w:shd w:val="clear" w:color="auto" w:fill="DBDBDB"/>
          </w:tcPr>
          <w:p>
            <w:pPr>
              <w:jc w:val="right"/>
              <w:ind w:right="415"/>
              <w:spacing w:after="0"/>
              <w:rPr>
                <w:sz w:val="20"/>
                <w:szCs w:val="20"/>
                <w:color w:val="auto"/>
              </w:rPr>
            </w:pPr>
            <w:r>
              <w:rPr>
                <w:rFonts w:ascii="Arial" w:cs="Arial" w:eastAsia="Arial" w:hAnsi="Arial"/>
                <w:sz w:val="18"/>
                <w:szCs w:val="18"/>
                <w:color w:val="auto"/>
              </w:rPr>
              <w:t>20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b w:val="1"/>
                <w:bCs w:val="1"/>
                <w:color w:val="auto"/>
              </w:rPr>
              <w:t>5,240.4</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6,244.8</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(16)</w:t>
            </w:r>
          </w:p>
        </w:tc>
      </w:tr>
      <w:tr>
        <w:trPr>
          <w:trHeight w:val="230"/>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Earnings per share - diluted</w:t>
            </w: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5.80</w:t>
            </w:r>
          </w:p>
        </w:tc>
        <w:tc>
          <w:tcPr>
            <w:tcW w:w="50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6.90</w:t>
            </w:r>
          </w:p>
        </w:tc>
        <w:tc>
          <w:tcPr>
            <w:tcW w:w="1300" w:type="dxa"/>
            <w:vAlign w:val="bottom"/>
            <w:shd w:val="clear" w:color="auto" w:fill="DBDBDB"/>
          </w:tcPr>
          <w:p>
            <w:pPr>
              <w:jc w:val="right"/>
              <w:ind w:right="355"/>
              <w:spacing w:after="0"/>
              <w:rPr>
                <w:sz w:val="20"/>
                <w:szCs w:val="20"/>
                <w:color w:val="auto"/>
              </w:rPr>
            </w:pPr>
            <w:r>
              <w:rPr>
                <w:rFonts w:ascii="Arial" w:cs="Arial" w:eastAsia="Arial" w:hAnsi="Arial"/>
                <w:sz w:val="18"/>
                <w:szCs w:val="18"/>
                <w:color w:val="auto"/>
              </w:rPr>
              <w:t>(16)</w:t>
            </w:r>
          </w:p>
        </w:tc>
      </w:tr>
    </w:tbl>
    <w:p>
      <w:pPr>
        <w:spacing w:after="0" w:line="184"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Revenue increased in 2023 driven by increased volume and higher realized prices. The increase in revenue in 2023 was primarily driven by sales of Mounjaro</w:t>
      </w:r>
      <w:r>
        <w:rPr>
          <w:rFonts w:ascii="Arial" w:cs="Arial" w:eastAsia="Arial" w:hAnsi="Arial"/>
          <w:sz w:val="23"/>
          <w:szCs w:val="23"/>
          <w:color w:val="auto"/>
          <w:vertAlign w:val="superscript"/>
        </w:rPr>
        <w:t>®</w:t>
      </w:r>
      <w:r>
        <w:rPr>
          <w:rFonts w:ascii="Arial" w:cs="Arial" w:eastAsia="Arial" w:hAnsi="Arial"/>
          <w:sz w:val="18"/>
          <w:szCs w:val="18"/>
          <w:color w:val="auto"/>
        </w:rPr>
        <w:t>, Verzenio</w:t>
      </w:r>
      <w:r>
        <w:rPr>
          <w:rFonts w:ascii="Arial" w:cs="Arial" w:eastAsia="Arial" w:hAnsi="Arial"/>
          <w:sz w:val="23"/>
          <w:szCs w:val="23"/>
          <w:color w:val="auto"/>
          <w:vertAlign w:val="superscript"/>
        </w:rPr>
        <w:t>®</w:t>
      </w:r>
      <w:r>
        <w:rPr>
          <w:rFonts w:ascii="Arial" w:cs="Arial" w:eastAsia="Arial" w:hAnsi="Arial"/>
          <w:sz w:val="18"/>
          <w:szCs w:val="18"/>
          <w:color w:val="auto"/>
        </w:rPr>
        <w:t>, and Jardiance</w:t>
      </w:r>
      <w:r>
        <w:rPr>
          <w:rFonts w:ascii="Arial" w:cs="Arial" w:eastAsia="Arial" w:hAnsi="Arial"/>
          <w:sz w:val="23"/>
          <w:szCs w:val="23"/>
          <w:color w:val="auto"/>
          <w:vertAlign w:val="superscript"/>
        </w:rPr>
        <w:t>®</w:t>
      </w:r>
      <w:r>
        <w:rPr>
          <w:rFonts w:ascii="Arial" w:cs="Arial" w:eastAsia="Arial" w:hAnsi="Arial"/>
          <w:sz w:val="18"/>
          <w:szCs w:val="18"/>
          <w:color w:val="auto"/>
        </w:rPr>
        <w:t>, as well as the sales of the rights for the olanzapine portfolio, including Zyprexa</w:t>
      </w:r>
      <w:r>
        <w:rPr>
          <w:rFonts w:ascii="Arial" w:cs="Arial" w:eastAsia="Arial" w:hAnsi="Arial"/>
          <w:sz w:val="23"/>
          <w:szCs w:val="23"/>
          <w:color w:val="auto"/>
          <w:vertAlign w:val="superscript"/>
        </w:rPr>
        <w:t>®</w:t>
      </w:r>
      <w:r>
        <w:rPr>
          <w:rFonts w:ascii="Arial" w:cs="Arial" w:eastAsia="Arial" w:hAnsi="Arial"/>
          <w:sz w:val="18"/>
          <w:szCs w:val="18"/>
          <w:color w:val="auto"/>
        </w:rPr>
        <w:t>, and for Baqsimi</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the absence of revenue from COVID-19 antibodies and lower sales of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following the entry of multiple generics in the first half of 2022.</w:t>
      </w:r>
    </w:p>
    <w:p>
      <w:pPr>
        <w:spacing w:after="0" w:line="8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Net income and earnings per share decreased in 2023, driven primarily by higher acquired in-process research and development (IPR&amp;D) charges and increased research and development expenses, marketing, selling, and administrative expenses, and income taxes, partially offset by increased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Late-Stage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medicines. We currently have approximately 50 new medicine candidates in clinical development or under regulatory review, and a larger number of projects in the discovery phase.</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select new molecular entities (NMEs) and new indication line extension (NILEX) products are currently in Phase II or Phase III clinical trials or have been submitted for regulatory review or have recently received regulatory approval in the United States (U.S.), European Union (EU), or Japan. The table reflects the status of these NMEs and NILEX products, including certain other developments, up to the time of the filing of this Annual Report on Form 10-K:</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4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80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88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49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Diabetes, Obesity, and Other Cardiometabolic Diseases</w:t>
            </w:r>
          </w:p>
        </w:tc>
        <w:tc>
          <w:tcPr>
            <w:tcW w:w="8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Empagliflozin (Jardiance)</w:t>
            </w:r>
            <w:r>
              <w:rPr>
                <w:rFonts w:ascii="Arial" w:cs="Arial" w:eastAsia="Arial" w:hAnsi="Arial"/>
                <w:sz w:val="23"/>
                <w:szCs w:val="23"/>
                <w:color w:val="auto"/>
                <w:vertAlign w:val="superscript"/>
              </w:rPr>
              <w:t>(1)</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kidney disease</w:t>
            </w:r>
          </w:p>
        </w:tc>
        <w:tc>
          <w:tcPr>
            <w:tcW w:w="800" w:type="dxa"/>
            <w:vAlign w:val="bottom"/>
          </w:tcPr>
          <w:p>
            <w:pPr>
              <w:spacing w:after="0"/>
              <w:rPr>
                <w:sz w:val="20"/>
                <w:szCs w:val="20"/>
                <w:color w:val="auto"/>
              </w:rPr>
            </w:pPr>
            <w:r>
              <w:rPr>
                <w:rFonts w:ascii="Arial" w:cs="Arial" w:eastAsia="Arial" w:hAnsi="Arial"/>
                <w:sz w:val="18"/>
                <w:szCs w:val="18"/>
                <w:color w:val="auto"/>
              </w:rPr>
              <w:t>Approved</w:t>
            </w:r>
          </w:p>
        </w:tc>
        <w:tc>
          <w:tcPr>
            <w:tcW w:w="880" w:type="dxa"/>
            <w:vAlign w:val="bottom"/>
            <w:tcBorders>
              <w:right w:val="single" w:sz="8" w:color="auto"/>
            </w:tcBorders>
          </w:tcPr>
          <w:p>
            <w:pPr>
              <w:spacing w:after="0"/>
              <w:rPr>
                <w:sz w:val="22"/>
                <w:szCs w:val="22"/>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U.S. and the EU in 2023. Submitted in</w:t>
            </w: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Japan in 2022.</w:t>
            </w: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800" w:type="dxa"/>
            <w:vAlign w:val="bottom"/>
            <w:vMerge w:val="restart"/>
          </w:tcPr>
          <w:p>
            <w:pPr>
              <w:spacing w:after="0"/>
              <w:rPr>
                <w:sz w:val="20"/>
                <w:szCs w:val="20"/>
                <w:color w:val="auto"/>
              </w:rPr>
            </w:pPr>
            <w:r>
              <w:rPr>
                <w:rFonts w:ascii="Arial" w:cs="Arial" w:eastAsia="Arial" w:hAnsi="Arial"/>
                <w:sz w:val="18"/>
                <w:szCs w:val="18"/>
                <w:color w:val="auto"/>
              </w:rPr>
              <w:t>Approved</w:t>
            </w:r>
          </w:p>
        </w:tc>
        <w:tc>
          <w:tcPr>
            <w:tcW w:w="88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Approved in the U.S. and the EU in 2023. Phase III trials are</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spacing w:after="0"/>
              <w:rPr>
                <w:sz w:val="13"/>
                <w:szCs w:val="13"/>
                <w:color w:val="auto"/>
              </w:rPr>
            </w:pPr>
          </w:p>
        </w:tc>
        <w:tc>
          <w:tcPr>
            <w:tcW w:w="2340" w:type="dxa"/>
            <w:vAlign w:val="bottom"/>
            <w:tcBorders>
              <w:right w:val="single" w:sz="8" w:color="auto"/>
            </w:tcBorders>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23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Cardiovascular outcomes in</w:t>
            </w:r>
          </w:p>
        </w:tc>
        <w:tc>
          <w:tcPr>
            <w:tcW w:w="800" w:type="dxa"/>
            <w:vAlign w:val="bottom"/>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8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3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 preserved</w:t>
            </w:r>
          </w:p>
        </w:tc>
        <w:tc>
          <w:tcPr>
            <w:tcW w:w="800" w:type="dxa"/>
            <w:vAlign w:val="bottom"/>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6"/>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Tirzepatide (Mounjaro,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ejection fraction</w:t>
            </w: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4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5"/>
                <w:szCs w:val="15"/>
                <w:color w:val="auto"/>
              </w:rPr>
              <w:t>Zepbound</w:t>
            </w:r>
            <w:r>
              <w:rPr>
                <w:rFonts w:ascii="Arial" w:cs="Arial" w:eastAsia="Arial" w:hAnsi="Arial"/>
                <w:sz w:val="19"/>
                <w:szCs w:val="19"/>
                <w:color w:val="auto"/>
                <w:vertAlign w:val="superscript"/>
              </w:rPr>
              <w:t>®</w:t>
            </w:r>
            <w:r>
              <w:rPr>
                <w:rFonts w:ascii="Arial" w:cs="Arial" w:eastAsia="Arial" w:hAnsi="Arial"/>
                <w:sz w:val="15"/>
                <w:szCs w:val="15"/>
                <w:color w:val="auto"/>
              </w:rPr>
              <w:t>)</w:t>
            </w:r>
          </w:p>
        </w:tc>
        <w:tc>
          <w:tcPr>
            <w:tcW w:w="23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Morbidity and mortality in</w:t>
            </w:r>
          </w:p>
        </w:tc>
        <w:tc>
          <w:tcPr>
            <w:tcW w:w="80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spacing w:after="0"/>
              <w:rPr>
                <w:sz w:val="13"/>
                <w:szCs w:val="13"/>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800" w:type="dxa"/>
            <w:vAlign w:val="bottom"/>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20" w:type="dxa"/>
            <w:vAlign w:val="bottom"/>
            <w:tcBorders>
              <w:left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320" w:type="dxa"/>
            <w:vAlign w:val="bottom"/>
            <w:tcBorders>
              <w:left w:val="single" w:sz="8" w:color="auto"/>
              <w:right w:val="single" w:sz="8" w:color="auto"/>
            </w:tcBorders>
          </w:tcPr>
          <w:p>
            <w:pPr>
              <w:spacing w:after="0"/>
              <w:rPr>
                <w:sz w:val="23"/>
                <w:szCs w:val="23"/>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Obstructive sleep apnea</w:t>
            </w:r>
          </w:p>
        </w:tc>
        <w:tc>
          <w:tcPr>
            <w:tcW w:w="80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right w:val="single" w:sz="8" w:color="auto"/>
            </w:tcBorders>
          </w:tcPr>
          <w:p>
            <w:pPr>
              <w:spacing w:after="0"/>
              <w:rPr>
                <w:sz w:val="23"/>
                <w:szCs w:val="23"/>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U.S. Food and Drug Administration (FDA) Fast</w:t>
            </w:r>
          </w:p>
        </w:tc>
        <w:tc>
          <w:tcPr>
            <w:tcW w:w="0" w:type="dxa"/>
            <w:vAlign w:val="bottom"/>
          </w:tcPr>
          <w:p>
            <w:pPr>
              <w:spacing w:after="0"/>
              <w:rPr>
                <w:sz w:val="1"/>
                <w:szCs w:val="1"/>
                <w:color w:val="auto"/>
              </w:rPr>
            </w:pPr>
          </w:p>
        </w:tc>
      </w:tr>
      <w:tr>
        <w:trPr>
          <w:trHeight w:val="311"/>
        </w:trPr>
        <w:tc>
          <w:tcPr>
            <w:tcW w:w="23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(OSA)</w:t>
            </w:r>
          </w:p>
        </w:tc>
        <w:tc>
          <w:tcPr>
            <w:tcW w:w="800" w:type="dxa"/>
            <w:vAlign w:val="bottom"/>
            <w:vMerge w:val="continue"/>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III trial is ongoing.</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20" w:type="dxa"/>
            <w:vAlign w:val="bottom"/>
            <w:tcBorders>
              <w:left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Higher doses</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Nonalcoholic steatohepatitis</w:t>
            </w:r>
          </w:p>
        </w:tc>
        <w:tc>
          <w:tcPr>
            <w:tcW w:w="80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Announced in 2024 that a Phase II trial met its primary</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spacing w:after="0"/>
              <w:rPr>
                <w:sz w:val="13"/>
                <w:szCs w:val="13"/>
                <w:color w:val="auto"/>
              </w:rPr>
            </w:pPr>
          </w:p>
        </w:tc>
        <w:tc>
          <w:tcPr>
            <w:tcW w:w="2340" w:type="dxa"/>
            <w:vAlign w:val="bottom"/>
            <w:tcBorders>
              <w:right w:val="single" w:sz="8" w:color="auto"/>
            </w:tcBorders>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endpoint.</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Insulin Efsitora Alfa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1 and type 2 diabetes</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4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Orforglipron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initiated in 2023.</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80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initiated in 2023.</w:t>
            </w:r>
          </w:p>
        </w:tc>
        <w:tc>
          <w:tcPr>
            <w:tcW w:w="0" w:type="dxa"/>
            <w:vAlign w:val="bottom"/>
          </w:tcPr>
          <w:p>
            <w:pPr>
              <w:spacing w:after="0"/>
              <w:rPr>
                <w:sz w:val="1"/>
                <w:szCs w:val="1"/>
                <w:color w:val="auto"/>
              </w:rPr>
            </w:pPr>
          </w:p>
        </w:tc>
      </w:tr>
      <w:tr>
        <w:trPr>
          <w:trHeight w:val="140"/>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Retatrutide</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Obesity, osteoarthritis, OSA</w:t>
            </w:r>
          </w:p>
        </w:tc>
        <w:tc>
          <w:tcPr>
            <w:tcW w:w="800" w:type="dxa"/>
            <w:vAlign w:val="bottom"/>
          </w:tcPr>
          <w:p>
            <w:pPr>
              <w:spacing w:after="0"/>
              <w:rPr>
                <w:sz w:val="20"/>
                <w:szCs w:val="20"/>
                <w:color w:val="auto"/>
              </w:rPr>
            </w:pPr>
            <w:r>
              <w:rPr>
                <w:rFonts w:ascii="Arial" w:cs="Arial" w:eastAsia="Arial" w:hAnsi="Arial"/>
                <w:sz w:val="18"/>
                <w:szCs w:val="18"/>
                <w:color w:val="auto"/>
              </w:rPr>
              <w:t>Phase III</w:t>
            </w:r>
          </w:p>
        </w:tc>
        <w:tc>
          <w:tcPr>
            <w:tcW w:w="8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initiated in 2023.</w:t>
            </w:r>
          </w:p>
        </w:tc>
        <w:tc>
          <w:tcPr>
            <w:tcW w:w="0" w:type="dxa"/>
            <w:vAlign w:val="bottom"/>
          </w:tcPr>
          <w:p>
            <w:pPr>
              <w:spacing w:after="0"/>
              <w:rPr>
                <w:sz w:val="1"/>
                <w:szCs w:val="1"/>
                <w:color w:val="auto"/>
              </w:rPr>
            </w:pPr>
          </w:p>
        </w:tc>
      </w:tr>
      <w:tr>
        <w:trPr>
          <w:trHeight w:val="91"/>
        </w:trPr>
        <w:tc>
          <w:tcPr>
            <w:tcW w:w="2320" w:type="dxa"/>
            <w:vAlign w:val="bottom"/>
            <w:tcBorders>
              <w:left w:val="single" w:sz="8" w:color="auto"/>
              <w:right w:val="single" w:sz="8" w:color="auto"/>
            </w:tcBorders>
            <w:vMerge w:val="continue"/>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was completed.</w:t>
            </w: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Bimagrumab</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80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Acquired in the acquisition of Versanis Bio, Inc. (Versanis) in</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vMerge w:val="continue"/>
          </w:tcPr>
          <w:p>
            <w:pPr>
              <w:spacing w:after="0"/>
              <w:rPr>
                <w:sz w:val="13"/>
                <w:szCs w:val="13"/>
                <w:color w:val="auto"/>
              </w:rPr>
            </w:pPr>
          </w:p>
        </w:tc>
        <w:tc>
          <w:tcPr>
            <w:tcW w:w="2340" w:type="dxa"/>
            <w:vAlign w:val="bottom"/>
            <w:tcBorders>
              <w:right w:val="single" w:sz="8" w:color="auto"/>
            </w:tcBorders>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2023. Phase II trial is ongoing.</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Lepodisiran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Mazdutide</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Muvalaplin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Solbinsiran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Volenrelaxin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Heart failure</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8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888"/>
        </w:trPr>
        <w:tc>
          <w:tcPr>
            <w:tcW w:w="2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3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2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84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86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49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(3)</w:t>
            </w:r>
          </w:p>
        </w:tc>
        <w:tc>
          <w:tcPr>
            <w:tcW w:w="232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Approved in the EU in 2023 and in Japan in 2024. Submitted</w:t>
            </w:r>
          </w:p>
        </w:tc>
        <w:tc>
          <w:tcPr>
            <w:tcW w:w="0" w:type="dxa"/>
            <w:vAlign w:val="bottom"/>
          </w:tcPr>
          <w:p>
            <w:pPr>
              <w:spacing w:after="0"/>
              <w:rPr>
                <w:sz w:val="1"/>
                <w:szCs w:val="1"/>
                <w:color w:val="auto"/>
              </w:rPr>
            </w:pPr>
          </w:p>
        </w:tc>
      </w:tr>
      <w:tr>
        <w:trPr>
          <w:trHeight w:val="184"/>
        </w:trPr>
        <w:tc>
          <w:tcPr>
            <w:tcW w:w="232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Atopic dermatitis</w:t>
            </w:r>
          </w:p>
        </w:tc>
        <w:tc>
          <w:tcPr>
            <w:tcW w:w="840" w:type="dxa"/>
            <w:vAlign w:val="bottom"/>
            <w:vMerge w:val="restart"/>
          </w:tcPr>
          <w:p>
            <w:pPr>
              <w:spacing w:after="0"/>
              <w:rPr>
                <w:sz w:val="20"/>
                <w:szCs w:val="20"/>
                <w:color w:val="auto"/>
              </w:rPr>
            </w:pPr>
            <w:r>
              <w:rPr>
                <w:rFonts w:ascii="Arial" w:cs="Arial" w:eastAsia="Arial" w:hAnsi="Arial"/>
                <w:sz w:val="18"/>
                <w:szCs w:val="18"/>
                <w:color w:val="auto"/>
              </w:rPr>
              <w:t>Approved</w:t>
            </w:r>
          </w:p>
        </w:tc>
        <w:tc>
          <w:tcPr>
            <w:tcW w:w="86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in the U.S. in 2022. We received a complete response letter</w:t>
            </w:r>
          </w:p>
        </w:tc>
        <w:tc>
          <w:tcPr>
            <w:tcW w:w="0" w:type="dxa"/>
            <w:vAlign w:val="bottom"/>
          </w:tcPr>
          <w:p>
            <w:pPr>
              <w:spacing w:after="0"/>
              <w:rPr>
                <w:sz w:val="1"/>
                <w:szCs w:val="1"/>
                <w:color w:val="auto"/>
              </w:rPr>
            </w:pPr>
          </w:p>
        </w:tc>
      </w:tr>
      <w:tr>
        <w:trPr>
          <w:trHeight w:val="181"/>
        </w:trPr>
        <w:tc>
          <w:tcPr>
            <w:tcW w:w="2320" w:type="dxa"/>
            <w:vAlign w:val="bottom"/>
            <w:tcBorders>
              <w:left w:val="single" w:sz="8" w:color="auto"/>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(Ebglyss</w:t>
            </w:r>
            <w:r>
              <w:rPr>
                <w:rFonts w:ascii="Arial" w:cs="Arial" w:eastAsia="Arial" w:hAnsi="Arial"/>
                <w:sz w:val="20"/>
                <w:szCs w:val="20"/>
                <w:color w:val="auto"/>
                <w:vertAlign w:val="superscript"/>
              </w:rPr>
              <w:t>®</w:t>
            </w:r>
            <w:r>
              <w:rPr>
                <w:rFonts w:ascii="Arial" w:cs="Arial" w:eastAsia="Arial" w:hAnsi="Arial"/>
                <w:sz w:val="16"/>
                <w:szCs w:val="16"/>
                <w:color w:val="auto"/>
              </w:rPr>
              <w:t>)</w:t>
            </w:r>
          </w:p>
        </w:tc>
        <w:tc>
          <w:tcPr>
            <w:tcW w:w="2320" w:type="dxa"/>
            <w:vAlign w:val="bottom"/>
            <w:tcBorders>
              <w:right w:val="single" w:sz="8" w:color="auto"/>
            </w:tcBorders>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from the FDA in 2023. We anticipate regulatory action by the</w:t>
            </w:r>
          </w:p>
        </w:tc>
        <w:tc>
          <w:tcPr>
            <w:tcW w:w="0" w:type="dxa"/>
            <w:vAlign w:val="bottom"/>
          </w:tcPr>
          <w:p>
            <w:pPr>
              <w:spacing w:after="0"/>
              <w:rPr>
                <w:sz w:val="1"/>
                <w:szCs w:val="1"/>
                <w:color w:val="auto"/>
              </w:rPr>
            </w:pPr>
          </w:p>
        </w:tc>
      </w:tr>
      <w:tr>
        <w:trPr>
          <w:trHeight w:val="229"/>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end of 2024. Phase III trials are ongoing.</w:t>
            </w: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Crohn's Disease</w:t>
            </w:r>
          </w:p>
        </w:tc>
        <w:tc>
          <w:tcPr>
            <w:tcW w:w="84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86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2023 that a Phase III trial met the co-primary</w:t>
            </w:r>
          </w:p>
        </w:tc>
        <w:tc>
          <w:tcPr>
            <w:tcW w:w="0" w:type="dxa"/>
            <w:vAlign w:val="bottom"/>
          </w:tcPr>
          <w:p>
            <w:pPr>
              <w:spacing w:after="0"/>
              <w:rPr>
                <w:sz w:val="1"/>
                <w:szCs w:val="1"/>
                <w:color w:val="auto"/>
              </w:rPr>
            </w:pPr>
          </w:p>
        </w:tc>
      </w:tr>
      <w:tr>
        <w:trPr>
          <w:trHeight w:val="184"/>
        </w:trPr>
        <w:tc>
          <w:tcPr>
            <w:tcW w:w="232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and all major secondary endpoints compared to placebo.</w:t>
            </w:r>
          </w:p>
        </w:tc>
        <w:tc>
          <w:tcPr>
            <w:tcW w:w="0" w:type="dxa"/>
            <w:vAlign w:val="bottom"/>
          </w:tcPr>
          <w:p>
            <w:pPr>
              <w:spacing w:after="0"/>
              <w:rPr>
                <w:sz w:val="1"/>
                <w:szCs w:val="1"/>
                <w:color w:val="auto"/>
              </w:rPr>
            </w:pPr>
          </w:p>
        </w:tc>
      </w:tr>
      <w:tr>
        <w:trPr>
          <w:trHeight w:val="235"/>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DC-806</w:t>
            </w: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84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9"/>
              </w:rPr>
              <w:t>Acquired in the acquisition of DICE Therapeutics, Inc. (DICE)</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vMerge w:val="continue"/>
          </w:tcPr>
          <w:p>
            <w:pPr>
              <w:spacing w:after="0"/>
              <w:rPr>
                <w:sz w:val="13"/>
                <w:szCs w:val="13"/>
                <w:color w:val="auto"/>
              </w:rPr>
            </w:pPr>
          </w:p>
        </w:tc>
        <w:tc>
          <w:tcPr>
            <w:tcW w:w="232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2023. Phase II trial is ongoing.</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Eltrekibart</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Hidradenitis suppurativa</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45"/>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KV1.3 Antagonist</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2024.</w:t>
            </w: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Ocadusertib</w:t>
            </w: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84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(RIPK1 inhibitor)</w:t>
            </w:r>
          </w:p>
        </w:tc>
        <w:tc>
          <w:tcPr>
            <w:tcW w:w="232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Peresolimab</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Ucenprubart</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254"/>
        </w:trPr>
        <w:tc>
          <w:tcPr>
            <w:tcW w:w="2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auto"/>
              <w:right w:val="single" w:sz="8" w:color="auto"/>
            </w:tcBorders>
          </w:tcPr>
          <w:p>
            <w:pPr>
              <w:spacing w:after="0"/>
              <w:rPr>
                <w:sz w:val="22"/>
                <w:szCs w:val="22"/>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 disease</w:t>
            </w:r>
          </w:p>
        </w:tc>
        <w:tc>
          <w:tcPr>
            <w:tcW w:w="840" w:type="dxa"/>
            <w:vAlign w:val="bottom"/>
            <w:vMerge w:val="restart"/>
          </w:tcPr>
          <w:p>
            <w:pPr>
              <w:spacing w:after="0"/>
              <w:rPr>
                <w:sz w:val="20"/>
                <w:szCs w:val="20"/>
                <w:color w:val="auto"/>
              </w:rPr>
            </w:pPr>
            <w:r>
              <w:rPr>
                <w:rFonts w:ascii="Arial" w:cs="Arial" w:eastAsia="Arial" w:hAnsi="Arial"/>
                <w:sz w:val="18"/>
                <w:szCs w:val="18"/>
                <w:color w:val="auto"/>
              </w:rPr>
              <w:t>Submitted</w:t>
            </w:r>
          </w:p>
        </w:tc>
        <w:tc>
          <w:tcPr>
            <w:tcW w:w="860" w:type="dxa"/>
            <w:vAlign w:val="bottom"/>
            <w:tcBorders>
              <w:right w:val="single" w:sz="8" w:color="auto"/>
            </w:tcBorders>
          </w:tcPr>
          <w:p>
            <w:pPr>
              <w:spacing w:after="0"/>
              <w:rPr>
                <w:sz w:val="22"/>
                <w:szCs w:val="22"/>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for approval in the U.S., the EU, and Japan in</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9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2023. Granted FDA Breakthrough Therapy designation</w:t>
            </w:r>
            <w:r>
              <w:rPr>
                <w:rFonts w:ascii="Arial" w:cs="Arial" w:eastAsia="Arial" w:hAnsi="Arial"/>
                <w:sz w:val="21"/>
                <w:szCs w:val="21"/>
                <w:color w:val="auto"/>
                <w:vertAlign w:val="superscript"/>
              </w:rPr>
              <w:t>(4)</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4"/>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Donanemab</w:t>
            </w:r>
          </w:p>
        </w:tc>
        <w:tc>
          <w:tcPr>
            <w:tcW w:w="232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63"/>
        </w:trPr>
        <w:tc>
          <w:tcPr>
            <w:tcW w:w="2320" w:type="dxa"/>
            <w:vAlign w:val="bottom"/>
            <w:tcBorders>
              <w:left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4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tcPr>
          <w:p>
            <w:pPr>
              <w:spacing w:after="0"/>
              <w:rPr>
                <w:sz w:val="14"/>
                <w:szCs w:val="14"/>
                <w:color w:val="auto"/>
              </w:rPr>
            </w:pPr>
          </w:p>
        </w:tc>
        <w:tc>
          <w:tcPr>
            <w:tcW w:w="2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Preclinical Alzheimer's</w:t>
            </w:r>
          </w:p>
        </w:tc>
        <w:tc>
          <w:tcPr>
            <w:tcW w:w="84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86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84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Remternetug</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Early Alzheimer's disease</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321"/>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GBA1 Gene Therapy</w:t>
            </w:r>
          </w:p>
        </w:tc>
        <w:tc>
          <w:tcPr>
            <w:tcW w:w="2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Gaucher disease Type 1</w:t>
            </w:r>
          </w:p>
        </w:tc>
        <w:tc>
          <w:tcPr>
            <w:tcW w:w="840" w:type="dxa"/>
            <w:vAlign w:val="bottom"/>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91"/>
        </w:trPr>
        <w:tc>
          <w:tcPr>
            <w:tcW w:w="232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20" w:type="dxa"/>
            <w:vAlign w:val="bottom"/>
            <w:tcBorders>
              <w:left w:val="single" w:sz="8" w:color="auto"/>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84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restart"/>
          </w:tcPr>
          <w:p>
            <w:pPr>
              <w:ind w:left="20"/>
              <w:spacing w:after="0" w:line="169"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(2)</w:t>
            </w:r>
            <w:r>
              <w:rPr>
                <w:rFonts w:ascii="Arial" w:cs="Arial" w:eastAsia="Arial" w:hAnsi="Arial"/>
                <w:sz w:val="15"/>
                <w:szCs w:val="15"/>
                <w:color w:val="auto"/>
              </w:rPr>
              <w:t>. Phase II trial is</w:t>
            </w:r>
          </w:p>
        </w:tc>
        <w:tc>
          <w:tcPr>
            <w:tcW w:w="0" w:type="dxa"/>
            <w:vAlign w:val="bottom"/>
          </w:tcPr>
          <w:p>
            <w:pPr>
              <w:spacing w:after="0"/>
              <w:rPr>
                <w:sz w:val="1"/>
                <w:szCs w:val="1"/>
                <w:color w:val="auto"/>
              </w:rPr>
            </w:pPr>
          </w:p>
        </w:tc>
      </w:tr>
      <w:tr>
        <w:trPr>
          <w:trHeight w:val="63"/>
        </w:trPr>
        <w:tc>
          <w:tcPr>
            <w:tcW w:w="2320" w:type="dxa"/>
            <w:vAlign w:val="bottom"/>
            <w:tcBorders>
              <w:left w:val="single" w:sz="8" w:color="auto"/>
              <w:right w:val="single" w:sz="8" w:color="auto"/>
            </w:tcBorders>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GRN Gene Therapy</w:t>
            </w: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Frontotemporal dementia</w:t>
            </w:r>
          </w:p>
        </w:tc>
        <w:tc>
          <w:tcPr>
            <w:tcW w:w="84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(2)</w:t>
            </w:r>
            <w:r>
              <w:rPr>
                <w:rFonts w:ascii="Arial" w:cs="Arial" w:eastAsia="Arial" w:hAnsi="Arial"/>
                <w:sz w:val="15"/>
                <w:szCs w:val="15"/>
                <w:color w:val="auto"/>
              </w:rPr>
              <w:t>. Phase II trial is</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vMerge w:val="continue"/>
          </w:tcPr>
          <w:p>
            <w:pPr>
              <w:spacing w:after="0"/>
              <w:rPr>
                <w:sz w:val="13"/>
                <w:szCs w:val="13"/>
                <w:color w:val="auto"/>
              </w:rPr>
            </w:pPr>
          </w:p>
        </w:tc>
        <w:tc>
          <w:tcPr>
            <w:tcW w:w="232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 Inh</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OTOF Gene Therapy</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Hearing loss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2024.</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P2X7 Inhibitor</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were completed.</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2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902"/>
        </w:trPr>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3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2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17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tcPr>
          <w:p>
            <w:pPr>
              <w:spacing w:after="0"/>
              <w:rPr>
                <w:sz w:val="14"/>
                <w:szCs w:val="14"/>
                <w:color w:val="auto"/>
              </w:rPr>
            </w:pPr>
          </w:p>
        </w:tc>
        <w:tc>
          <w:tcPr>
            <w:tcW w:w="2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Chronic lymphocytic</w:t>
            </w:r>
          </w:p>
        </w:tc>
        <w:tc>
          <w:tcPr>
            <w:tcW w:w="1700" w:type="dxa"/>
            <w:vAlign w:val="bottom"/>
            <w:tcBorders>
              <w:right w:val="single" w:sz="8" w:color="auto"/>
            </w:tcBorders>
          </w:tcPr>
          <w:p>
            <w:pPr>
              <w:ind w:left="780"/>
              <w:spacing w:after="0"/>
              <w:rPr>
                <w:sz w:val="20"/>
                <w:szCs w:val="20"/>
                <w:color w:val="auto"/>
              </w:rPr>
            </w:pPr>
            <w:r>
              <w:rPr>
                <w:rFonts w:ascii="Arial" w:cs="Arial" w:eastAsia="Arial" w:hAnsi="Arial"/>
                <w:sz w:val="12"/>
                <w:szCs w:val="12"/>
                <w:color w:val="auto"/>
              </w:rPr>
              <w:t>(5)</w:t>
            </w:r>
          </w:p>
        </w:tc>
        <w:tc>
          <w:tcPr>
            <w:tcW w:w="49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FDA granted accelerated approval</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in the U.S. in 2023.</w:t>
            </w:r>
          </w:p>
        </w:tc>
        <w:tc>
          <w:tcPr>
            <w:tcW w:w="0" w:type="dxa"/>
            <w:vAlign w:val="bottom"/>
          </w:tcPr>
          <w:p>
            <w:pPr>
              <w:spacing w:after="0"/>
              <w:rPr>
                <w:sz w:val="1"/>
                <w:szCs w:val="1"/>
                <w:color w:val="auto"/>
              </w:rPr>
            </w:pPr>
          </w:p>
        </w:tc>
      </w:tr>
      <w:tr>
        <w:trPr>
          <w:trHeight w:val="176"/>
        </w:trPr>
        <w:tc>
          <w:tcPr>
            <w:tcW w:w="232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70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Approved</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6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w:t>
            </w:r>
          </w:p>
        </w:tc>
        <w:tc>
          <w:tcPr>
            <w:tcW w:w="2320" w:type="dxa"/>
            <w:vAlign w:val="bottom"/>
            <w:tcBorders>
              <w:bottom w:val="single" w:sz="8" w:color="auto"/>
              <w:right w:val="single" w:sz="8" w:color="auto"/>
            </w:tcBorders>
            <w:vMerge w:val="continue"/>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49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320" w:type="dxa"/>
            <w:vAlign w:val="bottom"/>
            <w:tcBorders>
              <w:left w:val="single" w:sz="8" w:color="auto"/>
              <w:right w:val="single" w:sz="8" w:color="auto"/>
            </w:tcBorders>
            <w:vMerge w:val="continue"/>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granted accelerated approval</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in the U.S. in 2023.</w:t>
            </w:r>
          </w:p>
        </w:tc>
        <w:tc>
          <w:tcPr>
            <w:tcW w:w="0" w:type="dxa"/>
            <w:vAlign w:val="bottom"/>
          </w:tcPr>
          <w:p>
            <w:pPr>
              <w:spacing w:after="0"/>
              <w:rPr>
                <w:sz w:val="1"/>
                <w:szCs w:val="1"/>
                <w:color w:val="auto"/>
              </w:rPr>
            </w:pPr>
          </w:p>
        </w:tc>
      </w:tr>
      <w:tr>
        <w:trPr>
          <w:trHeight w:val="116"/>
        </w:trPr>
        <w:tc>
          <w:tcPr>
            <w:tcW w:w="2320" w:type="dxa"/>
            <w:vAlign w:val="bottom"/>
            <w:tcBorders>
              <w:left w:val="single" w:sz="8" w:color="auto"/>
              <w:right w:val="single" w:sz="8" w:color="auto"/>
            </w:tcBorders>
          </w:tcPr>
          <w:p>
            <w:pPr>
              <w:ind w:left="760"/>
              <w:spacing w:after="0" w:line="116" w:lineRule="exact"/>
              <w:rPr>
                <w:sz w:val="20"/>
                <w:szCs w:val="20"/>
                <w:color w:val="auto"/>
              </w:rPr>
            </w:pPr>
            <w:r>
              <w:rPr>
                <w:rFonts w:ascii="Arial" w:cs="Arial" w:eastAsia="Arial" w:hAnsi="Arial"/>
                <w:sz w:val="12"/>
                <w:szCs w:val="12"/>
                <w:color w:val="auto"/>
              </w:rPr>
              <w:t>®</w:t>
            </w:r>
          </w:p>
        </w:tc>
        <w:tc>
          <w:tcPr>
            <w:tcW w:w="23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(Jaypirca )</w:t>
            </w:r>
          </w:p>
        </w:tc>
        <w:tc>
          <w:tcPr>
            <w:tcW w:w="23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Mantle cell lymphoma</w:t>
            </w:r>
          </w:p>
        </w:tc>
        <w:tc>
          <w:tcPr>
            <w:tcW w:w="170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Approved</w:t>
            </w:r>
            <w:r>
              <w:rPr>
                <w:rFonts w:ascii="Arial" w:cs="Arial" w:eastAsia="Arial" w:hAnsi="Arial"/>
                <w:sz w:val="21"/>
                <w:szCs w:val="21"/>
                <w:color w:val="auto"/>
                <w:vertAlign w:val="superscript"/>
              </w:rPr>
              <w:t>(5)</w:t>
            </w:r>
          </w:p>
        </w:tc>
        <w:tc>
          <w:tcPr>
            <w:tcW w:w="49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Approved in the EU in 2023. Submitted in Japan in 2023.</w:t>
            </w:r>
          </w:p>
        </w:tc>
        <w:tc>
          <w:tcPr>
            <w:tcW w:w="0" w:type="dxa"/>
            <w:vAlign w:val="bottom"/>
          </w:tcPr>
          <w:p>
            <w:pPr>
              <w:spacing w:after="0"/>
              <w:rPr>
                <w:sz w:val="1"/>
                <w:szCs w:val="1"/>
                <w:color w:val="auto"/>
              </w:rPr>
            </w:pPr>
          </w:p>
        </w:tc>
      </w:tr>
      <w:tr>
        <w:trPr>
          <w:trHeight w:val="239"/>
        </w:trPr>
        <w:tc>
          <w:tcPr>
            <w:tcW w:w="232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99"/>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32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 cancer</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90"/>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32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vMerge w:val="continue"/>
          </w:tcPr>
          <w:p>
            <w:pPr>
              <w:spacing w:after="0"/>
              <w:rPr>
                <w:sz w:val="17"/>
                <w:szCs w:val="17"/>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ER+HER2- metastatic</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63"/>
        </w:trPr>
        <w:tc>
          <w:tcPr>
            <w:tcW w:w="2320" w:type="dxa"/>
            <w:vAlign w:val="bottom"/>
            <w:tcBorders>
              <w:left w:val="single" w:sz="8" w:color="auto"/>
              <w:right w:val="single" w:sz="8" w:color="auto"/>
            </w:tcBorders>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70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2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Olomorasib</w:t>
            </w:r>
          </w:p>
        </w:tc>
        <w:tc>
          <w:tcPr>
            <w:tcW w:w="2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KRAS G12C-mutant</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initiated in 2023.</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w:t>
            </w:r>
          </w:p>
        </w:tc>
        <w:tc>
          <w:tcPr>
            <w:tcW w:w="170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2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Prostate cancer</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Discontinued</w:t>
            </w:r>
          </w:p>
        </w:tc>
        <w:tc>
          <w:tcPr>
            <w:tcW w:w="492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8"/>
                <w:szCs w:val="18"/>
                <w:color w:val="auto"/>
              </w:rPr>
              <w:t>In 2024, Phase III trials did not meet primary endpoints or</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vMerge w:val="continue"/>
          </w:tcPr>
          <w:p>
            <w:pPr>
              <w:spacing w:after="0"/>
              <w:rPr>
                <w:sz w:val="13"/>
                <w:szCs w:val="13"/>
                <w:color w:val="auto"/>
              </w:rPr>
            </w:pPr>
          </w:p>
        </w:tc>
        <w:tc>
          <w:tcPr>
            <w:tcW w:w="232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were terminated for futility.</w:t>
            </w:r>
          </w:p>
        </w:tc>
        <w:tc>
          <w:tcPr>
            <w:tcW w:w="0" w:type="dxa"/>
            <w:vAlign w:val="bottom"/>
          </w:tcPr>
          <w:p>
            <w:pPr>
              <w:spacing w:after="0"/>
              <w:rPr>
                <w:sz w:val="1"/>
                <w:szCs w:val="1"/>
                <w:color w:val="auto"/>
              </w:rPr>
            </w:pPr>
          </w:p>
        </w:tc>
      </w:tr>
      <w:tr>
        <w:trPr>
          <w:trHeight w:val="88"/>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Fast Track designation is designed to facilitate the development and expedite the review of medicines to treat serious conditions and fill an unmet medical need.</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In collaboration with Almirall, S.A. in Europe.</w:t>
      </w:r>
    </w:p>
    <w:p>
      <w:pPr>
        <w:spacing w:after="0" w:line="14" w:lineRule="exact"/>
        <w:rPr>
          <w:rFonts w:ascii="Arial" w:cs="Arial" w:eastAsia="Arial" w:hAnsi="Arial"/>
          <w:sz w:val="9"/>
          <w:szCs w:val="9"/>
          <w:color w:val="auto"/>
        </w:rPr>
      </w:pPr>
    </w:p>
    <w:p>
      <w:pPr>
        <w:ind w:left="180" w:right="80" w:hanging="172"/>
        <w:spacing w:after="0" w:line="221" w:lineRule="auto"/>
        <w:tabs>
          <w:tab w:leader="none" w:pos="172"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1" w:lineRule="exact"/>
        <w:rPr>
          <w:rFonts w:ascii="Arial" w:cs="Arial" w:eastAsia="Arial" w:hAnsi="Arial"/>
          <w:sz w:val="19"/>
          <w:szCs w:val="19"/>
          <w:color w:val="auto"/>
          <w:vertAlign w:val="superscript"/>
        </w:rPr>
      </w:pPr>
    </w:p>
    <w:p>
      <w:pPr>
        <w:ind w:left="160" w:hanging="152"/>
        <w:spacing w:after="0" w:line="204" w:lineRule="auto"/>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200" w:lineRule="exact"/>
        <w:rPr>
          <w:sz w:val="20"/>
          <w:szCs w:val="20"/>
          <w:color w:val="auto"/>
        </w:rPr>
      </w:pP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There are many difficulties and uncertainties inherent in pharmaceutical research and development, the introduction of new products and indications, business development activities to enhance or refine or product pipeline, and commercialization of our products. There is a high rate of failure inherent in drug discovery and development. To bring a product from the discovery phase to market takes considerable time and entails significant cost. Failure can occur at any point in the process, including in later stages after substantial investment. As a result, most funds invested in research and development programs will not generate financial returns. New product candidates that appear promising in development or prior to being acquired may fail to reach the market or may have only limited commercial success because of efficacy or safety concerns, inability to obtain or maintain necessary regulatory approvals or payer reimbursement or coverage, failure to obtain placement on guidelines or recommendations published by third-party organizations that are commensurate with clinical data, the application of pricing controls, limited scope of approved uses, label changes, changes in the relevant treatment standards or the availability of newer, better, or more cost-effective competitive products, difficulty or excessive costs to manufacture, insufficient infrastructure to support detection, diagnostic or other requisites for treatment, ineffectiveness in reaching healthcare professionals, including digitally given the increase in virtual engagements, or infringement of the patents or intellectual property rights of others. We may also fail to allocate research</w:t>
      </w:r>
    </w:p>
    <w:p>
      <w:pPr>
        <w:spacing w:after="0" w:line="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and development resources efficiently, fail to pursue or invest sufficiently in product candidates or indications that may have been successful, or fail to optimally balance trial design, conduct, and speed to accomplish desired outcomes. Regulatory agencies establish high hurdles for</w:t>
      </w:r>
    </w:p>
    <w:p>
      <w:pPr>
        <w:spacing w:after="0" w:line="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efficacy and safety of new products and indications. Delay, uncertainty, unpredictability, and inconsistency in drug approval processes across markets and agencies can result in delays in product launches, lost market opportunities, impairment of inventories, and other negative impacts. In addition, it can be very difficult to predict revenue growth rates of, or variability in demand for, new products and indications which in some cases leads to difficulty meeting product demand or, on the other hand, excess inventory and related financial charges.</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3" w:name="page44"/>
    <w:bookmarkEnd w:id="43"/>
    <w:p>
      <w:pPr>
        <w:ind w:right="100"/>
        <w:spacing w:after="0" w:line="255" w:lineRule="auto"/>
        <w:rPr>
          <w:sz w:val="20"/>
          <w:szCs w:val="20"/>
          <w:color w:val="auto"/>
        </w:rPr>
      </w:pPr>
      <w:r>
        <w:rPr>
          <w:rFonts w:ascii="Arial" w:cs="Arial" w:eastAsia="Arial" w:hAnsi="Arial"/>
          <w:sz w:val="18"/>
          <w:szCs w:val="18"/>
          <w:color w:val="auto"/>
        </w:rPr>
        <w:t>We manage research and development spending across our portfolio of potential new medicines and indications.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any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the consolidated financial statements for a description of legal proceedings currently pending regarding certain of our patents.</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See Item 1, "Business—Patents, Trademarks, and Other Intellectual Property Rights" for additional discussion of the impacts of trends involving intellectual property on our business and results.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Reforms, including those that may stem from political initiatives, periods of uneven economic growth or downturns, or as a result of high inflation, the emergence or escalation of, and responses to, international tension and conflicts, or government budgeting priorities, are expected to continue to result in added pressure on pricing and reimbursement for our products.</w:t>
      </w:r>
    </w:p>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requires the U.S. Department of Health and Human Services (HHS) to effectively set prices for certain single-source drugs and biologics reimbursed under Medicare Part B and Part D. Generally, these government prices apply nine years (for medicines approved under a New Drug Application) or thirteen years (for medicines approved under a Biologics License Application) following initial FDA approval and will be set at a price that is likely to represent a significant discount from existing average prices to wholesalers and direct purchasers. While the law specifies a ceiling price, it does not set a minimum or floor price. In August 2023, the HHS selected Jardiance, which is part of our collaboration with Boehringer Ingelheim, as one of the first ten medicines subject to government-set prices effective in 2026. Given our product portfolio, we expect additional significant products will be selected in future years, which would have the effect of accelerating revenue erosion prior to expiry of exclusivities. The effect of reducing prices and reimbursement for certain of our products would significantly impact our business and consolidated results of operations.</w:t>
      </w:r>
    </w:p>
    <w:p>
      <w:pPr>
        <w:spacing w:after="0" w:line="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Also, the Part D benefit redesign will replace the Part D Coverage Gap Discount Program with a new manufacturer discount program. Manufacturers that fail to comply with the IRA may be subject to various penalties, including civil monetary penalties, which could be significant.</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IRA has and will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ind w:right="260"/>
        <w:spacing w:after="0" w:line="287" w:lineRule="auto"/>
        <w:rPr>
          <w:sz w:val="20"/>
          <w:szCs w:val="20"/>
          <w:color w:val="auto"/>
        </w:rPr>
      </w:pPr>
      <w:r>
        <w:rPr>
          <w:rFonts w:ascii="Arial" w:cs="Arial" w:eastAsia="Arial" w:hAnsi="Arial"/>
          <w:sz w:val="18"/>
          <w:szCs w:val="18"/>
          <w:color w:val="auto"/>
        </w:rPr>
        <w:t>Additional policies, regulations, legislation, or enforcement, including those proposed or pursued by the U.S. Congress, the U.S. executive branch, and regulatory authorities worldwide, could adversely impact our business and consolidated results of operations.</w:t>
      </w:r>
    </w:p>
    <w:p>
      <w:pPr>
        <w:spacing w:after="0" w:line="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our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 Moreover, increased focus on business combinations across industries and jurisdictions can lead to impediments to the completion of business combinations.</w:t>
      </w:r>
    </w:p>
    <w:p>
      <w:pPr>
        <w:spacing w:after="0" w:line="7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See Item 1, "Business—Regulations and Private Payer Actions Affecting Pharmaceutical Pricing, Reimbursement, and Access," Item 1A, "Risk Factors," and Note 16 to the consolidated financial statements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Supply</w:t>
      </w:r>
    </w:p>
    <w:p>
      <w:pPr>
        <w:spacing w:after="0" w:line="11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have faced challenges, and expect to continue to face challenges, meeting strong demand for our incretin products. In the U.S., given the strong uptake of Mounjaro, the recent launch of Zepbound, and continuing demand for Trulicity</w:t>
      </w:r>
      <w:r>
        <w:rPr>
          <w:rFonts w:ascii="Arial" w:cs="Arial" w:eastAsia="Arial" w:hAnsi="Arial"/>
          <w:sz w:val="23"/>
          <w:szCs w:val="23"/>
          <w:color w:val="auto"/>
          <w:vertAlign w:val="superscript"/>
        </w:rPr>
        <w:t>®</w:t>
      </w:r>
      <w:r>
        <w:rPr>
          <w:rFonts w:ascii="Arial" w:cs="Arial" w:eastAsia="Arial" w:hAnsi="Arial"/>
          <w:sz w:val="18"/>
          <w:szCs w:val="18"/>
          <w:color w:val="auto"/>
        </w:rPr>
        <w:t>, we have experienced intermittent delays in fulfilling certain orders for incretin products. Outside the U.S., we have implemented actions to manage demand amid tight supply, including measures to minimize impact to existing Trulicity patients. We have also progressed efforts to bring tirzepatide to patients via different delivery presentations outside the U.S., such as single-use vials and multi-use pens. We expect to continue to experience disruptions in our supply of incretin products and for demand and supply considerations to influence the timing of tirzepatide launches in new markets, if approved.</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anticipate tight supplies of our incretin products will persist while additional manufacturing capacity is operationalized. We expect additional internal and contracted manufacturing capacity will become fully operational around the world in the next several years as part of our ongoing efforts to meet the significant demand for our incretin medicines. For example, in 2023 we began production at our Research Triangle Park site in North Carolina and expect to continue significant capacity expansion over time as we increase production at this site and others.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adversely impact our future consolidated results of operations and cash flows.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In response to the OECD/G20 Inclusive Framework on Base Erosion and Profit Shifting (Framework), which set forth a two-pillar solution to reform the international tax framework, and the EU's adoption of Directive 2022/2523 (known as "Pillar Two") (Directive) within the EU to implement the Framework, multiple countries, both within and outside of the EU, have enacted legislation that provides for a minimum level of taxation of multinational companies. The Directive required EU member states to enact legislation effective for years beginning on or after December 31, 2023. For certain provisions within the Framework, the OECD published guidance during 2023 that extends the effective dates for enactment. While we expect an increase in future years’ tax expense as a result of the global minimum tax, we do not anticipate a material impact to our 2024 consolidated results of operations. Our assessment of the impact for 2024 and subsequent years could be affected by legislative guidance, future enactment of additional provisions within the Pillar Two framework, and U.S. tax changes scheduled to occur in 2026 as part of the Tax Cuts and Jobs Act (2017 Tax Act).</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bipartisan tax bill, the Tax Relief for American Families and Workers Act, was passed by the U.S. House of Representatives in January 2024. The bill contains certain business tax provisions including the retroactive repeal for 2022 and 2023 and deferral of the requirement to capitalize U.S. research and development expenses for tax purposes that was a provision enacted in the 2017 Tax Act. Uncertainty exists as to whether the bill will be enacted into law; however, if the bill is enacted as currently drafted, we would expect our effective tax rate for 2024 to be moderately higher, and a net discrete tax detriment in the quarter of enactment related to 2022 and 2023. In addition, we would expect a decrease in cash tax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investments that were accounted for as asset acquisitions, we paid $3.94 billion in 2023 for acquired IPR&amp;D primarily related to acquisitions of DICE, Versanis, Emergence Therapeutics AG (Emergence), and Mablink Biosciences SAS (Mablink). For investments that were accounted for as business combinations, we paid $1.04 billion in 2023 primarily related to the acquisition of POINT Biopharma Global Inc. (POINT).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discussion regarding our recent acquisitions.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discussion of risks related to business development activities, see Item 1A, "Risk Factors—Pharmaceutical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availability of adequate capacity in global transportation, supply chain and labor market complexities, international tension and conflicts, uneven economic growth or downturns or uncertainty, and an increase in overall demand in our industry for certain products and materials.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additional information on risk factors that could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Pr>
          <w:p>
            <w:pPr>
              <w:spacing w:after="0"/>
              <w:rPr>
                <w:sz w:val="17"/>
                <w:szCs w:val="17"/>
                <w:color w:val="auto"/>
              </w:rPr>
            </w:pPr>
          </w:p>
        </w:tc>
      </w:tr>
      <w:tr>
        <w:trPr>
          <w:trHeight w:val="197"/>
        </w:trPr>
        <w:tc>
          <w:tcPr>
            <w:tcW w:w="5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188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5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8D8D8"/>
          </w:tcPr>
          <w:p>
            <w:pPr>
              <w:ind w:left="540"/>
              <w:spacing w:after="0"/>
              <w:rPr>
                <w:sz w:val="20"/>
                <w:szCs w:val="20"/>
                <w:color w:val="auto"/>
              </w:rPr>
            </w:pPr>
            <w:r>
              <w:rPr>
                <w:rFonts w:ascii="Arial" w:cs="Arial" w:eastAsia="Arial" w:hAnsi="Arial"/>
                <w:sz w:val="18"/>
                <w:szCs w:val="18"/>
                <w:b w:val="1"/>
                <w:bCs w:val="1"/>
                <w:color w:val="auto"/>
              </w:rPr>
              <w:t>21,791.0</w:t>
            </w:r>
          </w:p>
        </w:tc>
        <w:tc>
          <w:tcPr>
            <w:tcW w:w="52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18,190.0</w:t>
            </w:r>
          </w:p>
        </w:tc>
        <w:tc>
          <w:tcPr>
            <w:tcW w:w="1880" w:type="dxa"/>
            <w:vAlign w:val="bottom"/>
            <w:shd w:val="clear" w:color="auto" w:fill="D8D8D8"/>
          </w:tcPr>
          <w:p>
            <w:pPr>
              <w:jc w:val="center"/>
              <w:ind w:left="75"/>
              <w:spacing w:after="0"/>
              <w:rPr>
                <w:sz w:val="20"/>
                <w:szCs w:val="20"/>
                <w:color w:val="auto"/>
              </w:rPr>
            </w:pPr>
            <w:r>
              <w:rPr>
                <w:rFonts w:ascii="Arial" w:cs="Arial" w:eastAsia="Arial" w:hAnsi="Arial"/>
                <w:sz w:val="18"/>
                <w:szCs w:val="18"/>
                <w:color w:val="auto"/>
                <w:w w:val="99"/>
              </w:rPr>
              <w:t>20</w:t>
            </w:r>
          </w:p>
        </w:tc>
      </w:tr>
      <w:tr>
        <w:trPr>
          <w:trHeight w:val="230"/>
        </w:trPr>
        <w:tc>
          <w:tcPr>
            <w:tcW w:w="57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12,333.1</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10,351.3</w:t>
            </w:r>
          </w:p>
        </w:tc>
        <w:tc>
          <w:tcPr>
            <w:tcW w:w="1880" w:type="dxa"/>
            <w:vAlign w:val="bottom"/>
            <w:tcBorders>
              <w:bottom w:val="single" w:sz="8" w:color="D8D8D8"/>
            </w:tcBorders>
          </w:tcPr>
          <w:p>
            <w:pPr>
              <w:jc w:val="center"/>
              <w:ind w:left="75"/>
              <w:spacing w:after="0"/>
              <w:rPr>
                <w:sz w:val="20"/>
                <w:szCs w:val="20"/>
                <w:color w:val="auto"/>
              </w:rPr>
            </w:pPr>
            <w:r>
              <w:rPr>
                <w:rFonts w:ascii="Arial" w:cs="Arial" w:eastAsia="Arial" w:hAnsi="Arial"/>
                <w:sz w:val="18"/>
                <w:szCs w:val="18"/>
                <w:color w:val="auto"/>
                <w:w w:val="99"/>
              </w:rPr>
              <w:t>19</w:t>
            </w:r>
          </w:p>
        </w:tc>
      </w:tr>
      <w:tr>
        <w:trPr>
          <w:trHeight w:val="230"/>
        </w:trPr>
        <w:tc>
          <w:tcPr>
            <w:tcW w:w="57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D8D8D8"/>
          </w:tcPr>
          <w:p>
            <w:pPr>
              <w:ind w:left="540"/>
              <w:spacing w:after="0"/>
              <w:rPr>
                <w:sz w:val="20"/>
                <w:szCs w:val="20"/>
                <w:color w:val="auto"/>
              </w:rPr>
            </w:pPr>
            <w:r>
              <w:rPr>
                <w:rFonts w:ascii="Arial" w:cs="Arial" w:eastAsia="Arial" w:hAnsi="Arial"/>
                <w:sz w:val="18"/>
                <w:szCs w:val="18"/>
                <w:b w:val="1"/>
                <w:bCs w:val="1"/>
                <w:color w:val="auto"/>
              </w:rPr>
              <w:t>34,124.1</w:t>
            </w:r>
          </w:p>
        </w:tc>
        <w:tc>
          <w:tcPr>
            <w:tcW w:w="5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28,541.4</w:t>
            </w:r>
          </w:p>
        </w:tc>
        <w:tc>
          <w:tcPr>
            <w:tcW w:w="1880" w:type="dxa"/>
            <w:vAlign w:val="bottom"/>
            <w:tcBorders>
              <w:bottom w:val="single" w:sz="8" w:color="D8D8D8"/>
            </w:tcBorders>
            <w:shd w:val="clear" w:color="auto" w:fill="D8D8D8"/>
          </w:tcPr>
          <w:p>
            <w:pPr>
              <w:jc w:val="center"/>
              <w:ind w:left="75"/>
              <w:spacing w:after="0"/>
              <w:rPr>
                <w:sz w:val="20"/>
                <w:szCs w:val="20"/>
                <w:color w:val="auto"/>
              </w:rPr>
            </w:pPr>
            <w:r>
              <w:rPr>
                <w:rFonts w:ascii="Arial" w:cs="Arial" w:eastAsia="Arial" w:hAnsi="Arial"/>
                <w:sz w:val="18"/>
                <w:szCs w:val="18"/>
                <w:color w:val="auto"/>
                <w:w w:val="99"/>
              </w:rPr>
              <w:t>20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 vs. 2022</w:t>
            </w:r>
          </w:p>
        </w:tc>
        <w:tc>
          <w:tcPr>
            <w:tcW w:w="1700" w:type="dxa"/>
            <w:vAlign w:val="bottom"/>
            <w:tcBorders>
              <w:bottom w:val="single" w:sz="8" w:color="auto"/>
            </w:tcBorders>
          </w:tcPr>
          <w:p>
            <w:pPr>
              <w:spacing w:after="0"/>
              <w:rPr>
                <w:sz w:val="17"/>
                <w:szCs w:val="17"/>
                <w:color w:val="auto"/>
              </w:rPr>
            </w:pPr>
          </w:p>
        </w:tc>
      </w:tr>
      <w:tr>
        <w:trPr>
          <w:trHeight w:val="196"/>
        </w:trPr>
        <w:tc>
          <w:tcPr>
            <w:tcW w:w="5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w:t>
            </w: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Outside U.S.</w:t>
            </w:r>
          </w:p>
        </w:tc>
        <w:tc>
          <w:tcPr>
            <w:tcW w:w="17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6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Volume</w:t>
            </w:r>
          </w:p>
        </w:tc>
        <w:tc>
          <w:tcPr>
            <w:tcW w:w="8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11 %</w:t>
            </w:r>
          </w:p>
        </w:tc>
        <w:tc>
          <w:tcPr>
            <w:tcW w:w="1900" w:type="dxa"/>
            <w:vAlign w:val="bottom"/>
            <w:shd w:val="clear" w:color="auto" w:fill="DBDBDB"/>
          </w:tcPr>
          <w:p>
            <w:pPr>
              <w:jc w:val="right"/>
              <w:ind w:right="176"/>
              <w:spacing w:after="0"/>
              <w:rPr>
                <w:sz w:val="20"/>
                <w:szCs w:val="20"/>
                <w:color w:val="auto"/>
              </w:rPr>
            </w:pPr>
            <w:r>
              <w:rPr>
                <w:rFonts w:ascii="Arial" w:cs="Arial" w:eastAsia="Arial" w:hAnsi="Arial"/>
                <w:sz w:val="18"/>
                <w:szCs w:val="18"/>
                <w:color w:val="auto"/>
              </w:rPr>
              <w:t>25 %</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9 %</w:t>
            </w:r>
          </w:p>
        </w:tc>
        <w:tc>
          <w:tcPr>
            <w:tcW w:w="1900" w:type="dxa"/>
            <w:vAlign w:val="bottom"/>
          </w:tcPr>
          <w:p>
            <w:pPr>
              <w:jc w:val="right"/>
              <w:ind w:right="176"/>
              <w:spacing w:after="0"/>
              <w:rPr>
                <w:sz w:val="20"/>
                <w:szCs w:val="20"/>
                <w:color w:val="auto"/>
              </w:rPr>
            </w:pPr>
            <w:r>
              <w:rPr>
                <w:rFonts w:ascii="Arial" w:cs="Arial" w:eastAsia="Arial" w:hAnsi="Arial"/>
                <w:sz w:val="18"/>
                <w:szCs w:val="18"/>
                <w:color w:val="auto"/>
              </w:rPr>
              <w:t>(4)%</w:t>
            </w:r>
          </w:p>
        </w:tc>
        <w:tc>
          <w:tcPr>
            <w:tcW w:w="17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exchange rates</w:t>
            </w:r>
          </w:p>
        </w:tc>
        <w:tc>
          <w:tcPr>
            <w:tcW w:w="12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auto"/>
            </w:tcBorders>
            <w:shd w:val="clear" w:color="auto" w:fill="DBDBDB"/>
          </w:tcPr>
          <w:p>
            <w:pPr>
              <w:jc w:val="right"/>
              <w:ind w:right="176"/>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20 %</w:t>
            </w:r>
          </w:p>
        </w:tc>
        <w:tc>
          <w:tcPr>
            <w:tcW w:w="19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19 %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In the U.S. the increase in volume in 2023 was primarily driven by Mounjaro, Verzenio, Jardiance, Trulicity, Taltz</w:t>
      </w:r>
      <w:r>
        <w:rPr>
          <w:rFonts w:ascii="Arial" w:cs="Arial" w:eastAsia="Arial" w:hAnsi="Arial"/>
          <w:sz w:val="23"/>
          <w:szCs w:val="23"/>
          <w:color w:val="auto"/>
          <w:vertAlign w:val="superscript"/>
        </w:rPr>
        <w:t>®</w:t>
      </w:r>
      <w:r>
        <w:rPr>
          <w:rFonts w:ascii="Arial" w:cs="Arial" w:eastAsia="Arial" w:hAnsi="Arial"/>
          <w:sz w:val="18"/>
          <w:szCs w:val="18"/>
          <w:color w:val="auto"/>
        </w:rPr>
        <w:t>, and Zepbound and $579.0 million from the sale of the rights for Baqsimi, partially offset by the absence of revenue from COVID-19 antibodies and decreased volume from Alimta following the entry of multiple generics in the first half of 2022. In the U.S. the higher realized prices in 2023 were primarily driven by Mounjaro, due to decreased utilization of savings card programs as access continued to expand, partially offset by Trulicity, due to higher contracted rebates and unfavorable segment mix, as well as changes to estimates for rebates and discounts, and Humalog</w:t>
      </w:r>
      <w:r>
        <w:rPr>
          <w:rFonts w:ascii="Arial" w:cs="Arial" w:eastAsia="Arial" w:hAnsi="Arial"/>
          <w:sz w:val="23"/>
          <w:szCs w:val="23"/>
          <w:color w:val="auto"/>
          <w:vertAlign w:val="superscript"/>
        </w:rPr>
        <w:t>®</w:t>
      </w:r>
      <w:r>
        <w:rPr>
          <w:rFonts w:ascii="Arial" w:cs="Arial" w:eastAsia="Arial" w:hAnsi="Arial"/>
          <w:sz w:val="18"/>
          <w:szCs w:val="18"/>
          <w:color w:val="auto"/>
        </w:rPr>
        <w:t>, primarily due to a one-time impact related to the implementation of list price decreases and unfavorable segment mix.</w:t>
      </w:r>
    </w:p>
    <w:p>
      <w:pPr>
        <w:spacing w:after="0" w:line="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Outside the U.S. the increase in volume in 2023 was primarily driven by $1.45 billion from the sale of the rights for the olanzapine portfolio, including Zyprexa, as well as increased volume for Verzenio and Jardiance. Outside the U.S. the lower realized prices in 2023 were primarily driven by a new supply arrangement associated with the sale of the rights for the olanzapine portfolio and lower realized prices from Trulicity, Verzenio, and Humalog.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ind w:right="72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in 2023 compared with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195"/>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80" w:type="dxa"/>
            <w:vAlign w:val="bottom"/>
          </w:tcPr>
          <w:p>
            <w:pPr>
              <w:spacing w:after="0"/>
              <w:rPr>
                <w:sz w:val="16"/>
                <w:szCs w:val="16"/>
                <w:color w:val="auto"/>
              </w:rPr>
            </w:pPr>
          </w:p>
        </w:tc>
      </w:tr>
      <w:tr>
        <w:trPr>
          <w:trHeight w:val="19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5,433.3</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1,699.2</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7,132.6</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7,439.7</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(4)</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4,834.2</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328.9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5,163.1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2,509.0</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1,354.3</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3,863.4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2,483.5</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56</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1,831.6</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928.0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2,482.0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89"/>
              </w:rPr>
              <w:t>11</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1,600.4</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1,144.2</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2,744.7</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2,066.0</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33</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79.4</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1,615.4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1,694.8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(3)</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863.2</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800.2</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1,663.3</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2,060.6</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(19)</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402.3</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572.4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971.4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7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 (4)</w:t>
            </w: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225.5</w:t>
            </w:r>
          </w:p>
        </w:tc>
        <w:tc>
          <w:tcPr>
            <w:tcW w:w="26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697.2</w:t>
            </w:r>
          </w:p>
        </w:tc>
        <w:tc>
          <w:tcPr>
            <w:tcW w:w="40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922.6</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830.5</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89"/>
              </w:rPr>
              <w:t>11</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610.1</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242.0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(16)</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 (5)</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443.1</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285.2</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728.3</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760.4</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(4)</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482.2</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196.0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3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Baqsimi</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645.7</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31.9</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677.6</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139.3</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528.9</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67.6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Forteo</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335.5</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197.7</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533.2</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613.1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26.1</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355.3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(35)</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72.9</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144.6</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217.5</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927.7</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(77)</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175.8</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COVID-19 antibodies</w:t>
            </w:r>
            <w:r>
              <w:rPr>
                <w:rFonts w:ascii="Arial" w:cs="Arial" w:eastAsia="Arial" w:hAnsi="Arial"/>
                <w:sz w:val="23"/>
                <w:szCs w:val="23"/>
                <w:color w:val="auto"/>
                <w:vertAlign w:val="superscript"/>
              </w:rPr>
              <w:t>(6)</w:t>
            </w: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8D8D8"/>
          </w:tcPr>
          <w:p>
            <w:pPr>
              <w:spacing w:after="0"/>
              <w:rPr>
                <w:sz w:val="23"/>
                <w:szCs w:val="23"/>
                <w:color w:val="auto"/>
              </w:rPr>
            </w:pPr>
          </w:p>
        </w:tc>
        <w:tc>
          <w:tcPr>
            <w:tcW w:w="116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2,023.5</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30"/>
        </w:trPr>
        <w:tc>
          <w:tcPr>
            <w:tcW w:w="40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691.8</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1,673.0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2,364.5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2,100.2</w:t>
            </w:r>
          </w:p>
        </w:tc>
        <w:tc>
          <w:tcPr>
            <w:tcW w:w="1480" w:type="dxa"/>
            <w:vAlign w:val="bottom"/>
            <w:tcBorders>
              <w:bottom w:val="single" w:sz="8" w:color="D8D8D8"/>
            </w:tcBorders>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30"/>
        </w:trPr>
        <w:tc>
          <w:tcPr>
            <w:tcW w:w="40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21,791.0</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12,333.1</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34,124.1</w:t>
            </w:r>
          </w:p>
        </w:tc>
        <w:tc>
          <w:tcPr>
            <w:tcW w:w="100" w:type="dxa"/>
            <w:vAlign w:val="bottom"/>
            <w:tcBorders>
              <w:bottom w:val="single" w:sz="8" w:color="auto"/>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28,541.4</w:t>
            </w:r>
          </w:p>
        </w:tc>
        <w:tc>
          <w:tcPr>
            <w:tcW w:w="1480" w:type="dxa"/>
            <w:vAlign w:val="bottom"/>
            <w:tcBorders>
              <w:bottom w:val="single" w:sz="8" w:color="D8D8D8"/>
            </w:tcBorders>
            <w:shd w:val="clear" w:color="auto" w:fill="D8D8D8"/>
          </w:tcPr>
          <w:p>
            <w:pPr>
              <w:jc w:val="center"/>
              <w:ind w:left="31"/>
              <w:spacing w:after="0"/>
              <w:rPr>
                <w:sz w:val="20"/>
                <w:szCs w:val="20"/>
                <w:color w:val="auto"/>
              </w:rPr>
            </w:pPr>
            <w:r>
              <w:rPr>
                <w:rFonts w:ascii="Arial" w:cs="Arial" w:eastAsia="Arial" w:hAnsi="Arial"/>
                <w:sz w:val="18"/>
                <w:szCs w:val="18"/>
                <w:color w:val="auto"/>
                <w:w w:val="99"/>
              </w:rPr>
              <w:t>20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the rights for the olanzapine portfolio.</w:t>
      </w:r>
    </w:p>
    <w:p>
      <w:pPr>
        <w:ind w:left="140" w:hanging="132"/>
        <w:spacing w:after="0" w:line="228"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line="211"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Basaglar revenue includes Rezvoglar</w:t>
      </w:r>
      <w:r>
        <w:rPr>
          <w:rFonts w:ascii="Arial" w:cs="Arial" w:eastAsia="Arial" w:hAnsi="Arial"/>
          <w:sz w:val="9"/>
          <w:szCs w:val="9"/>
          <w:color w:val="auto"/>
        </w:rPr>
        <w:t>®</w:t>
      </w:r>
      <w:r>
        <w:rPr>
          <w:rFonts w:ascii="Arial" w:cs="Arial" w:eastAsia="Arial" w:hAnsi="Arial"/>
          <w:sz w:val="14"/>
          <w:szCs w:val="14"/>
          <w:color w:val="auto"/>
        </w:rPr>
        <w:t>.</w:t>
      </w:r>
    </w:p>
    <w:p>
      <w:pPr>
        <w:spacing w:after="0" w:line="14" w:lineRule="exact"/>
        <w:rPr>
          <w:rFonts w:ascii="Arial" w:cs="Arial" w:eastAsia="Arial" w:hAnsi="Arial"/>
          <w:sz w:val="9"/>
          <w:szCs w:val="9"/>
          <w:color w:val="auto"/>
        </w:rPr>
      </w:pPr>
    </w:p>
    <w:p>
      <w:pPr>
        <w:ind w:left="180" w:right="360" w:hanging="172"/>
        <w:spacing w:after="0" w:line="284" w:lineRule="auto"/>
        <w:tabs>
          <w:tab w:leader="none" w:pos="158" w:val="left"/>
        </w:tabs>
        <w:numPr>
          <w:ilvl w:val="0"/>
          <w:numId w:val="20"/>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spacing w:after="0" w:line="2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Revenue of Trulicity decreased 4 percent in the U.S., driven by lower realized prices due to higher contracted rebates and unfavorable segment mix, as well as changes to estimates for rebates and discounts, partially offset by increased demand. We have experienced and continue to expect intermittent delays fulfilling orders of Trulicity. These delays have impacted and are expected to continue to impact volume. Revenue outside the U.S. decreased 3 percent, primarily driven by lower realized prices, partially offset by increased volume. Volumes in international markets continue to be affected by actions we have taken to manage demand amid tight supply, including measures to minimize impact to existing patients.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 of Mounjaro in the U.S. in 2023 was $4.83 billion, compared to $366.6 million in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reflecting higher realized prices due to decreased utilization of savings card programs as access continued to expand and increased demand. We have experienced and continue to expect intermittent delays fulfilling orders of certain Mounjaro doses given significant demand, which has affected and is expected to continue to affect volume.</w:t>
      </w:r>
    </w:p>
    <w:p>
      <w:pPr>
        <w:spacing w:after="0" w:line="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Verzenio increased 52 percent in the U.S., driven by increased demand, and, to a lesser extent, higher realized prices. Revenue outside the U.S. increased 63 percent, driven by increased demand, partially offset by lower realized prices and the unfavorable impact of foreign exchange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ind w:right="100"/>
        <w:spacing w:after="0" w:line="287" w:lineRule="auto"/>
        <w:rPr>
          <w:sz w:val="20"/>
          <w:szCs w:val="20"/>
          <w:color w:val="auto"/>
        </w:rPr>
      </w:pPr>
      <w:r>
        <w:rPr>
          <w:rFonts w:ascii="Arial" w:cs="Arial" w:eastAsia="Arial" w:hAnsi="Arial"/>
          <w:sz w:val="18"/>
          <w:szCs w:val="18"/>
          <w:color w:val="auto"/>
        </w:rPr>
        <w:t>Revenue of Taltz increased 6 percent in the U.S., driven by increased demand, partially offset by lower realized prices. Revenue outside the U.S. increased 23 percent, driven by increased volume, partially offset by lower realized prices.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Jardiance increased 34 percent in the U.S., primarily driven by increased demand. Revenue outside the U.S. increased 31 percent, primarily driven by increased volume. See Note 4 to the consolidated financial statements for information regarding our collaboration with Boehringer Ingelheim involving Jardiance.</w:t>
      </w:r>
    </w:p>
    <w:p>
      <w:pPr>
        <w:spacing w:after="0" w:line="6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There was no worldwide revenue from COVID-19 antibodies in 2023, and we do not anticipate any future revenue from COVID-19 antibodies.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 Costs, and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7"/>
                <w:szCs w:val="17"/>
                <w:color w:val="auto"/>
              </w:rPr>
            </w:pPr>
          </w:p>
        </w:tc>
      </w:tr>
      <w:tr>
        <w:trPr>
          <w:trHeight w:val="197"/>
        </w:trPr>
        <w:tc>
          <w:tcPr>
            <w:tcW w:w="6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margin</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27,041.9</w:t>
            </w:r>
          </w:p>
        </w:tc>
        <w:tc>
          <w:tcPr>
            <w:tcW w:w="50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21,911.6</w:t>
            </w:r>
          </w:p>
        </w:tc>
        <w:tc>
          <w:tcPr>
            <w:tcW w:w="1280" w:type="dxa"/>
            <w:vAlign w:val="bottom"/>
            <w:shd w:val="clear" w:color="auto" w:fill="DBDBDB"/>
          </w:tcPr>
          <w:p>
            <w:pPr>
              <w:jc w:val="right"/>
              <w:ind w:right="392"/>
              <w:spacing w:after="0"/>
              <w:rPr>
                <w:sz w:val="20"/>
                <w:szCs w:val="20"/>
                <w:color w:val="auto"/>
              </w:rPr>
            </w:pPr>
            <w:r>
              <w:rPr>
                <w:rFonts w:ascii="Arial" w:cs="Arial" w:eastAsia="Arial" w:hAnsi="Arial"/>
                <w:sz w:val="18"/>
                <w:szCs w:val="18"/>
                <w:color w:val="auto"/>
              </w:rPr>
              <w:t>23</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Gross margin as a percent of revenue</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79.2 %</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76.8 %</w:t>
            </w:r>
          </w:p>
        </w:tc>
        <w:tc>
          <w:tcPr>
            <w:tcW w:w="1280" w:type="dxa"/>
            <w:vAlign w:val="bottom"/>
          </w:tcPr>
          <w:p>
            <w:pPr>
              <w:spacing w:after="0"/>
              <w:rPr>
                <w:sz w:val="19"/>
                <w:szCs w:val="19"/>
                <w:color w:val="auto"/>
              </w:rPr>
            </w:pP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9,313.4</w:t>
            </w:r>
          </w:p>
        </w:tc>
        <w:tc>
          <w:tcPr>
            <w:tcW w:w="50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7,190.8</w:t>
            </w:r>
          </w:p>
        </w:tc>
        <w:tc>
          <w:tcPr>
            <w:tcW w:w="1280" w:type="dxa"/>
            <w:vAlign w:val="bottom"/>
            <w:shd w:val="clear" w:color="auto" w:fill="DBDBDB"/>
          </w:tcPr>
          <w:p>
            <w:pPr>
              <w:jc w:val="right"/>
              <w:ind w:right="392"/>
              <w:spacing w:after="0"/>
              <w:rPr>
                <w:sz w:val="20"/>
                <w:szCs w:val="20"/>
                <w:color w:val="auto"/>
              </w:rPr>
            </w:pPr>
            <w:r>
              <w:rPr>
                <w:rFonts w:ascii="Arial" w:cs="Arial" w:eastAsia="Arial" w:hAnsi="Arial"/>
                <w:sz w:val="18"/>
                <w:szCs w:val="18"/>
                <w:color w:val="auto"/>
              </w:rPr>
              <w:t>30</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7,403.1</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6,440.4</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15</w:t>
            </w: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Acquired IPR&amp;D</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3,799.8</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908.5</w:t>
            </w:r>
          </w:p>
        </w:tc>
        <w:tc>
          <w:tcPr>
            <w:tcW w:w="1280" w:type="dxa"/>
            <w:vAlign w:val="bottom"/>
            <w:shd w:val="clear" w:color="auto" w:fill="DBDBDB"/>
          </w:tcPr>
          <w:p>
            <w:pPr>
              <w:jc w:val="right"/>
              <w:ind w:right="352"/>
              <w:spacing w:after="0"/>
              <w:rPr>
                <w:sz w:val="20"/>
                <w:szCs w:val="20"/>
                <w:color w:val="auto"/>
              </w:rPr>
            </w:pPr>
            <w:r>
              <w:rPr>
                <w:rFonts w:ascii="Arial" w:cs="Arial" w:eastAsia="Arial" w:hAnsi="Arial"/>
                <w:sz w:val="18"/>
                <w:szCs w:val="18"/>
                <w:color w:val="auto"/>
              </w:rPr>
              <w:t>NM</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67.7</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244.6</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(72)</w:t>
            </w: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Other—net, (income) expense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(96.7)</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320.9</w:t>
            </w:r>
          </w:p>
        </w:tc>
        <w:tc>
          <w:tcPr>
            <w:tcW w:w="1280" w:type="dxa"/>
            <w:vAlign w:val="bottom"/>
            <w:shd w:val="clear" w:color="auto" w:fill="DBDBDB"/>
          </w:tcPr>
          <w:p>
            <w:pPr>
              <w:jc w:val="right"/>
              <w:ind w:right="352"/>
              <w:spacing w:after="0"/>
              <w:rPr>
                <w:sz w:val="20"/>
                <w:szCs w:val="20"/>
                <w:color w:val="auto"/>
              </w:rPr>
            </w:pPr>
            <w:r>
              <w:rPr>
                <w:rFonts w:ascii="Arial" w:cs="Arial" w:eastAsia="Arial" w:hAnsi="Arial"/>
                <w:sz w:val="18"/>
                <w:szCs w:val="18"/>
                <w:color w:val="auto"/>
              </w:rPr>
              <w:t>NM</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1,314.2</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561.6</w:t>
            </w:r>
          </w:p>
        </w:tc>
        <w:tc>
          <w:tcPr>
            <w:tcW w:w="1280" w:type="dxa"/>
            <w:vAlign w:val="bottom"/>
          </w:tcPr>
          <w:p>
            <w:pPr>
              <w:jc w:val="right"/>
              <w:ind w:right="352"/>
              <w:spacing w:after="0"/>
              <w:rPr>
                <w:sz w:val="20"/>
                <w:szCs w:val="20"/>
                <w:color w:val="auto"/>
              </w:rPr>
            </w:pPr>
            <w:r>
              <w:rPr>
                <w:rFonts w:ascii="Arial" w:cs="Arial" w:eastAsia="Arial" w:hAnsi="Arial"/>
                <w:sz w:val="18"/>
                <w:szCs w:val="18"/>
                <w:color w:val="auto"/>
              </w:rPr>
              <w:t>NM</w:t>
            </w: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20.1 %</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8.3 %</w:t>
            </w:r>
          </w:p>
        </w:tc>
        <w:tc>
          <w:tcPr>
            <w:tcW w:w="1280" w:type="dxa"/>
            <w:vAlign w:val="bottom"/>
            <w:shd w:val="clear" w:color="auto" w:fill="DBDBDB"/>
          </w:tcPr>
          <w:p>
            <w:pPr>
              <w:spacing w:after="0"/>
              <w:rPr>
                <w:sz w:val="19"/>
                <w:szCs w:val="19"/>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Gross margin as a percent of revenue in 2023 increased 2.4 percentage points compared with 2022, primarily driven by the absence of COVID-19 antibodies sales in 2023, higher realized prices, and the sales of the rights for the olanzapine portfolio and Baqsimi, partially offset by increased manufacturing expenses related to labor costs and investments in capacity expansion.</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Research and development expenses increased 30 percent in 2023, primarily driven by development expenses for late-stage assets and additional investments in early-stage research.</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Marketing, selling, and administrative expenses increased 15 percent in 2023, primarily driven by costs associated with launches of new products and indications, as well as compensation and benefits costs.</w:t>
      </w:r>
    </w:p>
    <w:p>
      <w:pPr>
        <w:spacing w:after="0" w:line="4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Acquired IPR&amp;D charges recognized in 2023 primarily related to acquisitions of DICE, Versanis, Emergence, and Mablink and from a business development transaction with Beam Therapeutics Inc. Acquired IPR&amp;D charges recognized in 2022 included the buy-out of substantially all future obligations that were contingent upon the occurrence of certain events linked to the success of our mutant-selective PI3kα inhibitor and a purchase of a Priority Review Voucher. See Note 3 to the consolidated financial statements for additional information.</w:t>
      </w:r>
    </w:p>
    <w:p>
      <w:pPr>
        <w:spacing w:after="0" w:line="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Asset impairment, restructuring, and other special charges recognized in 2022 primarily related to an intangible asset impairment for GBA1 Gene Therapy due to changes in estimated launch timing. See Note 5 to the consolidated financial statements for additional information.</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Other—net, (income) expense included net investment losses on equity securities of $20.2 million and $410.7 million for the years ended 2023 and 2022, respectively. See Note 18 to the consolidated financial statements for additional information.</w:t>
      </w:r>
    </w:p>
    <w:p>
      <w:pPr>
        <w:spacing w:after="0" w:line="4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effective tax rate was 20.1 percent in 2023, compared with an effective tax rate of 8.3 percent in 2022. The higher effective tax rate for 2023 was primarily driven by the tax impacts of non-deductible acquired IPR&amp;D charges, the new Puerto Rico tax regime, and a lower net discrete tax benefit compared to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Operating Results—2022</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a discussion of our results of operations pertaining to 2022 and 2021 see Item 7, "Management's Discussion and Analysis of Results of Operations and Financial Condition" in our Annual Report on Form 10-K for the year ended December 31,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believe our available cash and cash equivalents, together with our ability to generate operating cash flow and our access to short-term and long-term borrowings, are sufficient to fund our existing and planned capital requirements, which include:</w:t>
      </w:r>
    </w:p>
    <w:p>
      <w:pPr>
        <w:spacing w:after="0" w:line="4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requirements, including related to employee payroll and benefits, clinical trials, manufacturing materials,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repurchases and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outstanding short-term and long-term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milestone and royalty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acquisitions, collaborations, investments, and licensing arrangements;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contributions to our defined benefit pension and retiree health benefit plans.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continuously evaluates our liquidity and capital resources, including our access to external capital, to ensure we can adequately and efficiently finance our capital requirements. As of December 31, 2023, our material cash requirements primarily related to purchases of goods and services to produce our products and conduct our operations, capital expenditures, dividends, repayment of outstanding borrowings, milestone and royalty payments, business development activities, and the remaining obligations for the one-time repatriation transition tax (also known as the 'Toll Tax') from the 2017 Tax Act, (see Notes 11, 4, 3, and 14 to the consolidated financial statements). We anticipate our cash requirements related to ordinary course purchases of goods and services will be consistent with our past levels relative to revenues.</w:t>
      </w:r>
    </w:p>
    <w:p>
      <w:pPr>
        <w:spacing w:after="0" w:line="7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Capital expenditures were $3.45 billion during 2023, compared to $1.85 billion in 2022. We are making investments in new facilities in Indiana, North Carolina, Alzey, Rhineland-Palatinate, Germany, and Limerick, Ireland to manufacture existing and future products. These investments, and other capital investments that support our operations, have increased our capital expenditures and will result in higher capital expenditures over the next several years.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and cash equivalents increased to $2.82 billion as of December 31, 2023, compared with $ 2.07 billion at December 31, 2022. Net cash provided by operating activities decreased to $4.24 billion in 2023, compared with $7.59 billion in 2022. The decrease in net cash provided by operating activities was primarily driven by an increase in cash payments for income taxes. See Note 14 to the consolidated financial statements for additional information. Refer to the consolidated statements of cash flows for additional information on the significant sources and uses of cash for the years ended December 31, 2023 and 2022.</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$3.16 billion and $3.05 billion as of December 31, 2023 and 2022, respectively. See Note 7 to the consolidated financial statements for additional information.</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2023, we received cash proceeds of $1.60 billion for the sale of product rights, primarily related to the sales of the rights for the olanzapine portfolio, including Zyprexa, and Baqsimi. See Note 4 to the consolidated financial statements for additional information.</w:t>
      </w:r>
    </w:p>
    <w:p>
      <w:pPr>
        <w:spacing w:after="0" w:line="45"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For investments that were accounted for as asset acquisitions, we paid $3.94 billion in 2023 for acquired IPR&amp;D primarily related to acquisitions of DICE, Versanis, Emergence, and Mablink. For investments that were accounted for as business combinations, we paid $1.04 billion in 2023 primarily related to the acquisition of POINT. See Note 3 to the consolidated financial statements for additional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0" w:name="page51"/>
    <w:bookmarkEnd w:id="50"/>
    <w:p>
      <w:pPr>
        <w:spacing w:after="0" w:line="287" w:lineRule="auto"/>
        <w:rPr>
          <w:sz w:val="20"/>
          <w:szCs w:val="20"/>
          <w:color w:val="auto"/>
        </w:rPr>
      </w:pPr>
      <w:r>
        <w:rPr>
          <w:rFonts w:ascii="Arial" w:cs="Arial" w:eastAsia="Arial" w:hAnsi="Arial"/>
          <w:sz w:val="18"/>
          <w:szCs w:val="18"/>
          <w:color w:val="auto"/>
        </w:rPr>
        <w:t>As of December 31, 2023, total debt was $25.23 billion, an increase of $8.99 billion compared with $16.24 billion at December 31, 2022. See Note 11 to the consolidated financial statements for additional information.</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2024, we issued $1.00 billion of 4.500 percent fixed-rate notes due in 2027, $1.00 billion of 4.500 percent fixed-rate notes due in 2029, $1.50 billion of 4.700 percent fixed-rate notes due in 2034, $1.50 billion of 5.000 percent fixed-rate notes due in 2054, and $1.50 billion of 5.100 percent fixed-rate notes due in 2064, all with interest to be paid semi-annually. We used, or will be using, the net cash proceeds from the offering of $6.45 billion for general business purposes, including the repayment of outstanding commercial paper, repayment of current maturities of long-term debt, and repayment of the $750.0 million of 5.000 percent fixed-rate notes due in 2026, which are callable at par beginning February 27, 2024.</w:t>
      </w:r>
    </w:p>
    <w:p>
      <w:pPr>
        <w:spacing w:after="0" w:line="74"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As of December 31, 2023, we had a total of $7.42 billion of unused committed bank credit facilities, $7.00 billion of which is available to support our commercial paper program. See Note 11 to the consolidated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Dividends of $4.52 per share and $ 3.92 per share were paid in 2023 and 2022, respectively. The quarterly dividend was increased to $1.30 per share effective for the dividend to be paid in the first quarter of 2024, resulting in an indicated annual rate for 2024 of $5.20 per share.</w:t>
      </w:r>
    </w:p>
    <w:p>
      <w:pPr>
        <w:spacing w:after="0" w:line="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2023, we repurchased $ 750.0 million of shares under our $5.00 billion share repurchase program that our board authorized in May 2021. As of December 31, 2023, we had $2.50 billion remaining under this program. See Note 13 to the consolidated financial statements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Overview—Other Matters—Patent Matters" for information regarding losses of patent protection.</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and international tension and conflicts; the creditworthiness of our wholesalers and other customers, including foreign government-backed agencies and suppliers; the uncertain impact of healthcare legislation; and various international government funding levels.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our operations are exposed to fluctuations in interest rates, currency values, and fair values of equity securities. These fluctuations impact the costs of financing, investing, and operating our business.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7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Our primary interest rate risk exposure results from changes in short-term U.S. dollar interest rates. In an effort to manage interest rate exposures, we strive to achieve an acceptable balance between fixed and floating rate debt positions and in some cases we enter into interest rate derivatives to help maintain that balance. As of December 31, 2023, all of our total long-term debt is at a fixed rate. We have converted approximately 12 percent of our long-term fixed-rate notes to floating rates through the use of interest rate swaps. Based on our overall interest rate exposure at December 31, 2023 and 2022, including derivatives and other interest rate risk-sensitive instruments, a hypothetical 10 percent change in interest rates applied to the fair value of the instruments as of December 31, 2023 and 2022, respectively, would not have a material impact on earnings, cash flows, or fair values of interest rate risk-sensitive instruments over a one-year period.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Chinese yuan.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in some cases enter into foreign currency forward or option derivative contracts to reduce the effect of fluctuating currency exchange rates (primarily the euro, Chinese yuan, and Japanese yen).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2023 and 2022,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fair value risk exposure relates primarily to our public equity investments and to our equity investments that do not have readily determinable fair values. As of December 31, 2023 and 2022, our carrying values of these investments were $1.32 billion and $1.16 billion, respectively. A hypothetical 20 percent change in fair value of the equity instruments would have impacted other-net, (income) expense by $263.9 million and $232.4 million as of December 31, 2023 and 2022, respectively.</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expense or aggregate milestone payments made could be material to our results of operations or cash flows, respectively, in that period. See Note 4 to the consolidated financial statements for additional information. These arrangements often give us the discretion to unilaterally terminate development of the product, which would allow us to avoid making the contingent payments; however, we are unlikely to cease development if the compound successfully achieves milestone objectives. We view these payments as positive because they signify that the product is successfully moving through development and is now generating or is more likely to generate cash flows from sales of products.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incretin products, we have entered, and expect to continue to enter, into various agreements for contract manufacturing and for supply of materials. The executed agreements could, under certain circumstances, require us to pay up to approximately $10 billion if we do not purchase specified amounts of goods or services over the durations of the agreements, which generally range from 2 to 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APPLICATION OF CRITICAL ACCOUNTING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Annual Report on Form 10-K. Our most critical accounting estimates have been discussed with our audit committee and are described below.</w:t>
      </w:r>
    </w:p>
    <w:p>
      <w:pPr>
        <w:spacing w:after="0" w:line="77" w:lineRule="exact"/>
        <w:rPr>
          <w:sz w:val="20"/>
          <w:szCs w:val="20"/>
          <w:color w:val="auto"/>
        </w:rPr>
      </w:pPr>
    </w:p>
    <w:p>
      <w:pPr>
        <w:ind w:right="5120"/>
        <w:spacing w:after="0" w:line="375" w:lineRule="auto"/>
        <w:rPr>
          <w:sz w:val="20"/>
          <w:szCs w:val="20"/>
          <w:color w:val="auto"/>
        </w:rPr>
      </w:pPr>
      <w:r>
        <w:rPr>
          <w:rFonts w:ascii="Arial" w:cs="Arial" w:eastAsia="Arial" w:hAnsi="Arial"/>
          <w:sz w:val="18"/>
          <w:szCs w:val="18"/>
          <w:b w:val="1"/>
          <w:bCs w:val="1"/>
          <w:color w:val="auto"/>
        </w:rPr>
        <w:t xml:space="preserve">Revenue Recognition and Sales Return, Rebate, and Discount Accruals </w:t>
      </w:r>
      <w:r>
        <w:rPr>
          <w:rFonts w:ascii="Arial" w:cs="Arial" w:eastAsia="Arial" w:hAnsi="Arial"/>
          <w:sz w:val="18"/>
          <w:szCs w:val="18"/>
          <w:i w:val="1"/>
          <w:iCs w:val="1"/>
          <w:u w:val="single" w:color="auto"/>
          <w:color w:val="auto"/>
        </w:rPr>
        <w:t>Background and Uncertainties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 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rebate payments for these programs, as well as patient assistance program costs,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revenue reductions related to these programs at the time we record the sale, the reduction related to that sale is typically paid up to six months later. Because of this time lag, in any particular period our net product revenue may incorporate revisions of accruals for several periods.</w:t>
      </w:r>
    </w:p>
    <w:p>
      <w:pPr>
        <w:spacing w:after="0" w:line="7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Revenue recognized from collaborations and other arrangements includes our share of profits from the collaborations, as well as royalties, upfront and milestone payments we receive under these types of contracts.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rebate and discount liabilities are included in sales rebates and discounts on our consolidated balance sheet. Our sales return liability is included in other current liabilities and other noncurrent liabilities on our consolidated balance sheet. As of December 31, 2023, a 5 percent change in our consolidated sales return, rebate, and discount liability would result in a change in revenue of approximately $615 million.</w:t>
      </w:r>
    </w:p>
    <w:p>
      <w:pPr>
        <w:spacing w:after="0" w:line="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portion of our consolidated sales return, rebate, and discount liability resulting from sales of our products in the U.S. was approximately 90 percent as of December 31, 2023 and 2022.</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managed care, Medicare, Medicaid, chargeback, and patient assistance programs: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r>
      <w:tr>
        <w:trPr>
          <w:trHeight w:val="224"/>
        </w:trPr>
        <w:tc>
          <w:tcPr>
            <w:tcW w:w="8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Sales return, rebate, and discount liabilities, beginning of year</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8,214.1</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6,161.6</w:t>
            </w:r>
          </w:p>
        </w:tc>
      </w:tr>
      <w:tr>
        <w:trPr>
          <w:trHeight w:val="230"/>
        </w:trPr>
        <w:tc>
          <w:tcPr>
            <w:tcW w:w="8540" w:type="dxa"/>
            <w:vAlign w:val="bottom"/>
          </w:tcPr>
          <w:p>
            <w:pPr>
              <w:ind w:left="220"/>
              <w:spacing w:after="0" w:line="230" w:lineRule="exact"/>
              <w:rPr>
                <w:sz w:val="20"/>
                <w:szCs w:val="20"/>
                <w:color w:val="auto"/>
              </w:rPr>
            </w:pPr>
            <w:r>
              <w:rPr>
                <w:rFonts w:ascii="Arial" w:cs="Arial" w:eastAsia="Arial" w:hAnsi="Arial"/>
                <w:sz w:val="18"/>
                <w:szCs w:val="18"/>
                <w:color w:val="auto"/>
              </w:rPr>
              <w:t>Reduction of net sales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37,866.8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28,398.4</w:t>
            </w:r>
          </w:p>
        </w:tc>
      </w:tr>
      <w:tr>
        <w:trPr>
          <w:trHeight w:val="230"/>
        </w:trPr>
        <w:tc>
          <w:tcPr>
            <w:tcW w:w="85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auto"/>
            </w:tcBorders>
            <w:shd w:val="clear" w:color="auto" w:fill="D4D4D4"/>
          </w:tcPr>
          <w:p>
            <w:pPr>
              <w:spacing w:after="0"/>
              <w:rPr>
                <w:sz w:val="19"/>
                <w:szCs w:val="19"/>
                <w:color w:val="auto"/>
              </w:rPr>
            </w:pPr>
          </w:p>
        </w:tc>
        <w:tc>
          <w:tcPr>
            <w:tcW w:w="100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(35,413.4)</w:t>
            </w:r>
          </w:p>
        </w:tc>
        <w:tc>
          <w:tcPr>
            <w:tcW w:w="38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(26,345.9)</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Sales return, rebate, and discount liabilities,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10,667.5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8,214.1</w:t>
            </w:r>
          </w:p>
        </w:tc>
      </w:tr>
    </w:tbl>
    <w:p>
      <w:pPr>
        <w:spacing w:after="0" w:line="72"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Adjustments of the estimates for these returns, rebates, and discounts to actual results were less than 1 percent of consolidated revenue for each of the years presented.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ind w:right="500"/>
        <w:spacing w:after="0" w:line="287" w:lineRule="auto"/>
        <w:rPr>
          <w:sz w:val="20"/>
          <w:szCs w:val="20"/>
          <w:color w:val="auto"/>
        </w:rPr>
      </w:pPr>
      <w:r>
        <w:rPr>
          <w:rFonts w:ascii="Arial" w:cs="Arial" w:eastAsia="Arial" w:hAnsi="Arial"/>
          <w:sz w:val="18"/>
          <w:szCs w:val="18"/>
          <w:color w:val="auto"/>
        </w:rPr>
        <w:t>The increase in reduction of net sales in 2023 was primarily driven by our incretin products due to the increase in volume of rebates for managed care, Medicare, chargebacks, and Medicaid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Liabilities and Other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Litigation liabilities and other contingencies are, by their nature, uncertain and based upon complex judgments and probabilities. The factors we consider in developing our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as applicable,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w:t>
      </w:r>
    </w:p>
    <w:p>
      <w:pPr>
        <w:spacing w:after="0" w:line="7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liability insurance, we are predominantly self-insured for liability losses for all our currently and previously marketed products, as well as for litigation or investigations related to our pricing practices or other similar matters.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5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are reflected on a gross basis as liabilities and assets, respectively, on our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on our consolidated balance sheet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acquired IPR&amp;D on our consolidated statement of operations at the acquisition date, and goodwill is not recorded. See Note 3 to the consolidated financial statements for additional information.</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projections, and discount rate. Depending on the facts and circumstances, we may deem it necessary to engage an independent valuation expert to assist in valuing significant assets and liabilities.</w:t>
      </w:r>
    </w:p>
    <w:p>
      <w:pPr>
        <w:spacing w:after="0" w:line="74"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primarily determined using a discounted cash flow analysis, as described in Note 7 to the consolidated financial statements. Estimating the fair value of contingent consideration requires the use of significant estimates and judgments, including, but not limited to, probability of technical success, timing of the potential milestone event, and the discount rate.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December 31, 2023, a 5 percent change in the contingent consideration liabilities would result in a change in income before income taxes of $5.2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Indefinite-Lived and Long-Lived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"—Executive Overview—Late-Stage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6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 Assumptions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15 to the consolidated financial statements for additional information regarding our retirement benefits.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70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7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Annually, we determine the fair value of the plan assets in our defined benefit pension and retiree health benefit plans. Approximately 48 percent of our plan assets are in hedge funds and private equity-like investment funds (collectively, alternative investments). We value these alternative investments primarily using net asset values (NAVs) reported by the counterparty and adjusted for known cash flows and significant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the 2023 discount rate for the U.S. defined benefit pension and retiree health benefit plans (U.S. plans) were to change by a quarter percentage point, income before income taxes would change by $13.4 million. If the 2023 expected return on plan assets for U.S. plans were to change by a quarter percentage point, income before income taxes would change by $31.3 million. If our assumption regarding the 2023 expected age of future retirees for U.S. plans were adjusted by one year, our income before income taxes would be affected by $35.1 million. The U.S. plans, including Puerto Rico, represent approximately 80 percent for total projected benefit obligation and 85 percent for total plan assets at December 31, 2023.</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Adjustments to the fair value of plan assets are not recognized in pension and retiree health benefit expense in the year that the adjustments occur. Such changes are deferred, along with other actuarial gains and losses, and are amortized into expense over the expected remaining service life of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file tax returns based upon our interpretation of tax laws and regulations, and we record estimates in our financial statements based upon these interpretations at the applicable tax rates in the jurisdictions in which we operate. Our tax returns are routinely subject to examination by taxing authorities, which could result in future tax, interest, and penalty assessments. Inherent uncertainties also exist in estimates of many tax positions due to the complexity of tax laws. We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such as changes to existing tax law, the issuance of regulations by taxing authorities, new information obtained during a tax examination, or resolution of a tax examination. We believe our estimates for uncertain tax positions are both appropriate and sufficient to pay assessments that may result from examinations of our tax returns. We recognize both accrued interest and penalties related to unrecognized tax benefits in income tax expense.</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tax credits, and other tax carryforwards and carrybacks in certain taxing jurisdictions. In evaluating whether we would more likely than not recover these deferred tax assets, we have not assumed future taxable income in the jurisdictions associated with these carryforwards where history does not support such an assumption. Implementation of tax planning strategies to recover these deferred tax assets or to generate future taxable income in these jurisdictions could lead to the reversal of all or a portion of these valuation allowances and a reduction of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December 31, 2023, a 5 percent change in the amount of uncertain tax positions and the valuation allowance would result in a change in net income of $88.7 million and $45.7 million,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MATTERS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7A.Quantitative and Qualitative Disclosures About Market Risk</w:t>
      </w:r>
    </w:p>
    <w:p>
      <w:pPr>
        <w:spacing w:after="0" w:line="19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You can find quantitative and qualitative disclosures about market risk (e.g.</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rate risk) at Item 7, "Management's Discussion and Analysis - Financial Condition and Liquidity."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6" w:name="page57"/>
    <w:bookmarkEnd w:id="56"/>
    <w:p>
      <w:pPr>
        <w:ind w:right="2800"/>
        <w:spacing w:after="0" w:line="423" w:lineRule="auto"/>
        <w:rPr>
          <w:sz w:val="20"/>
          <w:szCs w:val="20"/>
          <w:color w:val="auto"/>
        </w:rPr>
      </w:pPr>
      <w:r>
        <w:rPr>
          <w:rFonts w:ascii="Arial" w:cs="Arial" w:eastAsia="Arial" w:hAnsi="Arial"/>
          <w:sz w:val="32"/>
          <w:szCs w:val="32"/>
          <w:b w:val="1"/>
          <w:bCs w:val="1"/>
          <w:i w:val="1"/>
          <w:iCs w:val="1"/>
          <w:color w:val="auto"/>
        </w:rPr>
        <w:t xml:space="preserve">Item 8. Financial Statements and Supplementary Data </w:t>
      </w:r>
      <w:r>
        <w:rPr>
          <w:rFonts w:ascii="Arial" w:cs="Arial" w:eastAsia="Arial" w:hAnsi="Arial"/>
          <w:sz w:val="32"/>
          <w:szCs w:val="32"/>
          <w:i w:val="1"/>
          <w:iCs w:val="1"/>
          <w:color w:val="auto"/>
        </w:rPr>
        <w:t>Consolidated Statements of Operations</w:t>
      </w:r>
    </w:p>
    <w:tbl>
      <w:tblPr>
        <w:tblLayout w:type="fixed"/>
        <w:tblInd w:w="20" w:type="dxa"/>
        <w:tblCellMar>
          <w:top w:w="0" w:type="dxa"/>
          <w:left w:w="0" w:type="dxa"/>
          <w:bottom w:w="0" w:type="dxa"/>
          <w:right w:w="0" w:type="dxa"/>
        </w:tblCellMar>
      </w:tblPr>
      <w:tr>
        <w:trPr>
          <w:trHeight w:val="151"/>
        </w:trPr>
        <w:tc>
          <w:tcPr>
            <w:tcW w:w="462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ELI LILLY AND COMPANY AND SUBSIDIARIES</w:t>
            </w: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(Dollars in millions, except per-share data, and shares in</w:t>
            </w:r>
          </w:p>
        </w:tc>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2"/>
                <w:szCs w:val="12"/>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 (Note 2)</w:t>
            </w:r>
          </w:p>
        </w:tc>
        <w:tc>
          <w:tcPr>
            <w:tcW w:w="22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34,124.1</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28,541.4</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28,318.4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7,082.2</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6,629.8</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7,312.8</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9,313.4</w:t>
            </w:r>
          </w:p>
        </w:tc>
        <w:tc>
          <w:tcPr>
            <w:tcW w:w="3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7,190.8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6,930.7</w:t>
            </w:r>
          </w:p>
        </w:tc>
        <w:tc>
          <w:tcPr>
            <w:tcW w:w="0" w:type="dxa"/>
            <w:vAlign w:val="bottom"/>
          </w:tcPr>
          <w:p>
            <w:pPr>
              <w:spacing w:after="0"/>
              <w:rPr>
                <w:sz w:val="1"/>
                <w:szCs w:val="1"/>
                <w:color w:val="auto"/>
              </w:rPr>
            </w:pPr>
          </w:p>
        </w:tc>
      </w:tr>
      <w:tr>
        <w:trPr>
          <w:trHeight w:val="230"/>
        </w:trPr>
        <w:tc>
          <w:tcPr>
            <w:tcW w:w="4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Marketing, selling, and administrative</w:t>
            </w:r>
          </w:p>
        </w:tc>
        <w:tc>
          <w:tcPr>
            <w:tcW w:w="22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7,403.1</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6,440.4</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6,431.6</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w w:val="99"/>
              </w:rPr>
              <w:t>Acquired in-process research and development (Note 3)</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3,799.8</w:t>
            </w:r>
          </w:p>
        </w:tc>
        <w:tc>
          <w:tcPr>
            <w:tcW w:w="3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908.5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84"/>
        </w:trPr>
        <w:tc>
          <w:tcPr>
            <w:tcW w:w="6820" w:type="dxa"/>
            <w:vAlign w:val="bottom"/>
            <w:gridSpan w:val="2"/>
            <w:shd w:val="clear" w:color="auto" w:fill="DBDBDB"/>
          </w:tcPr>
          <w:p>
            <w:pPr>
              <w:ind w:left="140"/>
              <w:spacing w:after="0" w:line="183" w:lineRule="exact"/>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67.7</w:t>
            </w:r>
          </w:p>
        </w:tc>
        <w:tc>
          <w:tcPr>
            <w:tcW w:w="38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ind w:right="11"/>
              <w:spacing w:after="0"/>
              <w:rPr>
                <w:sz w:val="20"/>
                <w:szCs w:val="20"/>
                <w:color w:val="auto"/>
              </w:rPr>
            </w:pPr>
            <w:r>
              <w:rPr>
                <w:rFonts w:ascii="Arial" w:cs="Arial" w:eastAsia="Arial" w:hAnsi="Arial"/>
                <w:sz w:val="18"/>
                <w:szCs w:val="18"/>
                <w:color w:val="auto"/>
              </w:rPr>
              <w:t>244.6</w:t>
            </w:r>
          </w:p>
        </w:tc>
        <w:tc>
          <w:tcPr>
            <w:tcW w:w="40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35"/>
        </w:trPr>
        <w:tc>
          <w:tcPr>
            <w:tcW w:w="4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 5)</w:t>
            </w:r>
          </w:p>
        </w:tc>
        <w:tc>
          <w:tcPr>
            <w:tcW w:w="220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120" w:type="dxa"/>
            <w:vAlign w:val="bottom"/>
            <w:vMerge w:val="continue"/>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100" w:type="dxa"/>
            <w:vAlign w:val="bottom"/>
            <w:vMerge w:val="continue"/>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06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Other—net, (income) expense (Note 18)</w:t>
            </w:r>
          </w:p>
        </w:tc>
        <w:tc>
          <w:tcPr>
            <w:tcW w:w="2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4620" w:type="dxa"/>
            <w:vAlign w:val="bottom"/>
            <w:shd w:val="clear" w:color="auto" w:fill="DBDBDB"/>
          </w:tcPr>
          <w:p>
            <w:pPr>
              <w:spacing w:after="0"/>
              <w:rPr>
                <w:sz w:val="19"/>
                <w:szCs w:val="19"/>
                <w:color w:val="auto"/>
              </w:rPr>
            </w:pPr>
          </w:p>
        </w:tc>
        <w:tc>
          <w:tcPr>
            <w:tcW w:w="2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27,569.5</w:t>
            </w:r>
          </w:p>
        </w:tc>
        <w:tc>
          <w:tcPr>
            <w:tcW w:w="38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21,735.0</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22,162.9</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6,554.6</w:t>
            </w:r>
          </w:p>
        </w:tc>
        <w:tc>
          <w:tcPr>
            <w:tcW w:w="3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6,806.4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6,155.5</w:t>
            </w:r>
          </w:p>
        </w:tc>
        <w:tc>
          <w:tcPr>
            <w:tcW w:w="0" w:type="dxa"/>
            <w:vAlign w:val="bottom"/>
          </w:tcPr>
          <w:p>
            <w:pPr>
              <w:spacing w:after="0"/>
              <w:rPr>
                <w:sz w:val="1"/>
                <w:szCs w:val="1"/>
                <w:color w:val="auto"/>
              </w:rPr>
            </w:pPr>
          </w:p>
        </w:tc>
      </w:tr>
      <w:tr>
        <w:trPr>
          <w:trHeight w:val="229"/>
        </w:trPr>
        <w:tc>
          <w:tcPr>
            <w:tcW w:w="4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(Note 14)</w:t>
            </w:r>
          </w:p>
        </w:tc>
        <w:tc>
          <w:tcPr>
            <w:tcW w:w="2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1,314.2</w:t>
            </w:r>
          </w:p>
        </w:tc>
        <w:tc>
          <w:tcPr>
            <w:tcW w:w="38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561.6</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5,240.4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6,244.8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5,581.7</w:t>
            </w:r>
          </w:p>
        </w:tc>
        <w:tc>
          <w:tcPr>
            <w:tcW w:w="0" w:type="dxa"/>
            <w:vAlign w:val="bottom"/>
          </w:tcPr>
          <w:p>
            <w:pPr>
              <w:spacing w:after="0"/>
              <w:rPr>
                <w:sz w:val="1"/>
                <w:szCs w:val="1"/>
                <w:color w:val="auto"/>
              </w:rPr>
            </w:pPr>
          </w:p>
        </w:tc>
      </w:tr>
      <w:tr>
        <w:trPr>
          <w:trHeight w:val="243"/>
        </w:trPr>
        <w:tc>
          <w:tcPr>
            <w:tcW w:w="4620" w:type="dxa"/>
            <w:vAlign w:val="bottom"/>
            <w:shd w:val="clear" w:color="auto" w:fill="DBDBDB"/>
          </w:tcPr>
          <w:p>
            <w:pPr>
              <w:spacing w:after="0"/>
              <w:rPr>
                <w:sz w:val="21"/>
                <w:szCs w:val="21"/>
                <w:color w:val="auto"/>
              </w:rPr>
            </w:pPr>
          </w:p>
        </w:tc>
        <w:tc>
          <w:tcPr>
            <w:tcW w:w="22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20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5.82</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6.93</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Diluted</w:t>
            </w:r>
          </w:p>
        </w:tc>
        <w:tc>
          <w:tcPr>
            <w:tcW w:w="2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6.90</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4620" w:type="dxa"/>
            <w:vAlign w:val="bottom"/>
            <w:shd w:val="clear" w:color="auto" w:fill="DBDBDB"/>
          </w:tcPr>
          <w:p>
            <w:pPr>
              <w:spacing w:after="0"/>
              <w:rPr>
                <w:sz w:val="21"/>
                <w:szCs w:val="21"/>
                <w:color w:val="auto"/>
              </w:rPr>
            </w:pPr>
          </w:p>
        </w:tc>
        <w:tc>
          <w:tcPr>
            <w:tcW w:w="22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2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900,181</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901,736</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906,963</w:t>
            </w:r>
          </w:p>
        </w:tc>
        <w:tc>
          <w:tcPr>
            <w:tcW w:w="0" w:type="dxa"/>
            <w:vAlign w:val="bottom"/>
          </w:tcPr>
          <w:p>
            <w:pPr>
              <w:spacing w:after="0"/>
              <w:rPr>
                <w:sz w:val="1"/>
                <w:szCs w:val="1"/>
                <w:color w:val="auto"/>
              </w:rPr>
            </w:pPr>
          </w:p>
        </w:tc>
      </w:tr>
      <w:tr>
        <w:trPr>
          <w:trHeight w:val="247"/>
        </w:trPr>
        <w:tc>
          <w:tcPr>
            <w:tcW w:w="4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903,284</w:t>
            </w: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904,619</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911,681</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57" w:name="page58"/>
    <w:bookmarkEnd w:id="57"/>
    <w:p>
      <w:pPr>
        <w:spacing w:after="0"/>
        <w:rPr>
          <w:sz w:val="20"/>
          <w:szCs w:val="20"/>
          <w:color w:val="auto"/>
        </w:rPr>
      </w:pPr>
      <w:r>
        <w:rPr>
          <w:rFonts w:ascii="Arial" w:cs="Arial" w:eastAsia="Arial" w:hAnsi="Arial"/>
          <w:sz w:val="32"/>
          <w:szCs w:val="32"/>
          <w:i w:val="1"/>
          <w:iCs w:val="1"/>
          <w:color w:val="auto"/>
        </w:rPr>
        <w:t>Consolidated Statements of Comprehensive Income (Loss)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3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5,240.4</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6,244.8</w:t>
            </w:r>
          </w:p>
        </w:tc>
        <w:tc>
          <w:tcPr>
            <w:tcW w:w="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5,581.7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(25.8)</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(248.1)</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Change in net unrealized gains (losses) on available-for-sale securities</w:t>
            </w:r>
          </w:p>
        </w:tc>
        <w:tc>
          <w:tcPr>
            <w:tcW w:w="3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14.1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8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retirement benefit plans (Note 15)</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(776.5)</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616.9</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Change in net unrealized gains (losses) on cash flow hedges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109.5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432.9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48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(678.7)</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748.5</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2,848.6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Benefit (expense) for income taxes related to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196.3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23"/>
        </w:trPr>
        <w:tc>
          <w:tcPr>
            <w:tcW w:w="4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comprehensive income (loss), net of tax (Note 17)</w:t>
            </w:r>
          </w:p>
        </w:tc>
        <w:tc>
          <w:tcPr>
            <w:tcW w:w="2320" w:type="dxa"/>
            <w:vAlign w:val="bottom"/>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(482.4)</w:t>
            </w:r>
          </w:p>
        </w:tc>
        <w:tc>
          <w:tcPr>
            <w:tcW w:w="34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498.5</w:t>
            </w:r>
          </w:p>
        </w:tc>
        <w:tc>
          <w:tcPr>
            <w:tcW w:w="34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2,153.3</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3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4,758.0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6,743.3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3" w:right="379" w:bottom="1440" w:gutter="0" w:footer="0" w:header="0"/>
        </w:sectPr>
      </w:pPr>
    </w:p>
    <w:bookmarkStart w:id="58" w:name="page59"/>
    <w:bookmarkEnd w:id="58"/>
    <w:p>
      <w:pPr>
        <w:spacing w:after="0"/>
        <w:rPr>
          <w:sz w:val="20"/>
          <w:szCs w:val="20"/>
          <w:color w:val="auto"/>
        </w:rPr>
      </w:pPr>
      <w:r>
        <w:rPr>
          <w:rFonts w:ascii="Arial" w:cs="Arial" w:eastAsia="Arial" w:hAnsi="Arial"/>
          <w:sz w:val="29"/>
          <w:szCs w:val="29"/>
          <w:i w:val="1"/>
          <w:iCs w:val="1"/>
          <w:color w:val="auto"/>
        </w:rPr>
        <w:t>Consolidated Balance Sheets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060" w:type="dxa"/>
            <w:vAlign w:val="bottom"/>
            <w:gridSpan w:val="2"/>
            <w:vMerge w:val="restart"/>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510"/>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shares in thousands)</w:t>
            </w:r>
          </w:p>
        </w:tc>
        <w:tc>
          <w:tcPr>
            <w:tcW w:w="206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 (Note 7)</w:t>
            </w:r>
          </w:p>
        </w:tc>
        <w:tc>
          <w:tcPr>
            <w:tcW w:w="20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2,818.6</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Short-term 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109.1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$14.8 (2023)</w:t>
            </w:r>
            <w:r>
              <w:rPr>
                <w:rFonts w:ascii="Arial" w:cs="Arial" w:eastAsia="Arial" w:hAnsi="Arial"/>
                <w:sz w:val="18"/>
                <w:szCs w:val="18"/>
                <w:color w:val="auto"/>
              </w:rPr>
              <w:t xml:space="preserve"> and $16.0 (2022)</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9,090.5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6,896.0</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2,245.7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1,662.9</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Inventories (Note 6)</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5,772.8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4,309.7</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5,540.8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2,946.8</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assets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149.5</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25,727.0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18,034.5</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 (Note 7)</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3,052.2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2,901.8</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4,939.7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4,073.0</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intangibles, net (Note 8)</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6,906.6</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7,206.6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Deferred tax assets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5,477.3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2,792.9</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 net (Note 9)</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12,913.6</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10,144.0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noncurrent assets</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4,989.9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64,006.3</w:t>
            </w:r>
          </w:p>
        </w:tc>
        <w:tc>
          <w:tcPr>
            <w:tcW w:w="38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49,489.8</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Short-term borrowings and current maturities of long-term debt (Note 11)</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6,904.5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1,501.1</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2,598.8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1,930.6</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Employee compensation</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1,650.4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Sales rebates and discounts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11,689.0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8,784.1</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1,169.2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liabilities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3,281.3</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27,293.2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17,138.2</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Long-term debt (Note 11)</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18,320.8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14,737.5</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retirement benefits (Note 15)</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1,438.8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Long-term 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3,849.2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3,709.6</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noncurrent liabilities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2,240.6</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1,824.0</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25,849.4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21,576.2</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Commitments and Contingencies (Note 16)</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Eli Lilly and Company Shareholders' Equity (Notes 12 and 13)</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DBDBDB"/>
          </w:tcPr>
          <w:p>
            <w:pPr>
              <w:ind w:left="220"/>
              <w:spacing w:after="0" w:line="183" w:lineRule="exact"/>
              <w:rPr>
                <w:sz w:val="20"/>
                <w:szCs w:val="20"/>
                <w:color w:val="auto"/>
              </w:rPr>
            </w:pPr>
            <w:r>
              <w:rPr>
                <w:rFonts w:ascii="Arial" w:cs="Arial" w:eastAsia="Arial" w:hAnsi="Arial"/>
                <w:sz w:val="18"/>
                <w:szCs w:val="18"/>
                <w:color w:val="auto"/>
              </w:rPr>
              <w:t>Common stock—no par value</w:t>
            </w:r>
          </w:p>
        </w:tc>
        <w:tc>
          <w:tcPr>
            <w:tcW w:w="17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60" w:type="dxa"/>
            <w:vAlign w:val="bottom"/>
            <w:shd w:val="clear" w:color="auto" w:fill="DBDBDB"/>
          </w:tcPr>
          <w:p>
            <w:pPr>
              <w:ind w:left="220"/>
              <w:spacing w:after="0" w:line="181" w:lineRule="exact"/>
              <w:rPr>
                <w:sz w:val="20"/>
                <w:szCs w:val="20"/>
                <w:color w:val="auto"/>
              </w:rPr>
            </w:pPr>
            <w:r>
              <w:rPr>
                <w:rFonts w:ascii="Arial" w:cs="Arial" w:eastAsia="Arial" w:hAnsi="Arial"/>
                <w:sz w:val="18"/>
                <w:szCs w:val="18"/>
                <w:color w:val="auto"/>
              </w:rPr>
              <w:t>Authorized shares: 3,200,000</w:t>
            </w:r>
          </w:p>
        </w:tc>
        <w:tc>
          <w:tcPr>
            <w:tcW w:w="17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4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593.6</w:t>
            </w:r>
          </w:p>
        </w:tc>
        <w:tc>
          <w:tcPr>
            <w:tcW w:w="380" w:type="dxa"/>
            <w:vAlign w:val="bottom"/>
            <w:shd w:val="clear" w:color="auto" w:fill="DBDBDB"/>
          </w:tcPr>
          <w:p>
            <w:pPr>
              <w:spacing w:after="0"/>
              <w:rPr>
                <w:sz w:val="15"/>
                <w:szCs w:val="15"/>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949,781 (2023)</w:t>
            </w:r>
            <w:r>
              <w:rPr>
                <w:rFonts w:ascii="Arial" w:cs="Arial" w:eastAsia="Arial" w:hAnsi="Arial"/>
                <w:sz w:val="18"/>
                <w:szCs w:val="18"/>
                <w:color w:val="auto"/>
              </w:rPr>
              <w:t xml:space="preserve"> and 950,632 (2022)</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vMerge w:val="continue"/>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7,250.4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6,921.4</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10,312.3</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10,042.6</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Employee benefit trust</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(3,013.2)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Accumulated other comprehensive loss (Note 17)</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(4,327.0)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(3,844.6)</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Cost of common stock in treasury</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10,771.9</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10,649.8</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Noncontrolling interests</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91.8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equity</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10,863.7</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10,775.4</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7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64,006.3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49,489.8</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0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1"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32"/>
          <w:szCs w:val="32"/>
          <w:i w:val="1"/>
          <w:iCs w:val="1"/>
          <w:color w:val="auto"/>
        </w:rPr>
        <w:t>Consolidated Statements of Shareholders' Equity</w:t>
      </w:r>
    </w:p>
    <w:p>
      <w:pPr>
        <w:sectPr>
          <w:pgSz w:w="11900" w:h="16838" w:orient="portrait"/>
          <w:cols w:equalWidth="0" w:num="1">
            <w:col w:w="11240"/>
          </w:cols>
          <w:pgMar w:left="320" w:top="1085"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20" w:right="300"/>
        <w:spacing w:after="0" w:line="214" w:lineRule="auto"/>
        <w:rPr>
          <w:sz w:val="20"/>
          <w:szCs w:val="20"/>
          <w:color w:val="auto"/>
        </w:rPr>
      </w:pPr>
      <w:r>
        <w:rPr>
          <w:rFonts w:ascii="Arial" w:cs="Arial" w:eastAsia="Arial" w:hAnsi="Arial"/>
          <w:sz w:val="11"/>
          <w:szCs w:val="11"/>
          <w:b w:val="1"/>
          <w:bCs w:val="1"/>
          <w:color w:val="auto"/>
        </w:rPr>
        <w:t>ELI LILLY AND COMPANY AND SUBSIDIARIES</w:t>
      </w:r>
    </w:p>
    <w:p>
      <w:pPr>
        <w:ind w:left="20"/>
        <w:spacing w:after="0" w:line="272" w:lineRule="auto"/>
        <w:rPr>
          <w:sz w:val="20"/>
          <w:szCs w:val="20"/>
          <w:color w:val="auto"/>
        </w:rPr>
      </w:pPr>
      <w:r>
        <w:rPr>
          <w:rFonts w:ascii="Arial" w:cs="Arial" w:eastAsia="Arial" w:hAnsi="Arial"/>
          <w:sz w:val="10"/>
          <w:szCs w:val="10"/>
          <w:b w:val="1"/>
          <w:bCs w:val="1"/>
          <w:color w:val="auto"/>
        </w:rPr>
        <w:t>(Dollars in millions, except per-share data, and shares in thousands)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gridSpan w:val="2"/>
            <w:vMerge w:val="restart"/>
          </w:tcPr>
          <w:p>
            <w:pPr>
              <w:ind w:left="540"/>
              <w:spacing w:after="0"/>
              <w:rPr>
                <w:sz w:val="20"/>
                <w:szCs w:val="20"/>
                <w:color w:val="auto"/>
              </w:rPr>
            </w:pPr>
            <w:r>
              <w:rPr>
                <w:rFonts w:ascii="Arial" w:cs="Arial" w:eastAsia="Arial" w:hAnsi="Arial"/>
                <w:sz w:val="11"/>
                <w:szCs w:val="11"/>
                <w:b w:val="1"/>
                <w:bCs w:val="1"/>
                <w:color w:val="auto"/>
              </w:rPr>
              <w:t>Common Stock</w:t>
            </w:r>
          </w:p>
        </w:tc>
        <w:tc>
          <w:tcPr>
            <w:tcW w:w="880" w:type="dxa"/>
            <w:vAlign w:val="bottom"/>
            <w:vMerge w:val="restart"/>
          </w:tcPr>
          <w:p>
            <w:pPr>
              <w:jc w:val="center"/>
              <w:ind w:left="188"/>
              <w:spacing w:after="0"/>
              <w:rPr>
                <w:sz w:val="20"/>
                <w:szCs w:val="20"/>
                <w:color w:val="auto"/>
              </w:rPr>
            </w:pPr>
            <w:r>
              <w:rPr>
                <w:rFonts w:ascii="Arial" w:cs="Arial" w:eastAsia="Arial" w:hAnsi="Arial"/>
                <w:sz w:val="11"/>
                <w:szCs w:val="11"/>
                <w:b w:val="1"/>
                <w:bCs w:val="1"/>
                <w:color w:val="auto"/>
                <w:w w:val="96"/>
              </w:rPr>
              <w:t>Additional</w:t>
            </w: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60" w:type="dxa"/>
            <w:vAlign w:val="bottom"/>
            <w:gridSpan w:val="2"/>
          </w:tcPr>
          <w:p>
            <w:pPr>
              <w:ind w:left="180"/>
              <w:spacing w:after="0"/>
              <w:rPr>
                <w:sz w:val="20"/>
                <w:szCs w:val="20"/>
                <w:color w:val="auto"/>
              </w:rPr>
            </w:pPr>
            <w:r>
              <w:rPr>
                <w:rFonts w:ascii="Arial" w:cs="Arial" w:eastAsia="Arial" w:hAnsi="Arial"/>
                <w:sz w:val="11"/>
                <w:szCs w:val="11"/>
                <w:b w:val="1"/>
                <w:bCs w:val="1"/>
                <w:color w:val="auto"/>
              </w:rPr>
              <w:t>Common Stock in Treasury</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860" w:type="dxa"/>
            <w:vAlign w:val="bottom"/>
            <w:tcBorders>
              <w:bottom w:val="single" w:sz="8" w:color="auto"/>
            </w:tcBorders>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9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Amount</w:t>
            </w:r>
          </w:p>
        </w:tc>
        <w:tc>
          <w:tcPr>
            <w:tcW w:w="880" w:type="dxa"/>
            <w:vAlign w:val="bottom"/>
          </w:tcPr>
          <w:p>
            <w:pPr>
              <w:jc w:val="center"/>
              <w:ind w:left="188"/>
              <w:spacing w:after="0" w:line="89" w:lineRule="exact"/>
              <w:rPr>
                <w:sz w:val="20"/>
                <w:szCs w:val="20"/>
                <w:color w:val="auto"/>
              </w:rPr>
            </w:pPr>
            <w:r>
              <w:rPr>
                <w:rFonts w:ascii="Arial" w:cs="Arial" w:eastAsia="Arial" w:hAnsi="Arial"/>
                <w:sz w:val="10"/>
                <w:szCs w:val="10"/>
                <w:b w:val="1"/>
                <w:bCs w:val="1"/>
                <w:color w:val="auto"/>
              </w:rPr>
              <w:t>Paid-in</w:t>
            </w:r>
          </w:p>
        </w:tc>
        <w:tc>
          <w:tcPr>
            <w:tcW w:w="1100" w:type="dxa"/>
            <w:vAlign w:val="bottom"/>
          </w:tcPr>
          <w:p>
            <w:pPr>
              <w:ind w:left="440"/>
              <w:spacing w:after="0" w:line="89" w:lineRule="exact"/>
              <w:rPr>
                <w:sz w:val="20"/>
                <w:szCs w:val="20"/>
                <w:color w:val="auto"/>
              </w:rPr>
            </w:pPr>
            <w:r>
              <w:rPr>
                <w:rFonts w:ascii="Arial" w:cs="Arial" w:eastAsia="Arial" w:hAnsi="Arial"/>
                <w:sz w:val="10"/>
                <w:szCs w:val="10"/>
                <w:b w:val="1"/>
                <w:bCs w:val="1"/>
                <w:color w:val="auto"/>
              </w:rPr>
              <w:t>Retained</w:t>
            </w:r>
          </w:p>
        </w:tc>
        <w:tc>
          <w:tcPr>
            <w:tcW w:w="1000" w:type="dxa"/>
            <w:vAlign w:val="bottom"/>
          </w:tcPr>
          <w:p>
            <w:pPr>
              <w:jc w:val="center"/>
              <w:ind w:left="49"/>
              <w:spacing w:after="0" w:line="89" w:lineRule="exact"/>
              <w:rPr>
                <w:sz w:val="20"/>
                <w:szCs w:val="20"/>
                <w:color w:val="auto"/>
              </w:rPr>
            </w:pPr>
            <w:r>
              <w:rPr>
                <w:rFonts w:ascii="Arial" w:cs="Arial" w:eastAsia="Arial" w:hAnsi="Arial"/>
                <w:sz w:val="10"/>
                <w:szCs w:val="10"/>
                <w:b w:val="1"/>
                <w:bCs w:val="1"/>
                <w:color w:val="auto"/>
              </w:rPr>
              <w:t>Employee</w:t>
            </w:r>
          </w:p>
        </w:tc>
        <w:tc>
          <w:tcPr>
            <w:tcW w:w="1340" w:type="dxa"/>
            <w:vAlign w:val="bottom"/>
          </w:tcPr>
          <w:p>
            <w:pPr>
              <w:jc w:val="center"/>
              <w:spacing w:after="0" w:line="89" w:lineRule="exact"/>
              <w:rPr>
                <w:sz w:val="20"/>
                <w:szCs w:val="20"/>
                <w:color w:val="auto"/>
              </w:rPr>
            </w:pPr>
            <w:r>
              <w:rPr>
                <w:rFonts w:ascii="Arial" w:cs="Arial" w:eastAsia="Arial" w:hAnsi="Arial"/>
                <w:sz w:val="10"/>
                <w:szCs w:val="10"/>
                <w:b w:val="1"/>
                <w:bCs w:val="1"/>
                <w:color w:val="auto"/>
              </w:rPr>
              <w:t>Accumulated Other</w:t>
            </w: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9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Amount</w:t>
            </w:r>
          </w:p>
        </w:tc>
        <w:tc>
          <w:tcPr>
            <w:tcW w:w="1060" w:type="dxa"/>
            <w:vAlign w:val="bottom"/>
          </w:tcPr>
          <w:p>
            <w:pPr>
              <w:jc w:val="center"/>
              <w:ind w:left="229"/>
              <w:spacing w:after="0" w:line="89"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jc w:val="center"/>
              <w:ind w:left="188"/>
              <w:spacing w:after="0"/>
              <w:rPr>
                <w:sz w:val="20"/>
                <w:szCs w:val="20"/>
                <w:color w:val="auto"/>
              </w:rPr>
            </w:pPr>
            <w:r>
              <w:rPr>
                <w:rFonts w:ascii="Arial" w:cs="Arial" w:eastAsia="Arial" w:hAnsi="Arial"/>
                <w:sz w:val="11"/>
                <w:szCs w:val="11"/>
                <w:b w:val="1"/>
                <w:bCs w:val="1"/>
                <w:color w:val="auto"/>
                <w:w w:val="98"/>
              </w:rPr>
              <w:t>Capital</w:t>
            </w:r>
          </w:p>
        </w:tc>
        <w:tc>
          <w:tcPr>
            <w:tcW w:w="1100" w:type="dxa"/>
            <w:vAlign w:val="bottom"/>
          </w:tcPr>
          <w:p>
            <w:pPr>
              <w:ind w:left="440"/>
              <w:spacing w:after="0"/>
              <w:rPr>
                <w:sz w:val="20"/>
                <w:szCs w:val="20"/>
                <w:color w:val="auto"/>
              </w:rPr>
            </w:pPr>
            <w:r>
              <w:rPr>
                <w:rFonts w:ascii="Arial" w:cs="Arial" w:eastAsia="Arial" w:hAnsi="Arial"/>
                <w:sz w:val="11"/>
                <w:szCs w:val="11"/>
                <w:b w:val="1"/>
                <w:bCs w:val="1"/>
                <w:color w:val="auto"/>
              </w:rPr>
              <w:t>Earnings</w:t>
            </w:r>
          </w:p>
        </w:tc>
        <w:tc>
          <w:tcPr>
            <w:tcW w:w="1000" w:type="dxa"/>
            <w:vAlign w:val="bottom"/>
          </w:tcPr>
          <w:p>
            <w:pPr>
              <w:jc w:val="center"/>
              <w:ind w:left="49"/>
              <w:spacing w:after="0"/>
              <w:rPr>
                <w:sz w:val="20"/>
                <w:szCs w:val="20"/>
                <w:color w:val="auto"/>
              </w:rPr>
            </w:pPr>
            <w:r>
              <w:rPr>
                <w:rFonts w:ascii="Arial" w:cs="Arial" w:eastAsia="Arial" w:hAnsi="Arial"/>
                <w:sz w:val="11"/>
                <w:szCs w:val="11"/>
                <w:b w:val="1"/>
                <w:bCs w:val="1"/>
                <w:color w:val="auto"/>
                <w:w w:val="97"/>
              </w:rPr>
              <w:t>Benefit Trust</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Comprehensive Loss</w:t>
            </w:r>
          </w:p>
        </w:tc>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jc w:val="center"/>
              <w:ind w:left="229"/>
              <w:spacing w:after="0"/>
              <w:rPr>
                <w:sz w:val="20"/>
                <w:szCs w:val="20"/>
                <w:color w:val="auto"/>
              </w:rPr>
            </w:pPr>
            <w:r>
              <w:rPr>
                <w:rFonts w:ascii="Arial" w:cs="Arial" w:eastAsia="Arial" w:hAnsi="Arial"/>
                <w:sz w:val="11"/>
                <w:szCs w:val="11"/>
                <w:b w:val="1"/>
                <w:bCs w:val="1"/>
                <w:color w:val="auto"/>
                <w:w w:val="95"/>
              </w:rPr>
              <w:t>Interest</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1920" w:space="160"/>
            <w:col w:w="9160"/>
          </w:cols>
          <w:pgMar w:left="320" w:top="1085"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8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3"/>
                <w:szCs w:val="13"/>
                <w:color w:val="auto"/>
              </w:rPr>
              <w:t>Balance at January 1, 2021</w:t>
            </w:r>
          </w:p>
        </w:tc>
        <w:tc>
          <w:tcPr>
            <w:tcW w:w="94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957,077</w:t>
            </w:r>
          </w:p>
        </w:tc>
        <w:tc>
          <w:tcPr>
            <w:tcW w:w="340" w:type="dxa"/>
            <w:vAlign w:val="bottom"/>
            <w:tcBorders>
              <w:top w:val="single" w:sz="8" w:color="auto"/>
            </w:tcBorders>
            <w:shd w:val="clear" w:color="auto" w:fill="D8D8D8"/>
          </w:tcPr>
          <w:p>
            <w:pPr>
              <w:jc w:val="right"/>
              <w:ind w:right="13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598.2</w:t>
            </w:r>
          </w:p>
        </w:tc>
        <w:tc>
          <w:tcPr>
            <w:tcW w:w="300" w:type="dxa"/>
            <w:vAlign w:val="bottom"/>
            <w:tcBorders>
              <w:top w:val="single" w:sz="8" w:color="auto"/>
            </w:tcBorders>
            <w:shd w:val="clear" w:color="auto" w:fill="D8D8D8"/>
          </w:tcPr>
          <w:p>
            <w:pPr>
              <w:jc w:val="right"/>
              <w:ind w:right="9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6,778.5</w:t>
            </w:r>
          </w:p>
        </w:tc>
        <w:tc>
          <w:tcPr>
            <w:tcW w:w="28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7,830.2</w:t>
            </w:r>
          </w:p>
        </w:tc>
        <w:tc>
          <w:tcPr>
            <w:tcW w:w="26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Borders>
              <w:top w:val="single" w:sz="8" w:color="auto"/>
            </w:tcBorders>
            <w:shd w:val="clear" w:color="auto" w:fill="D8D8D8"/>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D8D8D8"/>
          </w:tcPr>
          <w:p>
            <w:pPr>
              <w:jc w:val="right"/>
              <w:ind w:right="177"/>
              <w:spacing w:after="0"/>
              <w:rPr>
                <w:sz w:val="20"/>
                <w:szCs w:val="20"/>
                <w:color w:val="auto"/>
              </w:rPr>
            </w:pPr>
            <w:r>
              <w:rPr>
                <w:rFonts w:ascii="Arial" w:cs="Arial" w:eastAsia="Arial" w:hAnsi="Arial"/>
                <w:sz w:val="13"/>
                <w:szCs w:val="13"/>
                <w:color w:val="auto"/>
              </w:rPr>
              <w:t>(6,496.4)</w:t>
            </w:r>
          </w:p>
        </w:tc>
        <w:tc>
          <w:tcPr>
            <w:tcW w:w="70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487</w:t>
            </w:r>
          </w:p>
        </w:tc>
        <w:tc>
          <w:tcPr>
            <w:tcW w:w="28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(55.7)</w:t>
            </w:r>
          </w:p>
        </w:tc>
        <w:tc>
          <w:tcPr>
            <w:tcW w:w="460" w:type="dxa"/>
            <w:vAlign w:val="bottom"/>
            <w:tcBorders>
              <w:top w:val="single" w:sz="8" w:color="auto"/>
            </w:tcBorders>
            <w:shd w:val="clear" w:color="auto" w:fill="D8D8D8"/>
          </w:tcPr>
          <w:p>
            <w:pPr>
              <w:jc w:val="right"/>
              <w:ind w:right="2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183.6</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5,581.7</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80" w:type="dxa"/>
            <w:vAlign w:val="bottom"/>
            <w:shd w:val="clear" w:color="auto" w:fill="D8D8D8"/>
          </w:tcPr>
          <w:p>
            <w:pPr>
              <w:ind w:left="20"/>
              <w:spacing w:after="0" w:line="136"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jc w:val="right"/>
              <w:ind w:right="217"/>
              <w:spacing w:after="0"/>
              <w:rPr>
                <w:sz w:val="20"/>
                <w:szCs w:val="20"/>
                <w:color w:val="auto"/>
              </w:rPr>
            </w:pPr>
            <w:r>
              <w:rPr>
                <w:rFonts w:ascii="Arial" w:cs="Arial" w:eastAsia="Arial" w:hAnsi="Arial"/>
                <w:sz w:val="13"/>
                <w:szCs w:val="13"/>
                <w:color w:val="auto"/>
              </w:rPr>
              <w:t>2,153.3</w:t>
            </w: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20"/>
              <w:spacing w:after="0"/>
              <w:rPr>
                <w:sz w:val="20"/>
                <w:szCs w:val="20"/>
                <w:color w:val="auto"/>
              </w:rPr>
            </w:pPr>
            <w:r>
              <w:rPr>
                <w:rFonts w:ascii="Arial" w:cs="Arial" w:eastAsia="Arial" w:hAnsi="Arial"/>
                <w:sz w:val="13"/>
                <w:szCs w:val="13"/>
                <w:color w:val="auto"/>
              </w:rPr>
              <w:t>$3.53</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(3,201.7)</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(5,412)</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(3.4)</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(1,246.6)</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(5,412)</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1,250.0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5,412</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(1,250.0)</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D8D8D8"/>
          </w:tcPr>
          <w:p>
            <w:pPr>
              <w:ind w:left="20"/>
              <w:spacing w:after="0" w:line="136" w:lineRule="exact"/>
              <w:rPr>
                <w:sz w:val="20"/>
                <w:szCs w:val="20"/>
                <w:color w:val="auto"/>
              </w:rPr>
            </w:pPr>
            <w:r>
              <w:rPr>
                <w:rFonts w:ascii="Arial" w:cs="Arial" w:eastAsia="Arial" w:hAnsi="Arial"/>
                <w:sz w:val="13"/>
                <w:szCs w:val="13"/>
                <w:color w:val="auto"/>
              </w:rPr>
              <w:t>Issuance of stock under employee</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2,451</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1.5</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(287.9)</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(24)</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3.0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342.8</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300" w:type="dxa"/>
            <w:vAlign w:val="bottom"/>
            <w:tcBorders>
              <w:bottom w:val="single" w:sz="8" w:color="auto"/>
            </w:tcBorders>
            <w:shd w:val="clear" w:color="auto" w:fill="D8D8D8"/>
          </w:tcPr>
          <w:p>
            <w:pPr>
              <w:spacing w:after="0"/>
              <w:rPr>
                <w:sz w:val="15"/>
                <w:szCs w:val="15"/>
                <w:color w:val="auto"/>
              </w:rPr>
            </w:pPr>
          </w:p>
        </w:tc>
        <w:tc>
          <w:tcPr>
            <w:tcW w:w="68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(5.1)</w:t>
            </w:r>
          </w:p>
        </w:tc>
        <w:tc>
          <w:tcPr>
            <w:tcW w:w="26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00" w:type="dxa"/>
            <w:vAlign w:val="bottom"/>
            <w:tcBorders>
              <w:bottom w:val="single" w:sz="8" w:color="auto"/>
            </w:tcBorders>
            <w:shd w:val="clear" w:color="auto" w:fill="D8D8D8"/>
          </w:tcPr>
          <w:p>
            <w:pPr>
              <w:spacing w:after="0"/>
              <w:rPr>
                <w:sz w:val="15"/>
                <w:szCs w:val="15"/>
                <w:color w:val="auto"/>
              </w:rPr>
            </w:pPr>
          </w:p>
        </w:tc>
        <w:tc>
          <w:tcPr>
            <w:tcW w:w="102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6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4"/>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954,116</w:t>
            </w:r>
          </w:p>
        </w:tc>
        <w:tc>
          <w:tcPr>
            <w:tcW w:w="34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596.3</w:t>
            </w:r>
          </w:p>
        </w:tc>
        <w:tc>
          <w:tcPr>
            <w:tcW w:w="3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6,833.4</w:t>
            </w: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8,958.5</w:t>
            </w:r>
          </w:p>
        </w:tc>
        <w:tc>
          <w:tcPr>
            <w:tcW w:w="2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(4,343.1)</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463</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(52.7)</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175.6</w:t>
            </w: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6,244.8</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20"/>
              <w:spacing w:after="0"/>
              <w:rPr>
                <w:sz w:val="20"/>
                <w:szCs w:val="20"/>
                <w:color w:val="auto"/>
              </w:rPr>
            </w:pPr>
            <w:r>
              <w:rPr>
                <w:rFonts w:ascii="Arial" w:cs="Arial" w:eastAsia="Arial" w:hAnsi="Arial"/>
                <w:sz w:val="13"/>
                <w:szCs w:val="13"/>
                <w:color w:val="auto"/>
              </w:rPr>
              <w:t>tax</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498.5</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D8D8D8"/>
          </w:tcPr>
          <w:p>
            <w:pPr>
              <w:ind w:left="20"/>
              <w:spacing w:after="0" w:line="138"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$4.07</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(3,667.5)</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(5,607)</w:t>
            </w:r>
          </w:p>
        </w:tc>
        <w:tc>
          <w:tcPr>
            <w:tcW w:w="3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(1,496.5)</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(5,607)</w:t>
            </w: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1,500.0</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5,607</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(1,500.0)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rPr>
              <w:t>Issuance of stock under employee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2,123</w:t>
            </w:r>
          </w:p>
        </w:tc>
        <w:tc>
          <w:tcPr>
            <w:tcW w:w="34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(283.1)</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w:t>
            </w: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371.1</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D8D8D8"/>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7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December 31, 2022</w:t>
            </w:r>
          </w:p>
        </w:tc>
        <w:tc>
          <w:tcPr>
            <w:tcW w:w="9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950,632</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594.1</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6,921.4</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10,042.6</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jc w:val="right"/>
              <w:ind w:right="177"/>
              <w:spacing w:after="0"/>
              <w:rPr>
                <w:sz w:val="20"/>
                <w:szCs w:val="20"/>
                <w:color w:val="auto"/>
              </w:rPr>
            </w:pPr>
            <w:r>
              <w:rPr>
                <w:rFonts w:ascii="Arial" w:cs="Arial" w:eastAsia="Arial" w:hAnsi="Arial"/>
                <w:sz w:val="13"/>
                <w:szCs w:val="13"/>
                <w:color w:val="auto"/>
              </w:rPr>
              <w:t>(3,844.6)</w:t>
            </w:r>
          </w:p>
        </w:tc>
        <w:tc>
          <w:tcPr>
            <w:tcW w:w="70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450</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(50.5)</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5,240.4</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11.0</w:t>
            </w:r>
          </w:p>
        </w:tc>
        <w:tc>
          <w:tcPr>
            <w:tcW w:w="0" w:type="dxa"/>
            <w:vAlign w:val="bottom"/>
          </w:tcPr>
          <w:p>
            <w:pPr>
              <w:spacing w:after="0"/>
              <w:rPr>
                <w:sz w:val="1"/>
                <w:szCs w:val="1"/>
                <w:color w:val="auto"/>
              </w:rPr>
            </w:pPr>
          </w:p>
        </w:tc>
      </w:tr>
      <w:tr>
        <w:trPr>
          <w:trHeight w:val="132"/>
        </w:trPr>
        <w:tc>
          <w:tcPr>
            <w:tcW w:w="2080" w:type="dxa"/>
            <w:vAlign w:val="bottom"/>
            <w:shd w:val="clear" w:color="auto" w:fill="D8D8D8"/>
          </w:tcPr>
          <w:p>
            <w:pPr>
              <w:ind w:left="20"/>
              <w:spacing w:after="0" w:line="133" w:lineRule="exact"/>
              <w:rPr>
                <w:sz w:val="20"/>
                <w:szCs w:val="20"/>
                <w:color w:val="auto"/>
              </w:rPr>
            </w:pPr>
            <w:r>
              <w:rPr>
                <w:rFonts w:ascii="Arial" w:cs="Arial" w:eastAsia="Arial" w:hAnsi="Arial"/>
                <w:sz w:val="13"/>
                <w:szCs w:val="13"/>
                <w:color w:val="auto"/>
              </w:rPr>
              <w:t>Other comprehensive loss, net of</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vMerge w:val="restart"/>
            <w:shd w:val="clear" w:color="auto" w:fill="D8D8D8"/>
          </w:tcPr>
          <w:p>
            <w:pPr>
              <w:jc w:val="right"/>
              <w:ind w:right="177"/>
              <w:spacing w:after="0"/>
              <w:rPr>
                <w:sz w:val="20"/>
                <w:szCs w:val="20"/>
                <w:color w:val="auto"/>
              </w:rPr>
            </w:pPr>
            <w:r>
              <w:rPr>
                <w:rFonts w:ascii="Arial" w:cs="Arial" w:eastAsia="Arial" w:hAnsi="Arial"/>
                <w:sz w:val="13"/>
                <w:szCs w:val="13"/>
                <w:b w:val="1"/>
                <w:bCs w:val="1"/>
                <w:color w:val="auto"/>
              </w:rPr>
              <w:t>(482.4)</w:t>
            </w: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vMerge w:val="continue"/>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(4,221.3)</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3"/>
                <w:szCs w:val="13"/>
                <w:color w:val="auto"/>
              </w:rPr>
              <w:t>$4.69</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(2,299)</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(1.4)</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(748.6)</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(2,299)</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750.0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2,299</w:t>
            </w:r>
          </w:p>
        </w:tc>
        <w:tc>
          <w:tcPr>
            <w:tcW w:w="28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(750.0)</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80" w:type="dxa"/>
            <w:vAlign w:val="bottom"/>
            <w:shd w:val="clear" w:color="auto" w:fill="D8D8D8"/>
          </w:tcPr>
          <w:p>
            <w:pPr>
              <w:ind w:left="20"/>
              <w:spacing w:after="0" w:line="133" w:lineRule="exact"/>
              <w:rPr>
                <w:sz w:val="20"/>
                <w:szCs w:val="20"/>
                <w:color w:val="auto"/>
              </w:rPr>
            </w:pPr>
            <w:r>
              <w:rPr>
                <w:rFonts w:ascii="Arial" w:cs="Arial" w:eastAsia="Arial" w:hAnsi="Arial"/>
                <w:sz w:val="13"/>
                <w:szCs w:val="13"/>
                <w:color w:val="auto"/>
              </w:rPr>
              <w:t>Issuance of stock under employee</w:t>
            </w:r>
          </w:p>
        </w:tc>
        <w:tc>
          <w:tcPr>
            <w:tcW w:w="94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1,448</w:t>
            </w:r>
          </w:p>
        </w:tc>
        <w:tc>
          <w:tcPr>
            <w:tcW w:w="340" w:type="dxa"/>
            <w:vAlign w:val="bottom"/>
            <w:shd w:val="clear" w:color="auto" w:fill="D8D8D8"/>
          </w:tcPr>
          <w:p>
            <w:pPr>
              <w:spacing w:after="0"/>
              <w:rPr>
                <w:sz w:val="11"/>
                <w:szCs w:val="11"/>
                <w:color w:val="auto"/>
              </w:rPr>
            </w:pPr>
          </w:p>
        </w:tc>
        <w:tc>
          <w:tcPr>
            <w:tcW w:w="64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0.9</w:t>
            </w:r>
          </w:p>
        </w:tc>
        <w:tc>
          <w:tcPr>
            <w:tcW w:w="300" w:type="dxa"/>
            <w:vAlign w:val="bottom"/>
            <w:shd w:val="clear" w:color="auto" w:fill="D8D8D8"/>
          </w:tcPr>
          <w:p>
            <w:pPr>
              <w:spacing w:after="0"/>
              <w:rPr>
                <w:sz w:val="11"/>
                <w:szCs w:val="11"/>
                <w:color w:val="auto"/>
              </w:rPr>
            </w:pPr>
          </w:p>
        </w:tc>
        <w:tc>
          <w:tcPr>
            <w:tcW w:w="68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(299.5)</w:t>
            </w: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(48)</w:t>
            </w:r>
          </w:p>
        </w:tc>
        <w:tc>
          <w:tcPr>
            <w:tcW w:w="280" w:type="dxa"/>
            <w:vAlign w:val="bottom"/>
            <w:shd w:val="clear" w:color="auto" w:fill="D8D8D8"/>
          </w:tcPr>
          <w:p>
            <w:pPr>
              <w:spacing w:after="0"/>
              <w:rPr>
                <w:sz w:val="11"/>
                <w:szCs w:val="11"/>
                <w:color w:val="auto"/>
              </w:rPr>
            </w:pPr>
          </w:p>
        </w:tc>
        <w:tc>
          <w:tcPr>
            <w:tcW w:w="72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8.8</w:t>
            </w: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vMerge w:val="continue"/>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vMerge w:val="continue"/>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vMerge w:val="continue"/>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vMerge w:val="continue"/>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vMerge w:val="continue"/>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628.5</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300" w:type="dxa"/>
            <w:vAlign w:val="bottom"/>
            <w:tcBorders>
              <w:bottom w:val="single" w:sz="8" w:color="auto"/>
            </w:tcBorders>
            <w:shd w:val="clear" w:color="auto" w:fill="D8D8D8"/>
          </w:tcPr>
          <w:p>
            <w:pPr>
              <w:spacing w:after="0"/>
              <w:rPr>
                <w:sz w:val="15"/>
                <w:szCs w:val="15"/>
                <w:color w:val="auto"/>
              </w:rPr>
            </w:pPr>
          </w:p>
        </w:tc>
        <w:tc>
          <w:tcPr>
            <w:tcW w:w="68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(0.8)</w:t>
            </w:r>
          </w:p>
        </w:tc>
        <w:tc>
          <w:tcPr>
            <w:tcW w:w="26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00" w:type="dxa"/>
            <w:vAlign w:val="bottom"/>
            <w:tcBorders>
              <w:bottom w:val="single" w:sz="8" w:color="auto"/>
            </w:tcBorders>
            <w:shd w:val="clear" w:color="auto" w:fill="D8D8D8"/>
          </w:tcPr>
          <w:p>
            <w:pPr>
              <w:spacing w:after="0"/>
              <w:rPr>
                <w:sz w:val="15"/>
                <w:szCs w:val="15"/>
                <w:color w:val="auto"/>
              </w:rPr>
            </w:pPr>
          </w:p>
        </w:tc>
        <w:tc>
          <w:tcPr>
            <w:tcW w:w="102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(2.5)</w:t>
            </w:r>
          </w:p>
        </w:tc>
        <w:tc>
          <w:tcPr>
            <w:tcW w:w="46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(44.8)</w:t>
            </w:r>
          </w:p>
        </w:tc>
        <w:tc>
          <w:tcPr>
            <w:tcW w:w="0" w:type="dxa"/>
            <w:vAlign w:val="bottom"/>
          </w:tcPr>
          <w:p>
            <w:pPr>
              <w:spacing w:after="0"/>
              <w:rPr>
                <w:sz w:val="1"/>
                <w:szCs w:val="1"/>
                <w:color w:val="auto"/>
              </w:rPr>
            </w:pPr>
          </w:p>
        </w:tc>
      </w:tr>
      <w:tr>
        <w:trPr>
          <w:trHeight w:val="178"/>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2023</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949,781</w:t>
            </w:r>
          </w:p>
        </w:tc>
        <w:tc>
          <w:tcPr>
            <w:tcW w:w="3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593.6</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7,250.4</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10,312.3</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(4,327.0)</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402</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(44.2)</w:t>
            </w:r>
          </w:p>
        </w:tc>
        <w:tc>
          <w:tcPr>
            <w:tcW w:w="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91.8</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32"/>
          <w:szCs w:val="32"/>
          <w:i w:val="1"/>
          <w:i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5,240.4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6,244.8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5,581.7</w:t>
            </w:r>
          </w:p>
        </w:tc>
        <w:tc>
          <w:tcPr>
            <w:tcW w:w="0" w:type="dxa"/>
            <w:vAlign w:val="bottom"/>
          </w:tcPr>
          <w:p>
            <w:pPr>
              <w:spacing w:after="0"/>
              <w:rPr>
                <w:sz w:val="1"/>
                <w:szCs w:val="1"/>
                <w:color w:val="auto"/>
              </w:rPr>
            </w:pPr>
          </w:p>
        </w:tc>
      </w:tr>
      <w:tr>
        <w:trPr>
          <w:trHeight w:val="229"/>
        </w:trPr>
        <w:tc>
          <w:tcPr>
            <w:tcW w:w="7120" w:type="dxa"/>
            <w:vAlign w:val="bottom"/>
            <w:gridSpan w:val="2"/>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1,527.3</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1,522.5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1,547.6</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Debt extinguishment loss (Note 11)</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Change in deferred income taxes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(2,341.0)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(2,185.2)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628.5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371.1</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Net investment (gains) losses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23.5</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Gains on sale of product rights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(1,878.9)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(156.5)</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Acquired in-process research and development (Note 3)</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3,799.8</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908.5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operating activities, net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295.5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461.3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184"/>
        </w:trPr>
        <w:tc>
          <w:tcPr>
            <w:tcW w:w="7120" w:type="dxa"/>
            <w:vAlign w:val="bottom"/>
            <w:gridSpan w:val="2"/>
          </w:tcPr>
          <w:p>
            <w:pPr>
              <w:ind w:left="360"/>
              <w:spacing w:after="0" w:line="183" w:lineRule="exact"/>
              <w:rPr>
                <w:sz w:val="20"/>
                <w:szCs w:val="20"/>
                <w:color w:val="auto"/>
              </w:rPr>
            </w:pPr>
            <w:r>
              <w:rPr>
                <w:rFonts w:ascii="Arial" w:cs="Arial" w:eastAsia="Arial" w:hAnsi="Arial"/>
                <w:sz w:val="18"/>
                <w:szCs w:val="18"/>
                <w:color w:val="auto"/>
              </w:rPr>
              <w:t>Other changes in operating assets and liabilities, net of acquisitions and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480"/>
              <w:spacing w:after="0"/>
              <w:rPr>
                <w:sz w:val="20"/>
                <w:szCs w:val="20"/>
                <w:color w:val="auto"/>
              </w:rPr>
            </w:pPr>
            <w:r>
              <w:rPr>
                <w:rFonts w:ascii="Arial" w:cs="Arial" w:eastAsia="Arial" w:hAnsi="Arial"/>
                <w:sz w:val="18"/>
                <w:szCs w:val="18"/>
                <w:color w:val="auto"/>
              </w:rPr>
              <w:t>Receivables—(increase) decrease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(2,451.0)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Inventories—(increase) decrease</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(1,425.0)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480"/>
              <w:spacing w:after="0"/>
              <w:rPr>
                <w:sz w:val="20"/>
                <w:szCs w:val="20"/>
                <w:color w:val="auto"/>
              </w:rPr>
            </w:pPr>
            <w:r>
              <w:rPr>
                <w:rFonts w:ascii="Arial" w:cs="Arial" w:eastAsia="Arial" w:hAnsi="Arial"/>
                <w:sz w:val="18"/>
                <w:szCs w:val="18"/>
                <w:color w:val="auto"/>
              </w:rPr>
              <w:t>Other assets—(increase) decrease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(3,453.4)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(793.5)</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Accounts payable and other liabilities—increase (decrease)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4,274.4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1,692.0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4,240.1</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7,585.7</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7,365.9</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property and equipment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(3,447.6)</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(1,854.3)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30"/>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192.2</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short-term investments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(98.2)</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508.1</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342.2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noncurrent investments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(730.8)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(600.2)</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Proceeds from sale of product rights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1,604.3</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in-process research and development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(3,944.5)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(1,131.0)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 (Note 3)</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(1,044.3)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investing activities, net</w:t>
            </w:r>
          </w:p>
        </w:tc>
        <w:tc>
          <w:tcPr>
            <w:tcW w:w="22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(191.9)</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(302.2)</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(7,152.7)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(3,762.9)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(4,069.3)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(3,535.8)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(3,086.8)</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change in short-term borrowings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4,691.4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1,498.0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3,958.5</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2,410.8</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Repayments of long-term debt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(1,560.0)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(1,905.4)</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(750.0)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financing activities, net</w:t>
            </w:r>
          </w:p>
        </w:tc>
        <w:tc>
          <w:tcPr>
            <w:tcW w:w="22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(335.0)</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(308.9)</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3,495.6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(5,406.7)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(4,131.3)</w:t>
            </w:r>
          </w:p>
        </w:tc>
        <w:tc>
          <w:tcPr>
            <w:tcW w:w="0" w:type="dxa"/>
            <w:vAlign w:val="bottom"/>
          </w:tcPr>
          <w:p>
            <w:pPr>
              <w:spacing w:after="0"/>
              <w:rPr>
                <w:sz w:val="1"/>
                <w:szCs w:val="1"/>
                <w:color w:val="auto"/>
              </w:rPr>
            </w:pPr>
          </w:p>
        </w:tc>
      </w:tr>
      <w:tr>
        <w:trPr>
          <w:trHeight w:val="229"/>
        </w:trPr>
        <w:tc>
          <w:tcPr>
            <w:tcW w:w="7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168.6</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(167.6)</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751.6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2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2,067.0</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3,818.5</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22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2,818.6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2,067.0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3" w:right="399" w:bottom="1440" w:gutter="0" w:footer="0" w:header="0"/>
        </w:sectPr>
      </w:pPr>
    </w:p>
    <w:bookmarkStart w:id="61" w:name="page62"/>
    <w:bookmarkEnd w:id="61"/>
    <w:p>
      <w:pPr>
        <w:spacing w:after="0"/>
        <w:rPr>
          <w:sz w:val="20"/>
          <w:szCs w:val="20"/>
          <w:color w:val="auto"/>
        </w:rPr>
      </w:pPr>
      <w:r>
        <w:rPr>
          <w:rFonts w:ascii="Arial" w:cs="Arial" w:eastAsia="Arial" w:hAnsi="Arial"/>
          <w:sz w:val="32"/>
          <w:szCs w:val="32"/>
          <w:i w:val="1"/>
          <w:iCs w:val="1"/>
          <w:color w:val="auto"/>
        </w:rPr>
        <w:t>Notes to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w:t>
      </w:r>
    </w:p>
    <w:p>
      <w:pPr>
        <w:spacing w:after="0" w:line="99" w:lineRule="exact"/>
        <w:rPr>
          <w:sz w:val="20"/>
          <w:szCs w:val="20"/>
          <w:color w:val="auto"/>
        </w:rPr>
      </w:pPr>
    </w:p>
    <w:p>
      <w:pPr>
        <w:ind w:right="1580"/>
        <w:spacing w:after="0" w:line="375" w:lineRule="auto"/>
        <w:rPr>
          <w:sz w:val="20"/>
          <w:szCs w:val="20"/>
          <w:color w:val="auto"/>
        </w:rPr>
      </w:pPr>
      <w:r>
        <w:rPr>
          <w:rFonts w:ascii="Arial" w:cs="Arial" w:eastAsia="Arial" w:hAnsi="Arial"/>
          <w:sz w:val="18"/>
          <w:szCs w:val="18"/>
          <w:b w:val="1"/>
          <w:bCs w:val="1"/>
          <w:color w:val="auto"/>
        </w:rPr>
        <w:t>Note 1: Summary of Significant Accounting Policies and Implementation of New Financial Accounting Standards Basis of Presentation</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consolidated financial statements include Eli Lilly and Company and all subsidiaries and have been prepared in accordance with accounting principles generally accepted in the United States (GAAP). We consider majority voting interests, as well as effective economic or other control over an entity when deciding whether or not to consolidate an entity. We generally do not have control by means other than voting interests. Where our ownership of consolidated subsidiaries is less than 100 percent, the noncontrolling shareholders' interests are reflected as a separate component of equity. All intercompany balances and transactions have been eliminated.</w:t>
      </w:r>
    </w:p>
    <w:p>
      <w:pPr>
        <w:spacing w:after="0" w:line="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 of this Annual Report on Form 10-K.</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includes the initial costs and development milestones incurred related to externally developed IPR&amp;D projects, acquired directly in a transaction other than a business combination, that do not have an alternative future use. Development milestones are milestone payment obligations that are incurred prior to regulatory approval of the compound and are expensed when the event triggering an obligation to pay the milestone occurs.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We calculate basic EPS based on the weighted-average number of common shares outstanding plus the effect of incremental shares from potential participating securities. We calculate diluted EPS based on the weighted-average number of common shares outstanding plus the effect of incremental shares from our stock-based compensation programs.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Costs associated with advertising are expensed as incurred and are included in marketing, selling, and administrative expenses. Advertising expenses, comprised primarily of online marketing and television advertising, totaled $1.12 billion, $966.8 million, and $1.24 billion in 2023, 2022, and 2021, respectively, which was less than 5 percent of revenue each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 Development milestone payments related to externally developed IPR&amp;D projects, acquired directly in a transaction other than a business combination, were previously included in cash flows from operating activities in the consolidated statements of cash flows and are now included in purchases of IPR&amp;D in cash flows from investing activities. The reclassification resulted in an increase to net cash provided by operating activities and net cash used in investing activities of $501.3 million and $105.2 million in 2022 and 2021,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Early adoption is permitted. We intend to adopt this standard in our Annual Report on Form 10-K for the year ended December 31, 2025. We are currently evaluating the potential impact of adopting this standard on our disclosures.</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requires disclosures about significant segment expenses and additional interim disclosure requirements. This standard also requires a single reportable segment to provide all disclosures required by ASC 280. This standard is effective for fiscal years beginning after December 15, 2023, and interim periods within fiscal years beginning after December 15, 2024. Early adoption is permitted, and the amendments should be applied retrospectively for all prior periods presented in the consolidated financial statements. We intend to adopt this standard in our Annual Report on Form 10-K for the year ended December 31, 2024. We are currently evaluating the potential impact of adopting this standard on our disclosures.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product revenue</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28,813.9</w:t>
            </w:r>
          </w:p>
        </w:tc>
        <w:tc>
          <w:tcPr>
            <w:tcW w:w="4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25,462.8</w:t>
            </w:r>
          </w:p>
        </w:tc>
        <w:tc>
          <w:tcPr>
            <w:tcW w:w="5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25,957.9</w:t>
            </w:r>
          </w:p>
        </w:tc>
      </w:tr>
      <w:tr>
        <w:trPr>
          <w:trHeight w:val="230"/>
        </w:trPr>
        <w:tc>
          <w:tcPr>
            <w:tcW w:w="5860" w:type="dxa"/>
            <w:vAlign w:val="bottom"/>
            <w:tcBorders>
              <w:bottom w:val="single" w:sz="8" w:color="D8D8D8"/>
            </w:tcBorders>
          </w:tcPr>
          <w:p>
            <w:pPr>
              <w:ind w:left="20"/>
              <w:spacing w:after="0" w:line="230" w:lineRule="exact"/>
              <w:rPr>
                <w:sz w:val="20"/>
                <w:szCs w:val="20"/>
                <w:color w:val="auto"/>
              </w:rPr>
            </w:pPr>
            <w:r>
              <w:rPr>
                <w:rFonts w:ascii="Arial" w:cs="Arial" w:eastAsia="Arial" w:hAnsi="Arial"/>
                <w:sz w:val="18"/>
                <w:szCs w:val="18"/>
                <w:color w:val="auto"/>
              </w:rPr>
              <w:t>Collaboration and other revenue</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5,310.2</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3,078.6</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2,360.5</w:t>
            </w:r>
          </w:p>
        </w:tc>
      </w:tr>
      <w:tr>
        <w:trPr>
          <w:trHeight w:val="230"/>
        </w:trPr>
        <w:tc>
          <w:tcPr>
            <w:tcW w:w="5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34,124.1</w:t>
            </w:r>
          </w:p>
        </w:tc>
        <w:tc>
          <w:tcPr>
            <w:tcW w:w="48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rPr>
              <w:t>28,541.4</w:t>
            </w:r>
          </w:p>
        </w:tc>
        <w:tc>
          <w:tcPr>
            <w:tcW w:w="5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28,318.4</w:t>
            </w:r>
          </w:p>
        </w:tc>
      </w:tr>
    </w:tbl>
    <w:p>
      <w:pPr>
        <w:spacing w:after="0" w:line="85" w:lineRule="exact"/>
        <w:rPr>
          <w:sz w:val="20"/>
          <w:szCs w:val="20"/>
          <w:color w:val="auto"/>
        </w:rPr>
      </w:pPr>
    </w:p>
    <w:p>
      <w:pPr>
        <w:ind w:left="180" w:right="240" w:hanging="172"/>
        <w:spacing w:after="0" w:line="229" w:lineRule="auto"/>
        <w:tabs>
          <w:tab w:leader="none" w:pos="158"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$191.6 million, $163.4 million, and $175.0 million during the years ended December 31, 2023, 2022, and 2021,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ind w:right="20"/>
        <w:spacing w:after="0" w:line="235"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Trajenta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families of products resulting from our collaboration with Boehringer Ingelheim, as well as from the sales of rights for the olanzapine portfolio, including Zyprexa</w:t>
      </w:r>
      <w:r>
        <w:rPr>
          <w:rFonts w:ascii="Arial" w:cs="Arial" w:eastAsia="Arial" w:hAnsi="Arial"/>
          <w:sz w:val="23"/>
          <w:szCs w:val="23"/>
          <w:color w:val="auto"/>
          <w:vertAlign w:val="superscript"/>
        </w:rPr>
        <w:t>®</w:t>
      </w:r>
      <w:r>
        <w:rPr>
          <w:rFonts w:ascii="Arial" w:cs="Arial" w:eastAsia="Arial" w:hAnsi="Arial"/>
          <w:sz w:val="18"/>
          <w:szCs w:val="18"/>
          <w:color w:val="auto"/>
        </w:rPr>
        <w:t>, and for Baqsimi</w:t>
      </w:r>
      <w:r>
        <w:rPr>
          <w:rFonts w:ascii="Arial" w:cs="Arial" w:eastAsia="Arial" w:hAnsi="Arial"/>
          <w:sz w:val="23"/>
          <w:szCs w:val="23"/>
          <w:color w:val="auto"/>
          <w:vertAlign w:val="superscript"/>
        </w:rPr>
        <w:t>®</w:t>
      </w:r>
      <w:r>
        <w:rPr>
          <w:rFonts w:ascii="Arial" w:cs="Arial" w:eastAsia="Arial" w:hAnsi="Arial"/>
          <w:sz w:val="18"/>
          <w:szCs w:val="18"/>
          <w:color w:val="auto"/>
        </w:rPr>
        <w:t>, all of which are discussed in Note 4. Substantially all of the remainder of collaboration and other revenue is related to contracts accounted for as contracts with customers.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discounts, and returns are established in the same period the related product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Most of our products are sold to wholesalers that serve pharmacies, physicians and other healthcare professionals, and hospitals. For the years ended December 31, 2023, 2022, and 2021, our three largest wholesalers each accounted for between 16 percent and 21 percent of consolidated revenue. Further, they each accounted for between 18 percent and 29 percent of accounts receivable as of December 31, 2023 and 2022.</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Rebates and Discounts - Background and Uncertainties</w:t>
      </w:r>
    </w:p>
    <w:p>
      <w:pPr>
        <w:spacing w:after="0" w:line="115" w:lineRule="exact"/>
        <w:rPr>
          <w:sz w:val="20"/>
          <w:szCs w:val="20"/>
          <w:color w:val="auto"/>
        </w:rPr>
      </w:pPr>
    </w:p>
    <w:p>
      <w:pPr>
        <w:ind w:left="660" w:right="2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w:t>
      </w:r>
    </w:p>
    <w:p>
      <w:pPr>
        <w:spacing w:after="0" w:line="71"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68"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rebate payments for these programs, as well as patient assistance program costs,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revenue reductions related to these programs at the time we record the sale, the reduction related to that sale is typically paid up to six months later. Because of this time lag, in any particular period our net product revenue may incorporate revisions of accruals for several periods.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4" w:name="page65"/>
    <w:bookmarkEnd w:id="64"/>
    <w:p>
      <w:pPr>
        <w:ind w:left="660" w:right="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Returns - Background and Uncertainties</w:t>
      </w:r>
    </w:p>
    <w:p>
      <w:pPr>
        <w:spacing w:after="0" w:line="115" w:lineRule="exact"/>
        <w:rPr>
          <w:sz w:val="20"/>
          <w:szCs w:val="20"/>
          <w:color w:val="auto"/>
        </w:rPr>
      </w:pPr>
    </w:p>
    <w:p>
      <w:pPr>
        <w:ind w:left="660" w:right="4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 identified anticipated returns due to known factors such as the loss of patent exclusivity, product recalls and discontinuations, or a changing competitive environment. We maintain a returns policy that allows most U.S. customers to return most of our products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79"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at the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72"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U.S. product returns have been less than 2 percent of our U.S. revenue during each of the past three years and have not fluctuated significantly as a percentage of revenue, although fluctuations are more likely in periods following loss of patent exclusivity for major products in the U.S. market.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Adjustments to Revenue</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for products shipped in previous periods were less than 1 percent of U.S. revenue during each of the years ended December 31, 2023, 2022, and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17"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evaluated to determine if the arrangements in their entirety, or contain aspects that, are contracts with customers.</w:t>
      </w:r>
    </w:p>
    <w:p>
      <w:pPr>
        <w:spacing w:after="0" w:line="45" w:lineRule="exact"/>
        <w:rPr>
          <w:sz w:val="20"/>
          <w:szCs w:val="20"/>
          <w:color w:val="auto"/>
        </w:rPr>
      </w:pPr>
    </w:p>
    <w:p>
      <w:pPr>
        <w:ind w:left="660" w:right="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at the earlier of when control of the asset transfers to the other party or when the product has no alternative use to us and we have right to payment.</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5" w:name="page66"/>
    <w:bookmarkEnd w:id="65"/>
    <w:p>
      <w:pPr>
        <w:ind w:left="660" w:hanging="328"/>
        <w:spacing w:after="0" w:line="291"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Royalty revenue from licensees and certain of our collaboration partners, which is based on sales to third 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44" w:lineRule="exact"/>
        <w:rPr>
          <w:rFonts w:ascii="Arial" w:cs="Arial" w:eastAsia="Arial" w:hAnsi="Arial"/>
          <w:sz w:val="17"/>
          <w:szCs w:val="17"/>
          <w:color w:val="auto"/>
        </w:rPr>
      </w:pPr>
    </w:p>
    <w:p>
      <w:pPr>
        <w:ind w:left="660" w:right="1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gain or loss related to the sale of rights of a product is included in collaboration and other revenue when control of the asset transfers to the other party.</w:t>
      </w:r>
    </w:p>
    <w:p>
      <w:pPr>
        <w:spacing w:after="0" w:line="44"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arrangements that involve variable consideration where we have sold intellectual property, we recognize revenue based on estimates of the amount of consideration we believe we will be entitled to receive from the other party, but only to the extent a significant reversal in the amount of revenue recognized is not probable of occurring when the uncertainties associated with the variable consideration are subsequently resolved. These estimates are adjusted to reflect the actual amounts to be collected when those facts and circumstances become known. 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74"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158" w:lineRule="exact"/>
        <w:rPr>
          <w:sz w:val="20"/>
          <w:szCs w:val="20"/>
          <w:color w:val="auto"/>
        </w:rPr>
      </w:pPr>
    </w:p>
    <w:p>
      <w:pPr>
        <w:ind w:left="8820"/>
        <w:spacing w:after="0"/>
        <w:tabs>
          <w:tab w:leader="none" w:pos="103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320" w:val="left"/>
          <w:tab w:leader="none" w:pos="9180" w:val="left"/>
          <w:tab w:leader="none" w:pos="9840" w:val="left"/>
          <w:tab w:leader="none" w:pos="10700" w:val="left"/>
        </w:tabs>
        <w:rPr>
          <w:sz w:val="20"/>
          <w:szCs w:val="20"/>
          <w:color w:val="auto"/>
        </w:rPr>
      </w:pPr>
      <w:r>
        <w:rPr>
          <w:rFonts w:ascii="Arial" w:cs="Arial" w:eastAsia="Arial" w:hAnsi="Arial"/>
          <w:sz w:val="18"/>
          <w:szCs w:val="18"/>
          <w:color w:val="auto"/>
        </w:rPr>
        <w:t>Contract liabilities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193.6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219.2</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contract liabilities balances disclosed above as of December 31, 2023 and 2022 were primarily related to the remaining license period of symbolic intellectual property and obligations to supply product for a defined period of time.</w:t>
      </w:r>
    </w:p>
    <w:p>
      <w:pPr>
        <w:spacing w:after="0" w:line="4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During the years ended December 31, 2023, 2022, and 2021,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r>
      <w:tr>
        <w:trPr>
          <w:trHeight w:val="224"/>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Diabetes and obesity: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i w:val="1"/>
                <w:iCs w:val="1"/>
                <w:color w:val="auto"/>
                <w:vertAlign w:val="superscript"/>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5,433.3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5,688.8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1,699.2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1,750.9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1,557.6</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Mounjaro</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4,834.2</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366.6</w:t>
            </w:r>
          </w:p>
        </w:tc>
        <w:tc>
          <w:tcPr>
            <w:tcW w:w="36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328.9</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115.9</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1,600.4</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1,194.5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1,144.2</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871.5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683.5</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i w:val="1"/>
                <w:iCs w:val="1"/>
                <w:color w:val="auto"/>
                <w:vertAlign w:val="superscript"/>
              </w:rPr>
              <w:t>® (2)</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863.2</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1,191.9</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800.2</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868.7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1,132.3</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610.1</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730.2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242.0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289.2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389.6</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 (3)</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443.1</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470.7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285.2</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289.7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304.2</w:t>
            </w:r>
          </w:p>
        </w:tc>
      </w:tr>
      <w:tr>
        <w:trPr>
          <w:trHeight w:val="229"/>
        </w:trPr>
        <w:tc>
          <w:tcPr>
            <w:tcW w:w="3580" w:type="dxa"/>
            <w:vAlign w:val="bottom"/>
          </w:tcPr>
          <w:p>
            <w:pPr>
              <w:ind w:left="800"/>
              <w:spacing w:after="0"/>
              <w:rPr>
                <w:sz w:val="20"/>
                <w:szCs w:val="20"/>
                <w:color w:val="auto"/>
              </w:rPr>
            </w:pPr>
            <w:r>
              <w:rPr>
                <w:rFonts w:ascii="Arial" w:cs="Arial" w:eastAsia="Arial" w:hAnsi="Arial"/>
                <w:sz w:val="18"/>
                <w:szCs w:val="18"/>
                <w:i w:val="1"/>
                <w:iCs w:val="1"/>
                <w:color w:val="auto"/>
              </w:rPr>
              <w:t>Baqsimi</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645.7</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31.9</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175.8</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diabetes and obesity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355.2</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338.9</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r>
      <w:tr>
        <w:trPr>
          <w:trHeight w:val="223"/>
        </w:trPr>
        <w:tc>
          <w:tcPr>
            <w:tcW w:w="35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diabetes and obesity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14,780.8</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9,911.1</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8,719.3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4,886.8</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4,553.7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4,468.8</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Oncology: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2,509.0</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1,653.2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834.9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1,354.3</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830.3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515.0</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402.3</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351.4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572.4</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620.0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674.8</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528.9</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500.1</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67.6</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66.4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393.4</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293.3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418.1</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72.9</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543.7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144.6</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384.0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827.5</w:t>
            </w:r>
          </w:p>
        </w:tc>
      </w:tr>
      <w:tr>
        <w:trPr>
          <w:trHeight w:val="229"/>
        </w:trPr>
        <w:tc>
          <w:tcPr>
            <w:tcW w:w="358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283.9</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329.0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254.1</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r>
      <w:tr>
        <w:trPr>
          <w:trHeight w:val="223"/>
        </w:trPr>
        <w:tc>
          <w:tcPr>
            <w:tcW w:w="35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oncology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3,797.0</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3,218.1</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3,028.8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2,861.3</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2,448.1</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2,712.5</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Immunology: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1,831.6</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1,724.6</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1,542.4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928.0</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757.4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670.4</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i w:val="1"/>
                <w:iCs w:val="1"/>
                <w:color w:val="auto"/>
                <w:vertAlign w:val="superscript"/>
              </w:rPr>
              <w:t>® (4)</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225.5</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148.2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697.2</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682.3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30"/>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0.8</w:t>
            </w:r>
          </w:p>
        </w:tc>
        <w:tc>
          <w:tcPr>
            <w:tcW w:w="3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114.4</w:t>
            </w:r>
          </w:p>
        </w:tc>
        <w:tc>
          <w:tcPr>
            <w:tcW w:w="2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3580" w:type="dxa"/>
            <w:vAlign w:val="bottom"/>
          </w:tcPr>
          <w:p>
            <w:pPr>
              <w:ind w:left="46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2,057.9</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1,892.8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1,739.6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1,451.8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1,479.0</w:t>
            </w:r>
          </w:p>
        </w:tc>
      </w:tr>
      <w:tr>
        <w:trPr>
          <w:trHeight w:val="230"/>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Neuroscience:</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(5)</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79.4</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1,615.4</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390.7</w:t>
            </w:r>
          </w:p>
        </w:tc>
      </w:tr>
      <w:tr>
        <w:trPr>
          <w:trHeight w:val="230"/>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482.2</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462.8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196.0</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188.1</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358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134.4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371.1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439.2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r>
      <w:tr>
        <w:trPr>
          <w:trHeight w:val="223"/>
        </w:trPr>
        <w:tc>
          <w:tcPr>
            <w:tcW w:w="35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696.0</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612.4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2,182.5</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933.8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1,283.7</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335.5</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367.3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197.7</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245.8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360.3</w:t>
            </w:r>
          </w:p>
        </w:tc>
      </w:tr>
      <w:tr>
        <w:trPr>
          <w:trHeight w:val="229"/>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26.1</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355.3</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552.1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707.9</w:t>
            </w:r>
          </w:p>
        </w:tc>
      </w:tr>
      <w:tr>
        <w:trPr>
          <w:trHeight w:val="243"/>
        </w:trPr>
        <w:tc>
          <w:tcPr>
            <w:tcW w:w="3580" w:type="dxa"/>
            <w:vAlign w:val="bottom"/>
            <w:shd w:val="clear" w:color="auto" w:fill="DBDBDB"/>
          </w:tcPr>
          <w:p>
            <w:pPr>
              <w:ind w:left="800"/>
              <w:spacing w:after="0" w:line="243" w:lineRule="exact"/>
              <w:rPr>
                <w:sz w:val="20"/>
                <w:szCs w:val="20"/>
                <w:color w:val="auto"/>
              </w:rPr>
            </w:pPr>
            <w:r>
              <w:rPr>
                <w:rFonts w:ascii="Arial" w:cs="Arial" w:eastAsia="Arial" w:hAnsi="Arial"/>
                <w:sz w:val="18"/>
                <w:szCs w:val="18"/>
                <w:i w:val="1"/>
                <w:iCs w:val="1"/>
                <w:color w:val="auto"/>
              </w:rPr>
              <w:t>COVID-19 antibodies</w:t>
            </w:r>
            <w:r>
              <w:rPr>
                <w:rFonts w:ascii="Arial" w:cs="Arial" w:eastAsia="Arial" w:hAnsi="Arial"/>
                <w:sz w:val="23"/>
                <w:szCs w:val="23"/>
                <w:i w:val="1"/>
                <w:iCs w:val="1"/>
                <w:color w:val="auto"/>
                <w:vertAlign w:val="superscript"/>
              </w:rPr>
              <w:t>(6)</w:t>
            </w:r>
          </w:p>
        </w:tc>
        <w:tc>
          <w:tcPr>
            <w:tcW w:w="26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2,008.9</w:t>
            </w:r>
          </w:p>
        </w:tc>
        <w:tc>
          <w:tcPr>
            <w:tcW w:w="36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21"/>
                <w:szCs w:val="21"/>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261.4</w:t>
            </w:r>
          </w:p>
        </w:tc>
      </w:tr>
      <w:tr>
        <w:trPr>
          <w:trHeight w:val="229"/>
        </w:trPr>
        <w:tc>
          <w:tcPr>
            <w:tcW w:w="358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97.7</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109.9</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r>
      <w:tr>
        <w:trPr>
          <w:trHeight w:val="223"/>
        </w:trPr>
        <w:tc>
          <w:tcPr>
            <w:tcW w:w="35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other</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459.3</w:t>
            </w:r>
          </w:p>
        </w:tc>
        <w:tc>
          <w:tcPr>
            <w:tcW w:w="3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2,555.7</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2,566.4</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662.9</w:t>
            </w:r>
          </w:p>
        </w:tc>
        <w:tc>
          <w:tcPr>
            <w:tcW w:w="2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964.0</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1,563.5</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21,791.0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18,190.0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12,333.1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10,351.3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-624840</wp:posOffset>
            </wp:positionV>
            <wp:extent cx="7543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ind w:left="140" w:hanging="132"/>
        <w:spacing w:after="0" w:line="228" w:lineRule="auto"/>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ind w:left="140" w:hanging="132"/>
        <w:spacing w:after="0" w:line="211" w:lineRule="auto"/>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the rights for the olanzapine portfolio.</w:t>
      </w: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for bamlanivimab and etesevimab administered together, and for bebtelovimab and were made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4"/>
        </w:trPr>
        <w:tc>
          <w:tcPr>
            <w:tcW w:w="6980" w:type="dxa"/>
            <w:vAlign w:val="bottom"/>
            <w:shd w:val="clear" w:color="auto" w:fill="D8D8D8"/>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21,791.0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18,190.0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16,811.0</w:t>
            </w:r>
          </w:p>
        </w:tc>
      </w:tr>
      <w:tr>
        <w:trPr>
          <w:trHeight w:val="229"/>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6,174.7</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4,299.2</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4,776.8</w:t>
            </w: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1,672.6</w:t>
            </w:r>
          </w:p>
        </w:tc>
        <w:tc>
          <w:tcPr>
            <w:tcW w:w="4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1,747.3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2,367.0</w:t>
            </w:r>
          </w:p>
        </w:tc>
      </w:tr>
      <w:tr>
        <w:trPr>
          <w:trHeight w:val="230"/>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1,539.7</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1,452.8</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1,661.4</w:t>
            </w:r>
          </w:p>
        </w:tc>
      </w:tr>
      <w:tr>
        <w:trPr>
          <w:trHeight w:val="229"/>
        </w:trPr>
        <w:tc>
          <w:tcPr>
            <w:tcW w:w="69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2,946.2</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2,852.0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2,702.2</w:t>
            </w:r>
          </w:p>
        </w:tc>
      </w:tr>
      <w:tr>
        <w:trPr>
          <w:trHeight w:val="230"/>
        </w:trPr>
        <w:tc>
          <w:tcPr>
            <w:tcW w:w="69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34,124.1</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28,541.4</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28,318.4</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 or other party.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December 2023, December 2022, and January 2021, we completed the acquisitions of POINT Biopharma Global Inc. (POINT), Akouos, Inc. (Akouos), and Prevail Therapeutics Inc. (Prevail), respectively. These transactions, as further discussed below in Acquisitions of Businesses, were accounted for as business combinations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have been included in our consolidated financial statements from the date of acquisition.</w:t>
      </w:r>
    </w:p>
    <w:p>
      <w:pPr>
        <w:spacing w:after="0" w:line="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acquired assets in development in 2023, 2022, and 2021, which are further discussed below in Asset Acquisitions. Upon each acquisition, the cost allocated to acquired IPR&amp;D was immediately expensed as acquired IPR&amp;D if the compound has no alternative future use. Milestone payment obligations incurred prior to regulatory approval of the compound are expensed when the event triggering an obligation to pay the milestone occurs. We recognized acquired IPR&amp;D charges of $3.80 billion, $908.5 million, and $970.1 million for the years ended December 31, 2023, 2022, and 2021,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POINT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2023, we acquired all shares of POINT for a purchase price of $12.50 per share in cash (or an aggregate of $ 1.04 billion, net of cash acquired). Under the terms of the agreement, we acquired capabilities to advance our radiopharmaceutical discovery, development, and manufacturing efforts, as well as clinical and pre-clinical radioligand therapies in development for the treatment of cancer.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access to POINT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27,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DBDBDB"/>
          </w:tcPr>
          <w:p>
            <w:pPr>
              <w:jc w:val="right"/>
              <w:ind w:right="7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302.7</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Acquired IPR&amp;D</w:t>
            </w: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2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859.1</w:t>
            </w:r>
          </w:p>
        </w:tc>
      </w:tr>
      <w:tr>
        <w:trPr>
          <w:trHeight w:val="229"/>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1,338.5</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88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r>
    </w:tbl>
    <w:p>
      <w:pPr>
        <w:spacing w:after="0" w:line="85" w:lineRule="exact"/>
        <w:rPr>
          <w:sz w:val="20"/>
          <w:szCs w:val="20"/>
          <w:color w:val="auto"/>
        </w:rPr>
      </w:pPr>
    </w:p>
    <w:p>
      <w:pPr>
        <w:ind w:left="180" w:right="200" w:hanging="172"/>
        <w:spacing w:after="0" w:line="229" w:lineRule="auto"/>
        <w:tabs>
          <w:tab w:leader="none" w:pos="158"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the radiopharmaceutical discovery, development, and manufacturing capabilities and the assembled workforce for POINT, which is not deductible for tax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POINT for the year ended December 31, 2023 were immaterial.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years ended December 31, 2023 and 2022.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Akouos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December 2022, we acquired all shares of Akouos for a purchase price that included $12.50 per share in cash (or an aggregate of $327.2 million, net of cash acquired) plus one non-tradable contingent value right (CVR) per share. The CVR entitles the Akouos shareholders up to an additional $3.00 per share in cash (or an aggregate of approximately $122 million) payable, subject to certain terms and conditions, upon the achievement of certain specified milestones prior to December 2028.</w:t>
      </w:r>
    </w:p>
    <w:p>
      <w:pPr>
        <w:spacing w:after="0" w:line="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Under the terms of the agreement, we acquired potential gene therapy treatments for hearing loss and other inner ear conditions. The lead gene therapies in clinical development that we acquired included GJB2 (which encodes connexin 26) for a common form of monogenic deafness and hearing loss; AK-OTOF for hearing loss due to mutations in the otoferlin gene; AK-CLRN1 for Usher Type 3A, an autosomal recessive disorder characterized by progressive loss of both hearing and vision; and AK-antiVEGF for vestibular schwannoma.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tcBorders>
              <w:top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886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30"/>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185.6</w:t>
            </w:r>
          </w:p>
        </w:tc>
      </w:tr>
      <w:tr>
        <w:trPr>
          <w:trHeight w:val="229"/>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547.3</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8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Cash acquired</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8860" w:type="dxa"/>
            <w:vAlign w:val="bottom"/>
            <w:tcBorders>
              <w:bottom w:val="single" w:sz="8" w:color="DBDBDB"/>
            </w:tcBorders>
          </w:tcPr>
          <w:p>
            <w:pPr>
              <w:ind w:left="26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8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paid, net of cash acquired</w:t>
            </w:r>
          </w:p>
        </w:tc>
        <w:tc>
          <w:tcPr>
            <w:tcW w:w="960" w:type="dxa"/>
            <w:vAlign w:val="bottom"/>
            <w:tcBorders>
              <w:bottom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327.2</w:t>
            </w:r>
          </w:p>
        </w:tc>
      </w:tr>
    </w:tbl>
    <w:p>
      <w:pPr>
        <w:spacing w:after="0" w:line="85"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GJB2.</w:t>
      </w:r>
    </w:p>
    <w:p>
      <w:pPr>
        <w:spacing w:after="0" w:line="5" w:lineRule="exact"/>
        <w:rPr>
          <w:rFonts w:ascii="Arial" w:cs="Arial" w:eastAsia="Arial" w:hAnsi="Arial"/>
          <w:sz w:val="16"/>
          <w:szCs w:val="16"/>
          <w:color w:val="auto"/>
          <w:vertAlign w:val="superscript"/>
        </w:rPr>
      </w:pPr>
    </w:p>
    <w:p>
      <w:pPr>
        <w:ind w:left="180" w:right="680" w:hanging="172"/>
        <w:spacing w:after="0" w:line="220" w:lineRule="auto"/>
        <w:tabs>
          <w:tab w:leader="none" w:pos="15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Akouos and is not deductible for tax purposes.</w:t>
      </w: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See Note 7 for a discussion on the estimation of the CVR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Akouos for the year ended December 31, 2023 and 2022 were immaterial.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years ended December 31, 2022 and 2021.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$747.4 million, net of cash acquired) plus one non-tradable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agreement, we acquired potentially disease-modifying AAV9-based gene therapies for patients with neurodegenerative diseases. The acquisition established a new modality for drug discovery and development, extending our research efforts through the creation of a gene therapy program that is being anchored by Prevail's portfolio of assets. The lead gene therapies in clinical development that we acquired were PR001 (GBA1 Gene Therapy) for patients with Parkinson's disease with GBA1 mutations and neuronopathic Gaucher disease and PR006 for patients with frontotemporal dementia with GRN mutations. Both PR001 and PR006 were granted Fast Track designation from the U.S. Food and Drug Administration.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tcBorders>
              <w:top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886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824.0</w:t>
            </w:r>
          </w:p>
        </w:tc>
      </w:tr>
      <w:tr>
        <w:trPr>
          <w:trHeight w:val="229"/>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126.8</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30"/>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 and liabilities, net</w:t>
            </w:r>
          </w:p>
        </w:tc>
        <w:tc>
          <w:tcPr>
            <w:tcW w:w="96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8860" w:type="dxa"/>
            <w:vAlign w:val="bottom"/>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903.8</w:t>
            </w:r>
          </w:p>
        </w:tc>
      </w:tr>
      <w:tr>
        <w:trPr>
          <w:trHeight w:val="229"/>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r>
      <w:tr>
        <w:trPr>
          <w:trHeight w:val="230"/>
        </w:trPr>
        <w:tc>
          <w:tcPr>
            <w:tcW w:w="8860" w:type="dxa"/>
            <w:vAlign w:val="bottom"/>
          </w:tcPr>
          <w:p>
            <w:pPr>
              <w:ind w:left="260"/>
              <w:spacing w:after="0"/>
              <w:rPr>
                <w:sz w:val="20"/>
                <w:szCs w:val="20"/>
                <w:color w:val="auto"/>
              </w:rPr>
            </w:pPr>
            <w:r>
              <w:rPr>
                <w:rFonts w:ascii="Arial" w:cs="Arial" w:eastAsia="Arial" w:hAnsi="Arial"/>
                <w:sz w:val="18"/>
                <w:szCs w:val="18"/>
                <w:color w:val="auto"/>
              </w:rPr>
              <w:t>Cash acquired</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8860" w:type="dxa"/>
            <w:vAlign w:val="bottom"/>
            <w:shd w:val="clear" w:color="auto" w:fill="DBDBDB"/>
          </w:tcPr>
          <w:p>
            <w:pPr>
              <w:ind w:left="26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96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r>
    </w:tbl>
    <w:p>
      <w:pPr>
        <w:spacing w:after="0" w:line="85" w:lineRule="exact"/>
        <w:rPr>
          <w:sz w:val="20"/>
          <w:szCs w:val="20"/>
          <w:color w:val="auto"/>
        </w:rPr>
      </w:pPr>
    </w:p>
    <w:p>
      <w:pPr>
        <w:ind w:left="180" w:right="500" w:hanging="172"/>
        <w:spacing w:after="0" w:line="229" w:lineRule="auto"/>
        <w:tabs>
          <w:tab w:leader="none" w:pos="158"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Acquired IPR&amp;D intangibles primarily relate to PR001 (GBA1 Gene Therapy). In 2022, we impaired the intangible asset related to GBA1 Gene Therapy. See Note 5 for additional information.</w:t>
      </w:r>
    </w:p>
    <w:p>
      <w:pPr>
        <w:ind w:left="160" w:hanging="152"/>
        <w:spacing w:after="0"/>
        <w:tabs>
          <w:tab w:leader="none" w:pos="160" w:val="left"/>
        </w:tabs>
        <w:numPr>
          <w:ilvl w:val="0"/>
          <w:numId w:val="33"/>
        </w:numPr>
        <w:rPr>
          <w:rFonts w:ascii="Arial" w:cs="Arial" w:eastAsia="Arial" w:hAnsi="Arial"/>
          <w:sz w:val="9"/>
          <w:szCs w:val="9"/>
          <w:color w:val="auto"/>
        </w:rPr>
      </w:pPr>
      <w:r>
        <w:rPr>
          <w:rFonts w:ascii="Arial" w:cs="Arial" w:eastAsia="Arial" w:hAnsi="Arial"/>
          <w:sz w:val="14"/>
          <w:szCs w:val="14"/>
          <w:color w:val="auto"/>
        </w:rPr>
        <w:t>The goodwill recognized from this acquisition is not deductible for tax purposes.</w:t>
      </w:r>
    </w:p>
    <w:p>
      <w:pPr>
        <w:spacing w:after="0" w:line="14" w:lineRule="exact"/>
        <w:rPr>
          <w:rFonts w:ascii="Arial" w:cs="Arial" w:eastAsia="Arial" w:hAnsi="Arial"/>
          <w:sz w:val="9"/>
          <w:szCs w:val="9"/>
          <w:color w:val="auto"/>
        </w:rPr>
      </w:pPr>
    </w:p>
    <w:p>
      <w:pPr>
        <w:ind w:left="140" w:hanging="132"/>
        <w:spacing w:after="0" w:line="229" w:lineRule="auto"/>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See Note 7 for a discussion on the estimation of the CVR liability.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Prevail for the years ended December 31, 2023, 2022, and 2021 were immaterial.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 ended December 31, 2021.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asset acquisitions during 2023, 2022, and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36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Compound(s),Therapy, or Asset</w:t>
            </w:r>
          </w:p>
        </w:tc>
        <w:tc>
          <w:tcPr>
            <w:tcW w:w="1380" w:type="dxa"/>
            <w:vAlign w:val="bottom"/>
          </w:tcPr>
          <w:p>
            <w:pPr>
              <w:jc w:val="center"/>
              <w:ind w:right="33"/>
              <w:spacing w:after="0"/>
              <w:rPr>
                <w:sz w:val="20"/>
                <w:szCs w:val="20"/>
                <w:color w:val="auto"/>
              </w:rPr>
            </w:pPr>
            <w:r>
              <w:rPr>
                <w:rFonts w:ascii="Arial" w:cs="Arial" w:eastAsia="Arial" w:hAnsi="Arial"/>
                <w:sz w:val="14"/>
                <w:szCs w:val="14"/>
                <w:b w:val="1"/>
                <w:bCs w:val="1"/>
                <w:color w:val="auto"/>
              </w:rPr>
              <w:t>Acquisition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20" w:type="dxa"/>
            <w:vAlign w:val="bottom"/>
          </w:tcPr>
          <w:p>
            <w:pPr>
              <w:spacing w:after="0"/>
              <w:rPr>
                <w:sz w:val="14"/>
                <w:szCs w:val="14"/>
                <w:color w:val="auto"/>
              </w:rPr>
            </w:pP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1"/>
        </w:trPr>
        <w:tc>
          <w:tcPr>
            <w:tcW w:w="2960" w:type="dxa"/>
            <w:vAlign w:val="bottom"/>
            <w:tcBorders>
              <w:bottom w:val="single" w:sz="8" w:color="auto"/>
            </w:tcBorders>
            <w:vMerge w:val="continue"/>
          </w:tcPr>
          <w:p>
            <w:pPr>
              <w:spacing w:after="0"/>
              <w:rPr>
                <w:sz w:val="17"/>
                <w:szCs w:val="17"/>
                <w:color w:val="auto"/>
              </w:rPr>
            </w:pPr>
          </w:p>
        </w:tc>
        <w:tc>
          <w:tcPr>
            <w:tcW w:w="368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Month</w:t>
            </w:r>
          </w:p>
        </w:tc>
        <w:tc>
          <w:tcPr>
            <w:tcW w:w="14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69"/>
        </w:trPr>
        <w:tc>
          <w:tcPr>
            <w:tcW w:w="2960" w:type="dxa"/>
            <w:vAlign w:val="bottom"/>
            <w:shd w:val="clear" w:color="auto" w:fill="D8D8D8"/>
          </w:tcPr>
          <w:p>
            <w:pPr>
              <w:spacing w:after="0"/>
              <w:rPr>
                <w:sz w:val="14"/>
                <w:szCs w:val="14"/>
                <w:color w:val="auto"/>
              </w:rPr>
            </w:pPr>
          </w:p>
        </w:tc>
        <w:tc>
          <w:tcPr>
            <w:tcW w:w="3680" w:type="dxa"/>
            <w:vAlign w:val="bottom"/>
            <w:shd w:val="clear" w:color="auto" w:fill="D8D8D8"/>
          </w:tcPr>
          <w:p>
            <w:pPr>
              <w:ind w:left="440"/>
              <w:spacing w:after="0" w:line="169" w:lineRule="exact"/>
              <w:rPr>
                <w:sz w:val="20"/>
                <w:szCs w:val="20"/>
                <w:color w:val="auto"/>
              </w:rPr>
            </w:pPr>
            <w:r>
              <w:rPr>
                <w:rFonts w:ascii="Arial" w:cs="Arial" w:eastAsia="Arial" w:hAnsi="Arial"/>
                <w:sz w:val="18"/>
                <w:szCs w:val="18"/>
                <w:color w:val="auto"/>
              </w:rPr>
              <w:t>MBK-103, a folate receptor alpha</w:t>
            </w:r>
          </w:p>
        </w:tc>
        <w:tc>
          <w:tcPr>
            <w:tcW w:w="1380" w:type="dxa"/>
            <w:vAlign w:val="bottom"/>
            <w:vMerge w:val="restart"/>
            <w:shd w:val="clear" w:color="auto" w:fill="D8D8D8"/>
          </w:tcPr>
          <w:p>
            <w:pPr>
              <w:jc w:val="center"/>
              <w:ind w:right="33"/>
              <w:spacing w:after="0"/>
              <w:rPr>
                <w:sz w:val="20"/>
                <w:szCs w:val="20"/>
                <w:color w:val="auto"/>
              </w:rPr>
            </w:pPr>
            <w:r>
              <w:rPr>
                <w:rFonts w:ascii="Arial" w:cs="Arial" w:eastAsia="Arial" w:hAnsi="Arial"/>
                <w:sz w:val="18"/>
                <w:szCs w:val="18"/>
                <w:color w:val="auto"/>
                <w:w w:val="98"/>
              </w:rPr>
              <w:t>December</w:t>
            </w:r>
          </w:p>
        </w:tc>
        <w:tc>
          <w:tcPr>
            <w:tcW w:w="142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4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960" w:type="dxa"/>
            <w:vAlign w:val="bottom"/>
            <w:vMerge w:val="restart"/>
            <w:shd w:val="clear" w:color="auto" w:fill="D8D8D8"/>
          </w:tcPr>
          <w:p>
            <w:pPr>
              <w:ind w:left="20"/>
              <w:spacing w:after="0" w:line="183" w:lineRule="exact"/>
              <w:rPr>
                <w:sz w:val="20"/>
                <w:szCs w:val="20"/>
                <w:color w:val="auto"/>
              </w:rPr>
            </w:pPr>
            <w:r>
              <w:rPr>
                <w:rFonts w:ascii="Arial" w:cs="Arial" w:eastAsia="Arial" w:hAnsi="Arial"/>
                <w:sz w:val="18"/>
                <w:szCs w:val="18"/>
                <w:color w:val="auto"/>
              </w:rPr>
              <w:t>Mablink Biosciences SAS</w:t>
            </w:r>
          </w:p>
        </w:tc>
        <w:tc>
          <w:tcPr>
            <w:tcW w:w="3680" w:type="dxa"/>
            <w:vAlign w:val="bottom"/>
            <w:vMerge w:val="restart"/>
            <w:shd w:val="clear" w:color="auto" w:fill="D8D8D8"/>
          </w:tcPr>
          <w:p>
            <w:pPr>
              <w:ind w:left="440"/>
              <w:spacing w:after="0" w:line="183" w:lineRule="exact"/>
              <w:rPr>
                <w:sz w:val="20"/>
                <w:szCs w:val="20"/>
                <w:color w:val="auto"/>
              </w:rPr>
            </w:pPr>
            <w:r>
              <w:rPr>
                <w:rFonts w:ascii="Arial" w:cs="Arial" w:eastAsia="Arial" w:hAnsi="Arial"/>
                <w:sz w:val="18"/>
                <w:szCs w:val="18"/>
                <w:color w:val="auto"/>
              </w:rPr>
              <w:t>antibody drug conjugate for the</w:t>
            </w:r>
          </w:p>
        </w:tc>
        <w:tc>
          <w:tcPr>
            <w:tcW w:w="1380" w:type="dxa"/>
            <w:vAlign w:val="bottom"/>
            <w:vMerge w:val="continue"/>
            <w:shd w:val="clear" w:color="auto" w:fill="D8D8D8"/>
          </w:tcPr>
          <w:p>
            <w:pPr>
              <w:spacing w:after="0"/>
              <w:rPr>
                <w:sz w:val="7"/>
                <w:szCs w:val="7"/>
                <w:color w:val="auto"/>
              </w:rPr>
            </w:pPr>
          </w:p>
        </w:tc>
        <w:tc>
          <w:tcPr>
            <w:tcW w:w="1420" w:type="dxa"/>
            <w:vAlign w:val="bottom"/>
            <w:vMerge w:val="restart"/>
            <w:shd w:val="clear" w:color="auto" w:fill="D8D8D8"/>
          </w:tcPr>
          <w:p>
            <w:pPr>
              <w:jc w:val="center"/>
              <w:spacing w:after="0" w:line="183" w:lineRule="exact"/>
              <w:rPr>
                <w:sz w:val="20"/>
                <w:szCs w:val="20"/>
                <w:color w:val="auto"/>
              </w:rPr>
            </w:pPr>
            <w:r>
              <w:rPr>
                <w:rFonts w:ascii="Arial" w:cs="Arial" w:eastAsia="Arial" w:hAnsi="Arial"/>
                <w:sz w:val="18"/>
                <w:szCs w:val="18"/>
                <w:color w:val="auto"/>
                <w:w w:val="99"/>
              </w:rPr>
              <w:t>Pre-clinical</w:t>
            </w:r>
          </w:p>
        </w:tc>
        <w:tc>
          <w:tcPr>
            <w:tcW w:w="320" w:type="dxa"/>
            <w:vAlign w:val="bottom"/>
            <w:vMerge w:val="restart"/>
            <w:shd w:val="clear" w:color="auto" w:fill="D8D8D8"/>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D8D8D8"/>
          </w:tcPr>
          <w:p>
            <w:pPr>
              <w:jc w:val="right"/>
              <w:spacing w:after="0" w:line="183" w:lineRule="exact"/>
              <w:rPr>
                <w:sz w:val="20"/>
                <w:szCs w:val="20"/>
                <w:color w:val="auto"/>
              </w:rPr>
            </w:pPr>
            <w:r>
              <w:rPr>
                <w:rFonts w:ascii="Arial" w:cs="Arial" w:eastAsia="Arial" w:hAnsi="Arial"/>
                <w:sz w:val="18"/>
                <w:szCs w:val="18"/>
                <w:b w:val="1"/>
                <w:bCs w:val="1"/>
                <w:color w:val="auto"/>
              </w:rPr>
              <w:t>256.6</w:t>
            </w:r>
          </w:p>
        </w:tc>
        <w:tc>
          <w:tcPr>
            <w:tcW w:w="0" w:type="dxa"/>
            <w:vAlign w:val="bottom"/>
          </w:tcPr>
          <w:p>
            <w:pPr>
              <w:spacing w:after="0"/>
              <w:rPr>
                <w:sz w:val="1"/>
                <w:szCs w:val="1"/>
                <w:color w:val="auto"/>
              </w:rPr>
            </w:pPr>
          </w:p>
        </w:tc>
      </w:tr>
      <w:tr>
        <w:trPr>
          <w:trHeight w:val="103"/>
        </w:trPr>
        <w:tc>
          <w:tcPr>
            <w:tcW w:w="2960" w:type="dxa"/>
            <w:vAlign w:val="bottom"/>
            <w:vMerge w:val="continue"/>
            <w:shd w:val="clear" w:color="auto" w:fill="D8D8D8"/>
          </w:tcPr>
          <w:p>
            <w:pPr>
              <w:spacing w:after="0"/>
              <w:rPr>
                <w:sz w:val="8"/>
                <w:szCs w:val="8"/>
                <w:color w:val="auto"/>
              </w:rPr>
            </w:pPr>
          </w:p>
        </w:tc>
        <w:tc>
          <w:tcPr>
            <w:tcW w:w="3680" w:type="dxa"/>
            <w:vAlign w:val="bottom"/>
            <w:vMerge w:val="continue"/>
            <w:shd w:val="clear" w:color="auto" w:fill="D8D8D8"/>
          </w:tcPr>
          <w:p>
            <w:pPr>
              <w:spacing w:after="0"/>
              <w:rPr>
                <w:sz w:val="8"/>
                <w:szCs w:val="8"/>
                <w:color w:val="auto"/>
              </w:rPr>
            </w:pPr>
          </w:p>
        </w:tc>
        <w:tc>
          <w:tcPr>
            <w:tcW w:w="1380" w:type="dxa"/>
            <w:vAlign w:val="bottom"/>
            <w:vMerge w:val="restart"/>
            <w:shd w:val="clear" w:color="auto" w:fill="D8D8D8"/>
          </w:tcPr>
          <w:p>
            <w:pPr>
              <w:jc w:val="center"/>
              <w:ind w:right="13"/>
              <w:spacing w:after="0"/>
              <w:rPr>
                <w:sz w:val="20"/>
                <w:szCs w:val="20"/>
                <w:color w:val="auto"/>
              </w:rPr>
            </w:pPr>
            <w:r>
              <w:rPr>
                <w:rFonts w:ascii="Arial" w:cs="Arial" w:eastAsia="Arial" w:hAnsi="Arial"/>
                <w:sz w:val="18"/>
                <w:szCs w:val="18"/>
                <w:color w:val="auto"/>
                <w:w w:val="99"/>
              </w:rPr>
              <w:t>2023</w:t>
            </w:r>
          </w:p>
        </w:tc>
        <w:tc>
          <w:tcPr>
            <w:tcW w:w="1420" w:type="dxa"/>
            <w:vAlign w:val="bottom"/>
            <w:vMerge w:val="continue"/>
            <w:shd w:val="clear" w:color="auto" w:fill="D8D8D8"/>
          </w:tcPr>
          <w:p>
            <w:pPr>
              <w:spacing w:after="0"/>
              <w:rPr>
                <w:sz w:val="8"/>
                <w:szCs w:val="8"/>
                <w:color w:val="auto"/>
              </w:rPr>
            </w:pPr>
          </w:p>
        </w:tc>
        <w:tc>
          <w:tcPr>
            <w:tcW w:w="320" w:type="dxa"/>
            <w:vAlign w:val="bottom"/>
            <w:vMerge w:val="continue"/>
            <w:shd w:val="clear" w:color="auto" w:fill="D8D8D8"/>
          </w:tcPr>
          <w:p>
            <w:pPr>
              <w:spacing w:after="0"/>
              <w:rPr>
                <w:sz w:val="8"/>
                <w:szCs w:val="8"/>
                <w:color w:val="auto"/>
              </w:rPr>
            </w:pPr>
          </w:p>
        </w:tc>
        <w:tc>
          <w:tcPr>
            <w:tcW w:w="148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960" w:type="dxa"/>
            <w:vAlign w:val="bottom"/>
            <w:shd w:val="clear" w:color="auto" w:fill="D8D8D8"/>
          </w:tcPr>
          <w:p>
            <w:pPr>
              <w:spacing w:after="0"/>
              <w:rPr>
                <w:sz w:val="11"/>
                <w:szCs w:val="11"/>
                <w:color w:val="auto"/>
              </w:rPr>
            </w:pPr>
          </w:p>
        </w:tc>
        <w:tc>
          <w:tcPr>
            <w:tcW w:w="3680" w:type="dxa"/>
            <w:vAlign w:val="bottom"/>
            <w:vMerge w:val="restart"/>
            <w:shd w:val="clear" w:color="auto" w:fill="D8D8D8"/>
          </w:tcPr>
          <w:p>
            <w:pPr>
              <w:ind w:left="440"/>
              <w:spacing w:after="0"/>
              <w:rPr>
                <w:sz w:val="20"/>
                <w:szCs w:val="20"/>
                <w:color w:val="auto"/>
              </w:rPr>
            </w:pPr>
            <w:r>
              <w:rPr>
                <w:rFonts w:ascii="Arial" w:cs="Arial" w:eastAsia="Arial" w:hAnsi="Arial"/>
                <w:sz w:val="18"/>
                <w:szCs w:val="18"/>
                <w:color w:val="auto"/>
              </w:rPr>
              <w:t>treatment of ovarian cancer</w:t>
            </w:r>
          </w:p>
        </w:tc>
        <w:tc>
          <w:tcPr>
            <w:tcW w:w="1380" w:type="dxa"/>
            <w:vAlign w:val="bottom"/>
            <w:vMerge w:val="continue"/>
            <w:shd w:val="clear" w:color="auto" w:fill="D8D8D8"/>
          </w:tcPr>
          <w:p>
            <w:pPr>
              <w:spacing w:after="0"/>
              <w:rPr>
                <w:sz w:val="11"/>
                <w:szCs w:val="11"/>
                <w:color w:val="auto"/>
              </w:rPr>
            </w:pPr>
          </w:p>
        </w:tc>
        <w:tc>
          <w:tcPr>
            <w:tcW w:w="1420" w:type="dxa"/>
            <w:vAlign w:val="bottom"/>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14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960" w:type="dxa"/>
            <w:vAlign w:val="bottom"/>
            <w:tcBorders>
              <w:bottom w:val="single" w:sz="8" w:color="auto"/>
            </w:tcBorders>
            <w:shd w:val="clear" w:color="auto" w:fill="D8D8D8"/>
          </w:tcPr>
          <w:p>
            <w:pPr>
              <w:spacing w:after="0"/>
              <w:rPr>
                <w:sz w:val="8"/>
                <w:szCs w:val="8"/>
                <w:color w:val="auto"/>
              </w:rPr>
            </w:pPr>
          </w:p>
        </w:tc>
        <w:tc>
          <w:tcPr>
            <w:tcW w:w="3680" w:type="dxa"/>
            <w:vAlign w:val="bottom"/>
            <w:tcBorders>
              <w:bottom w:val="single" w:sz="8" w:color="auto"/>
            </w:tcBorders>
            <w:vMerge w:val="continue"/>
            <w:shd w:val="clear" w:color="auto" w:fill="D8D8D8"/>
          </w:tcPr>
          <w:p>
            <w:pPr>
              <w:spacing w:after="0"/>
              <w:rPr>
                <w:sz w:val="8"/>
                <w:szCs w:val="8"/>
                <w:color w:val="auto"/>
              </w:rPr>
            </w:pPr>
          </w:p>
        </w:tc>
        <w:tc>
          <w:tcPr>
            <w:tcW w:w="1380" w:type="dxa"/>
            <w:vAlign w:val="bottom"/>
            <w:tcBorders>
              <w:bottom w:val="single" w:sz="8" w:color="auto"/>
            </w:tcBorders>
            <w:shd w:val="clear" w:color="auto" w:fill="D8D8D8"/>
          </w:tcPr>
          <w:p>
            <w:pPr>
              <w:spacing w:after="0"/>
              <w:rPr>
                <w:sz w:val="8"/>
                <w:szCs w:val="8"/>
                <w:color w:val="auto"/>
              </w:rPr>
            </w:pPr>
          </w:p>
        </w:tc>
        <w:tc>
          <w:tcPr>
            <w:tcW w:w="1420" w:type="dxa"/>
            <w:vAlign w:val="bottom"/>
            <w:tcBorders>
              <w:bottom w:val="single" w:sz="8" w:color="auto"/>
            </w:tcBorders>
            <w:shd w:val="clear" w:color="auto" w:fill="D8D8D8"/>
          </w:tcPr>
          <w:p>
            <w:pPr>
              <w:spacing w:after="0"/>
              <w:rPr>
                <w:sz w:val="8"/>
                <w:szCs w:val="8"/>
                <w:color w:val="auto"/>
              </w:rPr>
            </w:pPr>
          </w:p>
        </w:tc>
        <w:tc>
          <w:tcPr>
            <w:tcW w:w="320" w:type="dxa"/>
            <w:vAlign w:val="bottom"/>
            <w:tcBorders>
              <w:bottom w:val="single" w:sz="8" w:color="auto"/>
            </w:tcBorders>
            <w:shd w:val="clear" w:color="auto" w:fill="D8D8D8"/>
          </w:tcPr>
          <w:p>
            <w:pPr>
              <w:spacing w:after="0"/>
              <w:rPr>
                <w:sz w:val="8"/>
                <w:szCs w:val="8"/>
                <w:color w:val="auto"/>
              </w:rPr>
            </w:pPr>
          </w:p>
        </w:tc>
        <w:tc>
          <w:tcPr>
            <w:tcW w:w="148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Beam Therapeutics Inc.</w:t>
            </w:r>
          </w:p>
        </w:tc>
        <w:tc>
          <w:tcPr>
            <w:tcW w:w="3680" w:type="dxa"/>
            <w:vAlign w:val="bottom"/>
          </w:tcPr>
          <w:p>
            <w:pPr>
              <w:ind w:left="440"/>
              <w:spacing w:after="0" w:line="169" w:lineRule="exact"/>
              <w:rPr>
                <w:sz w:val="20"/>
                <w:szCs w:val="20"/>
                <w:color w:val="auto"/>
              </w:rPr>
            </w:pPr>
            <w:r>
              <w:rPr>
                <w:rFonts w:ascii="Arial" w:cs="Arial" w:eastAsia="Arial" w:hAnsi="Arial"/>
                <w:sz w:val="18"/>
                <w:szCs w:val="18"/>
                <w:color w:val="auto"/>
              </w:rPr>
              <w:t>Opt-in right for programs targeting</w:t>
            </w:r>
          </w:p>
        </w:tc>
        <w:tc>
          <w:tcPr>
            <w:tcW w:w="1380" w:type="dxa"/>
            <w:vAlign w:val="bottom"/>
            <w:vMerge w:val="restart"/>
          </w:tcPr>
          <w:p>
            <w:pPr>
              <w:jc w:val="center"/>
              <w:ind w:right="33"/>
              <w:spacing w:after="0"/>
              <w:rPr>
                <w:sz w:val="20"/>
                <w:szCs w:val="20"/>
                <w:color w:val="auto"/>
              </w:rPr>
            </w:pPr>
            <w:r>
              <w:rPr>
                <w:rFonts w:ascii="Arial" w:cs="Arial" w:eastAsia="Arial" w:hAnsi="Arial"/>
                <w:sz w:val="18"/>
                <w:szCs w:val="18"/>
                <w:color w:val="auto"/>
              </w:rPr>
              <w:t>October 2023</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216.3</w:t>
            </w:r>
          </w:p>
        </w:tc>
        <w:tc>
          <w:tcPr>
            <w:tcW w:w="0" w:type="dxa"/>
            <w:vAlign w:val="bottom"/>
          </w:tcPr>
          <w:p>
            <w:pPr>
              <w:spacing w:after="0"/>
              <w:rPr>
                <w:sz w:val="1"/>
                <w:szCs w:val="1"/>
                <w:color w:val="auto"/>
              </w:rPr>
            </w:pPr>
          </w:p>
        </w:tc>
      </w:tr>
      <w:tr>
        <w:trPr>
          <w:trHeight w:val="184"/>
        </w:trPr>
        <w:tc>
          <w:tcPr>
            <w:tcW w:w="2960" w:type="dxa"/>
            <w:vAlign w:val="bottom"/>
            <w:vMerge w:val="continue"/>
          </w:tcPr>
          <w:p>
            <w:pPr>
              <w:spacing w:after="0"/>
              <w:rPr>
                <w:sz w:val="15"/>
                <w:szCs w:val="15"/>
                <w:color w:val="auto"/>
              </w:rPr>
            </w:pPr>
          </w:p>
        </w:tc>
        <w:tc>
          <w:tcPr>
            <w:tcW w:w="3680" w:type="dxa"/>
            <w:vAlign w:val="bottom"/>
          </w:tcPr>
          <w:p>
            <w:pPr>
              <w:ind w:left="440"/>
              <w:spacing w:after="0" w:line="183" w:lineRule="exact"/>
              <w:rPr>
                <w:sz w:val="20"/>
                <w:szCs w:val="20"/>
                <w:color w:val="auto"/>
              </w:rPr>
            </w:pPr>
            <w:r>
              <w:rPr>
                <w:rFonts w:ascii="Arial" w:cs="Arial" w:eastAsia="Arial" w:hAnsi="Arial"/>
                <w:sz w:val="18"/>
                <w:szCs w:val="18"/>
                <w:color w:val="auto"/>
              </w:rPr>
              <w:t>PCSK9, ANGPTL3 and an undisclosed</w:t>
            </w:r>
          </w:p>
        </w:tc>
        <w:tc>
          <w:tcPr>
            <w:tcW w:w="1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liver-mediated, cardiovascular target</w:t>
            </w:r>
          </w:p>
        </w:tc>
        <w:tc>
          <w:tcPr>
            <w:tcW w:w="1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DICE Therapeutics, Inc. (DICE)</w:t>
            </w:r>
          </w:p>
        </w:tc>
        <w:tc>
          <w:tcPr>
            <w:tcW w:w="3680" w:type="dxa"/>
            <w:vAlign w:val="bottom"/>
            <w:shd w:val="clear" w:color="auto" w:fill="D8D8D8"/>
          </w:tcPr>
          <w:p>
            <w:pPr>
              <w:ind w:left="440"/>
              <w:spacing w:after="0" w:line="169" w:lineRule="exact"/>
              <w:rPr>
                <w:sz w:val="20"/>
                <w:szCs w:val="20"/>
                <w:color w:val="auto"/>
              </w:rPr>
            </w:pPr>
            <w:r>
              <w:rPr>
                <w:rFonts w:ascii="Arial" w:cs="Arial" w:eastAsia="Arial" w:hAnsi="Arial"/>
                <w:sz w:val="18"/>
                <w:szCs w:val="18"/>
                <w:color w:val="auto"/>
              </w:rPr>
              <w:t>DC-806, an oral IL-17 inhibitor for the</w:t>
            </w:r>
          </w:p>
        </w:tc>
        <w:tc>
          <w:tcPr>
            <w:tcW w:w="1380" w:type="dxa"/>
            <w:vAlign w:val="bottom"/>
            <w:vMerge w:val="restart"/>
            <w:shd w:val="clear" w:color="auto" w:fill="D8D8D8"/>
          </w:tcPr>
          <w:p>
            <w:pPr>
              <w:jc w:val="center"/>
              <w:ind w:right="33"/>
              <w:spacing w:after="0"/>
              <w:rPr>
                <w:sz w:val="20"/>
                <w:szCs w:val="20"/>
                <w:color w:val="auto"/>
              </w:rPr>
            </w:pPr>
            <w:r>
              <w:rPr>
                <w:rFonts w:ascii="Arial" w:cs="Arial" w:eastAsia="Arial" w:hAnsi="Arial"/>
                <w:sz w:val="18"/>
                <w:szCs w:val="18"/>
                <w:color w:val="auto"/>
              </w:rPr>
              <w:t>August 2023</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Phase II</w:t>
            </w:r>
          </w:p>
        </w:tc>
        <w:tc>
          <w:tcPr>
            <w:tcW w:w="320" w:type="dxa"/>
            <w:vAlign w:val="bottom"/>
            <w:shd w:val="clear" w:color="auto" w:fill="D8D8D8"/>
          </w:tcPr>
          <w:p>
            <w:pPr>
              <w:spacing w:after="0"/>
              <w:rPr>
                <w:sz w:val="14"/>
                <w:szCs w:val="14"/>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1,915.5</w:t>
            </w:r>
          </w:p>
        </w:tc>
        <w:tc>
          <w:tcPr>
            <w:tcW w:w="0" w:type="dxa"/>
            <w:vAlign w:val="bottom"/>
          </w:tcPr>
          <w:p>
            <w:pPr>
              <w:spacing w:after="0"/>
              <w:rPr>
                <w:sz w:val="1"/>
                <w:szCs w:val="1"/>
                <w:color w:val="auto"/>
              </w:rPr>
            </w:pPr>
          </w:p>
        </w:tc>
      </w:tr>
      <w:tr>
        <w:trPr>
          <w:trHeight w:val="184"/>
        </w:trPr>
        <w:tc>
          <w:tcPr>
            <w:tcW w:w="2960" w:type="dxa"/>
            <w:vAlign w:val="bottom"/>
            <w:vMerge w:val="continue"/>
            <w:shd w:val="clear" w:color="auto" w:fill="D8D8D8"/>
          </w:tcPr>
          <w:p>
            <w:pPr>
              <w:spacing w:after="0"/>
              <w:rPr>
                <w:sz w:val="15"/>
                <w:szCs w:val="15"/>
                <w:color w:val="auto"/>
              </w:rPr>
            </w:pPr>
          </w:p>
        </w:tc>
        <w:tc>
          <w:tcPr>
            <w:tcW w:w="3680" w:type="dxa"/>
            <w:vAlign w:val="bottom"/>
            <w:shd w:val="clear" w:color="auto" w:fill="D8D8D8"/>
          </w:tcPr>
          <w:p>
            <w:pPr>
              <w:ind w:left="440"/>
              <w:spacing w:after="0" w:line="183" w:lineRule="exact"/>
              <w:rPr>
                <w:sz w:val="20"/>
                <w:szCs w:val="20"/>
                <w:color w:val="auto"/>
              </w:rPr>
            </w:pPr>
            <w:r>
              <w:rPr>
                <w:rFonts w:ascii="Arial" w:cs="Arial" w:eastAsia="Arial" w:hAnsi="Arial"/>
                <w:sz w:val="18"/>
                <w:szCs w:val="18"/>
                <w:color w:val="auto"/>
              </w:rPr>
              <w:t>treatment of chronic diseases in</w:t>
            </w:r>
          </w:p>
        </w:tc>
        <w:tc>
          <w:tcPr>
            <w:tcW w:w="1380" w:type="dxa"/>
            <w:vAlign w:val="bottom"/>
            <w:vMerge w:val="continue"/>
            <w:shd w:val="clear" w:color="auto" w:fill="D8D8D8"/>
          </w:tcPr>
          <w:p>
            <w:pPr>
              <w:spacing w:after="0"/>
              <w:rPr>
                <w:sz w:val="15"/>
                <w:szCs w:val="15"/>
                <w:color w:val="auto"/>
              </w:rPr>
            </w:pPr>
          </w:p>
        </w:tc>
        <w:tc>
          <w:tcPr>
            <w:tcW w:w="1420" w:type="dxa"/>
            <w:vAlign w:val="bottom"/>
            <w:vMerge w:val="continue"/>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148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shd w:val="clear" w:color="auto" w:fill="D8D8D8"/>
          </w:tcPr>
          <w:p>
            <w:pPr>
              <w:spacing w:after="0"/>
              <w:rPr>
                <w:sz w:val="20"/>
                <w:szCs w:val="20"/>
                <w:color w:val="auto"/>
              </w:rPr>
            </w:pPr>
          </w:p>
        </w:tc>
        <w:tc>
          <w:tcPr>
            <w:tcW w:w="368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immunology</w:t>
            </w:r>
          </w:p>
        </w:tc>
        <w:tc>
          <w:tcPr>
            <w:tcW w:w="1380" w:type="dxa"/>
            <w:vAlign w:val="bottom"/>
            <w:tcBorders>
              <w:bottom w:val="single" w:sz="8" w:color="auto"/>
            </w:tcBorders>
            <w:shd w:val="clear" w:color="auto" w:fill="D8D8D8"/>
          </w:tcPr>
          <w:p>
            <w:pPr>
              <w:spacing w:after="0"/>
              <w:rPr>
                <w:sz w:val="20"/>
                <w:szCs w:val="20"/>
                <w:color w:val="auto"/>
              </w:rPr>
            </w:pPr>
          </w:p>
        </w:tc>
        <w:tc>
          <w:tcPr>
            <w:tcW w:w="1420" w:type="dxa"/>
            <w:vAlign w:val="bottom"/>
            <w:tcBorders>
              <w:bottom w:val="single" w:sz="8" w:color="auto"/>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spacing w:after="0"/>
              <w:rPr>
                <w:sz w:val="20"/>
                <w:szCs w:val="20"/>
                <w:color w:val="auto"/>
              </w:rPr>
            </w:pPr>
          </w:p>
        </w:tc>
        <w:tc>
          <w:tcPr>
            <w:tcW w:w="1480" w:type="dxa"/>
            <w:vAlign w:val="bottom"/>
            <w:tcBorders>
              <w:bottom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3680" w:type="dxa"/>
            <w:vAlign w:val="bottom"/>
          </w:tcPr>
          <w:p>
            <w:pPr>
              <w:ind w:left="440"/>
              <w:spacing w:after="0" w:line="169" w:lineRule="exact"/>
              <w:rPr>
                <w:sz w:val="20"/>
                <w:szCs w:val="20"/>
                <w:color w:val="auto"/>
              </w:rPr>
            </w:pPr>
            <w:r>
              <w:rPr>
                <w:rFonts w:ascii="Arial" w:cs="Arial" w:eastAsia="Arial" w:hAnsi="Arial"/>
                <w:sz w:val="18"/>
                <w:szCs w:val="18"/>
                <w:color w:val="auto"/>
              </w:rPr>
              <w:t>Bimagrumab, a monoclonal antibody for</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Versanis Bio, Inc. (Versanis)</w:t>
            </w:r>
          </w:p>
        </w:tc>
        <w:tc>
          <w:tcPr>
            <w:tcW w:w="3680" w:type="dxa"/>
            <w:vAlign w:val="bottom"/>
          </w:tcPr>
          <w:p>
            <w:pPr>
              <w:ind w:left="440"/>
              <w:spacing w:after="0" w:line="183" w:lineRule="exact"/>
              <w:rPr>
                <w:sz w:val="20"/>
                <w:szCs w:val="20"/>
                <w:color w:val="auto"/>
              </w:rPr>
            </w:pPr>
            <w:r>
              <w:rPr>
                <w:rFonts w:ascii="Arial" w:cs="Arial" w:eastAsia="Arial" w:hAnsi="Arial"/>
                <w:sz w:val="18"/>
                <w:szCs w:val="18"/>
                <w:color w:val="auto"/>
              </w:rPr>
              <w:t>the treatment of people living with</w:t>
            </w:r>
          </w:p>
        </w:tc>
        <w:tc>
          <w:tcPr>
            <w:tcW w:w="1380" w:type="dxa"/>
            <w:vAlign w:val="bottom"/>
            <w:vMerge w:val="restart"/>
          </w:tcPr>
          <w:p>
            <w:pPr>
              <w:jc w:val="center"/>
              <w:ind w:right="33"/>
              <w:spacing w:after="0"/>
              <w:rPr>
                <w:sz w:val="20"/>
                <w:szCs w:val="20"/>
                <w:color w:val="auto"/>
              </w:rPr>
            </w:pPr>
            <w:r>
              <w:rPr>
                <w:rFonts w:ascii="Arial" w:cs="Arial" w:eastAsia="Arial" w:hAnsi="Arial"/>
                <w:sz w:val="18"/>
                <w:szCs w:val="18"/>
                <w:color w:val="auto"/>
              </w:rPr>
              <w:t>August 2023</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3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604.1</w:t>
            </w:r>
          </w:p>
        </w:tc>
        <w:tc>
          <w:tcPr>
            <w:tcW w:w="0" w:type="dxa"/>
            <w:vAlign w:val="bottom"/>
          </w:tcPr>
          <w:p>
            <w:pPr>
              <w:spacing w:after="0"/>
              <w:rPr>
                <w:sz w:val="1"/>
                <w:szCs w:val="1"/>
                <w:color w:val="auto"/>
              </w:rPr>
            </w:pPr>
          </w:p>
        </w:tc>
      </w:tr>
      <w:tr>
        <w:trPr>
          <w:trHeight w:val="152"/>
        </w:trPr>
        <w:tc>
          <w:tcPr>
            <w:tcW w:w="2960" w:type="dxa"/>
            <w:vAlign w:val="bottom"/>
            <w:vMerge w:val="continue"/>
          </w:tcPr>
          <w:p>
            <w:pPr>
              <w:spacing w:after="0"/>
              <w:rPr>
                <w:sz w:val="13"/>
                <w:szCs w:val="13"/>
                <w:color w:val="auto"/>
              </w:rPr>
            </w:pPr>
          </w:p>
        </w:tc>
        <w:tc>
          <w:tcPr>
            <w:tcW w:w="3680" w:type="dxa"/>
            <w:vAlign w:val="bottom"/>
            <w:vMerge w:val="restart"/>
          </w:tcPr>
          <w:p>
            <w:pPr>
              <w:ind w:left="440"/>
              <w:spacing w:after="0" w:line="181" w:lineRule="exact"/>
              <w:rPr>
                <w:sz w:val="20"/>
                <w:szCs w:val="20"/>
                <w:color w:val="auto"/>
              </w:rPr>
            </w:pPr>
            <w:r>
              <w:rPr>
                <w:rFonts w:ascii="Arial" w:cs="Arial" w:eastAsia="Arial" w:hAnsi="Arial"/>
                <w:sz w:val="18"/>
                <w:szCs w:val="18"/>
                <w:color w:val="auto"/>
              </w:rPr>
              <w:t>obesity and obesity-related</w:t>
            </w:r>
          </w:p>
        </w:tc>
        <w:tc>
          <w:tcPr>
            <w:tcW w:w="13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3680" w:type="dxa"/>
            <w:vAlign w:val="bottom"/>
            <w:vMerge w:val="continue"/>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complications</w:t>
            </w:r>
          </w:p>
        </w:tc>
        <w:tc>
          <w:tcPr>
            <w:tcW w:w="1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Emergence Therapeutics AG</w:t>
            </w:r>
          </w:p>
        </w:tc>
        <w:tc>
          <w:tcPr>
            <w:tcW w:w="3680" w:type="dxa"/>
            <w:vAlign w:val="bottom"/>
            <w:shd w:val="clear" w:color="auto" w:fill="D8D8D8"/>
          </w:tcPr>
          <w:p>
            <w:pPr>
              <w:ind w:left="440"/>
              <w:spacing w:after="0" w:line="169" w:lineRule="exact"/>
              <w:rPr>
                <w:sz w:val="20"/>
                <w:szCs w:val="20"/>
                <w:color w:val="auto"/>
              </w:rPr>
            </w:pPr>
            <w:r>
              <w:rPr>
                <w:rFonts w:ascii="Arial" w:cs="Arial" w:eastAsia="Arial" w:hAnsi="Arial"/>
                <w:sz w:val="18"/>
                <w:szCs w:val="18"/>
                <w:color w:val="auto"/>
              </w:rPr>
              <w:t>ETx-22, a Nectin-4 antibody-drug</w:t>
            </w:r>
          </w:p>
        </w:tc>
        <w:tc>
          <w:tcPr>
            <w:tcW w:w="1380" w:type="dxa"/>
            <w:vAlign w:val="bottom"/>
            <w:vMerge w:val="restart"/>
            <w:shd w:val="clear" w:color="auto" w:fill="D8D8D8"/>
          </w:tcPr>
          <w:p>
            <w:pPr>
              <w:jc w:val="center"/>
              <w:ind w:right="33"/>
              <w:spacing w:after="0"/>
              <w:rPr>
                <w:sz w:val="20"/>
                <w:szCs w:val="20"/>
                <w:color w:val="auto"/>
              </w:rPr>
            </w:pPr>
            <w:r>
              <w:rPr>
                <w:rFonts w:ascii="Arial" w:cs="Arial" w:eastAsia="Arial" w:hAnsi="Arial"/>
                <w:sz w:val="18"/>
                <w:szCs w:val="18"/>
                <w:color w:val="auto"/>
              </w:rPr>
              <w:t>August 2023</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D8D8D8"/>
          </w:tcPr>
          <w:p>
            <w:pPr>
              <w:spacing w:after="0"/>
              <w:rPr>
                <w:sz w:val="14"/>
                <w:szCs w:val="14"/>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406.5</w:t>
            </w:r>
          </w:p>
        </w:tc>
        <w:tc>
          <w:tcPr>
            <w:tcW w:w="0" w:type="dxa"/>
            <w:vAlign w:val="bottom"/>
          </w:tcPr>
          <w:p>
            <w:pPr>
              <w:spacing w:after="0"/>
              <w:rPr>
                <w:sz w:val="1"/>
                <w:szCs w:val="1"/>
                <w:color w:val="auto"/>
              </w:rPr>
            </w:pPr>
          </w:p>
        </w:tc>
      </w:tr>
      <w:tr>
        <w:trPr>
          <w:trHeight w:val="184"/>
        </w:trPr>
        <w:tc>
          <w:tcPr>
            <w:tcW w:w="2960" w:type="dxa"/>
            <w:vAlign w:val="bottom"/>
            <w:vMerge w:val="continue"/>
            <w:shd w:val="clear" w:color="auto" w:fill="D8D8D8"/>
          </w:tcPr>
          <w:p>
            <w:pPr>
              <w:spacing w:after="0"/>
              <w:rPr>
                <w:sz w:val="15"/>
                <w:szCs w:val="15"/>
                <w:color w:val="auto"/>
              </w:rPr>
            </w:pPr>
          </w:p>
        </w:tc>
        <w:tc>
          <w:tcPr>
            <w:tcW w:w="3680" w:type="dxa"/>
            <w:vAlign w:val="bottom"/>
            <w:shd w:val="clear" w:color="auto" w:fill="D8D8D8"/>
          </w:tcPr>
          <w:p>
            <w:pPr>
              <w:ind w:left="440"/>
              <w:spacing w:after="0" w:line="183" w:lineRule="exact"/>
              <w:rPr>
                <w:sz w:val="20"/>
                <w:szCs w:val="20"/>
                <w:color w:val="auto"/>
              </w:rPr>
            </w:pPr>
            <w:r>
              <w:rPr>
                <w:rFonts w:ascii="Arial" w:cs="Arial" w:eastAsia="Arial" w:hAnsi="Arial"/>
                <w:sz w:val="18"/>
                <w:szCs w:val="18"/>
                <w:color w:val="auto"/>
              </w:rPr>
              <w:t>conjugate for the treatment of urothelial</w:t>
            </w:r>
          </w:p>
        </w:tc>
        <w:tc>
          <w:tcPr>
            <w:tcW w:w="1380" w:type="dxa"/>
            <w:vAlign w:val="bottom"/>
            <w:vMerge w:val="continue"/>
            <w:shd w:val="clear" w:color="auto" w:fill="D8D8D8"/>
          </w:tcPr>
          <w:p>
            <w:pPr>
              <w:spacing w:after="0"/>
              <w:rPr>
                <w:sz w:val="15"/>
                <w:szCs w:val="15"/>
                <w:color w:val="auto"/>
              </w:rPr>
            </w:pPr>
          </w:p>
        </w:tc>
        <w:tc>
          <w:tcPr>
            <w:tcW w:w="1420" w:type="dxa"/>
            <w:vAlign w:val="bottom"/>
            <w:vMerge w:val="continue"/>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148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shd w:val="clear" w:color="auto" w:fill="D8D8D8"/>
          </w:tcPr>
          <w:p>
            <w:pPr>
              <w:spacing w:after="0"/>
              <w:rPr>
                <w:sz w:val="20"/>
                <w:szCs w:val="20"/>
                <w:color w:val="auto"/>
              </w:rPr>
            </w:pPr>
          </w:p>
        </w:tc>
        <w:tc>
          <w:tcPr>
            <w:tcW w:w="368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cancer</w:t>
            </w:r>
          </w:p>
        </w:tc>
        <w:tc>
          <w:tcPr>
            <w:tcW w:w="1380" w:type="dxa"/>
            <w:vAlign w:val="bottom"/>
            <w:tcBorders>
              <w:bottom w:val="single" w:sz="8" w:color="auto"/>
            </w:tcBorders>
            <w:shd w:val="clear" w:color="auto" w:fill="D8D8D8"/>
          </w:tcPr>
          <w:p>
            <w:pPr>
              <w:spacing w:after="0"/>
              <w:rPr>
                <w:sz w:val="20"/>
                <w:szCs w:val="20"/>
                <w:color w:val="auto"/>
              </w:rPr>
            </w:pPr>
          </w:p>
        </w:tc>
        <w:tc>
          <w:tcPr>
            <w:tcW w:w="1420" w:type="dxa"/>
            <w:vAlign w:val="bottom"/>
            <w:tcBorders>
              <w:bottom w:val="single" w:sz="8" w:color="auto"/>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spacing w:after="0"/>
              <w:rPr>
                <w:sz w:val="20"/>
                <w:szCs w:val="20"/>
                <w:color w:val="auto"/>
              </w:rPr>
            </w:pPr>
          </w:p>
        </w:tc>
        <w:tc>
          <w:tcPr>
            <w:tcW w:w="1480" w:type="dxa"/>
            <w:vAlign w:val="bottom"/>
            <w:tcBorders>
              <w:bottom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BioMarin Pharmaceutical Inc.</w:t>
            </w:r>
          </w:p>
        </w:tc>
        <w:tc>
          <w:tcPr>
            <w:tcW w:w="368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Priority Review Voucher</w:t>
            </w:r>
          </w:p>
        </w:tc>
        <w:tc>
          <w:tcPr>
            <w:tcW w:w="1380" w:type="dxa"/>
            <w:vAlign w:val="bottom"/>
            <w:tcBorders>
              <w:bottom w:val="single" w:sz="8" w:color="auto"/>
            </w:tcBorders>
            <w:shd w:val="clear" w:color="auto" w:fill="D8D8D8"/>
          </w:tcPr>
          <w:p>
            <w:pPr>
              <w:jc w:val="center"/>
              <w:ind w:right="33"/>
              <w:spacing w:after="0"/>
              <w:rPr>
                <w:sz w:val="20"/>
                <w:szCs w:val="20"/>
                <w:color w:val="auto"/>
              </w:rPr>
            </w:pPr>
            <w:r>
              <w:rPr>
                <w:rFonts w:ascii="Arial" w:cs="Arial" w:eastAsia="Arial" w:hAnsi="Arial"/>
                <w:sz w:val="18"/>
                <w:szCs w:val="18"/>
                <w:color w:val="auto"/>
              </w:rPr>
              <w:t>February 2022</w:t>
            </w:r>
          </w:p>
        </w:tc>
        <w:tc>
          <w:tcPr>
            <w:tcW w:w="14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Not applicable</w:t>
            </w:r>
          </w:p>
        </w:tc>
        <w:tc>
          <w:tcPr>
            <w:tcW w:w="320" w:type="dxa"/>
            <w:vAlign w:val="bottom"/>
            <w:tcBorders>
              <w:bottom w:val="single" w:sz="8" w:color="auto"/>
            </w:tcBorders>
            <w:shd w:val="clear" w:color="auto" w:fill="D8D8D8"/>
          </w:tcPr>
          <w:p>
            <w:pPr>
              <w:spacing w:after="0"/>
              <w:rPr>
                <w:sz w:val="19"/>
                <w:szCs w:val="19"/>
                <w:color w:val="auto"/>
              </w:rPr>
            </w:pPr>
          </w:p>
        </w:tc>
        <w:tc>
          <w:tcPr>
            <w:tcW w:w="14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Foghorn Therapeutics Inc.</w:t>
            </w:r>
          </w:p>
        </w:tc>
        <w:tc>
          <w:tcPr>
            <w:tcW w:w="3680" w:type="dxa"/>
            <w:vAlign w:val="bottom"/>
            <w:shd w:val="clear" w:color="auto" w:fill="D8D8D8"/>
          </w:tcPr>
          <w:p>
            <w:pPr>
              <w:ind w:left="440"/>
              <w:spacing w:after="0" w:line="169" w:lineRule="exact"/>
              <w:rPr>
                <w:sz w:val="20"/>
                <w:szCs w:val="20"/>
                <w:color w:val="auto"/>
              </w:rPr>
            </w:pPr>
            <w:r>
              <w:rPr>
                <w:rFonts w:ascii="Arial" w:cs="Arial" w:eastAsia="Arial" w:hAnsi="Arial"/>
                <w:sz w:val="18"/>
                <w:szCs w:val="18"/>
                <w:color w:val="auto"/>
              </w:rPr>
              <w:t>Pre-clinical targets that could lead to</w:t>
            </w:r>
          </w:p>
        </w:tc>
        <w:tc>
          <w:tcPr>
            <w:tcW w:w="1380" w:type="dxa"/>
            <w:vAlign w:val="bottom"/>
            <w:shd w:val="clear" w:color="auto" w:fill="D8D8D8"/>
          </w:tcPr>
          <w:p>
            <w:pPr>
              <w:jc w:val="center"/>
              <w:ind w:right="33"/>
              <w:spacing w:after="0" w:line="169" w:lineRule="exact"/>
              <w:rPr>
                <w:sz w:val="20"/>
                <w:szCs w:val="20"/>
                <w:color w:val="auto"/>
              </w:rPr>
            </w:pPr>
            <w:r>
              <w:rPr>
                <w:rFonts w:ascii="Arial" w:cs="Arial" w:eastAsia="Arial" w:hAnsi="Arial"/>
                <w:sz w:val="18"/>
                <w:szCs w:val="18"/>
                <w:color w:val="auto"/>
                <w:w w:val="98"/>
              </w:rPr>
              <w:t>December</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D8D8D8"/>
          </w:tcPr>
          <w:p>
            <w:pPr>
              <w:spacing w:after="0"/>
              <w:rPr>
                <w:sz w:val="14"/>
                <w:szCs w:val="14"/>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153"/>
        </w:trPr>
        <w:tc>
          <w:tcPr>
            <w:tcW w:w="2960" w:type="dxa"/>
            <w:vAlign w:val="bottom"/>
            <w:vMerge w:val="continue"/>
            <w:shd w:val="clear" w:color="auto" w:fill="D8D8D8"/>
          </w:tcPr>
          <w:p>
            <w:pPr>
              <w:spacing w:after="0"/>
              <w:rPr>
                <w:sz w:val="13"/>
                <w:szCs w:val="13"/>
                <w:color w:val="auto"/>
              </w:rPr>
            </w:pPr>
          </w:p>
        </w:tc>
        <w:tc>
          <w:tcPr>
            <w:tcW w:w="3680" w:type="dxa"/>
            <w:vAlign w:val="bottom"/>
            <w:vMerge w:val="restart"/>
            <w:shd w:val="clear" w:color="auto" w:fill="D8D8D8"/>
          </w:tcPr>
          <w:p>
            <w:pPr>
              <w:ind w:left="440"/>
              <w:spacing w:after="0"/>
              <w:rPr>
                <w:sz w:val="20"/>
                <w:szCs w:val="20"/>
                <w:color w:val="auto"/>
              </w:rPr>
            </w:pPr>
            <w:r>
              <w:rPr>
                <w:rFonts w:ascii="Arial" w:cs="Arial" w:eastAsia="Arial" w:hAnsi="Arial"/>
                <w:sz w:val="18"/>
                <w:szCs w:val="18"/>
                <w:color w:val="auto"/>
              </w:rPr>
              <w:t>potential new oncology medicines</w:t>
            </w:r>
          </w:p>
        </w:tc>
        <w:tc>
          <w:tcPr>
            <w:tcW w:w="1380" w:type="dxa"/>
            <w:vAlign w:val="bottom"/>
            <w:vMerge w:val="restart"/>
            <w:shd w:val="clear" w:color="auto" w:fill="D8D8D8"/>
          </w:tcPr>
          <w:p>
            <w:pPr>
              <w:jc w:val="center"/>
              <w:ind w:right="13"/>
              <w:spacing w:after="0"/>
              <w:rPr>
                <w:sz w:val="20"/>
                <w:szCs w:val="20"/>
                <w:color w:val="auto"/>
              </w:rPr>
            </w:pPr>
            <w:r>
              <w:rPr>
                <w:rFonts w:ascii="Arial" w:cs="Arial" w:eastAsia="Arial" w:hAnsi="Arial"/>
                <w:sz w:val="18"/>
                <w:szCs w:val="18"/>
                <w:color w:val="auto"/>
                <w:w w:val="99"/>
              </w:rPr>
              <w:t>2021</w:t>
            </w:r>
          </w:p>
        </w:tc>
        <w:tc>
          <w:tcPr>
            <w:tcW w:w="1420" w:type="dxa"/>
            <w:vAlign w:val="bottom"/>
            <w:vMerge w:val="continue"/>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148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960" w:type="dxa"/>
            <w:vAlign w:val="bottom"/>
            <w:tcBorders>
              <w:bottom w:val="single" w:sz="8" w:color="auto"/>
            </w:tcBorders>
            <w:shd w:val="clear" w:color="auto" w:fill="D8D8D8"/>
          </w:tcPr>
          <w:p>
            <w:pPr>
              <w:spacing w:after="0"/>
              <w:rPr>
                <w:sz w:val="7"/>
                <w:szCs w:val="7"/>
                <w:color w:val="auto"/>
              </w:rPr>
            </w:pPr>
          </w:p>
        </w:tc>
        <w:tc>
          <w:tcPr>
            <w:tcW w:w="3680" w:type="dxa"/>
            <w:vAlign w:val="bottom"/>
            <w:tcBorders>
              <w:bottom w:val="single" w:sz="8" w:color="auto"/>
            </w:tcBorders>
            <w:vMerge w:val="continue"/>
            <w:shd w:val="clear" w:color="auto" w:fill="D8D8D8"/>
          </w:tcPr>
          <w:p>
            <w:pPr>
              <w:spacing w:after="0"/>
              <w:rPr>
                <w:sz w:val="7"/>
                <w:szCs w:val="7"/>
                <w:color w:val="auto"/>
              </w:rPr>
            </w:pPr>
          </w:p>
        </w:tc>
        <w:tc>
          <w:tcPr>
            <w:tcW w:w="1380" w:type="dxa"/>
            <w:vAlign w:val="bottom"/>
            <w:tcBorders>
              <w:bottom w:val="single" w:sz="8" w:color="auto"/>
            </w:tcBorders>
            <w:vMerge w:val="continue"/>
            <w:shd w:val="clear" w:color="auto" w:fill="D8D8D8"/>
          </w:tcPr>
          <w:p>
            <w:pPr>
              <w:spacing w:after="0"/>
              <w:rPr>
                <w:sz w:val="7"/>
                <w:szCs w:val="7"/>
                <w:color w:val="auto"/>
              </w:rPr>
            </w:pPr>
          </w:p>
        </w:tc>
        <w:tc>
          <w:tcPr>
            <w:tcW w:w="1420" w:type="dxa"/>
            <w:vAlign w:val="bottom"/>
            <w:tcBorders>
              <w:bottom w:val="single" w:sz="8" w:color="auto"/>
            </w:tcBorders>
            <w:shd w:val="clear" w:color="auto" w:fill="D8D8D8"/>
          </w:tcPr>
          <w:p>
            <w:pPr>
              <w:spacing w:after="0"/>
              <w:rPr>
                <w:sz w:val="7"/>
                <w:szCs w:val="7"/>
                <w:color w:val="auto"/>
              </w:rPr>
            </w:pPr>
          </w:p>
        </w:tc>
        <w:tc>
          <w:tcPr>
            <w:tcW w:w="320" w:type="dxa"/>
            <w:vAlign w:val="bottom"/>
            <w:tcBorders>
              <w:bottom w:val="single" w:sz="8" w:color="auto"/>
            </w:tcBorders>
            <w:shd w:val="clear" w:color="auto" w:fill="D8D8D8"/>
          </w:tcPr>
          <w:p>
            <w:pPr>
              <w:spacing w:after="0"/>
              <w:rPr>
                <w:sz w:val="7"/>
                <w:szCs w:val="7"/>
                <w:color w:val="auto"/>
              </w:rPr>
            </w:pPr>
          </w:p>
        </w:tc>
        <w:tc>
          <w:tcPr>
            <w:tcW w:w="148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680" w:type="dxa"/>
            <w:vAlign w:val="bottom"/>
          </w:tcPr>
          <w:p>
            <w:pPr>
              <w:ind w:left="440"/>
              <w:spacing w:after="0" w:line="171" w:lineRule="exact"/>
              <w:rPr>
                <w:sz w:val="20"/>
                <w:szCs w:val="20"/>
                <w:color w:val="auto"/>
              </w:rPr>
            </w:pPr>
            <w:r>
              <w:rPr>
                <w:rFonts w:ascii="Arial" w:cs="Arial" w:eastAsia="Arial" w:hAnsi="Arial"/>
                <w:sz w:val="18"/>
                <w:szCs w:val="18"/>
                <w:color w:val="auto"/>
              </w:rPr>
              <w:t>R552, a receptor-interacting</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Rigel Pharmaceuticals, Inc.</w:t>
            </w:r>
          </w:p>
        </w:tc>
        <w:tc>
          <w:tcPr>
            <w:tcW w:w="3680" w:type="dxa"/>
            <w:vAlign w:val="bottom"/>
          </w:tcPr>
          <w:p>
            <w:pPr>
              <w:ind w:left="440"/>
              <w:spacing w:after="0" w:line="183" w:lineRule="exact"/>
              <w:rPr>
                <w:sz w:val="20"/>
                <w:szCs w:val="20"/>
                <w:color w:val="auto"/>
              </w:rPr>
            </w:pPr>
            <w:r>
              <w:rPr>
                <w:rFonts w:ascii="Arial" w:cs="Arial" w:eastAsia="Arial" w:hAnsi="Arial"/>
                <w:sz w:val="18"/>
                <w:szCs w:val="18"/>
                <w:color w:val="auto"/>
              </w:rPr>
              <w:t>serine/threonine-protein kinase 1</w:t>
            </w:r>
          </w:p>
        </w:tc>
        <w:tc>
          <w:tcPr>
            <w:tcW w:w="1380" w:type="dxa"/>
            <w:vAlign w:val="bottom"/>
            <w:vMerge w:val="restart"/>
          </w:tcPr>
          <w:p>
            <w:pPr>
              <w:jc w:val="center"/>
              <w:ind w:right="33"/>
              <w:spacing w:after="0"/>
              <w:rPr>
                <w:sz w:val="20"/>
                <w:szCs w:val="20"/>
                <w:color w:val="auto"/>
              </w:rPr>
            </w:pPr>
            <w:r>
              <w:rPr>
                <w:rFonts w:ascii="Arial" w:cs="Arial" w:eastAsia="Arial" w:hAnsi="Arial"/>
                <w:sz w:val="18"/>
                <w:szCs w:val="18"/>
                <w:color w:val="auto"/>
                <w:w w:val="98"/>
              </w:rPr>
              <w:t>March 2021</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81"/>
        </w:trPr>
        <w:tc>
          <w:tcPr>
            <w:tcW w:w="2960" w:type="dxa"/>
            <w:vAlign w:val="bottom"/>
            <w:vMerge w:val="continue"/>
          </w:tcPr>
          <w:p>
            <w:pPr>
              <w:spacing w:after="0"/>
              <w:rPr>
                <w:sz w:val="15"/>
                <w:szCs w:val="15"/>
                <w:color w:val="auto"/>
              </w:rPr>
            </w:pPr>
          </w:p>
        </w:tc>
        <w:tc>
          <w:tcPr>
            <w:tcW w:w="3680" w:type="dxa"/>
            <w:vAlign w:val="bottom"/>
          </w:tcPr>
          <w:p>
            <w:pPr>
              <w:ind w:left="440"/>
              <w:spacing w:after="0" w:line="181" w:lineRule="exact"/>
              <w:rPr>
                <w:sz w:val="20"/>
                <w:szCs w:val="20"/>
                <w:color w:val="auto"/>
              </w:rPr>
            </w:pPr>
            <w:r>
              <w:rPr>
                <w:rFonts w:ascii="Arial" w:cs="Arial" w:eastAsia="Arial" w:hAnsi="Arial"/>
                <w:sz w:val="18"/>
                <w:szCs w:val="18"/>
                <w:color w:val="auto"/>
              </w:rPr>
              <w:t>(RIPK1) inhibitor, for the potential</w:t>
            </w:r>
          </w:p>
        </w:tc>
        <w:tc>
          <w:tcPr>
            <w:tcW w:w="1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3680" w:type="dxa"/>
            <w:vAlign w:val="bottom"/>
          </w:tcPr>
          <w:p>
            <w:pPr>
              <w:ind w:left="440"/>
              <w:spacing w:after="0" w:line="176" w:lineRule="exact"/>
              <w:rPr>
                <w:sz w:val="20"/>
                <w:szCs w:val="20"/>
                <w:color w:val="auto"/>
              </w:rPr>
            </w:pPr>
            <w:r>
              <w:rPr>
                <w:rFonts w:ascii="Arial" w:cs="Arial" w:eastAsia="Arial" w:hAnsi="Arial"/>
                <w:sz w:val="18"/>
                <w:szCs w:val="18"/>
                <w:color w:val="auto"/>
              </w:rPr>
              <w:t>treatment of autoimmune and</w:t>
            </w: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inflammatory diseases</w:t>
            </w:r>
          </w:p>
        </w:tc>
        <w:tc>
          <w:tcPr>
            <w:tcW w:w="1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Precision Biosciences, Inc.</w:t>
            </w:r>
          </w:p>
        </w:tc>
        <w:tc>
          <w:tcPr>
            <w:tcW w:w="3680" w:type="dxa"/>
            <w:vAlign w:val="bottom"/>
            <w:shd w:val="clear" w:color="auto" w:fill="D8D8D8"/>
          </w:tcPr>
          <w:p>
            <w:pPr>
              <w:ind w:left="440"/>
              <w:spacing w:after="0" w:line="171" w:lineRule="exact"/>
              <w:rPr>
                <w:sz w:val="20"/>
                <w:szCs w:val="20"/>
                <w:color w:val="auto"/>
              </w:rPr>
            </w:pPr>
            <w:r>
              <w:rPr>
                <w:rFonts w:ascii="Arial" w:cs="Arial" w:eastAsia="Arial" w:hAnsi="Arial"/>
                <w:sz w:val="18"/>
                <w:szCs w:val="18"/>
                <w:color w:val="auto"/>
              </w:rPr>
              <w:t>Potential in vivo therapies for genetic</w:t>
            </w:r>
          </w:p>
        </w:tc>
        <w:tc>
          <w:tcPr>
            <w:tcW w:w="1380" w:type="dxa"/>
            <w:vAlign w:val="bottom"/>
            <w:vMerge w:val="restart"/>
            <w:shd w:val="clear" w:color="auto" w:fill="D8D8D8"/>
          </w:tcPr>
          <w:p>
            <w:pPr>
              <w:jc w:val="center"/>
              <w:ind w:right="33"/>
              <w:spacing w:after="0"/>
              <w:rPr>
                <w:sz w:val="20"/>
                <w:szCs w:val="20"/>
                <w:color w:val="auto"/>
              </w:rPr>
            </w:pPr>
            <w:r>
              <w:rPr>
                <w:rFonts w:ascii="Arial" w:cs="Arial" w:eastAsia="Arial" w:hAnsi="Arial"/>
                <w:sz w:val="18"/>
                <w:szCs w:val="18"/>
                <w:color w:val="auto"/>
              </w:rPr>
              <w:t>January 2021</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D8D8D8"/>
          </w:tcPr>
          <w:p>
            <w:pPr>
              <w:spacing w:after="0"/>
              <w:rPr>
                <w:sz w:val="14"/>
                <w:szCs w:val="14"/>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53"/>
        </w:trPr>
        <w:tc>
          <w:tcPr>
            <w:tcW w:w="2960" w:type="dxa"/>
            <w:vAlign w:val="bottom"/>
            <w:vMerge w:val="continue"/>
            <w:shd w:val="clear" w:color="auto" w:fill="D8D8D8"/>
          </w:tcPr>
          <w:p>
            <w:pPr>
              <w:spacing w:after="0"/>
              <w:rPr>
                <w:sz w:val="13"/>
                <w:szCs w:val="13"/>
                <w:color w:val="auto"/>
              </w:rPr>
            </w:pPr>
          </w:p>
        </w:tc>
        <w:tc>
          <w:tcPr>
            <w:tcW w:w="3680" w:type="dxa"/>
            <w:vAlign w:val="bottom"/>
            <w:vMerge w:val="restart"/>
            <w:shd w:val="clear" w:color="auto" w:fill="D8D8D8"/>
          </w:tcPr>
          <w:p>
            <w:pPr>
              <w:ind w:left="440"/>
              <w:spacing w:after="0"/>
              <w:rPr>
                <w:sz w:val="20"/>
                <w:szCs w:val="20"/>
                <w:color w:val="auto"/>
              </w:rPr>
            </w:pPr>
            <w:r>
              <w:rPr>
                <w:rFonts w:ascii="Arial" w:cs="Arial" w:eastAsia="Arial" w:hAnsi="Arial"/>
                <w:sz w:val="18"/>
                <w:szCs w:val="18"/>
                <w:color w:val="auto"/>
              </w:rPr>
              <w:t>disorders</w:t>
            </w:r>
          </w:p>
        </w:tc>
        <w:tc>
          <w:tcPr>
            <w:tcW w:w="1380" w:type="dxa"/>
            <w:vAlign w:val="bottom"/>
            <w:vMerge w:val="continue"/>
            <w:shd w:val="clear" w:color="auto" w:fill="D8D8D8"/>
          </w:tcPr>
          <w:p>
            <w:pPr>
              <w:spacing w:after="0"/>
              <w:rPr>
                <w:sz w:val="13"/>
                <w:szCs w:val="13"/>
                <w:color w:val="auto"/>
              </w:rPr>
            </w:pPr>
          </w:p>
        </w:tc>
        <w:tc>
          <w:tcPr>
            <w:tcW w:w="1420" w:type="dxa"/>
            <w:vAlign w:val="bottom"/>
            <w:vMerge w:val="continue"/>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148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960" w:type="dxa"/>
            <w:vAlign w:val="bottom"/>
            <w:tcBorders>
              <w:bottom w:val="single" w:sz="8" w:color="auto"/>
            </w:tcBorders>
            <w:shd w:val="clear" w:color="auto" w:fill="D8D8D8"/>
          </w:tcPr>
          <w:p>
            <w:pPr>
              <w:spacing w:after="0"/>
              <w:rPr>
                <w:sz w:val="7"/>
                <w:szCs w:val="7"/>
                <w:color w:val="auto"/>
              </w:rPr>
            </w:pPr>
          </w:p>
        </w:tc>
        <w:tc>
          <w:tcPr>
            <w:tcW w:w="3680" w:type="dxa"/>
            <w:vAlign w:val="bottom"/>
            <w:tcBorders>
              <w:bottom w:val="single" w:sz="8" w:color="auto"/>
            </w:tcBorders>
            <w:vMerge w:val="continue"/>
            <w:shd w:val="clear" w:color="auto" w:fill="D8D8D8"/>
          </w:tcPr>
          <w:p>
            <w:pPr>
              <w:spacing w:after="0"/>
              <w:rPr>
                <w:sz w:val="7"/>
                <w:szCs w:val="7"/>
                <w:color w:val="auto"/>
              </w:rPr>
            </w:pPr>
          </w:p>
        </w:tc>
        <w:tc>
          <w:tcPr>
            <w:tcW w:w="1380" w:type="dxa"/>
            <w:vAlign w:val="bottom"/>
            <w:tcBorders>
              <w:bottom w:val="single" w:sz="8" w:color="auto"/>
            </w:tcBorders>
            <w:shd w:val="clear" w:color="auto" w:fill="D8D8D8"/>
          </w:tcPr>
          <w:p>
            <w:pPr>
              <w:spacing w:after="0"/>
              <w:rPr>
                <w:sz w:val="7"/>
                <w:szCs w:val="7"/>
                <w:color w:val="auto"/>
              </w:rPr>
            </w:pPr>
          </w:p>
        </w:tc>
        <w:tc>
          <w:tcPr>
            <w:tcW w:w="1420" w:type="dxa"/>
            <w:vAlign w:val="bottom"/>
            <w:tcBorders>
              <w:bottom w:val="single" w:sz="8" w:color="auto"/>
            </w:tcBorders>
            <w:shd w:val="clear" w:color="auto" w:fill="D8D8D8"/>
          </w:tcPr>
          <w:p>
            <w:pPr>
              <w:spacing w:after="0"/>
              <w:rPr>
                <w:sz w:val="7"/>
                <w:szCs w:val="7"/>
                <w:color w:val="auto"/>
              </w:rPr>
            </w:pPr>
          </w:p>
        </w:tc>
        <w:tc>
          <w:tcPr>
            <w:tcW w:w="320" w:type="dxa"/>
            <w:vAlign w:val="bottom"/>
            <w:tcBorders>
              <w:bottom w:val="single" w:sz="8" w:color="auto"/>
            </w:tcBorders>
            <w:shd w:val="clear" w:color="auto" w:fill="D8D8D8"/>
          </w:tcPr>
          <w:p>
            <w:pPr>
              <w:spacing w:after="0"/>
              <w:rPr>
                <w:sz w:val="7"/>
                <w:szCs w:val="7"/>
                <w:color w:val="auto"/>
              </w:rPr>
            </w:pPr>
          </w:p>
        </w:tc>
        <w:tc>
          <w:tcPr>
            <w:tcW w:w="148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spacing w:after="0" w:line="3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our acquisition of Petra Pharma Corporation (Petra) in 2020, we were required to make milestone payments to Petra shareholders contingent upon the occurrence of certain future events linked to the success of the mutant-selective PI3Kα inhibitor. In 2022, we entered into agreements with substantially all Petra shareholders to acquire their rights to receive any future milestone payments in exchange for a one-time payment. As a result of these agreements, we recognized a charge of $333.8 million as acquired IPR&amp;D in 2022. Any remaining contingent milestones payments linked to the success of the mutant-selective PI3Kα inhibitor are not expected to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other significant acquired IPR&amp;D charges during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1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insulins, Basaglar and Rezvoglar. Glyxambi, Synjardy, and Trijardy XR are included in the Jardiance product family. Jentadueto is included in the Trajenta product family. Rezvoglar is included in the Basaglar product family.</w:t>
      </w:r>
    </w:p>
    <w:p>
      <w:pPr>
        <w:spacing w:after="0" w:line="8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Net milestones capitalized with respect to Jardiance and Trajenta and net milestones deferred with respect to Basaglar are not material.</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 The following table summarizes our revenue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3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Jardiance</w:t>
            </w:r>
          </w:p>
        </w:tc>
        <w:tc>
          <w:tcPr>
            <w:tcW w:w="3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2,744.7</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2,066.0</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1,490.8</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Basaglar</w:t>
            </w:r>
          </w:p>
        </w:tc>
        <w:tc>
          <w:tcPr>
            <w:tcW w:w="3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728.3</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760.4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892.5</w:t>
            </w:r>
          </w:p>
        </w:tc>
      </w:tr>
      <w:tr>
        <w:trPr>
          <w:trHeight w:val="230"/>
        </w:trPr>
        <w:tc>
          <w:tcPr>
            <w:tcW w:w="3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Trajenta</w:t>
            </w:r>
          </w:p>
        </w:tc>
        <w:tc>
          <w:tcPr>
            <w:tcW w:w="3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386.9</w:t>
            </w:r>
          </w:p>
        </w:tc>
        <w:tc>
          <w:tcPr>
            <w:tcW w:w="4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383.7</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372.5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were capitalized as intangible assets and are being amortized to cost of sales through the term of the collaboration. Net milestones capitalized are not material. As of December 31, 2023, Incyte is eligible to receive up to $100.0 million of additional payments from us in potential sales-based milestones.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jc w:val="both"/>
        <w:ind w:right="220"/>
        <w:spacing w:after="0" w:line="268" w:lineRule="auto"/>
        <w:rPr>
          <w:sz w:val="20"/>
          <w:szCs w:val="20"/>
          <w:color w:val="auto"/>
        </w:rPr>
      </w:pPr>
      <w:r>
        <w:rPr>
          <w:rFonts w:ascii="Arial" w:cs="Arial" w:eastAsia="Arial" w:hAnsi="Arial"/>
          <w:sz w:val="18"/>
          <w:szCs w:val="18"/>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76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224"/>
        </w:trPr>
        <w:tc>
          <w:tcPr>
            <w:tcW w:w="3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Olumiant</w:t>
            </w:r>
          </w:p>
        </w:tc>
        <w:tc>
          <w:tcPr>
            <w:tcW w:w="388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922.6</w:t>
            </w:r>
          </w:p>
        </w:tc>
        <w:tc>
          <w:tcPr>
            <w:tcW w:w="96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830.5</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1,115.1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Tyvyt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224"/>
        </w:trPr>
        <w:tc>
          <w:tcPr>
            <w:tcW w:w="6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Tyvyt</w:t>
            </w:r>
          </w:p>
        </w:tc>
        <w:tc>
          <w:tcPr>
            <w:tcW w:w="860" w:type="dxa"/>
            <w:vAlign w:val="bottom"/>
            <w:shd w:val="clear" w:color="auto" w:fill="D4D4D4"/>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4D4D4"/>
          </w:tcPr>
          <w:p>
            <w:pPr>
              <w:jc w:val="right"/>
              <w:ind w:right="10"/>
              <w:spacing w:after="0"/>
              <w:rPr>
                <w:sz w:val="20"/>
                <w:szCs w:val="20"/>
                <w:color w:val="auto"/>
              </w:rPr>
            </w:pPr>
            <w:r>
              <w:rPr>
                <w:rFonts w:ascii="Arial" w:cs="Arial" w:eastAsia="Arial" w:hAnsi="Arial"/>
                <w:sz w:val="18"/>
                <w:szCs w:val="18"/>
                <w:b w:val="1"/>
                <w:bCs w:val="1"/>
                <w:color w:val="auto"/>
                <w:w w:val="97"/>
              </w:rPr>
              <w:t>393.4</w:t>
            </w:r>
          </w:p>
        </w:tc>
        <w:tc>
          <w:tcPr>
            <w:tcW w:w="960" w:type="dxa"/>
            <w:vAlign w:val="bottom"/>
            <w:shd w:val="clear" w:color="auto" w:fill="D4D4D4"/>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4D4D4"/>
          </w:tcPr>
          <w:p>
            <w:pPr>
              <w:jc w:val="right"/>
              <w:ind w:right="10"/>
              <w:spacing w:after="0"/>
              <w:rPr>
                <w:sz w:val="20"/>
                <w:szCs w:val="20"/>
                <w:color w:val="auto"/>
              </w:rPr>
            </w:pPr>
            <w:r>
              <w:rPr>
                <w:rFonts w:ascii="Arial" w:cs="Arial" w:eastAsia="Arial" w:hAnsi="Arial"/>
                <w:sz w:val="18"/>
                <w:szCs w:val="18"/>
                <w:color w:val="auto"/>
                <w:w w:val="97"/>
              </w:rPr>
              <w:t>293.3</w:t>
            </w:r>
          </w:p>
        </w:tc>
        <w:tc>
          <w:tcPr>
            <w:tcW w:w="420" w:type="dxa"/>
            <w:vAlign w:val="bottom"/>
            <w:shd w:val="clear" w:color="auto" w:fill="D4D4D4"/>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418.1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r>
        <w:rPr>
          <w:rFonts w:ascii="Arial" w:cs="Arial" w:eastAsia="Arial" w:hAnsi="Arial"/>
          <w:sz w:val="23"/>
          <w:szCs w:val="23"/>
          <w:b w:val="1"/>
          <w:bCs w:val="1"/>
          <w:color w:val="auto"/>
          <w:vertAlign w:val="superscript"/>
        </w:rPr>
        <w: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December 31, 2023, Roche is eligible to receive additional payments from us, including up to $115.0 million contingent upon the achievement of additional success-based regulatory milestones and up to $1.03 billion in potential sales-based milestones. During the years ended December 31, 2023 and 2022, milestone payments to Roche were not material. There were no milestone payments to Roche during the year ended December 31, 2021.</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lebrikizumab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years ended December 31, 2023, 2022, and 2021, collaboration and other revenue recognized under this license agreement was not material. As of December 31, 2023,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 single digits to low teens if the product is successfully commercialized. As of December 31, 2023, Chugai is eligible to receive up to $140.0 million contingent upon the achievement of success-based regulatory milestones and up to $250.0 million in a series of sales-based milestones, contingent upon the commercial success of orforglipron. During the years ended December 31, 2023, 2022, and 2021, milestone payments to Chugai were not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received royalty payments, recorded as cost of sales, in the mid-teens to mid-twenties on worldwide net sales of bamlanivimab and bebtelovimab.</w:t>
      </w:r>
    </w:p>
    <w:p>
      <w:pPr>
        <w:spacing w:after="0" w:line="6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Pursuant to EUAs or similar regulatory authorizations, we recognized net product revenue associated with our sales of our COVID-19 antibodies of $2.02 billion and $2.24 billion during the years ended December 31, 2022 and 2021, respectively. We had no sales of our COVID-19 antibodies during the year ended December 31, 2023.</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Olanzapine Portfolio (including Zyprexa)</w:t>
      </w:r>
    </w:p>
    <w:p>
      <w:pPr>
        <w:spacing w:after="0" w:line="115"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In July 2023, we sold the rights for the olanzapine portfolio, including Zyprexa, to Cheplapharm Arzneimittel GmbH (Cheplapharm), a European company. Under the terms of the agreement, we received $1.05 billion in cash and will receive an additional $305.0 million in cash upon the one year anniversary of closing. We included both in the transaction price as of December 31, 2023. We are eligible to receive milestone payments of up to $50.0 million, of which $25.0 million has not been included in the transaction price as of December 31, 2023.</w:t>
      </w:r>
    </w:p>
    <w:p>
      <w:pPr>
        <w:spacing w:after="0" w:line="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entered into a supply agreement with Cheplapharm that obligates Cheplapharm to purchase Zyprexa product we are manufacturing at an amount which represents a standalone selling price. As the product we are manufacturing under this supply agreement has no alternative use to us and we have right to payment, we recognize net product revenue over time as we manufacture the product.</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year ended December 31, 2023, we recognized $1.45 billion in revenue primarily related to the net gain on the sale of rights for the olanzapine portfolio.</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Baqsimi</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June 2023, we sold the rights for Baqsimi to Amphastar Pharmaceuticals, Inc. (Amphastar). Under the terms of the agreement, we received $500.0 million in cash and will receive an additional $ 125.0 million in cash upon the one year anniversary of closing. We included both in the transaction price as of December 31, 2023. We are eligible to receive payments of up to $450.0 million in a series of sales-based milestones, that have not been included in the transaction price as of December 31, 2023.</w:t>
      </w:r>
    </w:p>
    <w:p>
      <w:pPr>
        <w:spacing w:after="0" w:line="6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entered into a supply agreement with Amphastar that obligates Amphastar to purchase Baqsimi product we are manufacturing at an amount which represents a standalone selling price. As the product we are manufacturing under this supply agreement has no alternative use to us and we have right to payment, we recognize net product revenue over time as we manufacture the product.</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year ended December 31, 2023, we recognized $579.0 million in revenue primarily related to the net gain on the sale of rights for Baqsimi.</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Asset impairment and other special charges</w:t>
            </w:r>
          </w:p>
        </w:tc>
        <w:tc>
          <w:tcPr>
            <w:tcW w:w="920" w:type="dxa"/>
            <w:vAlign w:val="bottom"/>
            <w:shd w:val="clear" w:color="auto" w:fill="D8D8D8"/>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22.2</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221.6</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303.1</w:t>
            </w:r>
          </w:p>
        </w:tc>
      </w:tr>
      <w:tr>
        <w:trPr>
          <w:trHeight w:val="230"/>
        </w:trPr>
        <w:tc>
          <w:tcPr>
            <w:tcW w:w="68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Severance</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6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920" w:type="dxa"/>
            <w:vAlign w:val="bottom"/>
            <w:tcBorders>
              <w:bottom w:val="single" w:sz="8" w:color="auto"/>
            </w:tcBorders>
            <w:shd w:val="clear" w:color="auto" w:fill="D8D8D8"/>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67.7</w:t>
            </w:r>
          </w:p>
        </w:tc>
        <w:tc>
          <w:tcPr>
            <w:tcW w:w="4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rPr>
              <w:t>244.6</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316.1</w:t>
            </w:r>
          </w:p>
        </w:tc>
      </w:tr>
    </w:tbl>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 impairment, restructuring, and other special charges recognized during the year ended December 31, 2022 were primarily related to an intangible asset impairment for GBA1 Gene Therapy, acquired in the Prevail acquisition, as a result of changes in key assumptions used in the valuation due to delays in estimated launch timing.</w:t>
      </w:r>
    </w:p>
    <w:p>
      <w:pPr>
        <w:spacing w:after="0" w:line="6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During the year ended December 31, 2021, we recognized $128.0 million of intangible asset impairment as a result of the decision by Bayer AG to discontinue the development of a Phase I molecule related to a contract-based intangible asset from our acquisition of Loxo Oncology, Inc. Additionally, we recognized $108.1 million of intangible asset impairment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4"/>
        </w:trPr>
        <w:tc>
          <w:tcPr>
            <w:tcW w:w="83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791.7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901.2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3,248.6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2,597.7</w:t>
            </w:r>
          </w:p>
        </w:tc>
      </w:tr>
      <w:tr>
        <w:trPr>
          <w:trHeight w:val="229"/>
        </w:trPr>
        <w:tc>
          <w:tcPr>
            <w:tcW w:w="8320" w:type="dxa"/>
            <w:vAlign w:val="bottom"/>
            <w:shd w:val="clear" w:color="auto" w:fill="D8D8D8"/>
          </w:tcPr>
          <w:p>
            <w:pPr>
              <w:ind w:left="2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1,630.1</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801.9</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5,670.4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4,300.8</w:t>
            </w:r>
          </w:p>
        </w:tc>
      </w:tr>
      <w:tr>
        <w:trPr>
          <w:trHeight w:val="229"/>
        </w:trPr>
        <w:tc>
          <w:tcPr>
            <w:tcW w:w="83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Increase to LIFO cost</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102.4</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5,772.8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4,309.7</w:t>
            </w: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Inventories valued under the LIFO method comprised $1.77 billion and $1.23 billion of total inventories at December 31, 2023 and 2022, respectively.</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We recognized a net inventory impairment charge related to our COVID-19 antibodies of $339.7 million during the year ended December 31, 2021 in cost of sales in our consolidated statements of operations primarily due to the combination of changes to demand from U.S. and international governments, </w:t>
      </w:r>
      <w:r>
        <w:rPr>
          <w:rFonts w:ascii="Arial" w:cs="Arial" w:eastAsia="Arial" w:hAnsi="Arial"/>
          <w:sz w:val="18"/>
          <w:szCs w:val="18"/>
          <w:color w:val="212121"/>
        </w:rPr>
        <w:t>including changes to our agreement with the U.S. government, and near-term expiry dates of COVID-19</w:t>
      </w:r>
      <w:r>
        <w:rPr>
          <w:rFonts w:ascii="Arial" w:cs="Arial" w:eastAsia="Arial" w:hAnsi="Arial"/>
          <w:sz w:val="18"/>
          <w:szCs w:val="18"/>
          <w:color w:val="auto"/>
        </w:rPr>
        <w:t xml:space="preserve"> </w:t>
      </w:r>
      <w:r>
        <w:rPr>
          <w:rFonts w:ascii="Arial" w:cs="Arial" w:eastAsia="Arial" w:hAnsi="Arial"/>
          <w:sz w:val="18"/>
          <w:szCs w:val="18"/>
          <w:color w:val="212121"/>
        </w:rPr>
        <w:t>antibodies.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years ended December 31, 2023, 2022, and 2021 were not material.</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net gains (losses) recognized in our consolidated statements of operations for equity securities were $(20.2) million, $(410.7) million, and $176.9 million for the years ended December 31, 2023, 2022, and 2021, respectively. The net gains (losses) recognized for the years ended December 31, 2023, 2022, and 2021 on equity securities sold during the respective periods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ind w:right="760"/>
        <w:spacing w:after="0" w:line="287" w:lineRule="auto"/>
        <w:rPr>
          <w:sz w:val="20"/>
          <w:szCs w:val="20"/>
          <w:color w:val="auto"/>
        </w:rPr>
      </w:pPr>
      <w:r>
        <w:rPr>
          <w:rFonts w:ascii="Arial" w:cs="Arial" w:eastAsia="Arial" w:hAnsi="Arial"/>
          <w:sz w:val="18"/>
          <w:szCs w:val="18"/>
          <w:color w:val="auto"/>
        </w:rPr>
        <w:t>As of December 31, 2023, we had approximately $930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years ended December 31, 2023, 2022, and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8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40" w:type="dxa"/>
            <w:vAlign w:val="bottom"/>
          </w:tcPr>
          <w:p>
            <w:pPr>
              <w:jc w:val="center"/>
              <w:ind w:right="282"/>
              <w:spacing w:after="0" w:line="147" w:lineRule="exact"/>
              <w:rPr>
                <w:sz w:val="20"/>
                <w:szCs w:val="20"/>
                <w:color w:val="auto"/>
              </w:rPr>
            </w:pPr>
            <w:r>
              <w:rPr>
                <w:rFonts w:ascii="Arial" w:cs="Arial" w:eastAsia="Arial" w:hAnsi="Arial"/>
                <w:sz w:val="14"/>
                <w:szCs w:val="14"/>
                <w:b w:val="1"/>
                <w:bCs w:val="1"/>
                <w:color w:val="auto"/>
                <w:w w:val="98"/>
              </w:rPr>
              <w:t>1-5</w:t>
            </w:r>
          </w:p>
        </w:tc>
        <w:tc>
          <w:tcPr>
            <w:tcW w:w="280" w:type="dxa"/>
            <w:vAlign w:val="bottom"/>
          </w:tcPr>
          <w:p>
            <w:pPr>
              <w:spacing w:after="0"/>
              <w:rPr>
                <w:sz w:val="12"/>
                <w:szCs w:val="12"/>
                <w:color w:val="auto"/>
              </w:rPr>
            </w:pPr>
          </w:p>
        </w:tc>
        <w:tc>
          <w:tcPr>
            <w:tcW w:w="960" w:type="dxa"/>
            <w:vAlign w:val="bottom"/>
          </w:tcPr>
          <w:p>
            <w:pPr>
              <w:jc w:val="right"/>
              <w:ind w:right="402"/>
              <w:spacing w:after="0" w:line="147" w:lineRule="exact"/>
              <w:rPr>
                <w:sz w:val="20"/>
                <w:szCs w:val="20"/>
                <w:color w:val="auto"/>
              </w:rPr>
            </w:pPr>
            <w:r>
              <w:rPr>
                <w:rFonts w:ascii="Arial" w:cs="Arial" w:eastAsia="Arial" w:hAnsi="Arial"/>
                <w:sz w:val="14"/>
                <w:szCs w:val="14"/>
                <w:b w:val="1"/>
                <w:bCs w:val="1"/>
                <w:color w:val="auto"/>
              </w:rPr>
              <w:t>6-10</w:t>
            </w:r>
          </w:p>
        </w:tc>
        <w:tc>
          <w:tcPr>
            <w:tcW w:w="200" w:type="dxa"/>
            <w:vAlign w:val="bottom"/>
          </w:tcPr>
          <w:p>
            <w:pPr>
              <w:spacing w:after="0"/>
              <w:rPr>
                <w:sz w:val="12"/>
                <w:szCs w:val="12"/>
                <w:color w:val="auto"/>
              </w:rPr>
            </w:pPr>
          </w:p>
        </w:tc>
        <w:tc>
          <w:tcPr>
            <w:tcW w:w="108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rPr>
              <w:t>More Than 10</w:t>
            </w:r>
          </w:p>
        </w:tc>
        <w:tc>
          <w:tcPr>
            <w:tcW w:w="0" w:type="dxa"/>
            <w:vAlign w:val="bottom"/>
          </w:tcPr>
          <w:p>
            <w:pPr>
              <w:spacing w:after="0"/>
              <w:rPr>
                <w:sz w:val="1"/>
                <w:szCs w:val="1"/>
                <w:color w:val="auto"/>
              </w:rPr>
            </w:pPr>
          </w:p>
        </w:tc>
      </w:tr>
      <w:tr>
        <w:trPr>
          <w:trHeight w:val="185"/>
        </w:trPr>
        <w:tc>
          <w:tcPr>
            <w:tcW w:w="4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4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657.2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84.1</w:t>
            </w:r>
          </w:p>
        </w:tc>
        <w:tc>
          <w:tcPr>
            <w:tcW w:w="40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02"/>
              <w:spacing w:after="0"/>
              <w:rPr>
                <w:sz w:val="20"/>
                <w:szCs w:val="20"/>
                <w:color w:val="auto"/>
              </w:rPr>
            </w:pPr>
            <w:r>
              <w:rPr>
                <w:rFonts w:ascii="Arial" w:cs="Arial" w:eastAsia="Arial" w:hAnsi="Arial"/>
                <w:sz w:val="18"/>
                <w:szCs w:val="18"/>
                <w:color w:val="auto"/>
              </w:rPr>
              <w:t>227.9</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8D8D8"/>
          </w:tcPr>
          <w:p>
            <w:pPr>
              <w:jc w:val="right"/>
              <w:ind w:right="22"/>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24"/>
        </w:trPr>
        <w:tc>
          <w:tcPr>
            <w:tcW w:w="6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Unrealized gross gains</w:t>
            </w:r>
          </w:p>
        </w:tc>
        <w:tc>
          <w:tcPr>
            <w:tcW w:w="292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3.4</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29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37.9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6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292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159.2</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46.8</w:t>
            </w:r>
          </w:p>
        </w:tc>
      </w:tr>
      <w:tr>
        <w:trPr>
          <w:trHeight w:val="247"/>
        </w:trPr>
        <w:tc>
          <w:tcPr>
            <w:tcW w:w="628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2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452.0</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568.7</w:t>
            </w:r>
          </w:p>
        </w:tc>
      </w:tr>
    </w:tbl>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2023, the available-for-sale securities in an unrealized loss position include primarily fixed-rate debt securities of varying maturities, which are sensitive to changes in the yield curve and other market conditions. Approximately 99 percent of the fixed-rate debt securities in a loss position are investment-grade debt securities. As of December 31, 2023,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4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Proceeds from sales</w:t>
            </w:r>
          </w:p>
        </w:tc>
        <w:tc>
          <w:tcPr>
            <w:tcW w:w="302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145.6</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132.9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174.7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30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0.7</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Realized gross losses on sales</w:t>
            </w:r>
          </w:p>
        </w:tc>
        <w:tc>
          <w:tcPr>
            <w:tcW w:w="302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4.0</w:t>
            </w:r>
          </w:p>
        </w:tc>
        <w:tc>
          <w:tcPr>
            <w:tcW w:w="4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9.7</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w:t>
            </w:r>
          </w:p>
        </w:tc>
      </w:tr>
    </w:tbl>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2023 and 2022 for investment assets measured at fair value on a recurring basis, as well as the carrying amount and amortized cost of certain other investments: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060" w:type="dxa"/>
            <w:vAlign w:val="bottom"/>
          </w:tcPr>
          <w:p>
            <w:pPr>
              <w:jc w:val="center"/>
              <w:ind w:right="142"/>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0"/>
                <w:szCs w:val="10"/>
                <w:color w:val="auto"/>
              </w:rPr>
            </w:pPr>
          </w:p>
        </w:tc>
        <w:tc>
          <w:tcPr>
            <w:tcW w:w="108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9"/>
              </w:rPr>
              <w:t>Significant</w:t>
            </w: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0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tcPr>
          <w:p>
            <w:pPr>
              <w:spacing w:after="0"/>
              <w:rPr>
                <w:sz w:val="10"/>
                <w:szCs w:val="10"/>
                <w:color w:val="auto"/>
              </w:rPr>
            </w:pPr>
          </w:p>
        </w:tc>
        <w:tc>
          <w:tcPr>
            <w:tcW w:w="108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400" w:type="dxa"/>
            <w:vAlign w:val="bottom"/>
          </w:tcPr>
          <w:p>
            <w:pPr>
              <w:spacing w:after="0"/>
              <w:rPr>
                <w:sz w:val="10"/>
                <w:szCs w:val="10"/>
                <w:color w:val="auto"/>
              </w:rPr>
            </w:pPr>
          </w:p>
        </w:tc>
        <w:tc>
          <w:tcPr>
            <w:tcW w:w="960" w:type="dxa"/>
            <w:vAlign w:val="bottom"/>
            <w:vMerge w:val="restart"/>
          </w:tcPr>
          <w:p>
            <w:pPr>
              <w:jc w:val="right"/>
              <w:ind w:right="421"/>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16"/>
                <w:szCs w:val="16"/>
                <w:b w:val="1"/>
                <w:bCs w:val="1"/>
                <w:color w:val="auto"/>
                <w:vertAlign w:val="superscript"/>
              </w:rPr>
              <w:t>(1)</w:t>
            </w:r>
          </w:p>
        </w:tc>
        <w:tc>
          <w:tcPr>
            <w:tcW w:w="1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0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0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4"/>
              </w:rPr>
              <w:t>(Level 3)</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09"/>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D4D4D4"/>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1,088.4</w:t>
            </w:r>
          </w:p>
        </w:tc>
        <w:tc>
          <w:tcPr>
            <w:tcW w:w="26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b w:val="1"/>
                <w:bCs w:val="1"/>
                <w:color w:val="auto"/>
              </w:rPr>
              <w:t>1,088.4</w:t>
            </w:r>
          </w:p>
        </w:tc>
        <w:tc>
          <w:tcPr>
            <w:tcW w:w="12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1,079.3</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9.1</w:t>
            </w:r>
          </w:p>
        </w:tc>
        <w:tc>
          <w:tcPr>
            <w:tcW w:w="24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D4D4D4"/>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D4D4D4"/>
            </w:tcBorders>
          </w:tcPr>
          <w:p>
            <w:pPr>
              <w:jc w:val="right"/>
              <w:ind w:right="1"/>
              <w:spacing w:after="0"/>
              <w:rPr>
                <w:sz w:val="20"/>
                <w:szCs w:val="20"/>
                <w:color w:val="auto"/>
              </w:rPr>
            </w:pPr>
            <w:r>
              <w:rPr>
                <w:rFonts w:ascii="Arial" w:cs="Arial" w:eastAsia="Arial" w:hAnsi="Arial"/>
                <w:sz w:val="16"/>
                <w:szCs w:val="16"/>
                <w:b w:val="1"/>
                <w:bCs w:val="1"/>
                <w:color w:val="auto"/>
              </w:rPr>
              <w:t>1,088.4</w:t>
            </w: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32.1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32.3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32.1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32.1</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52.0</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52.1</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52.0</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52.0</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25.0</w:t>
            </w:r>
          </w:p>
        </w:tc>
        <w:tc>
          <w:tcPr>
            <w:tcW w:w="26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b w:val="1"/>
                <w:bCs w:val="1"/>
                <w:color w:val="auto"/>
              </w:rPr>
              <w:t>25.0</w:t>
            </w:r>
          </w:p>
        </w:tc>
        <w:tc>
          <w:tcPr>
            <w:tcW w:w="1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D4D4D4"/>
            </w:tcBorders>
          </w:tcPr>
          <w:p>
            <w:pPr>
              <w:spacing w:after="0"/>
              <w:rPr>
                <w:sz w:val="18"/>
                <w:szCs w:val="18"/>
                <w:color w:val="auto"/>
              </w:rPr>
            </w:pPr>
          </w:p>
        </w:tc>
        <w:tc>
          <w:tcPr>
            <w:tcW w:w="106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13.6</w:t>
            </w:r>
          </w:p>
        </w:tc>
        <w:tc>
          <w:tcPr>
            <w:tcW w:w="24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11.4</w:t>
            </w:r>
          </w:p>
        </w:tc>
        <w:tc>
          <w:tcPr>
            <w:tcW w:w="400" w:type="dxa"/>
            <w:vAlign w:val="bottom"/>
            <w:tcBorders>
              <w:bottom w:val="single" w:sz="8" w:color="D4D4D4"/>
            </w:tcBorders>
          </w:tcPr>
          <w:p>
            <w:pPr>
              <w:spacing w:after="0"/>
              <w:rPr>
                <w:sz w:val="18"/>
                <w:szCs w:val="18"/>
                <w:color w:val="auto"/>
              </w:rPr>
            </w:pPr>
          </w:p>
        </w:tc>
        <w:tc>
          <w:tcPr>
            <w:tcW w:w="960" w:type="dxa"/>
            <w:vAlign w:val="bottom"/>
            <w:tcBorders>
              <w:bottom w:val="single" w:sz="8" w:color="D4D4D4"/>
            </w:tcBorders>
          </w:tcPr>
          <w:p>
            <w:pPr>
              <w:jc w:val="right"/>
              <w:ind w:right="1"/>
              <w:spacing w:after="0"/>
              <w:rPr>
                <w:sz w:val="20"/>
                <w:szCs w:val="20"/>
                <w:color w:val="auto"/>
              </w:rPr>
            </w:pPr>
            <w:r>
              <w:rPr>
                <w:rFonts w:ascii="Arial" w:cs="Arial" w:eastAsia="Arial" w:hAnsi="Arial"/>
                <w:sz w:val="16"/>
                <w:szCs w:val="16"/>
                <w:b w:val="1"/>
                <w:bCs w:val="1"/>
                <w:color w:val="auto"/>
              </w:rPr>
              <w:t>25.0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109.1</w:t>
            </w:r>
          </w:p>
        </w:tc>
        <w:tc>
          <w:tcPr>
            <w:tcW w:w="260" w:type="dxa"/>
            <w:vAlign w:val="bottom"/>
            <w:tcBorders>
              <w:bottom w:val="single" w:sz="8" w:color="D4D4D4"/>
            </w:tcBorders>
            <w:shd w:val="clear" w:color="auto" w:fill="D4D4D4"/>
          </w:tcPr>
          <w:p>
            <w:pPr>
              <w:spacing w:after="0"/>
              <w:rPr>
                <w:sz w:val="19"/>
                <w:szCs w:val="19"/>
                <w:color w:val="auto"/>
              </w:rPr>
            </w:pPr>
          </w:p>
        </w:tc>
        <w:tc>
          <w:tcPr>
            <w:tcW w:w="1080" w:type="dxa"/>
            <w:vAlign w:val="bottom"/>
            <w:tcBorders>
              <w:bottom w:val="single" w:sz="8" w:color="D4D4D4"/>
            </w:tcBorders>
            <w:shd w:val="clear" w:color="auto" w:fill="D4D4D4"/>
          </w:tcPr>
          <w:p>
            <w:pPr>
              <w:spacing w:after="0"/>
              <w:rPr>
                <w:sz w:val="19"/>
                <w:szCs w:val="19"/>
                <w:color w:val="auto"/>
              </w:rPr>
            </w:pPr>
          </w:p>
        </w:tc>
        <w:tc>
          <w:tcPr>
            <w:tcW w:w="120" w:type="dxa"/>
            <w:vAlign w:val="bottom"/>
            <w:tcBorders>
              <w:bottom w:val="single" w:sz="8" w:color="D4D4D4"/>
            </w:tcBorders>
            <w:shd w:val="clear" w:color="auto" w:fill="D4D4D4"/>
          </w:tcPr>
          <w:p>
            <w:pPr>
              <w:spacing w:after="0"/>
              <w:rPr>
                <w:sz w:val="19"/>
                <w:szCs w:val="19"/>
                <w:color w:val="auto"/>
              </w:rPr>
            </w:pPr>
          </w:p>
        </w:tc>
        <w:tc>
          <w:tcPr>
            <w:tcW w:w="1140" w:type="dxa"/>
            <w:vAlign w:val="bottom"/>
            <w:tcBorders>
              <w:bottom w:val="single" w:sz="8" w:color="D4D4D4"/>
            </w:tcBorders>
            <w:shd w:val="clear" w:color="auto" w:fill="D4D4D4"/>
          </w:tcPr>
          <w:p>
            <w:pPr>
              <w:spacing w:after="0"/>
              <w:rPr>
                <w:sz w:val="19"/>
                <w:szCs w:val="19"/>
                <w:color w:val="auto"/>
              </w:rPr>
            </w:pPr>
          </w:p>
        </w:tc>
        <w:tc>
          <w:tcPr>
            <w:tcW w:w="280" w:type="dxa"/>
            <w:vAlign w:val="bottom"/>
            <w:tcBorders>
              <w:bottom w:val="single" w:sz="8" w:color="D4D4D4"/>
            </w:tcBorders>
            <w:shd w:val="clear" w:color="auto" w:fill="D4D4D4"/>
          </w:tcPr>
          <w:p>
            <w:pPr>
              <w:spacing w:after="0"/>
              <w:rPr>
                <w:sz w:val="19"/>
                <w:szCs w:val="19"/>
                <w:color w:val="auto"/>
              </w:rPr>
            </w:pPr>
          </w:p>
        </w:tc>
        <w:tc>
          <w:tcPr>
            <w:tcW w:w="1060" w:type="dxa"/>
            <w:vAlign w:val="bottom"/>
            <w:tcBorders>
              <w:bottom w:val="single" w:sz="8" w:color="D4D4D4"/>
            </w:tcBorders>
            <w:shd w:val="clear" w:color="auto" w:fill="D4D4D4"/>
          </w:tcPr>
          <w:p>
            <w:pPr>
              <w:spacing w:after="0"/>
              <w:rPr>
                <w:sz w:val="19"/>
                <w:szCs w:val="19"/>
                <w:color w:val="auto"/>
              </w:rPr>
            </w:pPr>
          </w:p>
        </w:tc>
        <w:tc>
          <w:tcPr>
            <w:tcW w:w="240" w:type="dxa"/>
            <w:vAlign w:val="bottom"/>
            <w:tcBorders>
              <w:bottom w:val="single" w:sz="8" w:color="D4D4D4"/>
            </w:tcBorders>
            <w:shd w:val="clear" w:color="auto" w:fill="D4D4D4"/>
          </w:tcPr>
          <w:p>
            <w:pPr>
              <w:spacing w:after="0"/>
              <w:rPr>
                <w:sz w:val="19"/>
                <w:szCs w:val="19"/>
                <w:color w:val="auto"/>
              </w:rPr>
            </w:pPr>
          </w:p>
        </w:tc>
        <w:tc>
          <w:tcPr>
            <w:tcW w:w="1080" w:type="dxa"/>
            <w:vAlign w:val="bottom"/>
            <w:tcBorders>
              <w:bottom w:val="single" w:sz="8" w:color="D4D4D4"/>
            </w:tcBorders>
            <w:shd w:val="clear" w:color="auto" w:fill="D4D4D4"/>
          </w:tcPr>
          <w:p>
            <w:pPr>
              <w:spacing w:after="0"/>
              <w:rPr>
                <w:sz w:val="19"/>
                <w:szCs w:val="19"/>
                <w:color w:val="auto"/>
              </w:rPr>
            </w:pPr>
          </w:p>
        </w:tc>
        <w:tc>
          <w:tcPr>
            <w:tcW w:w="400" w:type="dxa"/>
            <w:vAlign w:val="bottom"/>
            <w:tcBorders>
              <w:bottom w:val="single" w:sz="8" w:color="D4D4D4"/>
            </w:tcBorders>
            <w:shd w:val="clear" w:color="auto" w:fill="D4D4D4"/>
          </w:tcPr>
          <w:p>
            <w:pPr>
              <w:spacing w:after="0"/>
              <w:rPr>
                <w:sz w:val="19"/>
                <w:szCs w:val="19"/>
                <w:color w:val="auto"/>
              </w:rPr>
            </w:pPr>
          </w:p>
        </w:tc>
        <w:tc>
          <w:tcPr>
            <w:tcW w:w="960" w:type="dxa"/>
            <w:vAlign w:val="bottom"/>
            <w:tcBorders>
              <w:bottom w:val="single" w:sz="8" w:color="D4D4D4"/>
            </w:tcBorders>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shd w:val="clear" w:color="auto" w:fill="D4D4D4"/>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148.1</w:t>
            </w:r>
          </w:p>
        </w:tc>
        <w:tc>
          <w:tcPr>
            <w:tcW w:w="260" w:type="dxa"/>
            <w:vAlign w:val="bottom"/>
            <w:shd w:val="clear" w:color="auto" w:fill="D4D4D4"/>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161.0</w:t>
            </w:r>
          </w:p>
        </w:tc>
        <w:tc>
          <w:tcPr>
            <w:tcW w:w="12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148.1</w:t>
            </w:r>
          </w:p>
        </w:tc>
        <w:tc>
          <w:tcPr>
            <w:tcW w:w="280" w:type="dxa"/>
            <w:vAlign w:val="bottom"/>
            <w:shd w:val="clear" w:color="auto" w:fill="D4D4D4"/>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148.1</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214.3</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226.6</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214.3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214.3</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157.3</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167.1</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157.3</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157.3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53.5</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54.4</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53.5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53.5</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197.4</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100.2</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23.5</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173.9</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b w:val="1"/>
                <w:bCs w:val="1"/>
                <w:color w:val="auto"/>
              </w:rPr>
              <w:t>197.4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711.3</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493.2</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711.3</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711.3</w:t>
            </w:r>
          </w:p>
        </w:tc>
        <w:tc>
          <w:tcPr>
            <w:tcW w:w="0" w:type="dxa"/>
            <w:vAlign w:val="bottom"/>
          </w:tcPr>
          <w:p>
            <w:pPr>
              <w:spacing w:after="0"/>
              <w:rPr>
                <w:sz w:val="1"/>
                <w:szCs w:val="1"/>
                <w:color w:val="auto"/>
              </w:rPr>
            </w:pPr>
          </w:p>
        </w:tc>
      </w:tr>
      <w:tr>
        <w:trPr>
          <w:trHeight w:val="162"/>
        </w:trPr>
        <w:tc>
          <w:tcPr>
            <w:tcW w:w="3280" w:type="dxa"/>
            <w:vAlign w:val="bottom"/>
            <w:shd w:val="clear" w:color="auto" w:fill="D4D4D4"/>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40" w:type="dxa"/>
            <w:vAlign w:val="bottom"/>
            <w:shd w:val="clear" w:color="auto" w:fill="D4D4D4"/>
          </w:tcPr>
          <w:p>
            <w:pPr>
              <w:spacing w:after="0"/>
              <w:rPr>
                <w:sz w:val="14"/>
                <w:szCs w:val="14"/>
                <w:color w:val="auto"/>
              </w:rPr>
            </w:pPr>
          </w:p>
        </w:tc>
        <w:tc>
          <w:tcPr>
            <w:tcW w:w="1100" w:type="dxa"/>
            <w:vAlign w:val="bottom"/>
            <w:vMerge w:val="restart"/>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608.0</w:t>
            </w:r>
          </w:p>
        </w:tc>
        <w:tc>
          <w:tcPr>
            <w:tcW w:w="260" w:type="dxa"/>
            <w:vAlign w:val="bottom"/>
            <w:shd w:val="clear" w:color="auto" w:fill="D4D4D4"/>
          </w:tcPr>
          <w:p>
            <w:pPr>
              <w:spacing w:after="0"/>
              <w:rPr>
                <w:sz w:val="14"/>
                <w:szCs w:val="14"/>
                <w:color w:val="auto"/>
              </w:rPr>
            </w:pPr>
          </w:p>
        </w:tc>
        <w:tc>
          <w:tcPr>
            <w:tcW w:w="1080" w:type="dxa"/>
            <w:vAlign w:val="bottom"/>
            <w:shd w:val="clear" w:color="auto" w:fill="D4D4D4"/>
          </w:tcPr>
          <w:p>
            <w:pPr>
              <w:spacing w:after="0"/>
              <w:rPr>
                <w:sz w:val="14"/>
                <w:szCs w:val="14"/>
                <w:color w:val="auto"/>
              </w:rPr>
            </w:pPr>
          </w:p>
        </w:tc>
        <w:tc>
          <w:tcPr>
            <w:tcW w:w="120" w:type="dxa"/>
            <w:vAlign w:val="bottom"/>
            <w:shd w:val="clear" w:color="auto" w:fill="D4D4D4"/>
          </w:tcPr>
          <w:p>
            <w:pPr>
              <w:spacing w:after="0"/>
              <w:rPr>
                <w:sz w:val="14"/>
                <w:szCs w:val="14"/>
                <w:color w:val="auto"/>
              </w:rPr>
            </w:pPr>
          </w:p>
        </w:tc>
        <w:tc>
          <w:tcPr>
            <w:tcW w:w="1140" w:type="dxa"/>
            <w:vAlign w:val="bottom"/>
            <w:shd w:val="clear" w:color="auto" w:fill="D4D4D4"/>
          </w:tcPr>
          <w:p>
            <w:pPr>
              <w:spacing w:after="0"/>
              <w:rPr>
                <w:sz w:val="14"/>
                <w:szCs w:val="14"/>
                <w:color w:val="auto"/>
              </w:rPr>
            </w:pPr>
          </w:p>
        </w:tc>
        <w:tc>
          <w:tcPr>
            <w:tcW w:w="280" w:type="dxa"/>
            <w:vAlign w:val="bottom"/>
            <w:shd w:val="clear" w:color="auto" w:fill="D4D4D4"/>
          </w:tcPr>
          <w:p>
            <w:pPr>
              <w:spacing w:after="0"/>
              <w:rPr>
                <w:sz w:val="14"/>
                <w:szCs w:val="14"/>
                <w:color w:val="auto"/>
              </w:rPr>
            </w:pPr>
          </w:p>
        </w:tc>
        <w:tc>
          <w:tcPr>
            <w:tcW w:w="1060" w:type="dxa"/>
            <w:vAlign w:val="bottom"/>
            <w:shd w:val="clear" w:color="auto" w:fill="D4D4D4"/>
          </w:tcPr>
          <w:p>
            <w:pPr>
              <w:spacing w:after="0"/>
              <w:rPr>
                <w:sz w:val="14"/>
                <w:szCs w:val="14"/>
                <w:color w:val="auto"/>
              </w:rPr>
            </w:pPr>
          </w:p>
        </w:tc>
        <w:tc>
          <w:tcPr>
            <w:tcW w:w="240" w:type="dxa"/>
            <w:vAlign w:val="bottom"/>
            <w:shd w:val="clear" w:color="auto" w:fill="D4D4D4"/>
          </w:tcPr>
          <w:p>
            <w:pPr>
              <w:spacing w:after="0"/>
              <w:rPr>
                <w:sz w:val="14"/>
                <w:szCs w:val="14"/>
                <w:color w:val="auto"/>
              </w:rPr>
            </w:pPr>
          </w:p>
        </w:tc>
        <w:tc>
          <w:tcPr>
            <w:tcW w:w="1080" w:type="dxa"/>
            <w:vAlign w:val="bottom"/>
            <w:shd w:val="clear" w:color="auto" w:fill="D4D4D4"/>
          </w:tcPr>
          <w:p>
            <w:pPr>
              <w:spacing w:after="0"/>
              <w:rPr>
                <w:sz w:val="14"/>
                <w:szCs w:val="14"/>
                <w:color w:val="auto"/>
              </w:rPr>
            </w:pPr>
          </w:p>
        </w:tc>
        <w:tc>
          <w:tcPr>
            <w:tcW w:w="400" w:type="dxa"/>
            <w:vAlign w:val="bottom"/>
            <w:shd w:val="clear" w:color="auto" w:fill="D4D4D4"/>
          </w:tcPr>
          <w:p>
            <w:pPr>
              <w:spacing w:after="0"/>
              <w:rPr>
                <w:sz w:val="14"/>
                <w:szCs w:val="14"/>
                <w:color w:val="auto"/>
              </w:rPr>
            </w:pPr>
          </w:p>
        </w:tc>
        <w:tc>
          <w:tcPr>
            <w:tcW w:w="960" w:type="dxa"/>
            <w:vAlign w:val="bottom"/>
            <w:shd w:val="clear" w:color="auto" w:fill="D4D4D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40" w:type="dxa"/>
            <w:vAlign w:val="bottom"/>
            <w:shd w:val="clear" w:color="auto" w:fill="D4D4D4"/>
          </w:tcPr>
          <w:p>
            <w:pPr>
              <w:spacing w:after="0"/>
              <w:rPr>
                <w:sz w:val="18"/>
                <w:szCs w:val="18"/>
                <w:color w:val="auto"/>
              </w:rPr>
            </w:pPr>
          </w:p>
        </w:tc>
        <w:tc>
          <w:tcPr>
            <w:tcW w:w="1100" w:type="dxa"/>
            <w:vAlign w:val="bottom"/>
            <w:vMerge w:val="continue"/>
            <w:shd w:val="clear" w:color="auto" w:fill="D4D4D4"/>
          </w:tcPr>
          <w:p>
            <w:pPr>
              <w:spacing w:after="0"/>
              <w:rPr>
                <w:sz w:val="18"/>
                <w:szCs w:val="18"/>
                <w:color w:val="auto"/>
              </w:rPr>
            </w:pP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D4D4D4"/>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962.3</w:t>
            </w:r>
          </w:p>
        </w:tc>
        <w:tc>
          <w:tcPr>
            <w:tcW w:w="26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1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060" w:type="dxa"/>
            <w:vAlign w:val="bottom"/>
            <w:tcBorders>
              <w:bottom w:val="single" w:sz="8" w:color="D4D4D4"/>
            </w:tcBorders>
          </w:tcPr>
          <w:p>
            <w:pPr>
              <w:spacing w:after="0"/>
              <w:rPr>
                <w:sz w:val="18"/>
                <w:szCs w:val="18"/>
                <w:color w:val="auto"/>
              </w:rPr>
            </w:pPr>
          </w:p>
        </w:tc>
        <w:tc>
          <w:tcPr>
            <w:tcW w:w="24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400" w:type="dxa"/>
            <w:vAlign w:val="bottom"/>
            <w:tcBorders>
              <w:bottom w:val="single" w:sz="8" w:color="D4D4D4"/>
            </w:tcBorders>
          </w:tcPr>
          <w:p>
            <w:pPr>
              <w:spacing w:after="0"/>
              <w:rPr>
                <w:sz w:val="18"/>
                <w:szCs w:val="18"/>
                <w:color w:val="auto"/>
              </w:rPr>
            </w:pPr>
          </w:p>
        </w:tc>
        <w:tc>
          <w:tcPr>
            <w:tcW w:w="96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Noncurrent investments</w:t>
            </w:r>
          </w:p>
        </w:tc>
        <w:tc>
          <w:tcPr>
            <w:tcW w:w="24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3,052.2</w:t>
            </w:r>
          </w:p>
        </w:tc>
        <w:tc>
          <w:tcPr>
            <w:tcW w:w="260" w:type="dxa"/>
            <w:vAlign w:val="bottom"/>
            <w:tcBorders>
              <w:bottom w:val="single" w:sz="8" w:color="D4D4D4"/>
            </w:tcBorders>
            <w:shd w:val="clear" w:color="auto" w:fill="D4D4D4"/>
          </w:tcPr>
          <w:p>
            <w:pPr>
              <w:spacing w:after="0"/>
              <w:rPr>
                <w:sz w:val="18"/>
                <w:szCs w:val="18"/>
                <w:color w:val="auto"/>
              </w:rPr>
            </w:pPr>
          </w:p>
        </w:tc>
        <w:tc>
          <w:tcPr>
            <w:tcW w:w="1080" w:type="dxa"/>
            <w:vAlign w:val="bottom"/>
            <w:tcBorders>
              <w:bottom w:val="single" w:sz="8" w:color="D4D4D4"/>
            </w:tcBorders>
            <w:shd w:val="clear" w:color="auto" w:fill="D4D4D4"/>
          </w:tcPr>
          <w:p>
            <w:pPr>
              <w:spacing w:after="0"/>
              <w:rPr>
                <w:sz w:val="18"/>
                <w:szCs w:val="18"/>
                <w:color w:val="auto"/>
              </w:rPr>
            </w:pPr>
          </w:p>
        </w:tc>
        <w:tc>
          <w:tcPr>
            <w:tcW w:w="120" w:type="dxa"/>
            <w:vAlign w:val="bottom"/>
            <w:tcBorders>
              <w:bottom w:val="single" w:sz="8" w:color="D4D4D4"/>
            </w:tcBorders>
            <w:shd w:val="clear" w:color="auto" w:fill="D4D4D4"/>
          </w:tcPr>
          <w:p>
            <w:pPr>
              <w:spacing w:after="0"/>
              <w:rPr>
                <w:sz w:val="18"/>
                <w:szCs w:val="18"/>
                <w:color w:val="auto"/>
              </w:rPr>
            </w:pPr>
          </w:p>
        </w:tc>
        <w:tc>
          <w:tcPr>
            <w:tcW w:w="1140" w:type="dxa"/>
            <w:vAlign w:val="bottom"/>
            <w:tcBorders>
              <w:bottom w:val="single" w:sz="8" w:color="D4D4D4"/>
            </w:tcBorders>
            <w:shd w:val="clear" w:color="auto" w:fill="D4D4D4"/>
          </w:tcPr>
          <w:p>
            <w:pPr>
              <w:spacing w:after="0"/>
              <w:rPr>
                <w:sz w:val="18"/>
                <w:szCs w:val="18"/>
                <w:color w:val="auto"/>
              </w:rPr>
            </w:pPr>
          </w:p>
        </w:tc>
        <w:tc>
          <w:tcPr>
            <w:tcW w:w="280" w:type="dxa"/>
            <w:vAlign w:val="bottom"/>
            <w:tcBorders>
              <w:bottom w:val="single" w:sz="8" w:color="D4D4D4"/>
            </w:tcBorders>
            <w:shd w:val="clear" w:color="auto" w:fill="D4D4D4"/>
          </w:tcPr>
          <w:p>
            <w:pPr>
              <w:spacing w:after="0"/>
              <w:rPr>
                <w:sz w:val="18"/>
                <w:szCs w:val="18"/>
                <w:color w:val="auto"/>
              </w:rPr>
            </w:pPr>
          </w:p>
        </w:tc>
        <w:tc>
          <w:tcPr>
            <w:tcW w:w="1060" w:type="dxa"/>
            <w:vAlign w:val="bottom"/>
            <w:tcBorders>
              <w:bottom w:val="single" w:sz="8" w:color="D4D4D4"/>
            </w:tcBorders>
            <w:shd w:val="clear" w:color="auto" w:fill="D4D4D4"/>
          </w:tcPr>
          <w:p>
            <w:pPr>
              <w:spacing w:after="0"/>
              <w:rPr>
                <w:sz w:val="18"/>
                <w:szCs w:val="18"/>
                <w:color w:val="auto"/>
              </w:rPr>
            </w:pPr>
          </w:p>
        </w:tc>
        <w:tc>
          <w:tcPr>
            <w:tcW w:w="240" w:type="dxa"/>
            <w:vAlign w:val="bottom"/>
            <w:tcBorders>
              <w:bottom w:val="single" w:sz="8" w:color="D4D4D4"/>
            </w:tcBorders>
            <w:shd w:val="clear" w:color="auto" w:fill="D4D4D4"/>
          </w:tcPr>
          <w:p>
            <w:pPr>
              <w:spacing w:after="0"/>
              <w:rPr>
                <w:sz w:val="18"/>
                <w:szCs w:val="18"/>
                <w:color w:val="auto"/>
              </w:rPr>
            </w:pPr>
          </w:p>
        </w:tc>
        <w:tc>
          <w:tcPr>
            <w:tcW w:w="1080" w:type="dxa"/>
            <w:vAlign w:val="bottom"/>
            <w:tcBorders>
              <w:bottom w:val="single" w:sz="8" w:color="D4D4D4"/>
            </w:tcBorders>
            <w:shd w:val="clear" w:color="auto" w:fill="D4D4D4"/>
          </w:tcPr>
          <w:p>
            <w:pPr>
              <w:spacing w:after="0"/>
              <w:rPr>
                <w:sz w:val="18"/>
                <w:szCs w:val="18"/>
                <w:color w:val="auto"/>
              </w:rPr>
            </w:pPr>
          </w:p>
        </w:tc>
        <w:tc>
          <w:tcPr>
            <w:tcW w:w="400" w:type="dxa"/>
            <w:vAlign w:val="bottom"/>
            <w:tcBorders>
              <w:bottom w:val="single" w:sz="8" w:color="D4D4D4"/>
            </w:tcBorders>
            <w:shd w:val="clear" w:color="auto" w:fill="D4D4D4"/>
          </w:tcPr>
          <w:p>
            <w:pPr>
              <w:spacing w:after="0"/>
              <w:rPr>
                <w:sz w:val="18"/>
                <w:szCs w:val="18"/>
                <w:color w:val="auto"/>
              </w:rPr>
            </w:pPr>
          </w:p>
        </w:tc>
        <w:tc>
          <w:tcPr>
            <w:tcW w:w="960" w:type="dxa"/>
            <w:vAlign w:val="bottom"/>
            <w:tcBorders>
              <w:bottom w:val="single" w:sz="8" w:color="D4D4D4"/>
            </w:tcBorders>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D4D4D4"/>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657.4</w:t>
            </w:r>
          </w:p>
        </w:tc>
        <w:tc>
          <w:tcPr>
            <w:tcW w:w="26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color w:val="auto"/>
              </w:rPr>
              <w:t>657.4</w:t>
            </w:r>
          </w:p>
        </w:tc>
        <w:tc>
          <w:tcPr>
            <w:tcW w:w="12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650.4</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D4D4D4"/>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4D4D4"/>
            </w:tcBorders>
          </w:tcPr>
          <w:p>
            <w:pPr>
              <w:jc w:val="right"/>
              <w:ind w:right="1"/>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30.8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31.1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53.4</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53.4</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Borders>
              <w:bottom w:val="single" w:sz="8" w:color="auto"/>
            </w:tcBorders>
            <w:shd w:val="clear" w:color="auto" w:fill="D4D4D4"/>
          </w:tcPr>
          <w:p>
            <w:pPr>
              <w:spacing w:after="0"/>
              <w:rPr>
                <w:sz w:val="18"/>
                <w:szCs w:val="18"/>
                <w:color w:val="auto"/>
              </w:rPr>
            </w:pP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58.6</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39.1</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19.5</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144.8</w:t>
            </w:r>
          </w:p>
        </w:tc>
        <w:tc>
          <w:tcPr>
            <w:tcW w:w="26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1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060" w:type="dxa"/>
            <w:vAlign w:val="bottom"/>
            <w:tcBorders>
              <w:bottom w:val="single" w:sz="8" w:color="D4D4D4"/>
            </w:tcBorders>
          </w:tcPr>
          <w:p>
            <w:pPr>
              <w:spacing w:after="0"/>
              <w:rPr>
                <w:sz w:val="18"/>
                <w:szCs w:val="18"/>
                <w:color w:val="auto"/>
              </w:rPr>
            </w:pPr>
          </w:p>
        </w:tc>
        <w:tc>
          <w:tcPr>
            <w:tcW w:w="24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400" w:type="dxa"/>
            <w:vAlign w:val="bottom"/>
            <w:tcBorders>
              <w:bottom w:val="single" w:sz="8" w:color="D4D4D4"/>
            </w:tcBorders>
          </w:tcPr>
          <w:p>
            <w:pPr>
              <w:spacing w:after="0"/>
              <w:rPr>
                <w:sz w:val="18"/>
                <w:szCs w:val="18"/>
                <w:color w:val="auto"/>
              </w:rPr>
            </w:pPr>
          </w:p>
        </w:tc>
        <w:tc>
          <w:tcPr>
            <w:tcW w:w="96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color w:val="auto"/>
              </w:rPr>
              <w:t>Noncurrent investments:</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146.4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163.2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146.4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213.9</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235.8</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213.9</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149.2</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161.5</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149.2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50.6</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50.6</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398.6</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311.0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87.6</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398.6</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Marketable equity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683.6</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484.7</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683.6</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ind w:right="1"/>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40" w:type="dxa"/>
            <w:vAlign w:val="bottom"/>
          </w:tcPr>
          <w:p>
            <w:pPr>
              <w:spacing w:after="0"/>
              <w:rPr>
                <w:sz w:val="14"/>
                <w:szCs w:val="14"/>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6"/>
                <w:szCs w:val="16"/>
                <w:color w:val="auto"/>
              </w:rPr>
              <w:t>478.4</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D4D4D4"/>
          </w:tcPr>
          <w:p>
            <w:pPr>
              <w:spacing w:after="0"/>
              <w:rPr>
                <w:sz w:val="18"/>
                <w:szCs w:val="18"/>
                <w:color w:val="auto"/>
              </w:rPr>
            </w:pP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781.1</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Noncurrent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2,901.8</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ind w:left="180" w:right="880" w:hanging="172"/>
        <w:spacing w:after="0" w:line="261" w:lineRule="auto"/>
        <w:tabs>
          <w:tab w:leader="none" w:pos="172" w:val="left"/>
        </w:tabs>
        <w:numPr>
          <w:ilvl w:val="0"/>
          <w:numId w:val="36"/>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7" w:name="page78"/>
    <w:bookmarkEnd w:id="77"/>
    <w:p>
      <w:pPr>
        <w:ind w:right="20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fair value information at December 31, 2023 and 2022 for our short-term and long-term debt: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center"/>
              <w:ind w:left="884"/>
              <w:spacing w:after="0"/>
              <w:rPr>
                <w:sz w:val="20"/>
                <w:szCs w:val="20"/>
                <w:color w:val="auto"/>
              </w:rPr>
            </w:pPr>
            <w:r>
              <w:rPr>
                <w:rFonts w:ascii="Arial" w:cs="Arial" w:eastAsia="Arial" w:hAnsi="Arial"/>
                <w:sz w:val="13"/>
                <w:szCs w:val="13"/>
                <w:b w:val="1"/>
                <w:bCs w:val="1"/>
                <w:color w:val="auto"/>
                <w:w w:val="96"/>
              </w:rPr>
              <w:t>Fair Value Measurements Using</w:t>
            </w:r>
          </w:p>
        </w:tc>
        <w:tc>
          <w:tcPr>
            <w:tcW w:w="11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96"/>
              </w:rPr>
              <w:t>Quoted Prices in</w:t>
            </w:r>
          </w:p>
        </w:tc>
        <w:tc>
          <w:tcPr>
            <w:tcW w:w="300" w:type="dxa"/>
            <w:vAlign w:val="bottom"/>
          </w:tcPr>
          <w:p>
            <w:pPr>
              <w:spacing w:after="0"/>
              <w:rPr>
                <w:sz w:val="10"/>
                <w:szCs w:val="10"/>
                <w:color w:val="auto"/>
              </w:rPr>
            </w:pPr>
          </w:p>
        </w:tc>
        <w:tc>
          <w:tcPr>
            <w:tcW w:w="1140" w:type="dxa"/>
            <w:vAlign w:val="bottom"/>
          </w:tcPr>
          <w:p>
            <w:pPr>
              <w:jc w:val="center"/>
              <w:ind w:right="18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100" w:type="dxa"/>
            <w:vAlign w:val="bottom"/>
            <w:vMerge w:val="restart"/>
          </w:tcPr>
          <w:p>
            <w:pPr>
              <w:jc w:val="center"/>
              <w:ind w:right="144"/>
              <w:spacing w:after="0"/>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Other</w:t>
            </w: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vMerge w:val="restart"/>
          </w:tcPr>
          <w:p>
            <w:pPr>
              <w:jc w:val="right"/>
              <w:ind w:right="419"/>
              <w:spacing w:after="0"/>
              <w:rPr>
                <w:sz w:val="20"/>
                <w:szCs w:val="20"/>
                <w:color w:val="auto"/>
              </w:rPr>
            </w:pPr>
            <w:r>
              <w:rPr>
                <w:rFonts w:ascii="Arial" w:cs="Arial" w:eastAsia="Arial" w:hAnsi="Arial"/>
                <w:sz w:val="13"/>
                <w:szCs w:val="13"/>
                <w:b w:val="1"/>
                <w:bCs w:val="1"/>
                <w:color w:val="auto"/>
              </w:rPr>
              <w:t>Carrying</w:t>
            </w:r>
          </w:p>
        </w:tc>
        <w:tc>
          <w:tcPr>
            <w:tcW w:w="13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300" w:type="dxa"/>
            <w:vAlign w:val="bottom"/>
          </w:tcPr>
          <w:p>
            <w:pPr>
              <w:spacing w:after="0"/>
              <w:rPr>
                <w:sz w:val="10"/>
                <w:szCs w:val="10"/>
                <w:color w:val="auto"/>
              </w:rPr>
            </w:pPr>
          </w:p>
        </w:tc>
        <w:tc>
          <w:tcPr>
            <w:tcW w:w="1140" w:type="dxa"/>
            <w:vAlign w:val="bottom"/>
          </w:tcPr>
          <w:p>
            <w:pPr>
              <w:jc w:val="center"/>
              <w:ind w:right="185"/>
              <w:spacing w:after="0" w:line="122" w:lineRule="exact"/>
              <w:rPr>
                <w:sz w:val="20"/>
                <w:szCs w:val="20"/>
                <w:color w:val="auto"/>
              </w:rPr>
            </w:pPr>
            <w:r>
              <w:rPr>
                <w:rFonts w:ascii="Arial" w:cs="Arial" w:eastAsia="Arial" w:hAnsi="Arial"/>
                <w:sz w:val="13"/>
                <w:szCs w:val="13"/>
                <w:b w:val="1"/>
                <w:bCs w:val="1"/>
                <w:color w:val="auto"/>
                <w:w w:val="95"/>
              </w:rPr>
              <w:t>Observable</w:t>
            </w:r>
          </w:p>
        </w:tc>
        <w:tc>
          <w:tcPr>
            <w:tcW w:w="280" w:type="dxa"/>
            <w:vAlign w:val="bottom"/>
          </w:tcPr>
          <w:p>
            <w:pPr>
              <w:spacing w:after="0"/>
              <w:rPr>
                <w:sz w:val="10"/>
                <w:szCs w:val="10"/>
                <w:color w:val="auto"/>
              </w:rPr>
            </w:pPr>
          </w:p>
        </w:tc>
        <w:tc>
          <w:tcPr>
            <w:tcW w:w="110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0"/>
                <w:szCs w:val="10"/>
                <w:color w:val="auto"/>
              </w:rPr>
            </w:pPr>
          </w:p>
        </w:tc>
        <w:tc>
          <w:tcPr>
            <w:tcW w:w="1020" w:type="dxa"/>
            <w:vAlign w:val="bottom"/>
            <w:vMerge w:val="restart"/>
          </w:tcPr>
          <w:p>
            <w:pPr>
              <w:jc w:val="right"/>
              <w:ind w:right="45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1"/>
                <w:szCs w:val="11"/>
                <w:color w:val="auto"/>
              </w:rPr>
            </w:pPr>
          </w:p>
        </w:tc>
        <w:tc>
          <w:tcPr>
            <w:tcW w:w="114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Inputs</w:t>
            </w:r>
          </w:p>
        </w:tc>
        <w:tc>
          <w:tcPr>
            <w:tcW w:w="280" w:type="dxa"/>
            <w:vAlign w:val="bottom"/>
          </w:tcPr>
          <w:p>
            <w:pPr>
              <w:spacing w:after="0"/>
              <w:rPr>
                <w:sz w:val="11"/>
                <w:szCs w:val="11"/>
                <w:color w:val="auto"/>
              </w:rPr>
            </w:pPr>
          </w:p>
        </w:tc>
        <w:tc>
          <w:tcPr>
            <w:tcW w:w="1100" w:type="dxa"/>
            <w:vAlign w:val="bottom"/>
          </w:tcPr>
          <w:p>
            <w:pPr>
              <w:jc w:val="center"/>
              <w:ind w:right="164"/>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8"/>
              </w:rPr>
              <w:t>(Level 2)</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4"/>
              </w:rPr>
              <w:t>(Level 3)</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3740" w:type="dxa"/>
            <w:vAlign w:val="bottom"/>
            <w:shd w:val="clear" w:color="auto" w:fill="DBDBDB"/>
          </w:tcPr>
          <w:p>
            <w:pPr>
              <w:spacing w:after="0"/>
              <w:rPr>
                <w:sz w:val="20"/>
                <w:szCs w:val="20"/>
                <w:color w:val="auto"/>
              </w:rPr>
            </w:pPr>
            <w:r>
              <w:rPr>
                <w:rFonts w:ascii="Arial" w:cs="Arial" w:eastAsia="Arial" w:hAnsi="Arial"/>
                <w:sz w:val="18"/>
                <w:szCs w:val="18"/>
                <w:color w:val="auto"/>
              </w:rPr>
              <w:t>Short-term commercial paper borrowings</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60"/>
              <w:spacing w:after="0"/>
              <w:rPr>
                <w:sz w:val="20"/>
                <w:szCs w:val="20"/>
                <w:color w:val="auto"/>
              </w:rPr>
            </w:pPr>
            <w:r>
              <w:rPr>
                <w:rFonts w:ascii="Arial" w:cs="Arial" w:eastAsia="Arial" w:hAnsi="Arial"/>
                <w:sz w:val="18"/>
                <w:szCs w:val="18"/>
                <w:color w:val="auto"/>
              </w:rPr>
              <w:t>December 31, 2023</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b w:val="1"/>
                <w:bCs w:val="1"/>
                <w:color w:val="auto"/>
              </w:rPr>
              <w:t>(6,189.4)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b w:val="1"/>
                <w:bCs w:val="1"/>
                <w:color w:val="auto"/>
              </w:rPr>
              <w:t>(6,166.4)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(6,166.4)</w:t>
            </w:r>
          </w:p>
        </w:tc>
        <w:tc>
          <w:tcPr>
            <w:tcW w:w="0" w:type="dxa"/>
            <w:vAlign w:val="bottom"/>
          </w:tcPr>
          <w:p>
            <w:pPr>
              <w:spacing w:after="0"/>
              <w:rPr>
                <w:sz w:val="1"/>
                <w:szCs w:val="1"/>
                <w:color w:val="auto"/>
              </w:rPr>
            </w:pPr>
          </w:p>
        </w:tc>
      </w:tr>
      <w:tr>
        <w:trPr>
          <w:trHeight w:val="230"/>
        </w:trPr>
        <w:tc>
          <w:tcPr>
            <w:tcW w:w="3740" w:type="dxa"/>
            <w:vAlign w:val="bottom"/>
            <w:shd w:val="clear" w:color="auto" w:fill="DBDBDB"/>
          </w:tcPr>
          <w:p>
            <w:pPr>
              <w:ind w:left="160"/>
              <w:spacing w:after="0"/>
              <w:rPr>
                <w:sz w:val="20"/>
                <w:szCs w:val="20"/>
                <w:color w:val="auto"/>
              </w:rPr>
            </w:pPr>
            <w:r>
              <w:rPr>
                <w:rFonts w:ascii="Arial" w:cs="Arial" w:eastAsia="Arial" w:hAnsi="Arial"/>
                <w:sz w:val="18"/>
                <w:szCs w:val="18"/>
                <w:color w:val="auto"/>
              </w:rPr>
              <w:t>December 31, 2022</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59"/>
              <w:spacing w:after="0"/>
              <w:rPr>
                <w:sz w:val="20"/>
                <w:szCs w:val="20"/>
                <w:color w:val="auto"/>
              </w:rPr>
            </w:pPr>
            <w:r>
              <w:rPr>
                <w:rFonts w:ascii="Arial" w:cs="Arial" w:eastAsia="Arial" w:hAnsi="Arial"/>
                <w:sz w:val="18"/>
                <w:szCs w:val="18"/>
                <w:color w:val="auto"/>
              </w:rPr>
              <w:t>(1,498.0)</w:t>
            </w: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
              <w:spacing w:after="0"/>
              <w:rPr>
                <w:sz w:val="20"/>
                <w:szCs w:val="20"/>
                <w:color w:val="auto"/>
              </w:rPr>
            </w:pPr>
            <w:r>
              <w:rPr>
                <w:rFonts w:ascii="Arial" w:cs="Arial" w:eastAsia="Arial" w:hAnsi="Arial"/>
                <w:sz w:val="18"/>
                <w:szCs w:val="18"/>
                <w:color w:val="auto"/>
              </w:rPr>
              <w:t>(1,492.0)</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DBDBDB"/>
          </w:tcPr>
          <w:p>
            <w:pPr>
              <w:ind w:left="160"/>
              <w:spacing w:after="0"/>
              <w:rPr>
                <w:sz w:val="20"/>
                <w:szCs w:val="20"/>
                <w:color w:val="auto"/>
              </w:rPr>
            </w:pPr>
            <w:r>
              <w:rPr>
                <w:rFonts w:ascii="Arial" w:cs="Arial" w:eastAsia="Arial" w:hAnsi="Arial"/>
                <w:sz w:val="18"/>
                <w:szCs w:val="18"/>
                <w:color w:val="auto"/>
              </w:rPr>
              <w:t>December 31, 2023</w:t>
            </w:r>
          </w:p>
        </w:tc>
        <w:tc>
          <w:tcPr>
            <w:tcW w:w="72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BDBDB"/>
          </w:tcPr>
          <w:p>
            <w:pPr>
              <w:jc w:val="right"/>
              <w:ind w:right="59"/>
              <w:spacing w:after="0"/>
              <w:rPr>
                <w:sz w:val="20"/>
                <w:szCs w:val="20"/>
                <w:color w:val="auto"/>
              </w:rPr>
            </w:pPr>
            <w:r>
              <w:rPr>
                <w:rFonts w:ascii="Arial" w:cs="Arial" w:eastAsia="Arial" w:hAnsi="Arial"/>
                <w:sz w:val="18"/>
                <w:szCs w:val="18"/>
                <w:b w:val="1"/>
                <w:bCs w:val="1"/>
                <w:color w:val="auto"/>
              </w:rPr>
              <w:t>(19,035.9)</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ind w:left="9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
              <w:spacing w:after="0"/>
              <w:rPr>
                <w:sz w:val="20"/>
                <w:szCs w:val="20"/>
                <w:color w:val="auto"/>
              </w:rPr>
            </w:pPr>
            <w:r>
              <w:rPr>
                <w:rFonts w:ascii="Arial" w:cs="Arial" w:eastAsia="Arial" w:hAnsi="Arial"/>
                <w:sz w:val="18"/>
                <w:szCs w:val="18"/>
                <w:b w:val="1"/>
                <w:bCs w:val="1"/>
                <w:color w:val="auto"/>
              </w:rPr>
              <w:t>(17,221.7)</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(17,221.7)</w:t>
            </w:r>
          </w:p>
        </w:tc>
        <w:tc>
          <w:tcPr>
            <w:tcW w:w="0" w:type="dxa"/>
            <w:vAlign w:val="bottom"/>
          </w:tcPr>
          <w:p>
            <w:pPr>
              <w:spacing w:after="0"/>
              <w:rPr>
                <w:sz w:val="1"/>
                <w:szCs w:val="1"/>
                <w:color w:val="auto"/>
              </w:rPr>
            </w:pPr>
          </w:p>
        </w:tc>
      </w:tr>
      <w:tr>
        <w:trPr>
          <w:trHeight w:val="239"/>
        </w:trPr>
        <w:tc>
          <w:tcPr>
            <w:tcW w:w="3740" w:type="dxa"/>
            <w:vAlign w:val="bottom"/>
          </w:tcPr>
          <w:p>
            <w:pPr>
              <w:ind w:left="160"/>
              <w:spacing w:after="0"/>
              <w:rPr>
                <w:sz w:val="20"/>
                <w:szCs w:val="20"/>
                <w:color w:val="auto"/>
              </w:rPr>
            </w:pPr>
            <w:r>
              <w:rPr>
                <w:rFonts w:ascii="Arial" w:cs="Arial" w:eastAsia="Arial" w:hAnsi="Arial"/>
                <w:sz w:val="18"/>
                <w:szCs w:val="18"/>
                <w:color w:val="auto"/>
              </w:rPr>
              <w:t>December 31, 2022</w:t>
            </w:r>
          </w:p>
        </w:tc>
        <w:tc>
          <w:tcPr>
            <w:tcW w:w="72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(14,740.6)</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ind w:right="5"/>
              <w:spacing w:after="0"/>
              <w:rPr>
                <w:sz w:val="20"/>
                <w:szCs w:val="20"/>
                <w:color w:val="auto"/>
              </w:rPr>
            </w:pPr>
            <w:r>
              <w:rPr>
                <w:rFonts w:ascii="Arial" w:cs="Arial" w:eastAsia="Arial" w:hAnsi="Arial"/>
                <w:sz w:val="18"/>
                <w:szCs w:val="18"/>
                <w:color w:val="auto"/>
              </w:rPr>
              <w:t>(12,329.3)</w:t>
            </w:r>
          </w:p>
        </w:tc>
        <w:tc>
          <w:tcPr>
            <w:tcW w:w="28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(12,329.3)</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$431.9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$422.1 million of accounts receivable as of December 31, 2023 and 2022, respectively, under these factoring arrangements. The costs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factoring such accounts receivable were not material for the years ended December 31, 2023, 2022, and 2021.</w:t>
      </w:r>
    </w:p>
    <w:p>
      <w:pPr>
        <w:spacing w:after="0" w:line="99"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8" w:name="page79"/>
    <w:bookmarkEnd w:id="78"/>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17)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17).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(primarily the euro, Chinese yuan,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December 31, 2023, we had outstanding foreign currency forward commitments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2023</w:t>
      </w:r>
    </w:p>
    <w:p>
      <w:pPr>
        <w:spacing w:after="0" w:line="35" w:lineRule="exact"/>
        <w:rPr>
          <w:sz w:val="20"/>
          <w:szCs w:val="20"/>
          <w:color w:val="auto"/>
        </w:rPr>
      </w:pPr>
    </w:p>
    <w:tbl>
      <w:tblPr>
        <w:tblLayout w:type="fixed"/>
        <w:tblInd w:w="2340" w:type="dxa"/>
        <w:tblCellMar>
          <w:top w:w="0" w:type="dxa"/>
          <w:left w:w="0" w:type="dxa"/>
          <w:bottom w:w="0" w:type="dxa"/>
          <w:right w:w="0" w:type="dxa"/>
        </w:tblCellMar>
      </w:tblPr>
      <w:tr>
        <w:trPr>
          <w:trHeight w:val="197"/>
        </w:trPr>
        <w:tc>
          <w:tcPr>
            <w:tcW w:w="122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tcPr>
          <w:p>
            <w:pPr>
              <w:jc w:val="right"/>
              <w:ind w:right="1198"/>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398"/>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2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Currency</w:t>
            </w:r>
          </w:p>
        </w:tc>
        <w:tc>
          <w:tcPr>
            <w:tcW w:w="2140" w:type="dxa"/>
            <w:vAlign w:val="bottom"/>
            <w:gridSpan w:val="2"/>
          </w:tcPr>
          <w:p>
            <w:pPr>
              <w:jc w:val="center"/>
              <w:ind w:left="138"/>
              <w:spacing w:after="0" w:line="147" w:lineRule="exact"/>
              <w:rPr>
                <w:sz w:val="20"/>
                <w:szCs w:val="20"/>
                <w:color w:val="auto"/>
              </w:rPr>
            </w:pPr>
            <w:r>
              <w:rPr>
                <w:rFonts w:ascii="Arial" w:cs="Arial" w:eastAsia="Arial" w:hAnsi="Arial"/>
                <w:sz w:val="14"/>
                <w:szCs w:val="14"/>
                <w:b w:val="1"/>
                <w:bCs w:val="1"/>
                <w:color w:val="auto"/>
              </w:rPr>
              <w:t>Amount</w:t>
            </w: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Currency</w:t>
            </w:r>
          </w:p>
        </w:tc>
        <w:tc>
          <w:tcPr>
            <w:tcW w:w="1900" w:type="dxa"/>
            <w:vAlign w:val="bottom"/>
          </w:tcPr>
          <w:p>
            <w:pPr>
              <w:jc w:val="right"/>
              <w:ind w:right="438"/>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dollars</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4,779.4</w:t>
            </w:r>
          </w:p>
        </w:tc>
        <w:tc>
          <w:tcPr>
            <w:tcW w:w="1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20"/>
                <w:szCs w:val="20"/>
                <w:color w:val="auto"/>
              </w:rPr>
            </w:pPr>
            <w:r>
              <w:rPr>
                <w:rFonts w:ascii="Arial" w:cs="Arial" w:eastAsia="Arial" w:hAnsi="Arial"/>
                <w:sz w:val="18"/>
                <w:szCs w:val="18"/>
                <w:color w:val="auto"/>
              </w:rPr>
              <w:t>Euro</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4,352.2</w:t>
            </w: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Arial" w:cs="Arial" w:eastAsia="Arial" w:hAnsi="Arial"/>
                <w:sz w:val="18"/>
                <w:szCs w:val="18"/>
                <w:color w:val="auto"/>
              </w:rPr>
              <w:t>Euro</w:t>
            </w:r>
          </w:p>
        </w:tc>
        <w:tc>
          <w:tcPr>
            <w:tcW w:w="1980" w:type="dxa"/>
            <w:vAlign w:val="bottom"/>
          </w:tcPr>
          <w:p>
            <w:pPr>
              <w:jc w:val="right"/>
              <w:spacing w:after="0"/>
              <w:rPr>
                <w:sz w:val="20"/>
                <w:szCs w:val="20"/>
                <w:color w:val="auto"/>
              </w:rPr>
            </w:pPr>
            <w:r>
              <w:rPr>
                <w:rFonts w:ascii="Arial" w:cs="Arial" w:eastAsia="Arial" w:hAnsi="Arial"/>
                <w:sz w:val="18"/>
                <w:szCs w:val="18"/>
                <w:color w:val="auto"/>
              </w:rPr>
              <w:t>3,940.4</w:t>
            </w:r>
          </w:p>
        </w:tc>
        <w:tc>
          <w:tcPr>
            <w:tcW w:w="1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30"/>
        </w:trPr>
        <w:tc>
          <w:tcPr>
            <w:tcW w:w="1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British pounds</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237.7</w:t>
            </w:r>
          </w:p>
        </w:tc>
        <w:tc>
          <w:tcPr>
            <w:tcW w:w="1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20"/>
                <w:szCs w:val="20"/>
                <w:color w:val="auto"/>
              </w:rPr>
            </w:pPr>
            <w:r>
              <w:rPr>
                <w:rFonts w:ascii="Arial" w:cs="Arial" w:eastAsia="Arial" w:hAnsi="Arial"/>
                <w:sz w:val="18"/>
                <w:szCs w:val="18"/>
                <w:color w:val="auto"/>
              </w:rPr>
              <w:t>U.S. dollars</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39"/>
        </w:trPr>
        <w:tc>
          <w:tcPr>
            <w:tcW w:w="12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980" w:type="dxa"/>
            <w:vAlign w:val="bottom"/>
          </w:tcPr>
          <w:p>
            <w:pPr>
              <w:jc w:val="right"/>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Chinese yuan</w:t>
            </w:r>
          </w:p>
        </w:tc>
        <w:tc>
          <w:tcPr>
            <w:tcW w:w="1900" w:type="dxa"/>
            <w:vAlign w:val="bottom"/>
          </w:tcPr>
          <w:p>
            <w:pPr>
              <w:jc w:val="right"/>
              <w:spacing w:after="0"/>
              <w:rPr>
                <w:sz w:val="20"/>
                <w:szCs w:val="20"/>
                <w:color w:val="auto"/>
              </w:rPr>
            </w:pPr>
            <w:r>
              <w:rPr>
                <w:rFonts w:ascii="Arial" w:cs="Arial" w:eastAsia="Arial" w:hAnsi="Arial"/>
                <w:sz w:val="18"/>
                <w:szCs w:val="18"/>
                <w:color w:val="auto"/>
              </w:rPr>
              <w:t>1,172.7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Foreign currency exchange risk is also managed through the use of foreign currency debt, cross-currency interest rate swaps, and foreign currency forward contracts. Our foreign currency-denominated notes had carrying amounts of $7.14 billion and $6.83 billion as of December 31, 2023 and 2022, respectively, of which $5.67 billion and $5.45 billion have been designated as, and are effective as, economic hedges of net investments in certain of our foreign operations as of December 31, 2023 and 2022, respectively. At December 31, 2023, we had outstanding cross currency swaps with notional amounts of $ 728.6 million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 rate debt, have also been designated as, and are effective as, economic hedges of net investments. At December 31, 2023, we had outstanding foreign currency forward contracts to sell 3.20 billion euro and to sell 1.80 billion Chinese yuan, with settlement dates ranging through 2024, which have been designated as, and are effective as, economic hedges of net investments.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2023, all of our total long-term debt is at a fixed rate. We have converted approximately 12 percent of our long-term fixed-rate notes to floating rates through the use of interest rate swaps.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9" w:name="page80"/>
    <w:bookmarkEnd w:id="79"/>
    <w:p>
      <w:pPr>
        <w:ind w:right="80"/>
        <w:spacing w:after="0" w:line="257" w:lineRule="auto"/>
        <w:rPr>
          <w:sz w:val="20"/>
          <w:szCs w:val="20"/>
          <w:color w:val="auto"/>
        </w:rPr>
      </w:pPr>
      <w:r>
        <w:rPr>
          <w:rFonts w:ascii="Arial" w:cs="Arial" w:eastAsia="Arial" w:hAnsi="Arial"/>
          <w:sz w:val="18"/>
          <w:szCs w:val="18"/>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17) and, upon completion of a debt issuance and termination of the instrument, is amortized to interest expense over the life of the underlying debt. As of December 31, 2023, the total notional amounts of forward-starting interest rate and treasury lock contracts in designated cash flow hedging instruments were $1.10 billion, which have settlement dates ranging through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 Management Instruments on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hedges: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31.5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68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(31.5)</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209.8</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D8D8D8"/>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32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13.5</w:t>
            </w:r>
          </w:p>
        </w:tc>
        <w:tc>
          <w:tcPr>
            <w:tcW w:w="40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68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D8D8D8"/>
          </w:tcPr>
          <w:p>
            <w:pPr>
              <w:spacing w:after="0"/>
              <w:rPr>
                <w:sz w:val="21"/>
                <w:szCs w:val="21"/>
                <w:color w:val="auto"/>
              </w:rPr>
            </w:pPr>
          </w:p>
        </w:tc>
        <w:tc>
          <w:tcPr>
            <w:tcW w:w="1120" w:type="dxa"/>
            <w:vAlign w:val="bottom"/>
            <w:vMerge w:val="continue"/>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1120" w:type="dxa"/>
            <w:vAlign w:val="bottom"/>
            <w:vMerge w:val="continue"/>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08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(108.6)</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75"/>
        </w:trPr>
        <w:tc>
          <w:tcPr>
            <w:tcW w:w="68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Net losses on foreign currency exchange contracts not designated as hedging</w:t>
            </w:r>
          </w:p>
        </w:tc>
        <w:tc>
          <w:tcPr>
            <w:tcW w:w="32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26.4</w:t>
            </w:r>
          </w:p>
        </w:tc>
        <w:tc>
          <w:tcPr>
            <w:tcW w:w="40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color w:val="auto"/>
              </w:rPr>
              <w:t>191.3</w:t>
            </w:r>
          </w:p>
        </w:tc>
        <w:tc>
          <w:tcPr>
            <w:tcW w:w="3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43"/>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instruments</w:t>
            </w:r>
          </w:p>
        </w:tc>
        <w:tc>
          <w:tcPr>
            <w:tcW w:w="320" w:type="dxa"/>
            <w:vAlign w:val="bottom"/>
            <w:tcBorders>
              <w:bottom w:val="single" w:sz="8" w:color="auto"/>
            </w:tcBorders>
            <w:shd w:val="clear" w:color="auto" w:fill="D8D8D8"/>
          </w:tcPr>
          <w:p>
            <w:pPr>
              <w:spacing w:after="0"/>
              <w:rPr>
                <w:sz w:val="21"/>
                <w:szCs w:val="21"/>
                <w:color w:val="auto"/>
              </w:rPr>
            </w:pPr>
          </w:p>
        </w:tc>
        <w:tc>
          <w:tcPr>
            <w:tcW w:w="1120" w:type="dxa"/>
            <w:vAlign w:val="bottom"/>
            <w:tcBorders>
              <w:bottom w:val="single" w:sz="8" w:color="auto"/>
            </w:tcBorders>
            <w:vMerge w:val="continue"/>
            <w:shd w:val="clear" w:color="auto" w:fill="D8D8D8"/>
          </w:tcPr>
          <w:p>
            <w:pPr>
              <w:spacing w:after="0"/>
              <w:rPr>
                <w:sz w:val="21"/>
                <w:szCs w:val="21"/>
                <w:color w:val="auto"/>
              </w:rPr>
            </w:pPr>
          </w:p>
        </w:tc>
        <w:tc>
          <w:tcPr>
            <w:tcW w:w="400" w:type="dxa"/>
            <w:vAlign w:val="bottom"/>
            <w:tcBorders>
              <w:bottom w:val="single" w:sz="8" w:color="auto"/>
            </w:tcBorders>
            <w:shd w:val="clear" w:color="auto" w:fill="D8D8D8"/>
          </w:tcPr>
          <w:p>
            <w:pPr>
              <w:spacing w:after="0"/>
              <w:rPr>
                <w:sz w:val="21"/>
                <w:szCs w:val="21"/>
                <w:color w:val="auto"/>
              </w:rPr>
            </w:pPr>
          </w:p>
        </w:tc>
        <w:tc>
          <w:tcPr>
            <w:tcW w:w="1120" w:type="dxa"/>
            <w:vAlign w:val="bottom"/>
            <w:tcBorders>
              <w:bottom w:val="single" w:sz="8" w:color="auto"/>
            </w:tcBorders>
            <w:vMerge w:val="continue"/>
            <w:shd w:val="clear" w:color="auto" w:fill="D8D8D8"/>
          </w:tcPr>
          <w:p>
            <w:pPr>
              <w:spacing w:after="0"/>
              <w:rPr>
                <w:sz w:val="21"/>
                <w:szCs w:val="21"/>
                <w:color w:val="auto"/>
              </w:rPr>
            </w:pPr>
          </w:p>
        </w:tc>
        <w:tc>
          <w:tcPr>
            <w:tcW w:w="380" w:type="dxa"/>
            <w:vAlign w:val="bottom"/>
            <w:tcBorders>
              <w:bottom w:val="single" w:sz="8" w:color="auto"/>
            </w:tcBorders>
            <w:shd w:val="clear" w:color="auto" w:fill="D8D8D8"/>
          </w:tcPr>
          <w:p>
            <w:pPr>
              <w:spacing w:after="0"/>
              <w:rPr>
                <w:sz w:val="21"/>
                <w:szCs w:val="21"/>
                <w:color w:val="auto"/>
              </w:rPr>
            </w:pPr>
          </w:p>
        </w:tc>
        <w:tc>
          <w:tcPr>
            <w:tcW w:w="1080" w:type="dxa"/>
            <w:vAlign w:val="bottom"/>
            <w:tcBorders>
              <w:bottom w:val="single" w:sz="8" w:color="auto"/>
            </w:tcBorders>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216.4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During the years ended December 31, 2023, 2022, and 2021,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investment hedges:</w:t>
            </w:r>
          </w:p>
        </w:tc>
        <w:tc>
          <w:tcPr>
            <w:tcW w:w="216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21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324.9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435.0</w:t>
            </w:r>
          </w:p>
        </w:tc>
      </w:tr>
      <w:tr>
        <w:trPr>
          <w:trHeight w:val="230"/>
        </w:trPr>
        <w:tc>
          <w:tcPr>
            <w:tcW w:w="4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Cross-currency interest rate swaps</w:t>
            </w:r>
          </w:p>
        </w:tc>
        <w:tc>
          <w:tcPr>
            <w:tcW w:w="21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(27.4)</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52.0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213.7</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2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hedges:</w:t>
            </w:r>
          </w:p>
        </w:tc>
        <w:tc>
          <w:tcPr>
            <w:tcW w:w="216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1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85.6</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391.5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4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Cross-currency interest rate swaps</w:t>
            </w:r>
          </w:p>
        </w:tc>
        <w:tc>
          <w:tcPr>
            <w:tcW w:w="216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15.2</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42.3</w:t>
            </w:r>
          </w:p>
        </w:tc>
      </w:tr>
    </w:tbl>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next 12 months, we expect to reclassify $13.0 million of pretax net losses on cash flow hedges from accumulated other comprehensive loss to other–net, (income) expense. During the years ended December 31, 2023, 2022, and 2021, the amounts excluded from the assessment of hedge effectiveness recognized in other comprehensive income (loss)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2023 and 2022 for risk-management assets and liabilities measured at fair value on a recurring basis: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08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9"/>
              </w:rPr>
              <w:t>Significant</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right="158"/>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3"/>
                <w:szCs w:val="13"/>
                <w:b w:val="1"/>
                <w:bCs w:val="1"/>
                <w:color w:val="auto"/>
              </w:rPr>
              <w:t>Carrying</w:t>
            </w: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0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080" w:type="dxa"/>
            <w:vAlign w:val="bottom"/>
          </w:tcPr>
          <w:p>
            <w:pPr>
              <w:jc w:val="center"/>
              <w:ind w:right="178"/>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4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Inputs</w:t>
            </w: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40" w:type="dxa"/>
            <w:vAlign w:val="bottom"/>
          </w:tcPr>
          <w:p>
            <w:pPr>
              <w:jc w:val="center"/>
              <w:ind w:right="55"/>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(Level 3)</w:t>
            </w: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25"/>
        </w:trPr>
        <w:tc>
          <w:tcPr>
            <w:tcW w:w="4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2023</w:t>
            </w:r>
          </w:p>
        </w:tc>
        <w:tc>
          <w:tcPr>
            <w:tcW w:w="34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Interest rate contracts designated as fair value</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b w:val="1"/>
                <w:bCs w:val="1"/>
                <w:color w:val="auto"/>
              </w:rPr>
              <w:t>(100.3)</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b w:val="1"/>
                <w:bCs w:val="1"/>
                <w:color w:val="auto"/>
              </w:rPr>
              <w:t>291.2</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b w:val="1"/>
                <w:bCs w:val="1"/>
                <w:color w:val="auto"/>
              </w:rPr>
              <w:t>291.2</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net investment 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b w:val="1"/>
                <w:bCs w:val="1"/>
                <w:color w:val="auto"/>
              </w:rPr>
              <w:t>(28.4)</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(28.4)</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flow 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b w:val="1"/>
                <w:bCs w:val="1"/>
                <w:color w:val="auto"/>
              </w:rPr>
              <w:t>113.8</w:t>
            </w:r>
          </w:p>
        </w:tc>
        <w:tc>
          <w:tcPr>
            <w:tcW w:w="1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113.8</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b w:val="1"/>
                <w:bCs w:val="1"/>
                <w:color w:val="auto"/>
              </w:rPr>
              <w:t>63.1</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b w:val="1"/>
                <w:bCs w:val="1"/>
                <w:color w:val="auto"/>
              </w:rPr>
              <w:t>63.1</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designated as hedging</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b w:val="1"/>
                <w:bCs w:val="1"/>
                <w:color w:val="auto"/>
              </w:rPr>
              <w:t>(115.8)</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(115.8)</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not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b w:val="1"/>
                <w:bCs w:val="1"/>
                <w:color w:val="auto"/>
              </w:rPr>
              <w:t>129.6</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b w:val="1"/>
                <w:bCs w:val="1"/>
                <w:color w:val="auto"/>
              </w:rPr>
              <w:t>129.6</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b w:val="1"/>
                <w:bCs w:val="1"/>
                <w:color w:val="auto"/>
              </w:rPr>
              <w:t>(55.9)</w:t>
            </w:r>
          </w:p>
        </w:tc>
        <w:tc>
          <w:tcPr>
            <w:tcW w:w="1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Contingent consideration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b w:val="1"/>
                <w:bCs w:val="1"/>
                <w:color w:val="auto"/>
              </w:rPr>
              <w:t>(39.5)</w:t>
            </w:r>
          </w:p>
        </w:tc>
        <w:tc>
          <w:tcPr>
            <w:tcW w:w="1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ind w:left="600"/>
              <w:spacing w:after="0"/>
              <w:rPr>
                <w:sz w:val="20"/>
                <w:szCs w:val="20"/>
                <w:color w:val="auto"/>
              </w:rPr>
            </w:pPr>
            <w:r>
              <w:rPr>
                <w:rFonts w:ascii="Arial" w:cs="Arial" w:eastAsia="Arial" w:hAnsi="Arial"/>
                <w:sz w:val="18"/>
                <w:szCs w:val="18"/>
                <w:b w:val="1"/>
                <w:bCs w:val="1"/>
                <w:color w:val="auto"/>
                <w:w w:val="97"/>
              </w:rPr>
              <w:t>(39.5)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b w:val="1"/>
                <w:bCs w:val="1"/>
                <w:color w:val="auto"/>
              </w:rPr>
              <w:t>(64.4)</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ind w:left="600"/>
              <w:spacing w:after="0"/>
              <w:rPr>
                <w:sz w:val="20"/>
                <w:szCs w:val="20"/>
                <w:color w:val="auto"/>
              </w:rPr>
            </w:pPr>
            <w:r>
              <w:rPr>
                <w:rFonts w:ascii="Arial" w:cs="Arial" w:eastAsia="Arial" w:hAnsi="Arial"/>
                <w:sz w:val="18"/>
                <w:szCs w:val="18"/>
                <w:b w:val="1"/>
                <w:bCs w:val="1"/>
                <w:color w:val="auto"/>
                <w:w w:val="97"/>
              </w:rPr>
              <w:t>(64.4)</w:t>
            </w: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8"/>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5"/>
          </w:tcPr>
          <w:p>
            <w:pPr>
              <w:jc w:val="center"/>
              <w:ind w:right="38"/>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Quoted Prices in</w:t>
            </w:r>
          </w:p>
        </w:tc>
        <w:tc>
          <w:tcPr>
            <w:tcW w:w="260" w:type="dxa"/>
            <w:vAlign w:val="bottom"/>
          </w:tcPr>
          <w:p>
            <w:pPr>
              <w:spacing w:after="0"/>
              <w:rPr>
                <w:sz w:val="10"/>
                <w:szCs w:val="10"/>
                <w:color w:val="auto"/>
              </w:rPr>
            </w:pPr>
          </w:p>
        </w:tc>
        <w:tc>
          <w:tcPr>
            <w:tcW w:w="1080" w:type="dxa"/>
            <w:vAlign w:val="bottom"/>
          </w:tcPr>
          <w:p>
            <w:pPr>
              <w:jc w:val="center"/>
              <w:ind w:right="159"/>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9"/>
              </w:rPr>
              <w:t>Significant</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75"/>
              <w:spacing w:after="0"/>
              <w:rPr>
                <w:sz w:val="20"/>
                <w:szCs w:val="20"/>
                <w:color w:val="auto"/>
              </w:rPr>
            </w:pPr>
            <w:r>
              <w:rPr>
                <w:rFonts w:ascii="Arial" w:cs="Arial" w:eastAsia="Arial" w:hAnsi="Arial"/>
                <w:sz w:val="13"/>
                <w:szCs w:val="13"/>
                <w:b w:val="1"/>
                <w:bCs w:val="1"/>
                <w:color w:val="auto"/>
              </w:rPr>
              <w:t>Carrying</w:t>
            </w: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60" w:type="dxa"/>
            <w:vAlign w:val="bottom"/>
          </w:tcPr>
          <w:p>
            <w:pPr>
              <w:spacing w:after="0"/>
              <w:rPr>
                <w:sz w:val="10"/>
                <w:szCs w:val="10"/>
                <w:color w:val="auto"/>
              </w:rPr>
            </w:pPr>
          </w:p>
        </w:tc>
        <w:tc>
          <w:tcPr>
            <w:tcW w:w="1080" w:type="dxa"/>
            <w:vAlign w:val="bottom"/>
          </w:tcPr>
          <w:p>
            <w:pPr>
              <w:jc w:val="center"/>
              <w:ind w:right="159"/>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960" w:type="dxa"/>
            <w:vAlign w:val="bottom"/>
            <w:vMerge w:val="restart"/>
          </w:tcPr>
          <w:p>
            <w:pPr>
              <w:jc w:val="right"/>
              <w:ind w:right="415"/>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96"/>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60" w:type="dxa"/>
            <w:vAlign w:val="bottom"/>
          </w:tcPr>
          <w:p>
            <w:pPr>
              <w:spacing w:after="0"/>
              <w:rPr>
                <w:sz w:val="11"/>
                <w:szCs w:val="11"/>
                <w:color w:val="auto"/>
              </w:rPr>
            </w:pPr>
          </w:p>
        </w:tc>
        <w:tc>
          <w:tcPr>
            <w:tcW w:w="108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4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Inputs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4"/>
              </w:rPr>
              <w:t>(Level 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3"/>
                <w:szCs w:val="13"/>
                <w:b w:val="1"/>
                <w:bCs w:val="1"/>
                <w:color w:val="auto"/>
                <w:w w:val="94"/>
              </w:rPr>
              <w:t>(Level 3)</w:t>
            </w: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Risk-management instruments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(134.3)</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176"/>
        </w:trPr>
        <w:tc>
          <w:tcPr>
            <w:tcW w:w="4600" w:type="dxa"/>
            <w:vAlign w:val="bottom"/>
          </w:tcPr>
          <w:p>
            <w:pPr>
              <w:ind w:left="1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ind w:left="180"/>
              <w:spacing w:after="0"/>
              <w:rPr>
                <w:sz w:val="20"/>
                <w:szCs w:val="20"/>
                <w:color w:val="auto"/>
              </w:rPr>
            </w:pPr>
            <w:r>
              <w:rPr>
                <w:rFonts w:ascii="Arial" w:cs="Arial" w:eastAsia="Arial" w:hAnsi="Arial"/>
                <w:sz w:val="18"/>
                <w:szCs w:val="18"/>
                <w:color w:val="auto"/>
              </w:rPr>
              <w:t>hedges: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162.9</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176"/>
        </w:trPr>
        <w:tc>
          <w:tcPr>
            <w:tcW w:w="460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75"/>
        </w:trPr>
        <w:tc>
          <w:tcPr>
            <w:tcW w:w="460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76"/>
        </w:trPr>
        <w:tc>
          <w:tcPr>
            <w:tcW w:w="460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Foreign exchanges contracts designated as hedging</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75"/>
        </w:trPr>
        <w:tc>
          <w:tcPr>
            <w:tcW w:w="460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Foreign exchange contracts not designated as hedging</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Contingent consideration liabilities: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ind w:left="600"/>
              <w:spacing w:after="0"/>
              <w:rPr>
                <w:sz w:val="20"/>
                <w:szCs w:val="20"/>
                <w:color w:val="auto"/>
              </w:rPr>
            </w:pPr>
            <w:r>
              <w:rPr>
                <w:rFonts w:ascii="Arial" w:cs="Arial" w:eastAsia="Arial" w:hAnsi="Arial"/>
                <w:sz w:val="18"/>
                <w:szCs w:val="18"/>
                <w:color w:val="auto"/>
                <w:w w:val="97"/>
              </w:rPr>
              <w:t>(39.5)</w:t>
            </w: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9"/>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w w:val="97"/>
              </w:rPr>
              <w:t>(70.6)</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 in goodwill during 2023 was primarily related to our acquisition of POINT. See Note 3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2023,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9"/>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6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6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79"/>
              <w:spacing w:after="0" w:line="14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3"/>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9"/>
              <w:spacing w:after="0"/>
              <w:rPr>
                <w:sz w:val="20"/>
                <w:szCs w:val="20"/>
                <w:color w:val="auto"/>
              </w:rPr>
            </w:pPr>
            <w:r>
              <w:rPr>
                <w:rFonts w:ascii="Arial" w:cs="Arial" w:eastAsia="Arial" w:hAnsi="Arial"/>
                <w:sz w:val="18"/>
                <w:szCs w:val="18"/>
                <w:b w:val="1"/>
                <w:bCs w:val="1"/>
                <w:color w:val="auto"/>
              </w:rPr>
              <w:t>8,216.8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(2,277.0)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5,939.8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7,957.5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(2,622.7)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5,334.8</w:t>
            </w:r>
          </w:p>
        </w:tc>
        <w:tc>
          <w:tcPr>
            <w:tcW w:w="0" w:type="dxa"/>
            <w:vAlign w:val="bottom"/>
          </w:tcPr>
          <w:p>
            <w:pPr>
              <w:spacing w:after="0"/>
              <w:rPr>
                <w:sz w:val="1"/>
                <w:szCs w:val="1"/>
                <w:color w:val="auto"/>
              </w:rPr>
            </w:pPr>
          </w:p>
        </w:tc>
      </w:tr>
      <w:tr>
        <w:trPr>
          <w:trHeight w:val="230"/>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Acquired IPR&amp;D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966.8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966.8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1,871.8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9,183.6</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(2,277.0)</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6,906.6</w:t>
            </w:r>
          </w:p>
        </w:tc>
        <w:tc>
          <w:tcPr>
            <w:tcW w:w="100" w:type="dxa"/>
            <w:vAlign w:val="bottom"/>
            <w:tcBorders>
              <w:bottom w:val="single" w:sz="8" w:color="auto"/>
            </w:tcBorders>
            <w:shd w:val="clear" w:color="auto" w:fill="D8D8D8"/>
          </w:tcPr>
          <w:p>
            <w:pPr>
              <w:spacing w:after="0"/>
              <w:rPr>
                <w:sz w:val="20"/>
                <w:szCs w:val="20"/>
                <w:color w:val="auto"/>
              </w:rPr>
            </w:pP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19"/>
              <w:spacing w:after="0"/>
              <w:rPr>
                <w:sz w:val="20"/>
                <w:szCs w:val="20"/>
                <w:color w:val="auto"/>
              </w:rPr>
            </w:pPr>
            <w:r>
              <w:rPr>
                <w:rFonts w:ascii="Arial" w:cs="Arial" w:eastAsia="Arial" w:hAnsi="Arial"/>
                <w:sz w:val="18"/>
                <w:szCs w:val="18"/>
                <w:color w:val="auto"/>
              </w:rPr>
              <w:t>9,829.3</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(2,622.7)</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7,206.6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Marketed products consist primarily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consists of the fair values of acquired IPR&amp;D projects acquired in business combination, adjusted for subsequent impairments, if any. The costs of acquired IPR&amp;D projects acquired directly in a transaction other than a business combination are capitalized as other intangible assets if the projects have an alternative future use; otherwise, they are expensed immediately. See Note 3 for significant acquired IPR&amp;D projects that had no alternative future use.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increase in marketed products and the decrease in acquired IPR&amp;D in 2023 primarily relates to the reclassification of our $1.03 billion intangible asset for lebrikizumab (Ebglyss) from indefinite-lived to finite-lived as it was approved in Europe in the fourth quarter of 2023. This decrease in acquired IPR&amp;D in 2023 was partially offset by acquired IPR&amp;D assets recognized from the acquisition of POINT. See Note 3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spacing w:after="0" w:line="256" w:lineRule="auto"/>
        <w:rPr>
          <w:sz w:val="20"/>
          <w:szCs w:val="20"/>
          <w:color w:val="auto"/>
        </w:rPr>
      </w:pPr>
      <w:r>
        <w:rPr>
          <w:rFonts w:ascii="Arial" w:cs="Arial" w:eastAsia="Arial" w:hAnsi="Arial"/>
          <w:sz w:val="18"/>
          <w:szCs w:val="18"/>
          <w:color w:val="auto"/>
        </w:rPr>
        <w:t>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7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Intangible assets with finite lives are capitalized and are amortized primarily to cost of sales over their estimated useful lives, ranging from one to 20 years. As of December 31, 2023, the remaining weighted-average amortization period for finite-lived intangible assets was approximately 12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224"/>
        </w:trPr>
        <w:tc>
          <w:tcPr>
            <w:tcW w:w="4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Amortization expense</w:t>
            </w:r>
          </w:p>
        </w:tc>
        <w:tc>
          <w:tcPr>
            <w:tcW w:w="338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505.6</w:t>
            </w:r>
          </w:p>
        </w:tc>
        <w:tc>
          <w:tcPr>
            <w:tcW w:w="96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579.7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628.8</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2023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2028</w:t>
            </w:r>
          </w:p>
        </w:tc>
      </w:tr>
      <w:tr>
        <w:trPr>
          <w:trHeight w:val="224"/>
        </w:trPr>
        <w:tc>
          <w:tcPr>
            <w:tcW w:w="5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Estimated amortization expense</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542.5</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530.3</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519.7</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511.6</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r>
      <w:tr>
        <w:trPr>
          <w:trHeight w:val="224"/>
        </w:trPr>
        <w:tc>
          <w:tcPr>
            <w:tcW w:w="6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Land</w:t>
            </w:r>
          </w:p>
        </w:tc>
        <w:tc>
          <w:tcPr>
            <w:tcW w:w="13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60" w:type="dxa"/>
            <w:vAlign w:val="bottom"/>
            <w:shd w:val="clear" w:color="auto" w:fill="D8D8D8"/>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319.8</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256.6</w:t>
            </w:r>
          </w:p>
        </w:tc>
        <w:tc>
          <w:tcPr>
            <w:tcW w:w="40" w:type="dxa"/>
            <w:vAlign w:val="bottom"/>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8,280.0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w:t>
            </w:r>
          </w:p>
        </w:tc>
        <w:tc>
          <w:tcPr>
            <w:tcW w:w="40" w:type="dxa"/>
            <w:vAlign w:val="bottom"/>
          </w:tcPr>
          <w:p>
            <w:pPr>
              <w:spacing w:after="0"/>
              <w:rPr>
                <w:sz w:val="19"/>
                <w:szCs w:val="19"/>
                <w:color w:val="auto"/>
              </w:rPr>
            </w:pPr>
          </w:p>
        </w:tc>
      </w:tr>
      <w:tr>
        <w:trPr>
          <w:trHeight w:val="230"/>
        </w:trPr>
        <w:tc>
          <w:tcPr>
            <w:tcW w:w="6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Equipment</w:t>
            </w:r>
          </w:p>
        </w:tc>
        <w:tc>
          <w:tcPr>
            <w:tcW w:w="13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10,329.0</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9,406.3</w:t>
            </w:r>
          </w:p>
        </w:tc>
        <w:tc>
          <w:tcPr>
            <w:tcW w:w="40" w:type="dxa"/>
            <w:vAlign w:val="bottom"/>
          </w:tcPr>
          <w:p>
            <w:pPr>
              <w:spacing w:after="0"/>
              <w:rPr>
                <w:sz w:val="19"/>
                <w:szCs w:val="19"/>
                <w:color w:val="auto"/>
              </w:rPr>
            </w:pPr>
          </w:p>
        </w:tc>
      </w:tr>
      <w:tr>
        <w:trPr>
          <w:trHeight w:val="230"/>
        </w:trPr>
        <w:tc>
          <w:tcPr>
            <w:tcW w:w="63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Construction in progress</w:t>
            </w:r>
          </w:p>
        </w:tc>
        <w:tc>
          <w:tcPr>
            <w:tcW w:w="1380" w:type="dxa"/>
            <w:vAlign w:val="bottom"/>
            <w:tcBorders>
              <w:bottom w:val="single" w:sz="8" w:color="D8D8D8"/>
            </w:tcBorders>
          </w:tcPr>
          <w:p>
            <w:pPr>
              <w:spacing w:after="0"/>
              <w:rPr>
                <w:sz w:val="19"/>
                <w:szCs w:val="19"/>
                <w:color w:val="auto"/>
              </w:rPr>
            </w:pPr>
          </w:p>
        </w:tc>
        <w:tc>
          <w:tcPr>
            <w:tcW w:w="600" w:type="dxa"/>
            <w:vAlign w:val="bottom"/>
            <w:tcBorders>
              <w:bottom w:val="single" w:sz="8" w:color="D8D8D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5,084.1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2,798.6</w:t>
            </w:r>
          </w:p>
        </w:tc>
        <w:tc>
          <w:tcPr>
            <w:tcW w:w="40" w:type="dxa"/>
            <w:vAlign w:val="bottom"/>
          </w:tcPr>
          <w:p>
            <w:pPr>
              <w:spacing w:after="0"/>
              <w:rPr>
                <w:sz w:val="19"/>
                <w:szCs w:val="19"/>
                <w:color w:val="auto"/>
              </w:rPr>
            </w:pPr>
          </w:p>
        </w:tc>
      </w:tr>
      <w:tr>
        <w:trPr>
          <w:trHeight w:val="223"/>
        </w:trPr>
        <w:tc>
          <w:tcPr>
            <w:tcW w:w="630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24,012.9</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20,377.4</w:t>
            </w:r>
          </w:p>
        </w:tc>
        <w:tc>
          <w:tcPr>
            <w:tcW w:w="40" w:type="dxa"/>
            <w:vAlign w:val="bottom"/>
          </w:tcPr>
          <w:p>
            <w:pPr>
              <w:spacing w:after="0"/>
              <w:rPr>
                <w:sz w:val="19"/>
                <w:szCs w:val="19"/>
                <w:color w:val="auto"/>
              </w:rPr>
            </w:pPr>
          </w:p>
        </w:tc>
      </w:tr>
      <w:tr>
        <w:trPr>
          <w:trHeight w:val="230"/>
        </w:trPr>
        <w:tc>
          <w:tcPr>
            <w:tcW w:w="63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380" w:type="dxa"/>
            <w:vAlign w:val="bottom"/>
            <w:tcBorders>
              <w:bottom w:val="single" w:sz="8" w:color="D8D8D8"/>
            </w:tcBorders>
          </w:tcPr>
          <w:p>
            <w:pPr>
              <w:spacing w:after="0"/>
              <w:rPr>
                <w:sz w:val="19"/>
                <w:szCs w:val="19"/>
                <w:color w:val="auto"/>
              </w:rPr>
            </w:pPr>
          </w:p>
        </w:tc>
        <w:tc>
          <w:tcPr>
            <w:tcW w:w="600" w:type="dxa"/>
            <w:vAlign w:val="bottom"/>
            <w:tcBorders>
              <w:bottom w:val="single" w:sz="8" w:color="D8D8D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(11,099.3)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(10,233.4)</w:t>
            </w:r>
          </w:p>
        </w:tc>
        <w:tc>
          <w:tcPr>
            <w:tcW w:w="40" w:type="dxa"/>
            <w:vAlign w:val="bottom"/>
          </w:tcPr>
          <w:p>
            <w:pPr>
              <w:spacing w:after="0"/>
              <w:rPr>
                <w:sz w:val="19"/>
                <w:szCs w:val="19"/>
                <w:color w:val="auto"/>
              </w:rPr>
            </w:pPr>
          </w:p>
        </w:tc>
      </w:tr>
      <w:tr>
        <w:trPr>
          <w:trHeight w:val="243"/>
        </w:trPr>
        <w:tc>
          <w:tcPr>
            <w:tcW w:w="63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bottom w:val="single" w:sz="8" w:color="D8D8D8"/>
            </w:tcBorders>
            <w:shd w:val="clear" w:color="auto" w:fill="D8D8D8"/>
          </w:tcPr>
          <w:p>
            <w:pPr>
              <w:spacing w:after="0"/>
              <w:rPr>
                <w:sz w:val="21"/>
                <w:szCs w:val="21"/>
                <w:color w:val="auto"/>
              </w:rPr>
            </w:pPr>
          </w:p>
        </w:tc>
        <w:tc>
          <w:tcPr>
            <w:tcW w:w="60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12,913.6</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10,144.0</w:t>
            </w:r>
          </w:p>
        </w:tc>
        <w:tc>
          <w:tcPr>
            <w:tcW w:w="40" w:type="dxa"/>
            <w:vAlign w:val="bottom"/>
          </w:tcPr>
          <w:p>
            <w:pPr>
              <w:spacing w:after="0"/>
              <w:rPr>
                <w:sz w:val="21"/>
                <w:szCs w:val="21"/>
                <w:color w:val="auto"/>
              </w:rPr>
            </w:pPr>
          </w:p>
        </w:tc>
      </w:tr>
      <w:tr>
        <w:trPr>
          <w:trHeight w:val="410"/>
        </w:trPr>
        <w:tc>
          <w:tcPr>
            <w:tcW w:w="6300" w:type="dxa"/>
            <w:vAlign w:val="bottom"/>
          </w:tcPr>
          <w:p>
            <w:pPr>
              <w:spacing w:after="0"/>
              <w:rPr>
                <w:sz w:val="20"/>
                <w:szCs w:val="20"/>
                <w:color w:val="auto"/>
              </w:rPr>
            </w:pPr>
            <w:r>
              <w:rPr>
                <w:rFonts w:ascii="Arial" w:cs="Arial" w:eastAsia="Arial" w:hAnsi="Arial"/>
                <w:sz w:val="18"/>
                <w:szCs w:val="18"/>
                <w:color w:val="auto"/>
              </w:rPr>
              <w:t>Depreciation expense related to property and equipment was as follows:</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Depreciation expense</w:t>
            </w:r>
          </w:p>
        </w:tc>
        <w:tc>
          <w:tcPr>
            <w:tcW w:w="138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7"/>
              </w:rPr>
              <w:t>901.9</w:t>
            </w:r>
          </w:p>
        </w:tc>
        <w:tc>
          <w:tcPr>
            <w:tcW w:w="36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816.6</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787.0</w:t>
            </w:r>
          </w:p>
        </w:tc>
        <w:tc>
          <w:tcPr>
            <w:tcW w:w="40" w:type="dxa"/>
            <w:vAlign w:val="bottom"/>
            <w:shd w:val="clear" w:color="auto" w:fill="D8D8D8"/>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costs were not material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following table summarizes long-lived assets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24"/>
        </w:trPr>
        <w:tc>
          <w:tcPr>
            <w:tcW w:w="8320" w:type="dxa"/>
            <w:vAlign w:val="bottom"/>
            <w:shd w:val="clear" w:color="auto" w:fill="D8D8D8"/>
          </w:tcPr>
          <w:p>
            <w:pPr>
              <w:ind w:left="20"/>
              <w:spacing w:after="0" w:line="224"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U.S. and Puerto Rico</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9,993.2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7,709.7</w:t>
            </w:r>
          </w:p>
        </w:tc>
      </w:tr>
      <w:tr>
        <w:trPr>
          <w:trHeight w:val="230"/>
        </w:trPr>
        <w:tc>
          <w:tcPr>
            <w:tcW w:w="83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Ireland</w:t>
            </w:r>
          </w:p>
        </w:tc>
        <w:tc>
          <w:tcPr>
            <w:tcW w:w="34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2,722.6</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1,898.5</w:t>
            </w:r>
          </w:p>
        </w:tc>
      </w:tr>
      <w:tr>
        <w:trPr>
          <w:trHeight w:val="229"/>
        </w:trPr>
        <w:tc>
          <w:tcPr>
            <w:tcW w:w="83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1,784.2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w:t>
            </w:r>
          </w:p>
        </w:tc>
      </w:tr>
      <w:tr>
        <w:trPr>
          <w:trHeight w:val="230"/>
        </w:trPr>
        <w:tc>
          <w:tcPr>
            <w:tcW w:w="83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14,500.0</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11,234.1</w:t>
            </w:r>
          </w:p>
        </w:tc>
      </w:tr>
    </w:tbl>
    <w:p>
      <w:pPr>
        <w:spacing w:after="0" w:line="85"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Long-lived assets consist of property and equipment, net, operating lease assets, and unamortized computer software costs.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determine if an arrangement is a lease at inception. We have leases with terms up to 16 years primarily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Operating lease right-of-use assets are presented as other noncurrent assets in our consolidated balance sheets, and the current and long-term portions of operating lease liabilities are included in other current liabilities and other noncurrent liabilities, respectively, in our consolidated balance sheets. Short-term leases, which are deemed at inception to have a lease term of 12 months or less, are not recorded on the consolidated balance sheets.</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6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$171.2 million, $148.8 million, and $159.4 million during the years ended December 31, 2023, 2022, and 2021, respectively.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years ended December 31, 2023, 2022, and 2021. Short-term lease expense was not material during the years ended December 31, 2023, 2022, and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December 31, 2023 and 2022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2022</w:t>
            </w:r>
          </w:p>
        </w:tc>
      </w:tr>
      <w:tr>
        <w:trPr>
          <w:trHeight w:val="224"/>
        </w:trPr>
        <w:tc>
          <w:tcPr>
            <w:tcW w:w="85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Weighted-average remaining lease term</w:t>
            </w:r>
          </w:p>
        </w:tc>
        <w:tc>
          <w:tcPr>
            <w:tcW w:w="1120" w:type="dxa"/>
            <w:vAlign w:val="bottom"/>
            <w:shd w:val="clear" w:color="auto" w:fill="D8D8D8"/>
          </w:tcPr>
          <w:p>
            <w:pPr>
              <w:jc w:val="right"/>
              <w:ind w:right="310"/>
              <w:spacing w:after="0"/>
              <w:rPr>
                <w:sz w:val="20"/>
                <w:szCs w:val="20"/>
                <w:color w:val="auto"/>
              </w:rPr>
            </w:pPr>
            <w:r>
              <w:rPr>
                <w:rFonts w:ascii="Arial" w:cs="Arial" w:eastAsia="Arial" w:hAnsi="Arial"/>
                <w:sz w:val="18"/>
                <w:szCs w:val="18"/>
                <w:b w:val="1"/>
                <w:bCs w:val="1"/>
                <w:color w:val="auto"/>
              </w:rPr>
              <w:t>9 years</w:t>
            </w:r>
          </w:p>
        </w:tc>
        <w:tc>
          <w:tcPr>
            <w:tcW w:w="1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 years</w:t>
            </w:r>
          </w:p>
        </w:tc>
      </w:tr>
      <w:tr>
        <w:trPr>
          <w:trHeight w:val="247"/>
        </w:trPr>
        <w:tc>
          <w:tcPr>
            <w:tcW w:w="85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4.4 %</w:t>
            </w:r>
          </w:p>
        </w:tc>
        <w:tc>
          <w:tcPr>
            <w:tcW w:w="154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during the years ended December 31, 2023, 2022, and 2021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7"/>
              </w:rPr>
              <w:t>171.0</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149.7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156.7</w:t>
            </w:r>
          </w:p>
        </w:tc>
      </w:tr>
      <w:tr>
        <w:trPr>
          <w:trHeight w:val="247"/>
        </w:trPr>
        <w:tc>
          <w:tcPr>
            <w:tcW w:w="68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590.0</w:t>
            </w:r>
          </w:p>
        </w:tc>
        <w:tc>
          <w:tcPr>
            <w:tcW w:w="4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155.4</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w:t>
            </w:r>
          </w:p>
        </w:tc>
      </w:tr>
    </w:tbl>
    <w:p>
      <w:pPr>
        <w:spacing w:after="0" w:line="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right-of-use assets obtained in exchange for new operating lease liabilities in 2023 primarily related to the addition of our research and development facility in Boston, Massachusetts.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annual minimum lease payments of our operating lease liabilities as of December 31, 2023 were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2024</w:t>
            </w:r>
          </w:p>
        </w:tc>
        <w:tc>
          <w:tcPr>
            <w:tcW w:w="1020" w:type="dxa"/>
            <w:vAlign w:val="bottom"/>
            <w:tcBorders>
              <w:top w:val="single" w:sz="8" w:color="auto"/>
            </w:tcBorders>
            <w:shd w:val="clear" w:color="auto" w:fill="D8D8D8"/>
          </w:tcPr>
          <w:p>
            <w:pPr>
              <w:jc w:val="right"/>
              <w:ind w:right="8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197.0</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2025</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29"/>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2026</w:t>
            </w:r>
          </w:p>
        </w:tc>
        <w:tc>
          <w:tcPr>
            <w:tcW w:w="1020" w:type="dxa"/>
            <w:vAlign w:val="bottom"/>
            <w:shd w:val="clear" w:color="auto" w:fill="D8D8D8"/>
          </w:tcPr>
          <w:p>
            <w:pPr>
              <w:spacing w:after="0"/>
              <w:rPr>
                <w:sz w:val="19"/>
                <w:szCs w:val="19"/>
                <w:color w:val="auto"/>
              </w:rPr>
            </w:pPr>
          </w:p>
        </w:tc>
        <w:tc>
          <w:tcPr>
            <w:tcW w:w="1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2027</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30"/>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2028</w:t>
            </w:r>
          </w:p>
        </w:tc>
        <w:tc>
          <w:tcPr>
            <w:tcW w:w="1020" w:type="dxa"/>
            <w:vAlign w:val="bottom"/>
            <w:shd w:val="clear" w:color="auto" w:fill="D8D8D8"/>
          </w:tcPr>
          <w:p>
            <w:pPr>
              <w:spacing w:after="0"/>
              <w:rPr>
                <w:sz w:val="19"/>
                <w:szCs w:val="19"/>
                <w:color w:val="auto"/>
              </w:rPr>
            </w:pPr>
          </w:p>
        </w:tc>
        <w:tc>
          <w:tcPr>
            <w:tcW w:w="1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108.1</w:t>
            </w:r>
          </w:p>
        </w:tc>
      </w:tr>
      <w:tr>
        <w:trPr>
          <w:trHeight w:val="229"/>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After 2028</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w:t>
            </w:r>
          </w:p>
        </w:tc>
      </w:tr>
      <w:tr>
        <w:trPr>
          <w:trHeight w:val="223"/>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D8D8D8"/>
          </w:tcPr>
          <w:p>
            <w:pPr>
              <w:spacing w:after="0"/>
              <w:rPr>
                <w:sz w:val="19"/>
                <w:szCs w:val="19"/>
                <w:color w:val="auto"/>
              </w:rPr>
            </w:pPr>
          </w:p>
        </w:tc>
        <w:tc>
          <w:tcPr>
            <w:tcW w:w="1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1,392.1</w:t>
            </w:r>
          </w:p>
        </w:tc>
      </w:tr>
      <w:tr>
        <w:trPr>
          <w:trHeight w:val="229"/>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imputed interest</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r>
      <w:tr>
        <w:trPr>
          <w:trHeight w:val="230"/>
        </w:trPr>
        <w:tc>
          <w:tcPr>
            <w:tcW w:w="86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D8D8D8"/>
          </w:tcPr>
          <w:p>
            <w:pPr>
              <w:jc w:val="right"/>
              <w:ind w:right="8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1,107.4</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balance sheets. Finance leases are not material to our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commercial paper borrowings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6,189.4</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1,498.0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Long-term notes</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19,104.6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14,815.3</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debt</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6.5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adjustment on hedged long-term notes</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15.3</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25,225.3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16,238.6</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(6,904.5)</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(1,501.1)</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18,320.8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14,737.5</w:t>
            </w:r>
          </w:p>
        </w:tc>
      </w:tr>
    </w:tbl>
    <w:p>
      <w:pPr>
        <w:spacing w:after="0" w:line="17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weighted-average effective borrowing rates on short-term commercial paper borrowings were 5.39 percent and 4.20 percent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summarizes long-term notes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r>
      <w:tr>
        <w:trPr>
          <w:trHeight w:val="251"/>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0.15% Swiss franc denominated notes due 2024</w:t>
            </w:r>
          </w:p>
        </w:tc>
        <w:tc>
          <w:tcPr>
            <w:tcW w:w="440" w:type="dxa"/>
            <w:vAlign w:val="bottom"/>
            <w:shd w:val="clear" w:color="auto" w:fill="D4D4D4"/>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714.6</w:t>
            </w:r>
          </w:p>
        </w:tc>
        <w:tc>
          <w:tcPr>
            <w:tcW w:w="420" w:type="dxa"/>
            <w:vAlign w:val="bottom"/>
            <w:shd w:val="clear" w:color="auto" w:fill="D4D4D4"/>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649.5</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7.125% notes due 2025</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217.5</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2.75% notes due 2025</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560.6</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560.6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5.0% notes due 2026</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750.0</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1.625% euro denominated notes due 2026</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830.7</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799.3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5.5% notes due 2027</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364.3</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3.1% notes due 2027</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401.5</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401.5</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0.45% Swiss franc denominated notes due 2028</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476.4</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433.0</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3.375% notes due 2029</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930.6</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930.6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0.42% Japanese yen denominated notes due 2029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162.5</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2.125% euro denominated notes due 2030</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830.7</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799.3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0.625% euro denominated notes due 2031</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664.6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639.4</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4.7% notes due 2033</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0.50% euro denominated notes due 2033</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664.6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639.4</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0.56% Japanese yen denominated notes due 2034</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65.8</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69.7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6.77% notes due 2036</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158.6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5.55% notes due 2037</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444.7</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444.7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5.95% notes due 2037</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266.8</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266.8</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3.875% notes due 2039</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240.3</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240.3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1.625% British pound denominated notes due 2043</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318.5</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4.65% notes due 2044</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38.3</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38.3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3.7% notes due 2045</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386.8</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3.95% notes due 2047</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347.0</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347.0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3.95% notes due 2049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958.2</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958.2</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1.70% euro denominated notes due 2049</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1,107.6</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1,065.7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0.97% Japanese yen denominated notes due 2049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2.25% notes due 2050</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1,250.0</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1,250.0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1.125% euro denominated notes due 2051</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553.8</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4.875% notes due 2053</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1,250.0</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4.15% notes due 2059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591.3</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591.3</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2.50% notes due 2060</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850.0</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850.0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1.375% euro denominated notes due 2061</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775.3</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746.0</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4.95% notes due 2063</w:t>
            </w:r>
          </w:p>
        </w:tc>
        <w:tc>
          <w:tcPr>
            <w:tcW w:w="440" w:type="dxa"/>
            <w:vAlign w:val="bottom"/>
            <w:shd w:val="clear" w:color="auto" w:fill="D4D4D4"/>
          </w:tcPr>
          <w:p>
            <w:pPr>
              <w:spacing w:after="0"/>
              <w:rPr>
                <w:sz w:val="22"/>
                <w:szCs w:val="22"/>
                <w:color w:val="auto"/>
              </w:rPr>
            </w:pPr>
          </w:p>
        </w:tc>
        <w:tc>
          <w:tcPr>
            <w:tcW w:w="134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Borders>
              <w:bottom w:val="single" w:sz="8" w:color="D4D4D4"/>
            </w:tcBorders>
          </w:tcPr>
          <w:p>
            <w:pPr>
              <w:ind w:left="20"/>
              <w:spacing w:after="0"/>
              <w:rPr>
                <w:sz w:val="20"/>
                <w:szCs w:val="20"/>
                <w:color w:val="auto"/>
              </w:rPr>
            </w:pPr>
            <w:r>
              <w:rPr>
                <w:rFonts w:ascii="Arial" w:cs="Arial" w:eastAsia="Arial" w:hAnsi="Arial"/>
                <w:sz w:val="18"/>
                <w:szCs w:val="18"/>
                <w:color w:val="auto"/>
              </w:rPr>
              <w:t>Unamortized note discounts</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58"/>
        </w:trPr>
        <w:tc>
          <w:tcPr>
            <w:tcW w:w="7720" w:type="dxa"/>
            <w:vAlign w:val="bottom"/>
            <w:tcBorders>
              <w:bottom w:val="single" w:sz="8" w:color="D4D4D4"/>
            </w:tcBorders>
            <w:shd w:val="clear" w:color="auto" w:fill="D4D4D4"/>
          </w:tcPr>
          <w:p>
            <w:pPr>
              <w:ind w:left="20"/>
              <w:spacing w:after="0"/>
              <w:rPr>
                <w:sz w:val="20"/>
                <w:szCs w:val="20"/>
                <w:color w:val="auto"/>
              </w:rPr>
            </w:pPr>
            <w:r>
              <w:rPr>
                <w:rFonts w:ascii="Arial" w:cs="Arial" w:eastAsia="Arial" w:hAnsi="Arial"/>
                <w:sz w:val="18"/>
                <w:szCs w:val="18"/>
                <w:color w:val="auto"/>
              </w:rPr>
              <w:t>Total long-term notes</w:t>
            </w:r>
          </w:p>
        </w:tc>
        <w:tc>
          <w:tcPr>
            <w:tcW w:w="440" w:type="dxa"/>
            <w:vAlign w:val="bottom"/>
            <w:tcBorders>
              <w:bottom w:val="single" w:sz="8" w:color="auto"/>
            </w:tcBorders>
            <w:shd w:val="clear" w:color="auto" w:fill="D4D4D4"/>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19,104.6</w:t>
            </w:r>
          </w:p>
        </w:tc>
        <w:tc>
          <w:tcPr>
            <w:tcW w:w="420" w:type="dxa"/>
            <w:vAlign w:val="bottom"/>
            <w:tcBorders>
              <w:bottom w:val="single" w:sz="8" w:color="auto"/>
            </w:tcBorders>
            <w:shd w:val="clear" w:color="auto" w:fill="D4D4D4"/>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14,815.3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effective borrowing rate for each issuance of the long term-notes approximates the stated interest rate.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2023, we had a total of $7.42 billion of unused committed bank credit facilities, which consisted primarily of a $3.00 billion credit facility that expires in December 2027 and a $4.00 billion 364-day facility that expires in September 2024, both of which are available to support our commercial paper program. We have not drawn against the $3.00 billion and $4.00 billion facilities as of December 31, 2023. Of the remaining committed bank credit facilities, the outstanding balances as of December 31, 2023 and 2022 were not material. Compensating balances and commitment fees are not material, and there are no conditions that are probable of occurring under which the lines may be withdrawn.</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7" w:name="page88"/>
    <w:bookmarkEnd w:id="87"/>
    <w:p>
      <w:pPr>
        <w:ind w:right="40"/>
        <w:spacing w:after="0" w:line="257" w:lineRule="auto"/>
        <w:rPr>
          <w:sz w:val="20"/>
          <w:szCs w:val="20"/>
          <w:color w:val="auto"/>
        </w:rPr>
      </w:pPr>
      <w:r>
        <w:rPr>
          <w:rFonts w:ascii="Arial" w:cs="Arial" w:eastAsia="Arial" w:hAnsi="Arial"/>
          <w:sz w:val="18"/>
          <w:szCs w:val="18"/>
          <w:color w:val="auto"/>
        </w:rPr>
        <w:t>In February 2024, we issued $1.00 billion of 4.500 percent fixed-rate notes due in 2027, $1.00 billion of 4.500 percent fixed-rate notes due in 2029, $1.50 billion of 4.700 percent fixed-rate notes due in 2034, $1.50 billion of 5.000 percent fixed-rate notes due in 2054, and $1.50 billion of 5.100 percent fixed-rate notes due in 2064, all with interest to be paid semi-annually. We used, or will be using, the net cash proceeds from the offering of $6.45 billion for general business purposes, including the repayment of outstanding commercial paper, repayment of current maturities of long-term debt, and repayment of the $750.0 million of 5.000 percent fixed-rate notes due in 2026, which are callable at par beginning February 27, 2024.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we issued $750.0 million of 5.000 percent fixed-rate notes due in 2026, which are callable at par after one year,</w:t>
      </w:r>
    </w:p>
    <w:p>
      <w:pPr>
        <w:spacing w:after="0" w:line="27"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$1.00 billion of 4.700 percent fixed-rate notes due in 2033,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September 2021, we issued euro-denominated notes totaling €1.80 billion and British pound-denominated notes totaling £250.0 million. We paid $1.91 billion of the net cash proceeds from the offering to purchase and redeem certain higher interest rate U.S. dollar-denominated notes with an aggregate principal amount of $1.50 billion, resulting in a debt extinguishment loss of $405.2 million. This loss was included in other-net, (income) expense in our consolidated statement of operations for the year ended December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2028</w:t>
            </w:r>
          </w:p>
        </w:tc>
      </w:tr>
      <w:tr>
        <w:trPr>
          <w:trHeight w:val="224"/>
        </w:trPr>
        <w:tc>
          <w:tcPr>
            <w:tcW w:w="5520" w:type="dxa"/>
            <w:vAlign w:val="bottom"/>
            <w:shd w:val="clear" w:color="auto" w:fill="D8D8D8"/>
          </w:tcPr>
          <w:p>
            <w:pPr>
              <w:ind w:left="20"/>
              <w:spacing w:after="0"/>
              <w:rPr>
                <w:sz w:val="20"/>
                <w:szCs w:val="20"/>
                <w:color w:val="auto"/>
              </w:rPr>
            </w:pPr>
            <w:r>
              <w:rPr>
                <w:rFonts w:ascii="Arial" w:cs="Arial" w:eastAsia="Arial" w:hAnsi="Arial"/>
                <w:sz w:val="18"/>
                <w:szCs w:val="18"/>
                <w:color w:val="auto"/>
              </w:rPr>
              <w:t>Maturities on long-term debt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717.5</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778.1</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1,580.7</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765.8</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476.4</w:t>
            </w:r>
          </w:p>
        </w:tc>
      </w:tr>
    </w:tbl>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converted approximately 12 percent of our long-term fixed-rate notes to floating rates through the use of interest rate swaps. The weighted-average effective borrowing rates based on long-term debt obligations and interest rates at December 31, 2023 and 2022, including the effects of interest rate swaps for hedged debt obligations, were 3.37 percent and 2.87 percent,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for interest on borrowings</w:t>
            </w:r>
          </w:p>
        </w:tc>
        <w:tc>
          <w:tcPr>
            <w:tcW w:w="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7"/>
              </w:rPr>
              <w:t>404.2</w:t>
            </w:r>
          </w:p>
        </w:tc>
        <w:tc>
          <w:tcPr>
            <w:tcW w:w="98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323.7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338.0</w:t>
            </w: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relative value awards (RVAs),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RVA, and RSU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4"/>
        </w:trPr>
        <w:tc>
          <w:tcPr>
            <w:tcW w:w="48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 expense</w:t>
            </w:r>
          </w:p>
        </w:tc>
        <w:tc>
          <w:tcPr>
            <w:tcW w:w="280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628.5</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371.1</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342.8</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132.0</w:t>
            </w:r>
          </w:p>
        </w:tc>
        <w:tc>
          <w:tcPr>
            <w:tcW w:w="4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77.9</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r>
    </w:tbl>
    <w:p>
      <w:pPr>
        <w:spacing w:after="0" w:line="16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At December 31, 2023, stock-based compensation awards may be granted under the 2002 Lilly Stock Plan for not more than 49.1 million additional shares.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Performance Award Program</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2023, 2022, and 2021 were $335.86, $234.93, and $198.57, respectively. The number of shares ultimately issued for the PA program is dependent upon the EPS achieved during the vesting period. Pursuant to this program, approximately 0.5 million, 0.7 million, and 0.7 million shares were issued during the years ended December 31, 2023, 2022, and 2021, respectively. Approximately 0.4 million shares are expected to be issued in 2024. As of December 31, 2023, the total estimated remaining unrecognized compensation cost related to nonvested PAs was $111.6 million, which will be amortized over the weighted-average remaining requisite service period of 12 months.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2023, 2022, and 2021 were $349.63, $203.88, and $230.19, respectively, determined using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2023</w:t>
            </w: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4"/>
        </w:trPr>
        <w:tc>
          <w:tcPr>
            <w:tcW w:w="4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shd w:val="clear" w:color="auto" w:fill="D8D8D8"/>
          </w:tcPr>
          <w:p>
            <w:pPr>
              <w:jc w:val="right"/>
              <w:ind w:right="275"/>
              <w:spacing w:after="0"/>
              <w:rPr>
                <w:sz w:val="20"/>
                <w:szCs w:val="20"/>
                <w:color w:val="auto"/>
              </w:rPr>
            </w:pPr>
            <w:r>
              <w:rPr>
                <w:rFonts w:ascii="Arial" w:cs="Arial" w:eastAsia="Arial" w:hAnsi="Arial"/>
                <w:sz w:val="18"/>
                <w:szCs w:val="18"/>
                <w:b w:val="1"/>
                <w:bCs w:val="1"/>
                <w:color w:val="auto"/>
              </w:rPr>
              <w:t>1.07 %</w:t>
            </w:r>
          </w:p>
        </w:tc>
        <w:tc>
          <w:tcPr>
            <w:tcW w:w="1620" w:type="dxa"/>
            <w:vAlign w:val="bottom"/>
            <w:shd w:val="clear" w:color="auto" w:fill="D8D8D8"/>
          </w:tcPr>
          <w:p>
            <w:pPr>
              <w:jc w:val="right"/>
              <w:ind w:right="275"/>
              <w:spacing w:after="0"/>
              <w:rPr>
                <w:sz w:val="20"/>
                <w:szCs w:val="20"/>
                <w:color w:val="auto"/>
              </w:rPr>
            </w:pPr>
            <w:r>
              <w:rPr>
                <w:rFonts w:ascii="Arial" w:cs="Arial" w:eastAsia="Arial" w:hAnsi="Arial"/>
                <w:sz w:val="18"/>
                <w:szCs w:val="18"/>
                <w:color w:val="auto"/>
              </w:rPr>
              <w:t>1.60 %</w:t>
            </w: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95"/>
              <w:spacing w:after="0"/>
              <w:rPr>
                <w:sz w:val="20"/>
                <w:szCs w:val="20"/>
                <w:color w:val="auto"/>
              </w:rPr>
            </w:pPr>
            <w:r>
              <w:rPr>
                <w:rFonts w:ascii="Arial" w:cs="Arial" w:eastAsia="Arial" w:hAnsi="Arial"/>
                <w:sz w:val="18"/>
                <w:szCs w:val="18"/>
                <w:b w:val="1"/>
                <w:bCs w:val="1"/>
                <w:color w:val="auto"/>
              </w:rPr>
              <w:t>4.08</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1.57</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0.19</w:t>
            </w:r>
          </w:p>
        </w:tc>
      </w:tr>
      <w:tr>
        <w:trPr>
          <w:trHeight w:val="229"/>
        </w:trPr>
        <w:tc>
          <w:tcPr>
            <w:tcW w:w="4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3840" w:type="dxa"/>
            <w:vAlign w:val="bottom"/>
            <w:shd w:val="clear" w:color="auto" w:fill="D8D8D8"/>
          </w:tcPr>
          <w:p>
            <w:pPr>
              <w:jc w:val="right"/>
              <w:ind w:right="495"/>
              <w:spacing w:after="0"/>
              <w:rPr>
                <w:sz w:val="20"/>
                <w:szCs w:val="20"/>
                <w:color w:val="auto"/>
              </w:rPr>
            </w:pPr>
            <w:r>
              <w:rPr>
                <w:rFonts w:ascii="Arial" w:cs="Arial" w:eastAsia="Arial" w:hAnsi="Arial"/>
                <w:sz w:val="18"/>
                <w:szCs w:val="18"/>
                <w:b w:val="1"/>
                <w:bCs w:val="1"/>
                <w:color w:val="auto"/>
              </w:rPr>
              <w:t>29.87</w:t>
            </w:r>
          </w:p>
        </w:tc>
        <w:tc>
          <w:tcPr>
            <w:tcW w:w="1620" w:type="dxa"/>
            <w:vAlign w:val="bottom"/>
            <w:shd w:val="clear" w:color="auto" w:fill="D8D8D8"/>
          </w:tcPr>
          <w:p>
            <w:pPr>
              <w:jc w:val="right"/>
              <w:ind w:right="495"/>
              <w:spacing w:after="0"/>
              <w:rPr>
                <w:sz w:val="20"/>
                <w:szCs w:val="20"/>
                <w:color w:val="auto"/>
              </w:rPr>
            </w:pPr>
            <w:r>
              <w:rPr>
                <w:rFonts w:ascii="Arial" w:cs="Arial" w:eastAsia="Arial" w:hAnsi="Arial"/>
                <w:sz w:val="18"/>
                <w:szCs w:val="18"/>
                <w:color w:val="auto"/>
              </w:rPr>
              <w:t>32.99</w:t>
            </w:r>
          </w:p>
        </w:tc>
        <w:tc>
          <w:tcPr>
            <w:tcW w:w="128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31.42</w:t>
            </w:r>
          </w:p>
        </w:tc>
      </w:tr>
    </w:tbl>
    <w:p>
      <w:pPr>
        <w:spacing w:after="0" w:line="18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this program, approximately 0.3 million, 0.5 million, and 1.0 million shares were issued during the years ended December 31, 2023, 2022, and 2021, respectively. Approximately 0.2 million shares are expected to be issued in 2024. As of December 31, 2023, the total estimated remaining unrecognized compensation cost related to nonvested SVAs was $51.1 million, which will be amortized over the weighted-average remaining requisite service period of 21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Value Award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RVAs are granted to officers and management and are payable in shares of our common stock. The number of shares actually issued, if any, varies depending on the growth of our stock price at the end of the three-year vesting period compared to our peers. We measure the fair value of the RVA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our peers' stock price, and other factors. Similarly, the dividend yield is based on historical experience and our estimate of future dividend yields. The risk-free interest rate is derived from the U.S. Treasury yield curve in effect at the time of grant. The weighted-average fair value of the RVA units granted during the years ended December 31, 2023, 2022 and 2021 were $397.95, $230.00, and $286.71, respectively, determined using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2023</w:t>
            </w: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4"/>
        </w:trPr>
        <w:tc>
          <w:tcPr>
            <w:tcW w:w="3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4620" w:type="dxa"/>
            <w:vAlign w:val="bottom"/>
            <w:shd w:val="clear" w:color="auto" w:fill="D8D8D8"/>
          </w:tcPr>
          <w:p>
            <w:pPr>
              <w:jc w:val="right"/>
              <w:ind w:right="274"/>
              <w:spacing w:after="0"/>
              <w:rPr>
                <w:sz w:val="20"/>
                <w:szCs w:val="20"/>
                <w:color w:val="auto"/>
              </w:rPr>
            </w:pPr>
            <w:r>
              <w:rPr>
                <w:rFonts w:ascii="Arial" w:cs="Arial" w:eastAsia="Arial" w:hAnsi="Arial"/>
                <w:sz w:val="18"/>
                <w:szCs w:val="18"/>
                <w:b w:val="1"/>
                <w:bCs w:val="1"/>
                <w:color w:val="auto"/>
              </w:rPr>
              <w:t>1.07 %</w:t>
            </w:r>
          </w:p>
        </w:tc>
        <w:tc>
          <w:tcPr>
            <w:tcW w:w="1620" w:type="dxa"/>
            <w:vAlign w:val="bottom"/>
            <w:shd w:val="clear" w:color="auto" w:fill="D8D8D8"/>
          </w:tcPr>
          <w:p>
            <w:pPr>
              <w:jc w:val="right"/>
              <w:ind w:right="275"/>
              <w:spacing w:after="0"/>
              <w:rPr>
                <w:sz w:val="20"/>
                <w:szCs w:val="20"/>
                <w:color w:val="auto"/>
              </w:rPr>
            </w:pPr>
            <w:r>
              <w:rPr>
                <w:rFonts w:ascii="Arial" w:cs="Arial" w:eastAsia="Arial" w:hAnsi="Arial"/>
                <w:sz w:val="18"/>
                <w:szCs w:val="18"/>
                <w:color w:val="auto"/>
              </w:rPr>
              <w:t>1.60 %</w:t>
            </w: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620" w:type="dxa"/>
            <w:vAlign w:val="bottom"/>
          </w:tcPr>
          <w:p>
            <w:pPr>
              <w:jc w:val="right"/>
              <w:ind w:right="494"/>
              <w:spacing w:after="0"/>
              <w:rPr>
                <w:sz w:val="20"/>
                <w:szCs w:val="20"/>
                <w:color w:val="auto"/>
              </w:rPr>
            </w:pPr>
            <w:r>
              <w:rPr>
                <w:rFonts w:ascii="Arial" w:cs="Arial" w:eastAsia="Arial" w:hAnsi="Arial"/>
                <w:sz w:val="18"/>
                <w:szCs w:val="18"/>
                <w:b w:val="1"/>
                <w:bCs w:val="1"/>
                <w:color w:val="auto"/>
              </w:rPr>
              <w:t>4.08</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1.57</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0.19</w:t>
            </w:r>
          </w:p>
        </w:tc>
      </w:tr>
      <w:tr>
        <w:trPr>
          <w:trHeight w:val="230"/>
        </w:trPr>
        <w:tc>
          <w:tcPr>
            <w:tcW w:w="3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4620" w:type="dxa"/>
            <w:vAlign w:val="bottom"/>
            <w:shd w:val="clear" w:color="auto" w:fill="D8D8D8"/>
          </w:tcPr>
          <w:p>
            <w:pPr>
              <w:jc w:val="right"/>
              <w:ind w:right="494"/>
              <w:spacing w:after="0"/>
              <w:rPr>
                <w:sz w:val="20"/>
                <w:szCs w:val="20"/>
                <w:color w:val="auto"/>
              </w:rPr>
            </w:pPr>
            <w:r>
              <w:rPr>
                <w:rFonts w:ascii="Arial" w:cs="Arial" w:eastAsia="Arial" w:hAnsi="Arial"/>
                <w:sz w:val="18"/>
                <w:szCs w:val="18"/>
                <w:b w:val="1"/>
                <w:bCs w:val="1"/>
                <w:color w:val="auto"/>
              </w:rPr>
              <w:t>31.25</w:t>
            </w:r>
          </w:p>
        </w:tc>
        <w:tc>
          <w:tcPr>
            <w:tcW w:w="1620" w:type="dxa"/>
            <w:vAlign w:val="bottom"/>
            <w:shd w:val="clear" w:color="auto" w:fill="D8D8D8"/>
          </w:tcPr>
          <w:p>
            <w:pPr>
              <w:jc w:val="right"/>
              <w:ind w:right="495"/>
              <w:spacing w:after="0"/>
              <w:rPr>
                <w:sz w:val="20"/>
                <w:szCs w:val="20"/>
                <w:color w:val="auto"/>
              </w:rPr>
            </w:pPr>
            <w:r>
              <w:rPr>
                <w:rFonts w:ascii="Arial" w:cs="Arial" w:eastAsia="Arial" w:hAnsi="Arial"/>
                <w:sz w:val="18"/>
                <w:szCs w:val="18"/>
                <w:color w:val="auto"/>
              </w:rPr>
              <w:t>32.86</w:t>
            </w:r>
          </w:p>
        </w:tc>
        <w:tc>
          <w:tcPr>
            <w:tcW w:w="128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30.95</w:t>
            </w:r>
          </w:p>
        </w:tc>
      </w:tr>
      <w:tr>
        <w:trPr>
          <w:trHeight w:val="895"/>
        </w:trPr>
        <w:tc>
          <w:tcPr>
            <w:tcW w:w="3720" w:type="dxa"/>
            <w:vAlign w:val="bottom"/>
          </w:tcPr>
          <w:p>
            <w:pPr>
              <w:spacing w:after="0"/>
              <w:rPr>
                <w:sz w:val="24"/>
                <w:szCs w:val="24"/>
                <w:color w:val="auto"/>
              </w:rPr>
            </w:pPr>
          </w:p>
        </w:tc>
        <w:tc>
          <w:tcPr>
            <w:tcW w:w="4620" w:type="dxa"/>
            <w:vAlign w:val="bottom"/>
          </w:tcPr>
          <w:p>
            <w:pPr>
              <w:jc w:val="right"/>
              <w:ind w:right="2534"/>
              <w:spacing w:after="0"/>
              <w:rPr>
                <w:sz w:val="20"/>
                <w:szCs w:val="20"/>
                <w:color w:val="auto"/>
              </w:rPr>
            </w:pPr>
            <w:r>
              <w:rPr>
                <w:rFonts w:ascii="Arial" w:cs="Arial" w:eastAsia="Arial" w:hAnsi="Arial"/>
                <w:sz w:val="18"/>
                <w:szCs w:val="18"/>
                <w:color w:val="auto"/>
              </w:rPr>
              <w:t>89</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jc w:val="both"/>
        <w:ind w:right="40"/>
        <w:spacing w:after="0" w:line="291" w:lineRule="auto"/>
        <w:rPr>
          <w:sz w:val="20"/>
          <w:szCs w:val="20"/>
          <w:color w:val="auto"/>
        </w:rPr>
      </w:pPr>
      <w:r>
        <w:rPr>
          <w:rFonts w:ascii="Arial" w:cs="Arial" w:eastAsia="Arial" w:hAnsi="Arial"/>
          <w:sz w:val="17"/>
          <w:szCs w:val="17"/>
          <w:color w:val="auto"/>
        </w:rPr>
        <w:t>Pursuant to this program, approximately 0.1 million shares were issued during the year ended December 31, 2023. Approximately 0.1 million shares are expected to be issued in 2024. As of December 31, 2023, the total estimated remaining unrecognized compensation cost related to nonvested RVAs was $21.1 million, which will be amortized over the weighted-average remaining requisite service period of 22 months.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weighted-average fair values of RSU awards granted during the years ended December 31, 2023, 2022, and 2021 were $339.30, $239.88, and $196.30, respectively. The number of shares ultimately issued for the RSU program remains constant with the exception of forfeitures. Pursuant to this program, 1.0 million, 1.0 million, and 0.7 million shares were granted and approximately 0.5 million, 0.8 million, and 0.6 million shares were issued during the years ended December 31, 2023, 2022, and 2021, respectively. Approximately 0.4 million shares are expected to be issued in 2024. As of December 31, 2023, the total estimated remaining unrecognized compensation cost related to nonvested RSUs was $275.3 million, which will be amortized over the weighted-average remaining requisite service period of 22 months.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Shareholders' Equity</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2023, 2022, and 2021, we repurchased $750.0 million, $1.50 billion, and $1.25 billion, respectively, of shares associated with our share repurchase programs. As of December 31, 2023, we had $2.50 billion remaining under our $5.00 billion share repurchase program that our board authorized in May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2023 and 2022, no preferred stock was issued.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2023 and 2022, to provide a source of funds to assist us in meeting our obligations under various employee benefit plans. The cost basis of the shares held in the trust was $3.01 billion at both December 31, 2023 and 2022,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2023, 2022, and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global intangible low-taxed income (GILTI) are also recognized for the future tax effects of temporary differences.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29"/>
        </w:trPr>
        <w:tc>
          <w:tcPr>
            <w:tcW w:w="6820" w:type="dxa"/>
            <w:vAlign w:val="bottom"/>
          </w:tcPr>
          <w:p>
            <w:pPr>
              <w:ind w:left="140"/>
              <w:spacing w:after="0" w:line="230" w:lineRule="exact"/>
              <w:rPr>
                <w:sz w:val="20"/>
                <w:szCs w:val="20"/>
                <w:color w:val="auto"/>
              </w:rPr>
            </w:pPr>
            <w:r>
              <w:rPr>
                <w:rFonts w:ascii="Arial" w:cs="Arial" w:eastAsia="Arial" w:hAnsi="Arial"/>
                <w:sz w:val="18"/>
                <w:szCs w:val="18"/>
                <w:color w:val="auto"/>
              </w:rPr>
              <w:t>Federal</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3,017.9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2,153.6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938.5</w:t>
            </w:r>
          </w:p>
        </w:tc>
      </w:tr>
      <w:tr>
        <w:trPr>
          <w:trHeight w:val="230"/>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613.0</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547.7</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466.0</w:t>
            </w:r>
          </w:p>
        </w:tc>
      </w:tr>
      <w:tr>
        <w:trPr>
          <w:trHeight w:val="229"/>
        </w:trPr>
        <w:tc>
          <w:tcPr>
            <w:tcW w:w="68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68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3,655.2</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2,746.8</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1,376.1</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(2,369.0)</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(1,992.4)</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(977.5)</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34.2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29"/>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(6.2)</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(114.6)</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820" w:type="dxa"/>
            <w:vAlign w:val="bottom"/>
            <w:tcBorders>
              <w:bottom w:val="single" w:sz="8" w:color="D8D8D8"/>
            </w:tcBorders>
          </w:tcPr>
          <w:p>
            <w:pPr>
              <w:ind w:left="360"/>
              <w:spacing w:after="0"/>
              <w:rPr>
                <w:sz w:val="20"/>
                <w:szCs w:val="20"/>
                <w:color w:val="auto"/>
              </w:rPr>
            </w:pPr>
            <w:r>
              <w:rPr>
                <w:rFonts w:ascii="Arial" w:cs="Arial" w:eastAsia="Arial" w:hAnsi="Arial"/>
                <w:sz w:val="18"/>
                <w:szCs w:val="18"/>
                <w:color w:val="auto"/>
              </w:rPr>
              <w:t>Total deferred tax benefit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6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1,314.2</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561.6</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573.8</w:t>
            </w:r>
          </w:p>
        </w:tc>
      </w:tr>
    </w:tbl>
    <w:p>
      <w:pPr>
        <w:spacing w:after="0" w:line="85" w:lineRule="exact"/>
        <w:rPr>
          <w:sz w:val="20"/>
          <w:szCs w:val="20"/>
          <w:color w:val="auto"/>
        </w:rPr>
      </w:pPr>
    </w:p>
    <w:p>
      <w:pPr>
        <w:ind w:left="180" w:right="220" w:hanging="172"/>
        <w:spacing w:after="0" w:line="222" w:lineRule="auto"/>
        <w:tabs>
          <w:tab w:leader="none" w:pos="172"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2023, 2022, and 2021 current tax expense includes $69.3 million, $189.5 million, and $64.7 million of tax benefit, respectively, from utilization of net operating loss and other tax carryforwards.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167" w:lineRule="exact"/>
        <w:rPr>
          <w:sz w:val="20"/>
          <w:szCs w:val="20"/>
          <w:color w:val="auto"/>
        </w:rPr>
      </w:pPr>
    </w:p>
    <w:p>
      <w:pPr>
        <w:ind w:left="8860"/>
        <w:spacing w:after="0"/>
        <w:tabs>
          <w:tab w:leader="none" w:pos="103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intangible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rebates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Correlative tax adjustments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credit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loss and other tax carryforwards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Foreign tax redeterminations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Valuation allowances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Earnings of foreign subsidiaries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and equipment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tax liabilities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 net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2,997.5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1,615.4</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1,981.9</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2,071.3</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1,632.5</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1,312.9</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1,031.3</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752.5</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577.0</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477.6</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527.2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626.0</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521.4</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427.9</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323.7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253.3</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147.5</w:t>
            </w:r>
          </w:p>
        </w:tc>
      </w:tr>
      <w:tr>
        <w:trPr>
          <w:trHeight w:val="235"/>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463.4</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r>
      <w:tr>
        <w:trPr>
          <w:trHeight w:val="218"/>
        </w:trPr>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10,309.2</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8,059.9</w:t>
            </w:r>
          </w:p>
        </w:tc>
      </w:tr>
      <w:tr>
        <w:trPr>
          <w:trHeight w:val="235"/>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w:t>
            </w:r>
          </w:p>
        </w:tc>
      </w:tr>
      <w:tr>
        <w:trPr>
          <w:trHeight w:val="240"/>
        </w:trPr>
        <w:tc>
          <w:tcPr>
            <w:tcW w:w="3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9,395.7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7,284.8</w:t>
            </w:r>
          </w:p>
        </w:tc>
      </w:tr>
      <w:tr>
        <w:trPr>
          <w:trHeight w:val="436"/>
        </w:trPr>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(1,338.2)</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(1,387.9)</w:t>
            </w:r>
          </w:p>
        </w:tc>
      </w:tr>
      <w:tr>
        <w:trPr>
          <w:trHeight w:val="230"/>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(796.6)</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(1,226.0)</w:t>
            </w:r>
          </w:p>
        </w:tc>
      </w:tr>
      <w:tr>
        <w:trPr>
          <w:trHeight w:val="229"/>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(619.5)</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(639.5)</w:t>
            </w:r>
          </w:p>
        </w:tc>
      </w:tr>
      <w:tr>
        <w:trPr>
          <w:trHeight w:val="230"/>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(495.2)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(433.5)</w:t>
            </w:r>
          </w:p>
        </w:tc>
      </w:tr>
      <w:tr>
        <w:trPr>
          <w:trHeight w:val="230"/>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(460.6)</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(546.5)</w:t>
            </w:r>
          </w:p>
        </w:tc>
      </w:tr>
      <w:tr>
        <w:trPr>
          <w:trHeight w:val="230"/>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35"/>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23"/>
        </w:trPr>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(4,022.3)</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(4,579.1)</w:t>
            </w:r>
          </w:p>
        </w:tc>
      </w:tr>
      <w:tr>
        <w:trPr>
          <w:trHeight w:val="230"/>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5,373.4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2,705.7</w:t>
            </w:r>
          </w:p>
        </w:tc>
      </w:tr>
    </w:tbl>
    <w:p>
      <w:pPr>
        <w:spacing w:after="0" w:line="184" w:lineRule="exact"/>
        <w:rPr>
          <w:sz w:val="20"/>
          <w:szCs w:val="20"/>
          <w:color w:val="auto"/>
        </w:rPr>
      </w:pPr>
    </w:p>
    <w:p>
      <w:pPr>
        <w:sectPr>
          <w:pgSz w:w="11900" w:h="16838" w:orient="portrait"/>
          <w:cols w:equalWidth="0" w:num="2">
            <w:col w:w="7600" w:space="720"/>
            <w:col w:w="2920"/>
          </w:cols>
          <w:pgMar w:left="320" w:top="1039" w:right="339" w:bottom="1440" w:gutter="0" w:footer="0" w:header="0"/>
          <w:type w:val="continuous"/>
        </w:sectPr>
      </w:pPr>
    </w:p>
    <w:p>
      <w:pPr>
        <w:ind w:right="60"/>
        <w:spacing w:after="0" w:line="287" w:lineRule="auto"/>
        <w:rPr>
          <w:sz w:val="20"/>
          <w:szCs w:val="20"/>
          <w:color w:val="auto"/>
        </w:rPr>
      </w:pPr>
      <w:r>
        <w:rPr>
          <w:rFonts w:ascii="Arial" w:cs="Arial" w:eastAsia="Arial" w:hAnsi="Arial"/>
          <w:sz w:val="18"/>
          <w:szCs w:val="18"/>
          <w:color w:val="auto"/>
        </w:rPr>
        <w:t>The deferred tax asset and related valuation allowance amounts for U.S. federal, international, and state net operating losses and tax credits shown above have been reduced for differences between financial reporting and tax return filings.</w:t>
      </w:r>
    </w:p>
    <w:p>
      <w:pPr>
        <w:spacing w:after="0" w:line="4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At December 31, 2023, based on filed tax returns we have tax credit carryforwards and carrybacks of $1.00 billion available to reduce future income taxes; $148.8 million, if unused, will expire in 2026, and $60.8 million, if unused, will expire between 2029 and 2043. The remaining portion of the tax credit carryforwards is related to federal tax credits of $55.3 million, international tax credits of $109.9 million, and state tax credits of $629.3 million, all of which are fully reserved.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1" w:name="page92"/>
    <w:bookmarkEnd w:id="91"/>
    <w:p>
      <w:pPr>
        <w:ind w:right="60"/>
        <w:spacing w:after="0" w:line="259" w:lineRule="auto"/>
        <w:rPr>
          <w:sz w:val="20"/>
          <w:szCs w:val="20"/>
          <w:color w:val="auto"/>
        </w:rPr>
      </w:pPr>
      <w:r>
        <w:rPr>
          <w:rFonts w:ascii="Arial" w:cs="Arial" w:eastAsia="Arial" w:hAnsi="Arial"/>
          <w:sz w:val="18"/>
          <w:szCs w:val="18"/>
          <w:color w:val="auto"/>
        </w:rPr>
        <w:t>At December 31, 2023, based on filed tax returns we had net operating losses and other carryforwards for international and U.S. federal income tax purposes of $1.35 billion: $284.6 million will expire by 2028; $35.0 million will expire between 2029 and 2043; and $1.03 billion of the carryforwards will never expire. Net operating losses and other carryforwards for U.S. federal income tax purposes are partially reserved. Deferred tax assets related to state net operating losses and other carryforwards of $261.9 million are fully reserved as of December 31, 2023.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and 2022, prepaid expenses included prepaid taxes of $4.26 billion and $2.37 billion, respectively.</w:t>
      </w:r>
    </w:p>
    <w:p>
      <w:pPr>
        <w:spacing w:after="0" w:line="11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Domestic and Puerto Rican companies contributed approximately 14 percent, 33 percent, and 28 percent for the years ended December 31, 2023, 2022, and 2021, respectively, to consolidated income before income taxes. We have a subsidiary operating in Puerto Rico under a tax incentive grant effective through the end of 2046. The tax incentive grant was amended in 2022 to apply the alternate tax regime established by Puerto Rico legislation starting in 2023.</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Substantially all of the unremitted earnings of our foreign subsidiaries are considered not to be indefinitely reinvested for continued use in our foreign operations. At December 31, 2023 and 2022, we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224"/>
        </w:trPr>
        <w:tc>
          <w:tcPr>
            <w:tcW w:w="470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of income taxes</w:t>
            </w:r>
          </w:p>
        </w:tc>
        <w:tc>
          <w:tcPr>
            <w:tcW w:w="24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5,558.8</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2,672.9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1,598.8</w:t>
            </w:r>
          </w:p>
        </w:tc>
      </w:tr>
    </w:tbl>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In December 2017, the Tax Cuts and Job Act (2017 Tax Act) was signed into law. The 2017 Tax Act included significant changes to the U.S. corporate income tax system, including a one-time repatriation transition tax (also known as the 'Toll Tax') on unremitted foreign earnings. The 2017 Tax Act provided an election to taxpayers subject to the Toll Tax to make payments over an eight-year period beginning in 2018 through 2025. Having made this election, our future cash payments relating to the Toll Tax as of December 31, 2023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r>
      <w:tr>
        <w:trPr>
          <w:trHeight w:val="224"/>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2017 Tax Act Toll Tax</w:t>
            </w:r>
          </w:p>
        </w:tc>
        <w:tc>
          <w:tcPr>
            <w:tcW w:w="2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1,427.0</w:t>
            </w:r>
          </w:p>
        </w:tc>
        <w:tc>
          <w:tcPr>
            <w:tcW w:w="960" w:type="dxa"/>
            <w:vAlign w:val="bottom"/>
            <w:shd w:val="clear" w:color="auto" w:fill="DBDBDB"/>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634.2</w:t>
            </w:r>
          </w:p>
        </w:tc>
        <w:tc>
          <w:tcPr>
            <w:tcW w:w="3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792.8</w:t>
            </w:r>
          </w:p>
        </w:tc>
      </w:tr>
    </w:tbl>
    <w:p>
      <w:pPr>
        <w:spacing w:after="0" w:line="170"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As of December 31, 2023, we have additional noncurrent income tax payables of $3.06 billion unrelated to the Toll Tax; we cannot reasonably estimate the timing of future cash outflows associated with these liabilities.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Following is a reconciliation of the consolidated income tax expense applying the U.S. federal statutory rate to income before income taxes to reported consolidated income tax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 at the U.S. federal statutory tax rate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1,376.5</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1,429.3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1,292.6</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20" w:type="dxa"/>
            <w:vAlign w:val="bottom"/>
            <w:shd w:val="clear" w:color="auto" w:fill="D8D8D8"/>
          </w:tcPr>
          <w:p>
            <w:pPr>
              <w:ind w:left="140"/>
              <w:spacing w:after="0" w:line="230" w:lineRule="exact"/>
              <w:rPr>
                <w:sz w:val="20"/>
                <w:szCs w:val="20"/>
                <w:color w:val="auto"/>
              </w:rPr>
            </w:pPr>
            <w:r>
              <w:rPr>
                <w:rFonts w:ascii="Arial" w:cs="Arial" w:eastAsia="Arial" w:hAnsi="Arial"/>
                <w:sz w:val="18"/>
                <w:szCs w:val="18"/>
                <w:color w:val="auto"/>
              </w:rPr>
              <w:t>Non-deductible acquired IPR&amp;D</w:t>
            </w:r>
            <w:r>
              <w:rPr>
                <w:rFonts w:ascii="Arial" w:cs="Arial" w:eastAsia="Arial" w:hAnsi="Arial"/>
                <w:sz w:val="23"/>
                <w:szCs w:val="23"/>
                <w:color w:val="auto"/>
                <w:vertAlign w:val="superscript"/>
              </w:rPr>
              <w:t>(1)</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677.2</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General business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(258.0)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Foreign-derived intangible income deduction</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(236.7)</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(287.5)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6820" w:type="dxa"/>
            <w:vAlign w:val="bottom"/>
          </w:tcPr>
          <w:p>
            <w:pPr>
              <w:ind w:left="140"/>
              <w:spacing w:after="0" w:line="230" w:lineRule="exact"/>
              <w:rPr>
                <w:sz w:val="20"/>
                <w:szCs w:val="20"/>
                <w:color w:val="auto"/>
              </w:rPr>
            </w:pPr>
            <w:r>
              <w:rPr>
                <w:rFonts w:ascii="Arial" w:cs="Arial" w:eastAsia="Arial" w:hAnsi="Arial"/>
                <w:sz w:val="18"/>
                <w:szCs w:val="18"/>
                <w:color w:val="auto"/>
              </w:rPr>
              <w:t>International operations, including Puerto Rico</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(187.1)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(447.5)</w:t>
            </w:r>
          </w:p>
        </w:tc>
      </w:tr>
      <w:tr>
        <w:trPr>
          <w:trHeight w:val="230"/>
        </w:trPr>
        <w:tc>
          <w:tcPr>
            <w:tcW w:w="6820" w:type="dxa"/>
            <w:vAlign w:val="bottom"/>
            <w:shd w:val="clear" w:color="auto" w:fill="D8D8D8"/>
          </w:tcPr>
          <w:p>
            <w:pPr>
              <w:ind w:left="14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(3)</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(79.9)</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(48.9)</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Valuation allowance release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26.4</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(28.7)</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1,314.2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561.6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r>
    </w:tbl>
    <w:p>
      <w:pPr>
        <w:spacing w:after="0" w:line="85" w:lineRule="exact"/>
        <w:rPr>
          <w:sz w:val="20"/>
          <w:szCs w:val="20"/>
          <w:color w:val="auto"/>
        </w:rPr>
      </w:pPr>
    </w:p>
    <w:p>
      <w:pPr>
        <w:ind w:left="180" w:right="660" w:hanging="172"/>
        <w:spacing w:after="0" w:line="238" w:lineRule="auto"/>
        <w:tabs>
          <w:tab w:leader="none" w:pos="15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Non-deductible acquired IPR&amp;D was primarily related to the acquisitions of DICE, Versanis, and Emergence in 2023. See Note 3 for additional information related to acquisitions.</w:t>
      </w:r>
    </w:p>
    <w:p>
      <w:pPr>
        <w:ind w:left="140" w:hanging="132"/>
        <w:spacing w:after="0" w:line="211" w:lineRule="auto"/>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2"/>
          <w:szCs w:val="12"/>
          <w:color w:val="auto"/>
        </w:rPr>
        <w:t>Includes the impact of GILTI tax, Puerto Rico Excise Tax (for 2022 and 2021), and other U.S. taxation of foreign income.</w:t>
      </w:r>
    </w:p>
    <w:p>
      <w:pPr>
        <w:ind w:left="140" w:hanging="132"/>
        <w:spacing w:after="0"/>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Includes excess tax benefits from stock-based compensation and non-deductible stock-based compensation.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2,987.0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2,798.3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2,551.9</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364.3</w:t>
            </w:r>
          </w:p>
        </w:tc>
        <w:tc>
          <w:tcPr>
            <w:tcW w:w="4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229"/>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78.2</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98.6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(4.7)</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(44.8)</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30.7</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(52.6)</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3,395.0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2,987.0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w:t>
            </w:r>
          </w:p>
        </w:tc>
      </w:tr>
    </w:tbl>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$1.77 billion and $1.70 billion at December 31, 2023 and 2022, respectively.</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file U.S. federal, foreign, and various state and local income tax returns. We are no longer subject to U.S. federal income tax examination for years before 2016. In most major foreign and state jurisdictions, we are no longer subject to income tax examination for years before 2012.</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examination of tax years 2016-2018 began in 2019 and remains ongoing. The Internal Revenue Service commenced its examination of tax years 2019-2021 during the third quarter of 2023. The resolution of both audit periods will likely extend beyond the next 12 months.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Interest and penalties related to unrecognized tax benefits are recognized in income tax expense and were not material for the years ended December 31, 2023, 2022, and 2021. Our accrued interest and penalties related to unrecognized tax benefits were $414.9 million and $271.5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15: Retirement Benefits</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use a measurement date of December 31 to determine the change in benefit obligation, change in plan assets, funded status, and amounts recognized in the consolidated balance sheets at December 31 for our defined benefit pension and retiree health benefit plans, which were as follows:</w:t>
      </w:r>
    </w:p>
    <w:p>
      <w:pPr>
        <w:spacing w:after="0" w:line="100"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880" w:type="dxa"/>
            <w:vAlign w:val="bottom"/>
          </w:tcPr>
          <w:p>
            <w:pPr>
              <w:jc w:val="center"/>
              <w:ind w:left="728"/>
              <w:spacing w:after="0"/>
              <w:rPr>
                <w:sz w:val="20"/>
                <w:szCs w:val="20"/>
                <w:color w:val="auto"/>
              </w:rPr>
            </w:pPr>
            <w:r>
              <w:rPr>
                <w:rFonts w:ascii="Arial" w:cs="Arial" w:eastAsia="Arial" w:hAnsi="Arial"/>
                <w:sz w:val="14"/>
                <w:szCs w:val="14"/>
                <w:b w:val="1"/>
                <w:bCs w:val="1"/>
                <w:color w:val="auto"/>
              </w:rPr>
              <w:t>Defined Benefit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jc w:val="center"/>
              <w:ind w:right="768"/>
              <w:spacing w:after="0"/>
              <w:rPr>
                <w:sz w:val="20"/>
                <w:szCs w:val="20"/>
                <w:color w:val="auto"/>
              </w:rPr>
            </w:pPr>
            <w:r>
              <w:rPr>
                <w:rFonts w:ascii="Arial" w:cs="Arial" w:eastAsia="Arial" w:hAnsi="Arial"/>
                <w:sz w:val="14"/>
                <w:szCs w:val="14"/>
                <w:b w:val="1"/>
                <w:bCs w:val="1"/>
                <w:color w:val="auto"/>
              </w:rPr>
              <w:t>Retiree Health</w:t>
            </w:r>
          </w:p>
        </w:tc>
      </w:tr>
      <w:tr>
        <w:trPr>
          <w:trHeight w:val="185"/>
        </w:trPr>
        <w:tc>
          <w:tcPr>
            <w:tcW w:w="18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Benefit Plans</w:t>
            </w:r>
          </w:p>
        </w:tc>
      </w:tr>
      <w:tr>
        <w:trPr>
          <w:trHeight w:val="194"/>
        </w:trPr>
        <w:tc>
          <w:tcPr>
            <w:tcW w:w="1880" w:type="dxa"/>
            <w:vAlign w:val="bottom"/>
          </w:tcPr>
          <w:p>
            <w:pPr>
              <w:jc w:val="right"/>
              <w:ind w:right="1008"/>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8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628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benefit obligation: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 obligation at beginning of year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Actuarial (gain)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hanging="12"/>
        <w:spacing w:after="0" w:line="273" w:lineRule="auto"/>
        <w:rPr>
          <w:sz w:val="20"/>
          <w:szCs w:val="20"/>
          <w:color w:val="auto"/>
        </w:rPr>
      </w:pPr>
      <w:r>
        <w:rPr>
          <w:rFonts w:ascii="Arial" w:cs="Arial" w:eastAsia="Arial" w:hAnsi="Arial"/>
          <w:sz w:val="18"/>
          <w:szCs w:val="18"/>
          <w:color w:val="auto"/>
        </w:rPr>
        <w:t>Foreign currency exchange rate changes and other adjustments Benefit obligation at end of year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 at beginning of year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Actual return on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Employer contribution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hanging="12"/>
        <w:spacing w:after="0" w:line="276" w:lineRule="auto"/>
        <w:rPr>
          <w:sz w:val="20"/>
          <w:szCs w:val="20"/>
          <w:color w:val="auto"/>
        </w:rPr>
      </w:pPr>
      <w:r>
        <w:rPr>
          <w:rFonts w:ascii="Arial" w:cs="Arial" w:eastAsia="Arial" w:hAnsi="Arial"/>
          <w:sz w:val="18"/>
          <w:szCs w:val="18"/>
          <w:color w:val="auto"/>
        </w:rPr>
        <w:t>Foreign currency exchange rate changes and other adjustments Fair value of plan assets at end of year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Funded status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net actuarial (gain)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prior service (benefit) cost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13,222.0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17,565.0</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1,258.8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1,663.8</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290.4</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648.2</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398.1</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61.3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590.5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(4,158.9)</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(395.9)</w:t>
            </w:r>
          </w:p>
        </w:tc>
      </w:tr>
      <w:tr>
        <w:trPr>
          <w:trHeight w:val="230"/>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(610.5)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(608.9)</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117.3</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0"/>
        </w:trPr>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14,257.9</w:t>
            </w:r>
          </w:p>
        </w:tc>
        <w:tc>
          <w:tcPr>
            <w:tcW w:w="3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13,222.0</w:t>
            </w:r>
          </w:p>
        </w:tc>
        <w:tc>
          <w:tcPr>
            <w:tcW w:w="4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1,310.3</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1,258.8</w:t>
            </w:r>
          </w:p>
        </w:tc>
      </w:tr>
      <w:tr>
        <w:trPr>
          <w:trHeight w:val="436"/>
        </w:trPr>
        <w:tc>
          <w:tcPr>
            <w:tcW w:w="3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13,195.8</w:t>
            </w:r>
          </w:p>
        </w:tc>
        <w:tc>
          <w:tcPr>
            <w:tcW w:w="3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16,416.0</w:t>
            </w:r>
          </w:p>
        </w:tc>
        <w:tc>
          <w:tcPr>
            <w:tcW w:w="4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2,492.5</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3,361.4</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881.9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(2,388.1)</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166.8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(796.0)</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120.6</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(610.5)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(608.9)</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120.9</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13,708.7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13,195.8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2,580.3</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2,492.5</w:t>
            </w:r>
          </w:p>
        </w:tc>
      </w:tr>
      <w:tr>
        <w:trPr>
          <w:trHeight w:val="218"/>
        </w:trPr>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(549.2)</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1,270.0</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1,233.7</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3,357.9</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2,687.2</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109.6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17"/>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2,815.1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2,669.4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1,370.1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-2519680</wp:posOffset>
            </wp:positionV>
            <wp:extent cx="7106285"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-2228215</wp:posOffset>
            </wp:positionV>
            <wp:extent cx="710628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-1936750</wp:posOffset>
            </wp:positionV>
            <wp:extent cx="710628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-1637030</wp:posOffset>
            </wp:positionV>
            <wp:extent cx="710628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-1345565</wp:posOffset>
            </wp:positionV>
            <wp:extent cx="710628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-1053465</wp:posOffset>
            </wp:positionV>
            <wp:extent cx="710628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-762000</wp:posOffset>
            </wp:positionV>
            <wp:extent cx="710628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-453390</wp:posOffset>
            </wp:positionV>
            <wp:extent cx="710628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-162560</wp:posOffset>
            </wp:positionV>
            <wp:extent cx="710628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500"/>
            <w:col w:w="5480"/>
          </w:cols>
          <w:pgMar w:left="320" w:top="1039" w:right="35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Amounts recognized in the consolidated balance sheet consisted of:</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810.6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1,208.0</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1,427.7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1,383.4</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(70.4)</w:t>
            </w: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(70.4)</w:t>
            </w: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(8.3)</w:t>
            </w: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Accrued retirement benefits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(1,289.4)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(1,163.8)</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Accumulated other comprehensive (income) loss before income taxes</w:t>
            </w:r>
          </w:p>
        </w:tc>
        <w:tc>
          <w:tcPr>
            <w:tcW w:w="340" w:type="dxa"/>
            <w:vAlign w:val="bottom"/>
            <w:tcBorders>
              <w:bottom w:val="single" w:sz="8" w:color="auto"/>
            </w:tcBorders>
            <w:shd w:val="clear" w:color="auto" w:fill="D8D8D8"/>
          </w:tcPr>
          <w:p>
            <w:pPr>
              <w:spacing w:after="0"/>
              <w:rPr>
                <w:sz w:val="19"/>
                <w:szCs w:val="19"/>
                <w:color w:val="auto"/>
              </w:rPr>
            </w:pPr>
          </w:p>
        </w:tc>
        <w:tc>
          <w:tcPr>
            <w:tcW w:w="10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3,364.3</w:t>
            </w:r>
          </w:p>
        </w:tc>
        <w:tc>
          <w:tcPr>
            <w:tcW w:w="380" w:type="dxa"/>
            <w:vAlign w:val="bottom"/>
            <w:tcBorders>
              <w:bottom w:val="single" w:sz="8" w:color="auto"/>
            </w:tcBorders>
            <w:shd w:val="clear" w:color="auto" w:fill="D8D8D8"/>
          </w:tcPr>
          <w:p>
            <w:pPr>
              <w:spacing w:after="0"/>
              <w:rPr>
                <w:sz w:val="19"/>
                <w:szCs w:val="19"/>
                <w:color w:val="auto"/>
              </w:rPr>
            </w:pPr>
          </w:p>
        </w:tc>
        <w:tc>
          <w:tcPr>
            <w:tcW w:w="10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2,695.6</w:t>
            </w:r>
          </w:p>
        </w:tc>
        <w:tc>
          <w:tcPr>
            <w:tcW w:w="42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100.1</w:t>
            </w:r>
          </w:p>
        </w:tc>
        <w:tc>
          <w:tcPr>
            <w:tcW w:w="420" w:type="dxa"/>
            <w:vAlign w:val="bottom"/>
            <w:tcBorders>
              <w:bottom w:val="single" w:sz="8" w:color="auto"/>
            </w:tcBorders>
            <w:shd w:val="clear" w:color="auto" w:fill="D8D8D8"/>
          </w:tcPr>
          <w:p>
            <w:pPr>
              <w:spacing w:after="0"/>
              <w:rPr>
                <w:sz w:val="19"/>
                <w:szCs w:val="19"/>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2,815.1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2,669.4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1,370.1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1,226.0</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unrecognized net actuarial (gain) loss and unrecognized prior service (benefit) cost have not yet been recognized in net periodic pension costs and were included in accumulated other comprehensive loss at December 31, 2023 and 2022.</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$1.09 billion increase in benefit obligation in 2023 is primarily driven by decreases in the discount rates. The $4.75 billion decline in benefit obligation in 2022 is primarily driven by increases in the discount rates.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The following represents our weighted-average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rPr>
              <w:t>Defined Benefit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left="677"/>
              <w:spacing w:after="0"/>
              <w:rPr>
                <w:sz w:val="20"/>
                <w:szCs w:val="20"/>
                <w:color w:val="auto"/>
              </w:rPr>
            </w:pPr>
            <w:r>
              <w:rPr>
                <w:rFonts w:ascii="Arial" w:cs="Arial" w:eastAsia="Arial" w:hAnsi="Arial"/>
                <w:sz w:val="14"/>
                <w:szCs w:val="14"/>
                <w:b w:val="1"/>
                <w:bCs w:val="1"/>
                <w:color w:val="auto"/>
              </w:rPr>
              <w:t>Retiree Health</w:t>
            </w:r>
          </w:p>
        </w:tc>
        <w:tc>
          <w:tcPr>
            <w:tcW w:w="76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20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rPr>
              <w:t>Pension Plans</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Benefit Plans</w:t>
            </w:r>
          </w:p>
        </w:tc>
        <w:tc>
          <w:tcPr>
            <w:tcW w:w="76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170"/>
        </w:trPr>
        <w:tc>
          <w:tcPr>
            <w:tcW w:w="5620" w:type="dxa"/>
            <w:vAlign w:val="bottom"/>
            <w:shd w:val="clear" w:color="auto" w:fill="D8D8D8"/>
          </w:tcPr>
          <w:p>
            <w:pPr>
              <w:ind w:left="20"/>
              <w:spacing w:after="0" w:line="170" w:lineRule="exact"/>
              <w:rPr>
                <w:sz w:val="20"/>
                <w:szCs w:val="20"/>
                <w:color w:val="auto"/>
              </w:rPr>
            </w:pPr>
            <w:r>
              <w:rPr>
                <w:rFonts w:ascii="Arial" w:cs="Arial" w:eastAsia="Arial" w:hAnsi="Arial"/>
                <w:sz w:val="18"/>
                <w:szCs w:val="18"/>
                <w:color w:val="auto"/>
              </w:rPr>
              <w:t>Weighted-average assumptions used to determine net periodic</w:t>
            </w:r>
          </w:p>
        </w:tc>
        <w:tc>
          <w:tcPr>
            <w:tcW w:w="1040" w:type="dxa"/>
            <w:vAlign w:val="bottom"/>
            <w:shd w:val="clear" w:color="auto" w:fill="D8D8D8"/>
          </w:tcPr>
          <w:p>
            <w:pPr>
              <w:spacing w:after="0"/>
              <w:rPr>
                <w:sz w:val="14"/>
                <w:szCs w:val="14"/>
                <w:color w:val="auto"/>
              </w:rPr>
            </w:pPr>
          </w:p>
        </w:tc>
        <w:tc>
          <w:tcPr>
            <w:tcW w:w="96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1080" w:type="dxa"/>
            <w:vAlign w:val="bottom"/>
            <w:shd w:val="clear" w:color="auto" w:fill="D8D8D8"/>
          </w:tcPr>
          <w:p>
            <w:pPr>
              <w:spacing w:after="0"/>
              <w:rPr>
                <w:sz w:val="14"/>
                <w:szCs w:val="14"/>
                <w:color w:val="auto"/>
              </w:rPr>
            </w:pPr>
          </w:p>
        </w:tc>
        <w:tc>
          <w:tcPr>
            <w:tcW w:w="760" w:type="dxa"/>
            <w:vAlign w:val="bottom"/>
            <w:shd w:val="clear" w:color="auto" w:fill="D8D8D8"/>
          </w:tcPr>
          <w:p>
            <w:pPr>
              <w:spacing w:after="0"/>
              <w:rPr>
                <w:sz w:val="14"/>
                <w:szCs w:val="14"/>
                <w:color w:val="auto"/>
              </w:rPr>
            </w:pPr>
          </w:p>
        </w:tc>
      </w:tr>
      <w:tr>
        <w:trPr>
          <w:trHeight w:val="243"/>
        </w:trPr>
        <w:tc>
          <w:tcPr>
            <w:tcW w:w="5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benefit costs:</w:t>
            </w:r>
          </w:p>
        </w:tc>
        <w:tc>
          <w:tcPr>
            <w:tcW w:w="104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720" w:type="dxa"/>
            <w:vAlign w:val="bottom"/>
            <w:shd w:val="clear" w:color="auto" w:fill="D8D8D8"/>
          </w:tcPr>
          <w:p>
            <w:pPr>
              <w:spacing w:after="0"/>
              <w:rPr>
                <w:sz w:val="21"/>
                <w:szCs w:val="21"/>
                <w:color w:val="auto"/>
              </w:rPr>
            </w:pPr>
          </w:p>
        </w:tc>
        <w:tc>
          <w:tcPr>
            <w:tcW w:w="140" w:type="dxa"/>
            <w:vAlign w:val="bottom"/>
            <w:shd w:val="clear" w:color="auto" w:fill="D8D8D8"/>
          </w:tcPr>
          <w:p>
            <w:pPr>
              <w:spacing w:after="0"/>
              <w:rPr>
                <w:sz w:val="21"/>
                <w:szCs w:val="21"/>
                <w:color w:val="auto"/>
              </w:rPr>
            </w:pPr>
          </w:p>
        </w:tc>
        <w:tc>
          <w:tcPr>
            <w:tcW w:w="92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760" w:type="dxa"/>
            <w:vAlign w:val="bottom"/>
            <w:shd w:val="clear" w:color="auto" w:fill="D8D8D8"/>
          </w:tcPr>
          <w:p>
            <w:pPr>
              <w:spacing w:after="0"/>
              <w:rPr>
                <w:sz w:val="21"/>
                <w:szCs w:val="2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5.1 %</w:t>
            </w:r>
          </w:p>
        </w:tc>
        <w:tc>
          <w:tcPr>
            <w:tcW w:w="960" w:type="dxa"/>
            <w:vAlign w:val="bottom"/>
          </w:tcPr>
          <w:p>
            <w:pPr>
              <w:ind w:left="280"/>
              <w:spacing w:after="0"/>
              <w:rPr>
                <w:sz w:val="20"/>
                <w:szCs w:val="20"/>
                <w:color w:val="auto"/>
              </w:rPr>
            </w:pPr>
            <w:r>
              <w:rPr>
                <w:rFonts w:ascii="Arial" w:cs="Arial" w:eastAsia="Arial" w:hAnsi="Arial"/>
                <w:sz w:val="18"/>
                <w:szCs w:val="18"/>
                <w:color w:val="auto"/>
              </w:rPr>
              <w:t>2.8 %</w:t>
            </w:r>
          </w:p>
        </w:tc>
        <w:tc>
          <w:tcPr>
            <w:tcW w:w="720" w:type="dxa"/>
            <w:vAlign w:val="bottom"/>
          </w:tcPr>
          <w:p>
            <w:pPr>
              <w:ind w:left="220"/>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w w:val="99"/>
              </w:rPr>
              <w:t>5.2 %</w:t>
            </w:r>
          </w:p>
        </w:tc>
        <w:tc>
          <w:tcPr>
            <w:tcW w:w="1080" w:type="dxa"/>
            <w:vAlign w:val="bottom"/>
          </w:tcPr>
          <w:p>
            <w:pPr>
              <w:ind w:left="440"/>
              <w:spacing w:after="0"/>
              <w:rPr>
                <w:sz w:val="20"/>
                <w:szCs w:val="20"/>
                <w:color w:val="auto"/>
              </w:rPr>
            </w:pPr>
            <w:r>
              <w:rPr>
                <w:rFonts w:ascii="Arial" w:cs="Arial" w:eastAsia="Arial" w:hAnsi="Arial"/>
                <w:sz w:val="18"/>
                <w:szCs w:val="18"/>
                <w:color w:val="auto"/>
              </w:rPr>
              <w:t>3.0 %</w:t>
            </w:r>
          </w:p>
        </w:tc>
        <w:tc>
          <w:tcPr>
            <w:tcW w:w="760" w:type="dxa"/>
            <w:vAlign w:val="bottom"/>
          </w:tcPr>
          <w:p>
            <w:pPr>
              <w:ind w:left="280"/>
              <w:spacing w:after="0"/>
              <w:rPr>
                <w:sz w:val="20"/>
                <w:szCs w:val="20"/>
                <w:color w:val="auto"/>
              </w:rPr>
            </w:pPr>
            <w:r>
              <w:rPr>
                <w:rFonts w:ascii="Arial" w:cs="Arial" w:eastAsia="Arial" w:hAnsi="Arial"/>
                <w:sz w:val="18"/>
                <w:szCs w:val="18"/>
                <w:color w:val="auto"/>
                <w:w w:val="99"/>
              </w:rPr>
              <w:t>2.6 %</w:t>
            </w:r>
          </w:p>
        </w:tc>
      </w:tr>
      <w:tr>
        <w:trPr>
          <w:trHeight w:val="229"/>
        </w:trPr>
        <w:tc>
          <w:tcPr>
            <w:tcW w:w="5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D8D8D8"/>
          </w:tcPr>
          <w:p>
            <w:pPr>
              <w:ind w:left="420"/>
              <w:spacing w:after="0"/>
              <w:rPr>
                <w:sz w:val="20"/>
                <w:szCs w:val="20"/>
                <w:color w:val="auto"/>
              </w:rPr>
            </w:pPr>
            <w:r>
              <w:rPr>
                <w:rFonts w:ascii="Arial" w:cs="Arial" w:eastAsia="Arial" w:hAnsi="Arial"/>
                <w:sz w:val="18"/>
                <w:szCs w:val="18"/>
                <w:b w:val="1"/>
                <w:bCs w:val="1"/>
                <w:color w:val="auto"/>
              </w:rPr>
              <w:t>4.3</w:t>
            </w:r>
          </w:p>
        </w:tc>
        <w:tc>
          <w:tcPr>
            <w:tcW w:w="960" w:type="dxa"/>
            <w:vAlign w:val="bottom"/>
            <w:shd w:val="clear" w:color="auto" w:fill="D8D8D8"/>
          </w:tcPr>
          <w:p>
            <w:pPr>
              <w:ind w:left="280"/>
              <w:spacing w:after="0"/>
              <w:rPr>
                <w:sz w:val="20"/>
                <w:szCs w:val="20"/>
                <w:color w:val="auto"/>
              </w:rPr>
            </w:pPr>
            <w:r>
              <w:rPr>
                <w:rFonts w:ascii="Arial" w:cs="Arial" w:eastAsia="Arial" w:hAnsi="Arial"/>
                <w:sz w:val="18"/>
                <w:szCs w:val="18"/>
                <w:color w:val="auto"/>
              </w:rPr>
              <w:t>3.5</w:t>
            </w:r>
          </w:p>
        </w:tc>
        <w:tc>
          <w:tcPr>
            <w:tcW w:w="720" w:type="dxa"/>
            <w:vAlign w:val="bottom"/>
            <w:shd w:val="clear" w:color="auto" w:fill="D8D8D8"/>
          </w:tcPr>
          <w:p>
            <w:pPr>
              <w:ind w:left="2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8.1</w:t>
            </w:r>
          </w:p>
        </w:tc>
        <w:tc>
          <w:tcPr>
            <w:tcW w:w="960" w:type="dxa"/>
            <w:vAlign w:val="bottom"/>
          </w:tcPr>
          <w:p>
            <w:pPr>
              <w:ind w:left="280"/>
              <w:spacing w:after="0"/>
              <w:rPr>
                <w:sz w:val="20"/>
                <w:szCs w:val="20"/>
                <w:color w:val="auto"/>
              </w:rPr>
            </w:pPr>
            <w:r>
              <w:rPr>
                <w:rFonts w:ascii="Arial" w:cs="Arial" w:eastAsia="Arial" w:hAnsi="Arial"/>
                <w:sz w:val="18"/>
                <w:szCs w:val="18"/>
                <w:color w:val="auto"/>
              </w:rPr>
              <w:t>8.1</w:t>
            </w:r>
          </w:p>
        </w:tc>
        <w:tc>
          <w:tcPr>
            <w:tcW w:w="720" w:type="dxa"/>
            <w:vAlign w:val="bottom"/>
          </w:tcPr>
          <w:p>
            <w:pPr>
              <w:ind w:lef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rPr>
              <w:t>7.3</w:t>
            </w:r>
          </w:p>
        </w:tc>
        <w:tc>
          <w:tcPr>
            <w:tcW w:w="1080" w:type="dxa"/>
            <w:vAlign w:val="bottom"/>
          </w:tcPr>
          <w:p>
            <w:pPr>
              <w:ind w:left="440"/>
              <w:spacing w:after="0"/>
              <w:rPr>
                <w:sz w:val="20"/>
                <w:szCs w:val="20"/>
                <w:color w:val="auto"/>
              </w:rPr>
            </w:pPr>
            <w:r>
              <w:rPr>
                <w:rFonts w:ascii="Arial" w:cs="Arial" w:eastAsia="Arial" w:hAnsi="Arial"/>
                <w:sz w:val="18"/>
                <w:szCs w:val="18"/>
                <w:color w:val="auto"/>
              </w:rPr>
              <w:t>7.3</w:t>
            </w:r>
          </w:p>
        </w:tc>
        <w:tc>
          <w:tcPr>
            <w:tcW w:w="760" w:type="dxa"/>
            <w:vAlign w:val="bottom"/>
          </w:tcPr>
          <w:p>
            <w:pPr>
              <w:ind w:left="280"/>
              <w:spacing w:after="0"/>
              <w:rPr>
                <w:sz w:val="20"/>
                <w:szCs w:val="20"/>
                <w:color w:val="auto"/>
              </w:rPr>
            </w:pPr>
            <w:r>
              <w:rPr>
                <w:rFonts w:ascii="Arial" w:cs="Arial" w:eastAsia="Arial" w:hAnsi="Arial"/>
                <w:sz w:val="18"/>
                <w:szCs w:val="18"/>
                <w:color w:val="auto"/>
              </w:rPr>
              <w:t>5.0</w:t>
            </w:r>
          </w:p>
        </w:tc>
      </w:tr>
      <w:tr>
        <w:trPr>
          <w:trHeight w:val="176"/>
        </w:trPr>
        <w:tc>
          <w:tcPr>
            <w:tcW w:w="56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Weighted-average assumptions used to determine benefit obligation</w:t>
            </w:r>
          </w:p>
        </w:tc>
        <w:tc>
          <w:tcPr>
            <w:tcW w:w="10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108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r>
      <w:tr>
        <w:trPr>
          <w:trHeight w:val="243"/>
        </w:trPr>
        <w:tc>
          <w:tcPr>
            <w:tcW w:w="5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as of December 31:</w:t>
            </w:r>
          </w:p>
        </w:tc>
        <w:tc>
          <w:tcPr>
            <w:tcW w:w="104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c>
          <w:tcPr>
            <w:tcW w:w="720" w:type="dxa"/>
            <w:vAlign w:val="bottom"/>
            <w:shd w:val="clear" w:color="auto" w:fill="D8D8D8"/>
          </w:tcPr>
          <w:p>
            <w:pPr>
              <w:spacing w:after="0"/>
              <w:rPr>
                <w:sz w:val="21"/>
                <w:szCs w:val="21"/>
                <w:color w:val="auto"/>
              </w:rPr>
            </w:pPr>
          </w:p>
        </w:tc>
        <w:tc>
          <w:tcPr>
            <w:tcW w:w="140" w:type="dxa"/>
            <w:vAlign w:val="bottom"/>
            <w:shd w:val="clear" w:color="auto" w:fill="D8D8D8"/>
          </w:tcPr>
          <w:p>
            <w:pPr>
              <w:spacing w:after="0"/>
              <w:rPr>
                <w:sz w:val="21"/>
                <w:szCs w:val="21"/>
                <w:color w:val="auto"/>
              </w:rPr>
            </w:pPr>
          </w:p>
        </w:tc>
        <w:tc>
          <w:tcPr>
            <w:tcW w:w="92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760" w:type="dxa"/>
            <w:vAlign w:val="bottom"/>
            <w:shd w:val="clear" w:color="auto" w:fill="D8D8D8"/>
          </w:tcPr>
          <w:p>
            <w:pPr>
              <w:spacing w:after="0"/>
              <w:rPr>
                <w:sz w:val="21"/>
                <w:szCs w:val="2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4.8 %</w:t>
            </w:r>
          </w:p>
        </w:tc>
        <w:tc>
          <w:tcPr>
            <w:tcW w:w="960" w:type="dxa"/>
            <w:vAlign w:val="bottom"/>
          </w:tcPr>
          <w:p>
            <w:pPr>
              <w:ind w:left="280"/>
              <w:spacing w:after="0"/>
              <w:rPr>
                <w:sz w:val="20"/>
                <w:szCs w:val="20"/>
                <w:color w:val="auto"/>
              </w:rPr>
            </w:pPr>
            <w:r>
              <w:rPr>
                <w:rFonts w:ascii="Arial" w:cs="Arial" w:eastAsia="Arial" w:hAnsi="Arial"/>
                <w:sz w:val="18"/>
                <w:szCs w:val="18"/>
                <w:color w:val="auto"/>
              </w:rPr>
              <w:t>5.1 %</w:t>
            </w:r>
          </w:p>
        </w:tc>
        <w:tc>
          <w:tcPr>
            <w:tcW w:w="720" w:type="dxa"/>
            <w:vAlign w:val="bottom"/>
          </w:tcPr>
          <w:p>
            <w:pPr>
              <w:ind w:left="220"/>
              <w:spacing w:after="0"/>
              <w:rPr>
                <w:sz w:val="20"/>
                <w:szCs w:val="20"/>
                <w:color w:val="auto"/>
              </w:rPr>
            </w:pPr>
            <w:r>
              <w:rPr>
                <w:rFonts w:ascii="Arial" w:cs="Arial" w:eastAsia="Arial" w:hAnsi="Arial"/>
                <w:sz w:val="18"/>
                <w:szCs w:val="18"/>
                <w:color w:val="auto"/>
              </w:rPr>
              <w:t>2.8 %</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w w:val="99"/>
              </w:rPr>
              <w:t>5.0 %</w:t>
            </w:r>
          </w:p>
        </w:tc>
        <w:tc>
          <w:tcPr>
            <w:tcW w:w="1080" w:type="dxa"/>
            <w:vAlign w:val="bottom"/>
          </w:tcPr>
          <w:p>
            <w:pPr>
              <w:ind w:left="440"/>
              <w:spacing w:after="0"/>
              <w:rPr>
                <w:sz w:val="20"/>
                <w:szCs w:val="20"/>
                <w:color w:val="auto"/>
              </w:rPr>
            </w:pPr>
            <w:r>
              <w:rPr>
                <w:rFonts w:ascii="Arial" w:cs="Arial" w:eastAsia="Arial" w:hAnsi="Arial"/>
                <w:sz w:val="18"/>
                <w:szCs w:val="18"/>
                <w:color w:val="auto"/>
              </w:rPr>
              <w:t>5.2 %</w:t>
            </w:r>
          </w:p>
        </w:tc>
        <w:tc>
          <w:tcPr>
            <w:tcW w:w="760" w:type="dxa"/>
            <w:vAlign w:val="bottom"/>
          </w:tcPr>
          <w:p>
            <w:pPr>
              <w:ind w:left="280"/>
              <w:spacing w:after="0"/>
              <w:rPr>
                <w:sz w:val="20"/>
                <w:szCs w:val="20"/>
                <w:color w:val="auto"/>
              </w:rPr>
            </w:pPr>
            <w:r>
              <w:rPr>
                <w:rFonts w:ascii="Arial" w:cs="Arial" w:eastAsia="Arial" w:hAnsi="Arial"/>
                <w:sz w:val="18"/>
                <w:szCs w:val="18"/>
                <w:color w:val="auto"/>
                <w:w w:val="99"/>
              </w:rPr>
              <w:t>3.0 %</w:t>
            </w:r>
          </w:p>
        </w:tc>
      </w:tr>
      <w:tr>
        <w:trPr>
          <w:trHeight w:val="229"/>
        </w:trPr>
        <w:tc>
          <w:tcPr>
            <w:tcW w:w="5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D8D8D8"/>
          </w:tcPr>
          <w:p>
            <w:pPr>
              <w:ind w:left="420"/>
              <w:spacing w:after="0"/>
              <w:rPr>
                <w:sz w:val="20"/>
                <w:szCs w:val="20"/>
                <w:color w:val="auto"/>
              </w:rPr>
            </w:pPr>
            <w:r>
              <w:rPr>
                <w:rFonts w:ascii="Arial" w:cs="Arial" w:eastAsia="Arial" w:hAnsi="Arial"/>
                <w:sz w:val="18"/>
                <w:szCs w:val="18"/>
                <w:b w:val="1"/>
                <w:bCs w:val="1"/>
                <w:color w:val="auto"/>
              </w:rPr>
              <w:t>4.3</w:t>
            </w:r>
          </w:p>
        </w:tc>
        <w:tc>
          <w:tcPr>
            <w:tcW w:w="960" w:type="dxa"/>
            <w:vAlign w:val="bottom"/>
            <w:shd w:val="clear" w:color="auto" w:fill="D8D8D8"/>
          </w:tcPr>
          <w:p>
            <w:pPr>
              <w:ind w:left="28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D8D8D8"/>
          </w:tcPr>
          <w:p>
            <w:pPr>
              <w:ind w:left="2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r>
    </w:tbl>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payments, which reflect expected future service,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2027</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2028</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2029-2033</w:t>
            </w:r>
          </w:p>
        </w:tc>
      </w:tr>
      <w:tr>
        <w:trPr>
          <w:trHeight w:val="224"/>
        </w:trPr>
        <w:tc>
          <w:tcPr>
            <w:tcW w:w="2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661.2</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671.4</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695.0</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722.5</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746.5</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4,160.7</w:t>
            </w:r>
          </w:p>
        </w:tc>
      </w:tr>
      <w:tr>
        <w:trPr>
          <w:trHeight w:val="239"/>
        </w:trPr>
        <w:tc>
          <w:tcPr>
            <w:tcW w:w="2860" w:type="dxa"/>
            <w:vAlign w:val="bottom"/>
          </w:tcPr>
          <w:p>
            <w:pPr>
              <w:ind w:left="2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93.8</w:t>
            </w:r>
          </w:p>
        </w:tc>
        <w:tc>
          <w:tcPr>
            <w:tcW w:w="38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94.5</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94.7</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95.2</w:t>
            </w:r>
          </w:p>
        </w:tc>
        <w:tc>
          <w:tcPr>
            <w:tcW w:w="3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95.6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24"/>
        </w:trPr>
        <w:tc>
          <w:tcPr>
            <w:tcW w:w="5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Projected benefit obligation</w:t>
            </w:r>
          </w:p>
        </w:tc>
        <w:tc>
          <w:tcPr>
            <w:tcW w:w="340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b w:val="1"/>
                <w:bCs w:val="1"/>
                <w:color w:val="auto"/>
              </w:rPr>
              <w:t>2,395.3</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2,211.2</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4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1,035.4</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977.1</w:t>
            </w:r>
          </w:p>
        </w:tc>
      </w:tr>
    </w:tbl>
    <w:p>
      <w:pPr>
        <w:spacing w:after="0" w:line="16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rPr>
              <w:t>Retiree Health</w:t>
            </w:r>
          </w:p>
        </w:tc>
        <w:tc>
          <w:tcPr>
            <w:tcW w:w="800" w:type="dxa"/>
            <w:vAlign w:val="bottom"/>
          </w:tcPr>
          <w:p>
            <w:pPr>
              <w:spacing w:after="0"/>
              <w:rPr>
                <w:sz w:val="14"/>
                <w:szCs w:val="14"/>
                <w:color w:val="auto"/>
              </w:rPr>
            </w:pPr>
          </w:p>
        </w:tc>
      </w:tr>
      <w:tr>
        <w:trPr>
          <w:trHeight w:val="185"/>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Benefit Plans</w:t>
            </w:r>
          </w:p>
        </w:tc>
        <w:tc>
          <w:tcPr>
            <w:tcW w:w="800" w:type="dxa"/>
            <w:vAlign w:val="bottom"/>
            <w:tcBorders>
              <w:bottom w:val="single" w:sz="8" w:color="auto"/>
            </w:tcBorders>
          </w:tcPr>
          <w:p>
            <w:pPr>
              <w:spacing w:after="0"/>
              <w:rPr>
                <w:sz w:val="16"/>
                <w:szCs w:val="16"/>
                <w:color w:val="auto"/>
              </w:rPr>
            </w:pPr>
          </w:p>
        </w:tc>
      </w:tr>
      <w:tr>
        <w:trPr>
          <w:trHeight w:val="195"/>
        </w:trPr>
        <w:tc>
          <w:tcPr>
            <w:tcW w:w="5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24"/>
        </w:trPr>
        <w:tc>
          <w:tcPr>
            <w:tcW w:w="59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1,659.5</w:t>
            </w:r>
          </w:p>
        </w:tc>
        <w:tc>
          <w:tcPr>
            <w:tcW w:w="54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1,721.7</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157.7</w:t>
            </w:r>
          </w:p>
        </w:tc>
        <w:tc>
          <w:tcPr>
            <w:tcW w:w="5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149.8</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564.3</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total accumulated benefit obligation for our defined benefit pension plans was $12.74 billion and $12.01 billion at December 31, 2023 and 2022,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Net periodic (benefit) cost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4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5"/>
        </w:trPr>
        <w:tc>
          <w:tcPr>
            <w:tcW w:w="4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r>
      <w:tr>
        <w:trPr>
          <w:trHeight w:val="224"/>
        </w:trPr>
        <w:tc>
          <w:tcPr>
            <w:tcW w:w="42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290.4</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351.7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31.8</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46.6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648.2</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398.1</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61.3</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(1,055.0)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(182.1)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29"/>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2.4</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2.4</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(52.9)</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(54.8)</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(59.6)</w:t>
            </w:r>
          </w:p>
        </w:tc>
      </w:tr>
      <w:tr>
        <w:trPr>
          <w:trHeight w:val="229"/>
        </w:trPr>
        <w:tc>
          <w:tcPr>
            <w:tcW w:w="42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Recognized actuarial (gain)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122.0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342.4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22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8.0</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147.0</w:t>
            </w:r>
          </w:p>
        </w:tc>
        <w:tc>
          <w:tcPr>
            <w:tcW w:w="30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auto"/>
            </w:tcBorders>
            <w:shd w:val="clear" w:color="auto" w:fill="D8D8D8"/>
          </w:tcPr>
          <w:p>
            <w:pPr>
              <w:spacing w:after="0"/>
              <w:rPr>
                <w:sz w:val="20"/>
                <w:szCs w:val="20"/>
                <w:color w:val="auto"/>
              </w:rPr>
            </w:pP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(147.7)</w:t>
            </w:r>
          </w:p>
        </w:tc>
        <w:tc>
          <w:tcPr>
            <w:tcW w:w="30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(121.6)</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(120.9)</w:t>
            </w:r>
          </w:p>
        </w:tc>
      </w:tr>
    </w:tbl>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2022, and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(763.9)</w:t>
            </w:r>
          </w:p>
        </w:tc>
        <w:tc>
          <w:tcPr>
            <w:tcW w:w="300" w:type="dxa"/>
            <w:vAlign w:val="bottom"/>
            <w:shd w:val="clear" w:color="auto" w:fill="DBDBDB"/>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823.6</w:t>
            </w:r>
          </w:p>
        </w:tc>
        <w:tc>
          <w:tcPr>
            <w:tcW w:w="2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2,072.4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(552.2)</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prior service (benefit) cost included in</w:t>
            </w:r>
          </w:p>
        </w:tc>
        <w:tc>
          <w:tcPr>
            <w:tcW w:w="26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5"/>
                <w:szCs w:val="15"/>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(52.9)</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Amortization of net actuarial (gain) loss included in</w:t>
            </w:r>
          </w:p>
        </w:tc>
        <w:tc>
          <w:tcPr>
            <w:tcW w:w="26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122.0</w:t>
            </w:r>
          </w:p>
        </w:tc>
        <w:tc>
          <w:tcPr>
            <w:tcW w:w="300" w:type="dxa"/>
            <w:vAlign w:val="bottom"/>
            <w:shd w:val="clear" w:color="auto" w:fill="DBDBDB"/>
          </w:tcPr>
          <w:p>
            <w:pPr>
              <w:spacing w:after="0"/>
              <w:rPr>
                <w:sz w:val="15"/>
                <w:szCs w:val="15"/>
                <w:color w:val="auto"/>
              </w:rPr>
            </w:pPr>
          </w:p>
        </w:tc>
        <w:tc>
          <w:tcPr>
            <w:tcW w:w="900" w:type="dxa"/>
            <w:vAlign w:val="bottom"/>
            <w:vMerge w:val="restart"/>
            <w:shd w:val="clear" w:color="auto" w:fill="DBDBDB"/>
          </w:tcPr>
          <w:p>
            <w:pPr>
              <w:jc w:val="right"/>
              <w:ind w:right="53"/>
              <w:spacing w:after="0"/>
              <w:rPr>
                <w:sz w:val="20"/>
                <w:szCs w:val="20"/>
                <w:color w:val="auto"/>
              </w:rPr>
            </w:pPr>
            <w:r>
              <w:rPr>
                <w:rFonts w:ascii="Arial" w:cs="Arial" w:eastAsia="Arial" w:hAnsi="Arial"/>
                <w:sz w:val="18"/>
                <w:szCs w:val="18"/>
                <w:color w:val="auto"/>
              </w:rPr>
              <w:t>342.4</w:t>
            </w:r>
          </w:p>
        </w:tc>
        <w:tc>
          <w:tcPr>
            <w:tcW w:w="280" w:type="dxa"/>
            <w:vAlign w:val="bottom"/>
            <w:shd w:val="clear" w:color="auto" w:fill="DBDBDB"/>
          </w:tcPr>
          <w:p>
            <w:pPr>
              <w:spacing w:after="0"/>
              <w:rPr>
                <w:sz w:val="15"/>
                <w:szCs w:val="15"/>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ind w:right="53"/>
              <w:spacing w:after="0"/>
              <w:rPr>
                <w:sz w:val="20"/>
                <w:szCs w:val="20"/>
                <w:color w:val="auto"/>
              </w:rPr>
            </w:pPr>
            <w:r>
              <w:rPr>
                <w:rFonts w:ascii="Arial" w:cs="Arial" w:eastAsia="Arial" w:hAnsi="Arial"/>
                <w:sz w:val="18"/>
                <w:szCs w:val="18"/>
                <w:color w:val="auto"/>
              </w:rPr>
              <w:t>0.9</w:t>
            </w:r>
          </w:p>
        </w:tc>
        <w:tc>
          <w:tcPr>
            <w:tcW w:w="3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Foreign currency exchange rate changes and 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56"/>
        </w:trPr>
        <w:tc>
          <w:tcPr>
            <w:tcW w:w="428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Total other comprehensive income (loss) during</w:t>
            </w: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(668.7)</w:t>
            </w:r>
          </w:p>
        </w:tc>
        <w:tc>
          <w:tcPr>
            <w:tcW w:w="300" w:type="dxa"/>
            <w:vAlign w:val="bottom"/>
            <w:vMerge w:val="restart"/>
            <w:shd w:val="clear" w:color="auto" w:fill="DBDBDB"/>
          </w:tcPr>
          <w:p>
            <w:pPr>
              <w:ind w:left="8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BDBDB"/>
          </w:tcPr>
          <w:p>
            <w:pPr>
              <w:jc w:val="right"/>
              <w:ind w:right="53"/>
              <w:spacing w:after="0"/>
              <w:rPr>
                <w:sz w:val="20"/>
                <w:szCs w:val="20"/>
                <w:color w:val="auto"/>
              </w:rPr>
            </w:pPr>
            <w:r>
              <w:rPr>
                <w:rFonts w:ascii="Arial" w:cs="Arial" w:eastAsia="Arial" w:hAnsi="Arial"/>
                <w:sz w:val="18"/>
                <w:szCs w:val="18"/>
                <w:color w:val="auto"/>
              </w:rPr>
              <w:t>1,223.9</w:t>
            </w:r>
          </w:p>
        </w:tc>
        <w:tc>
          <w:tcPr>
            <w:tcW w:w="28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2,611.5</w:t>
            </w:r>
          </w:p>
        </w:tc>
        <w:tc>
          <w:tcPr>
            <w:tcW w:w="1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(107.8)</w:t>
            </w:r>
          </w:p>
        </w:tc>
        <w:tc>
          <w:tcPr>
            <w:tcW w:w="300" w:type="dxa"/>
            <w:vAlign w:val="bottom"/>
            <w:vMerge w:val="restart"/>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(607.0)</w:t>
            </w:r>
          </w:p>
        </w:tc>
        <w:tc>
          <w:tcPr>
            <w:tcW w:w="30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860" w:type="dxa"/>
            <w:vAlign w:val="bottom"/>
            <w:tcBorders>
              <w:bottom w:val="single" w:sz="8" w:color="auto"/>
            </w:tcBorders>
            <w:vMerge w:val="continue"/>
            <w:shd w:val="clear" w:color="auto" w:fill="DBDBDB"/>
          </w:tcPr>
          <w:p>
            <w:pPr>
              <w:spacing w:after="0"/>
              <w:rPr>
                <w:sz w:val="20"/>
                <w:szCs w:val="20"/>
                <w:color w:val="auto"/>
              </w:rPr>
            </w:pPr>
          </w:p>
        </w:tc>
        <w:tc>
          <w:tcPr>
            <w:tcW w:w="300" w:type="dxa"/>
            <w:vAlign w:val="bottom"/>
            <w:tcBorders>
              <w:bottom w:val="single" w:sz="8" w:color="auto"/>
            </w:tcBorders>
            <w:vMerge w:val="continue"/>
            <w:shd w:val="clear" w:color="auto" w:fill="DBDBDB"/>
          </w:tcPr>
          <w:p>
            <w:pPr>
              <w:spacing w:after="0"/>
              <w:rPr>
                <w:sz w:val="20"/>
                <w:szCs w:val="20"/>
                <w:color w:val="auto"/>
              </w:rPr>
            </w:pPr>
          </w:p>
        </w:tc>
        <w:tc>
          <w:tcPr>
            <w:tcW w:w="900" w:type="dxa"/>
            <w:vAlign w:val="bottom"/>
            <w:tcBorders>
              <w:bottom w:val="single" w:sz="8" w:color="auto"/>
            </w:tcBorders>
            <w:vMerge w:val="continue"/>
            <w:shd w:val="clear" w:color="auto" w:fill="DBDBDB"/>
          </w:tcPr>
          <w:p>
            <w:pPr>
              <w:spacing w:after="0"/>
              <w:rPr>
                <w:sz w:val="20"/>
                <w:szCs w:val="20"/>
                <w:color w:val="auto"/>
              </w:rPr>
            </w:pPr>
          </w:p>
        </w:tc>
        <w:tc>
          <w:tcPr>
            <w:tcW w:w="280" w:type="dxa"/>
            <w:vAlign w:val="bottom"/>
            <w:tcBorders>
              <w:bottom w:val="single" w:sz="8" w:color="auto"/>
            </w:tcBorders>
            <w:vMerge w:val="continue"/>
            <w:shd w:val="clear" w:color="auto" w:fill="DBDBDB"/>
          </w:tcPr>
          <w:p>
            <w:pPr>
              <w:spacing w:after="0"/>
              <w:rPr>
                <w:sz w:val="20"/>
                <w:szCs w:val="20"/>
                <w:color w:val="auto"/>
              </w:rPr>
            </w:pPr>
          </w:p>
        </w:tc>
        <w:tc>
          <w:tcPr>
            <w:tcW w:w="84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860" w:type="dxa"/>
            <w:vAlign w:val="bottom"/>
            <w:tcBorders>
              <w:bottom w:val="single" w:sz="8" w:color="auto"/>
            </w:tcBorders>
            <w:vMerge w:val="continue"/>
            <w:shd w:val="clear" w:color="auto" w:fill="DBDBDB"/>
          </w:tcPr>
          <w:p>
            <w:pPr>
              <w:spacing w:after="0"/>
              <w:rPr>
                <w:sz w:val="20"/>
                <w:szCs w:val="20"/>
                <w:color w:val="auto"/>
              </w:rPr>
            </w:pPr>
          </w:p>
        </w:tc>
        <w:tc>
          <w:tcPr>
            <w:tcW w:w="300" w:type="dxa"/>
            <w:vAlign w:val="bottom"/>
            <w:tcBorders>
              <w:bottom w:val="single" w:sz="8" w:color="auto"/>
            </w:tcBorders>
            <w:vMerge w:val="continue"/>
            <w:shd w:val="clear" w:color="auto" w:fill="DBDBDB"/>
          </w:tcPr>
          <w:p>
            <w:pPr>
              <w:spacing w:after="0"/>
              <w:rPr>
                <w:sz w:val="20"/>
                <w:szCs w:val="20"/>
                <w:color w:val="auto"/>
              </w:rPr>
            </w:pPr>
          </w:p>
        </w:tc>
        <w:tc>
          <w:tcPr>
            <w:tcW w:w="880" w:type="dxa"/>
            <w:vAlign w:val="bottom"/>
            <w:tcBorders>
              <w:bottom w:val="single" w:sz="8" w:color="auto"/>
            </w:tcBorders>
            <w:vMerge w:val="continue"/>
            <w:shd w:val="clear" w:color="auto" w:fill="DBDBDB"/>
          </w:tcPr>
          <w:p>
            <w:pPr>
              <w:spacing w:after="0"/>
              <w:rPr>
                <w:sz w:val="20"/>
                <w:szCs w:val="20"/>
                <w:color w:val="auto"/>
              </w:rPr>
            </w:pPr>
          </w:p>
        </w:tc>
        <w:tc>
          <w:tcPr>
            <w:tcW w:w="300" w:type="dxa"/>
            <w:vAlign w:val="bottom"/>
            <w:tcBorders>
              <w:bottom w:val="single" w:sz="8" w:color="auto"/>
            </w:tcBorders>
            <w:vMerge w:val="continue"/>
            <w:shd w:val="clear" w:color="auto" w:fill="DBDBDB"/>
          </w:tcPr>
          <w:p>
            <w:pPr>
              <w:spacing w:after="0"/>
              <w:rPr>
                <w:sz w:val="20"/>
                <w:szCs w:val="20"/>
                <w:color w:val="auto"/>
              </w:rPr>
            </w:pPr>
          </w:p>
        </w:tc>
        <w:tc>
          <w:tcPr>
            <w:tcW w:w="82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$222.6 million, $170.6 million, and $167.3 million for the years ended December 31, 2023, 2022, and 2021, respectively.</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2023, 2022, and 2021 were not material.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85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6" w:name="page97"/>
    <w:bookmarkEnd w:id="96"/>
    <w:p>
      <w:pPr>
        <w:ind w:right="100"/>
        <w:spacing w:after="0" w:line="256"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75 percent growth investments and 25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bank loans, mortgage-backed securities, commercial mortgage-backed obligations, and any related repurchase agreements.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in fund-of-funds structures and directly into hedge funds. Plan holdings in hedge funds are valued based on net asset values (NAVs) calculated by each fund or general partner, as applicable, and we have the ability to redeem these investments at NAV.</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special situations, private debt, and private real estate investments. Private equity management firms typically acquire and then reorganize private companies to create increased long term value. Private equity-like funds usually have a limited life of approximately 10-15 years, and require a minimum investment commitment from their limited partners. Our private equity-like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Real estate is composed of public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7" w:name="page98"/>
    <w:bookmarkEnd w:id="97"/>
    <w:p>
      <w:pPr>
        <w:ind w:right="560"/>
        <w:spacing w:after="0" w:line="287"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2023 by asset category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300" w:type="dxa"/>
            <w:vAlign w:val="bottom"/>
          </w:tcPr>
          <w:p>
            <w:pPr>
              <w:spacing w:after="0"/>
              <w:rPr>
                <w:sz w:val="10"/>
                <w:szCs w:val="10"/>
                <w:color w:val="auto"/>
              </w:rPr>
            </w:pPr>
          </w:p>
        </w:tc>
        <w:tc>
          <w:tcPr>
            <w:tcW w:w="12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Markets for</w:t>
            </w:r>
          </w:p>
        </w:tc>
        <w:tc>
          <w:tcPr>
            <w:tcW w:w="300" w:type="dxa"/>
            <w:vAlign w:val="bottom"/>
          </w:tcPr>
          <w:p>
            <w:pPr>
              <w:spacing w:after="0"/>
              <w:rPr>
                <w:sz w:val="10"/>
                <w:szCs w:val="10"/>
                <w:color w:val="auto"/>
              </w:rPr>
            </w:pPr>
          </w:p>
        </w:tc>
        <w:tc>
          <w:tcPr>
            <w:tcW w:w="1280" w:type="dxa"/>
            <w:vAlign w:val="bottom"/>
          </w:tcPr>
          <w:p>
            <w:pPr>
              <w:jc w:val="center"/>
              <w:ind w:right="235"/>
              <w:spacing w:after="0" w:line="122" w:lineRule="exact"/>
              <w:rPr>
                <w:sz w:val="20"/>
                <w:szCs w:val="20"/>
                <w:color w:val="auto"/>
              </w:rPr>
            </w:pPr>
            <w:r>
              <w:rPr>
                <w:rFonts w:ascii="Arial" w:cs="Arial" w:eastAsia="Arial" w:hAnsi="Arial"/>
                <w:sz w:val="13"/>
                <w:szCs w:val="13"/>
                <w:b w:val="1"/>
                <w:bCs w:val="1"/>
                <w:color w:val="auto"/>
                <w:w w:val="95"/>
              </w:rPr>
              <w:t>Observable</w:t>
            </w: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1"/>
                <w:szCs w:val="11"/>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1"/>
                <w:szCs w:val="11"/>
                <w:color w:val="auto"/>
              </w:rPr>
            </w:pPr>
          </w:p>
        </w:tc>
        <w:tc>
          <w:tcPr>
            <w:tcW w:w="132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1"/>
                <w:szCs w:val="11"/>
                <w:color w:val="auto"/>
              </w:rPr>
            </w:pPr>
          </w:p>
        </w:tc>
        <w:tc>
          <w:tcPr>
            <w:tcW w:w="128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1,379.7</w:t>
            </w:r>
          </w:p>
        </w:tc>
        <w:tc>
          <w:tcPr>
            <w:tcW w:w="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490.5</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0.3</w:t>
            </w:r>
          </w:p>
        </w:tc>
        <w:tc>
          <w:tcPr>
            <w:tcW w:w="320" w:type="dxa"/>
            <w:vAlign w:val="bottom"/>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1,408.9</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441.2</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333.4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2,783.9</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2,597.3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75"/>
        </w:trPr>
        <w:tc>
          <w:tcPr>
            <w:tcW w:w="350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51"/>
              <w:spacing w:after="0"/>
              <w:rPr>
                <w:sz w:val="20"/>
                <w:szCs w:val="20"/>
                <w:color w:val="auto"/>
              </w:rPr>
            </w:pPr>
            <w:r>
              <w:rPr>
                <w:rFonts w:ascii="Arial" w:cs="Arial" w:eastAsia="Arial" w:hAnsi="Arial"/>
                <w:sz w:val="18"/>
                <w:szCs w:val="18"/>
                <w:color w:val="auto"/>
              </w:rPr>
              <w:t>(772.8)</w:t>
            </w:r>
          </w:p>
        </w:tc>
        <w:tc>
          <w:tcPr>
            <w:tcW w:w="180" w:type="dxa"/>
            <w:vAlign w:val="bottom"/>
            <w:shd w:val="clear" w:color="auto" w:fill="DBDBDB"/>
          </w:tcPr>
          <w:p>
            <w:pPr>
              <w:spacing w:after="0"/>
              <w:rPr>
                <w:sz w:val="15"/>
                <w:szCs w:val="15"/>
                <w:color w:val="auto"/>
              </w:rPr>
            </w:pPr>
          </w:p>
        </w:tc>
        <w:tc>
          <w:tcPr>
            <w:tcW w:w="1320" w:type="dxa"/>
            <w:vAlign w:val="bottom"/>
            <w:vMerge w:val="restart"/>
            <w:shd w:val="clear" w:color="auto" w:fill="DBDBDB"/>
          </w:tcPr>
          <w:p>
            <w:pPr>
              <w:jc w:val="right"/>
              <w:ind w:right="35"/>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DBDBDB"/>
          </w:tcPr>
          <w:p>
            <w:pPr>
              <w:spacing w:after="0"/>
              <w:rPr>
                <w:sz w:val="15"/>
                <w:szCs w:val="15"/>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(786.0)</w:t>
            </w: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BDBDB"/>
          </w:tcPr>
          <w:p>
            <w:pPr>
              <w:spacing w:after="0"/>
              <w:rPr>
                <w:sz w:val="21"/>
                <w:szCs w:val="21"/>
                <w:color w:val="auto"/>
              </w:rPr>
            </w:pPr>
          </w:p>
        </w:tc>
        <w:tc>
          <w:tcPr>
            <w:tcW w:w="1220" w:type="dxa"/>
            <w:vAlign w:val="bottom"/>
            <w:vMerge w:val="continue"/>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32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280" w:type="dxa"/>
            <w:vAlign w:val="bottom"/>
            <w:vMerge w:val="continue"/>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80" w:type="dxa"/>
            <w:vAlign w:val="bottom"/>
            <w:vMerge w:val="continue"/>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295.6</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3,125.9</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3,125.9</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4,093.7</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369.7</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261.9</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1,024.1</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170.8</w:t>
            </w:r>
          </w:p>
        </w:tc>
        <w:tc>
          <w:tcPr>
            <w:tcW w:w="3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42.6</w:t>
            </w:r>
          </w:p>
        </w:tc>
        <w:tc>
          <w:tcPr>
            <w:tcW w:w="3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13,708.7</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1,409.2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2,223.3</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10,051.0</w:t>
            </w:r>
          </w:p>
        </w:tc>
        <w:tc>
          <w:tcPr>
            <w:tcW w:w="0" w:type="dxa"/>
            <w:vAlign w:val="bottom"/>
          </w:tcPr>
          <w:p>
            <w:pPr>
              <w:spacing w:after="0"/>
              <w:rPr>
                <w:sz w:val="1"/>
                <w:szCs w:val="1"/>
                <w:color w:val="auto"/>
              </w:rPr>
            </w:pPr>
          </w:p>
        </w:tc>
      </w:tr>
      <w:tr>
        <w:trPr>
          <w:trHeight w:val="94"/>
        </w:trPr>
        <w:tc>
          <w:tcPr>
            <w:tcW w:w="350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22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300" w:type="dxa"/>
            <w:vAlign w:val="bottom"/>
            <w:shd w:val="clear" w:color="auto" w:fill="DBDBDB"/>
          </w:tcPr>
          <w:p>
            <w:pPr>
              <w:spacing w:after="0"/>
              <w:rPr>
                <w:sz w:val="8"/>
                <w:szCs w:val="8"/>
                <w:color w:val="auto"/>
              </w:rPr>
            </w:pPr>
          </w:p>
        </w:tc>
        <w:tc>
          <w:tcPr>
            <w:tcW w:w="1280" w:type="dxa"/>
            <w:vAlign w:val="bottom"/>
            <w:shd w:val="clear" w:color="auto" w:fill="DBDBDB"/>
          </w:tcPr>
          <w:p>
            <w:pPr>
              <w:spacing w:after="0"/>
              <w:rPr>
                <w:sz w:val="8"/>
                <w:szCs w:val="8"/>
                <w:color w:val="auto"/>
              </w:rPr>
            </w:pPr>
          </w:p>
        </w:tc>
        <w:tc>
          <w:tcPr>
            <w:tcW w:w="320" w:type="dxa"/>
            <w:vAlign w:val="bottom"/>
            <w:shd w:val="clear" w:color="auto" w:fill="DBDBDB"/>
          </w:tcPr>
          <w:p>
            <w:pPr>
              <w:spacing w:after="0"/>
              <w:rPr>
                <w:sz w:val="8"/>
                <w:szCs w:val="8"/>
                <w:color w:val="auto"/>
              </w:rPr>
            </w:pPr>
          </w:p>
        </w:tc>
        <w:tc>
          <w:tcPr>
            <w:tcW w:w="1180" w:type="dxa"/>
            <w:vAlign w:val="bottom"/>
            <w:shd w:val="clear" w:color="auto" w:fill="DBDBDB"/>
          </w:tcPr>
          <w:p>
            <w:pPr>
              <w:spacing w:after="0"/>
              <w:rPr>
                <w:sz w:val="8"/>
                <w:szCs w:val="8"/>
                <w:color w:val="auto"/>
              </w:rPr>
            </w:pPr>
          </w:p>
        </w:tc>
        <w:tc>
          <w:tcPr>
            <w:tcW w:w="2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127.0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335.1</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1,526.5</w:t>
            </w:r>
          </w:p>
        </w:tc>
        <w:tc>
          <w:tcPr>
            <w:tcW w:w="180" w:type="dxa"/>
            <w:vAlign w:val="bottom"/>
          </w:tcPr>
          <w:p>
            <w:pPr>
              <w:spacing w:after="0"/>
              <w:rPr>
                <w:sz w:val="15"/>
                <w:szCs w:val="15"/>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1,526.5</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97.8</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2,580.3</w:t>
            </w:r>
          </w:p>
        </w:tc>
        <w:tc>
          <w:tcPr>
            <w:tcW w:w="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130.1</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1,603.5</w:t>
            </w:r>
          </w:p>
        </w:tc>
        <w:tc>
          <w:tcPr>
            <w:tcW w:w="3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2023. The activity in the Level 3 investments during the year ended December 31, 2023 was not material.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8" w:name="page99"/>
    <w:bookmarkEnd w:id="98"/>
    <w:p>
      <w:pPr>
        <w:ind w:right="600"/>
        <w:spacing w:after="0" w:line="287"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2022 by asset category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Significant Observable</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Markets for Identical</w:t>
            </w:r>
          </w:p>
        </w:tc>
        <w:tc>
          <w:tcPr>
            <w:tcW w:w="1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8"/>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1"/>
                <w:szCs w:val="11"/>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380" w:type="dxa"/>
            <w:vAlign w:val="bottom"/>
          </w:tcPr>
          <w:p>
            <w:pPr>
              <w:jc w:val="center"/>
              <w:ind w:right="75"/>
              <w:spacing w:after="0" w:line="129" w:lineRule="exact"/>
              <w:rPr>
                <w:sz w:val="20"/>
                <w:szCs w:val="20"/>
                <w:color w:val="auto"/>
              </w:rPr>
            </w:pPr>
            <w:r>
              <w:rPr>
                <w:rFonts w:ascii="Arial" w:cs="Arial" w:eastAsia="Arial" w:hAnsi="Arial"/>
                <w:sz w:val="13"/>
                <w:szCs w:val="13"/>
                <w:b w:val="1"/>
                <w:bCs w:val="1"/>
                <w:color w:val="auto"/>
                <w:w w:val="98"/>
              </w:rPr>
              <w:t>Assets</w:t>
            </w:r>
          </w:p>
        </w:tc>
        <w:tc>
          <w:tcPr>
            <w:tcW w:w="360" w:type="dxa"/>
            <w:vAlign w:val="bottom"/>
          </w:tcPr>
          <w:p>
            <w:pPr>
              <w:spacing w:after="0"/>
              <w:rPr>
                <w:sz w:val="11"/>
                <w:szCs w:val="11"/>
                <w:color w:val="auto"/>
              </w:rPr>
            </w:pPr>
          </w:p>
        </w:tc>
        <w:tc>
          <w:tcPr>
            <w:tcW w:w="1220" w:type="dxa"/>
            <w:vAlign w:val="bottom"/>
          </w:tcPr>
          <w:p>
            <w:pPr>
              <w:jc w:val="center"/>
              <w:ind w:right="272"/>
              <w:spacing w:after="0" w:line="129"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82"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1,132.4</w:t>
            </w:r>
          </w:p>
        </w:tc>
        <w:tc>
          <w:tcPr>
            <w:tcW w:w="120" w:type="dxa"/>
            <w:vAlign w:val="bottom"/>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396.6</w:t>
            </w:r>
          </w:p>
        </w:tc>
        <w:tc>
          <w:tcPr>
            <w:tcW w:w="3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0.1</w:t>
            </w:r>
          </w:p>
        </w:tc>
        <w:tc>
          <w:tcPr>
            <w:tcW w:w="32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1,177.1</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369.4</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300.9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2,445.5</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2,058.2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175"/>
        </w:trPr>
        <w:tc>
          <w:tcPr>
            <w:tcW w:w="350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ind w:right="51"/>
              <w:spacing w:after="0"/>
              <w:rPr>
                <w:sz w:val="20"/>
                <w:szCs w:val="20"/>
                <w:color w:val="auto"/>
              </w:rPr>
            </w:pPr>
            <w:r>
              <w:rPr>
                <w:rFonts w:ascii="Arial" w:cs="Arial" w:eastAsia="Arial" w:hAnsi="Arial"/>
                <w:sz w:val="18"/>
                <w:szCs w:val="18"/>
                <w:color w:val="auto"/>
              </w:rPr>
              <w:t>(706.6)</w:t>
            </w:r>
          </w:p>
        </w:tc>
        <w:tc>
          <w:tcPr>
            <w:tcW w:w="120" w:type="dxa"/>
            <w:vAlign w:val="bottom"/>
            <w:shd w:val="clear" w:color="auto" w:fill="D8D8D8"/>
          </w:tcPr>
          <w:p>
            <w:pPr>
              <w:spacing w:after="0"/>
              <w:rPr>
                <w:sz w:val="15"/>
                <w:szCs w:val="15"/>
                <w:color w:val="auto"/>
              </w:rPr>
            </w:pPr>
          </w:p>
        </w:tc>
        <w:tc>
          <w:tcPr>
            <w:tcW w:w="138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color w:val="auto"/>
              </w:rPr>
              <w:t>6.4</w:t>
            </w:r>
          </w:p>
        </w:tc>
        <w:tc>
          <w:tcPr>
            <w:tcW w:w="36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(713.0)</w:t>
            </w:r>
          </w:p>
        </w:tc>
        <w:tc>
          <w:tcPr>
            <w:tcW w:w="320" w:type="dxa"/>
            <w:vAlign w:val="bottom"/>
            <w:shd w:val="clear" w:color="auto" w:fill="D8D8D8"/>
          </w:tcPr>
          <w:p>
            <w:pPr>
              <w:spacing w:after="0"/>
              <w:rPr>
                <w:sz w:val="15"/>
                <w:szCs w:val="15"/>
                <w:color w:val="auto"/>
              </w:rPr>
            </w:pPr>
          </w:p>
        </w:tc>
        <w:tc>
          <w:tcPr>
            <w:tcW w:w="1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8D8D8"/>
          </w:tcPr>
          <w:p>
            <w:pPr>
              <w:spacing w:after="0"/>
              <w:rPr>
                <w:sz w:val="21"/>
                <w:szCs w:val="21"/>
                <w:color w:val="auto"/>
              </w:rPr>
            </w:pPr>
          </w:p>
        </w:tc>
        <w:tc>
          <w:tcPr>
            <w:tcW w:w="1220" w:type="dxa"/>
            <w:vAlign w:val="bottom"/>
            <w:vMerge w:val="continue"/>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380" w:type="dxa"/>
            <w:vAlign w:val="bottom"/>
            <w:vMerge w:val="continue"/>
            <w:shd w:val="clear" w:color="auto" w:fill="D8D8D8"/>
          </w:tcPr>
          <w:p>
            <w:pPr>
              <w:spacing w:after="0"/>
              <w:rPr>
                <w:sz w:val="21"/>
                <w:szCs w:val="21"/>
                <w:color w:val="auto"/>
              </w:rPr>
            </w:pPr>
          </w:p>
        </w:tc>
        <w:tc>
          <w:tcPr>
            <w:tcW w:w="360" w:type="dxa"/>
            <w:vAlign w:val="bottom"/>
            <w:shd w:val="clear" w:color="auto" w:fill="D8D8D8"/>
          </w:tcPr>
          <w:p>
            <w:pPr>
              <w:spacing w:after="0"/>
              <w:rPr>
                <w:sz w:val="21"/>
                <w:szCs w:val="21"/>
                <w:color w:val="auto"/>
              </w:rPr>
            </w:pPr>
          </w:p>
        </w:tc>
        <w:tc>
          <w:tcPr>
            <w:tcW w:w="1220" w:type="dxa"/>
            <w:vAlign w:val="bottom"/>
            <w:vMerge w:val="continue"/>
            <w:shd w:val="clear" w:color="auto" w:fill="D8D8D8"/>
          </w:tcPr>
          <w:p>
            <w:pPr>
              <w:spacing w:after="0"/>
              <w:rPr>
                <w:sz w:val="21"/>
                <w:szCs w:val="21"/>
                <w:color w:val="auto"/>
              </w:rPr>
            </w:pPr>
          </w:p>
        </w:tc>
        <w:tc>
          <w:tcPr>
            <w:tcW w:w="320" w:type="dxa"/>
            <w:vAlign w:val="bottom"/>
            <w:shd w:val="clear" w:color="auto" w:fill="D8D8D8"/>
          </w:tcPr>
          <w:p>
            <w:pPr>
              <w:spacing w:after="0"/>
              <w:rPr>
                <w:sz w:val="21"/>
                <w:szCs w:val="21"/>
                <w:color w:val="auto"/>
              </w:rPr>
            </w:pPr>
          </w:p>
        </w:tc>
        <w:tc>
          <w:tcPr>
            <w:tcW w:w="1180" w:type="dxa"/>
            <w:vAlign w:val="bottom"/>
            <w:vMerge w:val="continue"/>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30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3,249.0</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4,014.1</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3,988.7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234.9</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1,261.7</w:t>
            </w:r>
          </w:p>
        </w:tc>
        <w:tc>
          <w:tcPr>
            <w:tcW w:w="120" w:type="dxa"/>
            <w:vAlign w:val="bottom"/>
            <w:tcBorders>
              <w:bottom w:val="single" w:sz="8" w:color="auto"/>
            </w:tcBorders>
            <w:shd w:val="clear" w:color="auto" w:fill="D8D8D8"/>
          </w:tcPr>
          <w:p>
            <w:pPr>
              <w:spacing w:after="0"/>
              <w:rPr>
                <w:sz w:val="19"/>
                <w:szCs w:val="19"/>
                <w:color w:val="auto"/>
              </w:rPr>
            </w:pP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251.0</w:t>
            </w:r>
          </w:p>
        </w:tc>
        <w:tc>
          <w:tcPr>
            <w:tcW w:w="36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(131.8)</w:t>
            </w:r>
          </w:p>
        </w:tc>
        <w:tc>
          <w:tcPr>
            <w:tcW w:w="32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13,195.8</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1,288.7</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1,546.4</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10,335.2</w:t>
            </w:r>
          </w:p>
        </w:tc>
        <w:tc>
          <w:tcPr>
            <w:tcW w:w="0" w:type="dxa"/>
            <w:vAlign w:val="bottom"/>
          </w:tcPr>
          <w:p>
            <w:pPr>
              <w:spacing w:after="0"/>
              <w:rPr>
                <w:sz w:val="1"/>
                <w:szCs w:val="1"/>
                <w:color w:val="auto"/>
              </w:rPr>
            </w:pPr>
          </w:p>
        </w:tc>
      </w:tr>
      <w:tr>
        <w:trPr>
          <w:trHeight w:val="95"/>
        </w:trPr>
        <w:tc>
          <w:tcPr>
            <w:tcW w:w="350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32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28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104.2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35.7</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332.8</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1,470.8</w:t>
            </w:r>
          </w:p>
        </w:tc>
        <w:tc>
          <w:tcPr>
            <w:tcW w:w="120" w:type="dxa"/>
            <w:vAlign w:val="bottom"/>
          </w:tcPr>
          <w:p>
            <w:pPr>
              <w:spacing w:after="0"/>
              <w:rPr>
                <w:sz w:val="15"/>
                <w:szCs w:val="15"/>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18"/>
                <w:szCs w:val="18"/>
                <w:color w:val="auto"/>
              </w:rPr>
              <w:t>1,470.8</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2,492.5</w:t>
            </w:r>
          </w:p>
        </w:tc>
        <w:tc>
          <w:tcPr>
            <w:tcW w:w="1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113.4</w:t>
            </w:r>
          </w:p>
        </w:tc>
        <w:tc>
          <w:tcPr>
            <w:tcW w:w="3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1,514.0</w:t>
            </w:r>
          </w:p>
        </w:tc>
        <w:tc>
          <w:tcPr>
            <w:tcW w:w="32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2022. The activity in the Level 3 investments during the year ended December 31, 2022 was not material.</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2024, we expect to contribute approximately $40 million to our defined benefit pension plans to satisfy minimum funding requirements for the year. We do not currently expect to make material discretionary contributions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16: Contingencies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access, sales and marketing practices, environmental, commercial, contractual rights, licensing obligations, health and safety matters, consumer fraud, employment matters, product liability, insurance coverage, and regulatory compliance,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defending against the legal proceedings in which we are named as defendants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Litigation accruals and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would be infringed by our launch and continued sales of Emgality for the prevention of migraine in adults.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Following a trial, in November 2022, a jury returned a verdict in favor of Teva. In September 2023, the court granted our motion to overrule the jury verdict and found all asserted claims of the three patents invalid. Teva has appealed the decision. This matter is ongoing.</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We challenged these two patents by filing requests for Inter Partes Review with the Patent Trial and Appeal Board (PTAB) and in October 2022, the PTAB granted our requests. In September 2023, the PTAB issued decisions finding all claims of both patents invalid. Teva has agreed not to appeal the decisions and has dismissed the corresponding district court litigation. This matter is closed.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Other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Litigation</w:t>
      </w:r>
    </w:p>
    <w:p>
      <w:pPr>
        <w:spacing w:after="0" w:line="6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named along with Takeda Chemical Industries, Ltd. and Takeda affiliates (collectively, Takeda) in a third party payor class action in the U.S. District Court for the Central District of California. Plaintiffs claim that they and similarly situated class members are entitled to recover money paid for or to reimburse Actos prescriptions because of alleged concealment of bladder cancer risk. Our agreement with Takeda calls for Takeda to defend and indemnify us against our losses and expenses with respect to U.S. litigation arising out of the manufacture, use, or sale of Actos and other related expenses in accordance with the terms of the agreement. In August 2023, the Ninth Circuit granted our and Takeda's petition for permission to appeal the class certification order, and briefing was submitted in January 2024. This matter is ongoing.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and Trulicity Product Liability Litigation</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along with Novo Nordisk A/S (Novo) and other related Novo entities, are named in numerous lawsuits by plaintiffs alleging injuries following purported use of incretin products. Certain complaints name us and allege injuries that plaintiffs claim are associated with the use of Mounjaro and/or Trulicity. These lawsuits were filed beginning in August 2023 and are pending in various federal courts. In February 2024, the Judicial Panel on Multi-District Litigation established Multi-District Litigation for coordinated and consolidated pretrial proceedings in the Eastern District of Pennsylvania. This matter is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sent us an enforcement letter notifying us that it determined that our policy was contrary to the 340B statute. In response, in May 2021, we amended our complaint to bring claims related to HRSA's determination. In June 2021, the defendants withdrew the HHS December 30, 2020 advisory opinion. In July 2021, the court held oral argument on the parties' cross motions for summary judgment and the defendants' motion to dismiss.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along with other pharmaceutical manufacturers, have been named as a defendant in petitions filed in 2021 and 2023 and currently pending before the HHS Administrative Dispute Resolution Panel. Petitioners seek declaratory, injunctive, and/or monetary relief related to the 340B program. The U.S. District Court for the Southern District of Indiana has entered a preliminary injunction enjoining the government's enforcement of this administrative dispute resolution process against us.</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October 2022, the plaintiffs filed a motion for leave to amend their complaint. In January 2024, the court denied the motion for leave to amend and dismissed the case.</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First initiated in 2008, Eli Lilly do Brasil Limitada (Lilly Brasil) is named in a Public Civil Action brought by the Labor Public Attorney (LPA) alleging harm to employees and former employees caused by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In July 2018, the appeals court generally affirmed the trial Court's ruling, which included a liquidated award of 300 million Brazilian reais, which, when adjusted for inflation, is approximately 1.26 billion Brazilian reais (approximately $ 260 million as of December 31, 2023). In August 2019, Lilly Brasil appealed to the superior labor court (TST) and in June 2021, the majority of the elements of Lilly Brasil's appeal were admitted; elements not proceeding are subject to an interlocutory appeal to the TST that was filed in June 2021. Mediation hearings are ongoing.</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 Brasil's appeal and, when adjusted for inflation, is approximately 131 million Brazilian reais (approximately $27 million as of December 31, 2023). The parties appealed to the TST, which appeal is under review. The trial Court is currently assessing the status of Lilly Brasil’s compliance with the obligations as to the land and an inspection in the industrial plant occurred in October 2023. These matters are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Lilly Brasil is also named in various pending lawsuits filed in the trial Court by individual former employees making related claims. These individual lawsuits are at various stages in the litigation process.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execute an alleged judgment. The request was denied by the CFI in our favor and the Municipality filed for revision at the AP, which we opposed, staying the case. The AP denied the Municipality's motion for revision. This matter is ongoing and trial has been scheduled for August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Lilly appealed to the Seventh Circuit and the appeal is pending. This matter is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pending an ongoing appeal before the Appellate Division of the New Jersey Superior Court. This matter is ongoing.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Pricing Litigation</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along with Sanofi, Novo Nordisk, and, in some matters, certain pharmacy benefit managers, have been named in numerous lawsuits, including putative class actions, by states and state attorneys general, counties, municipalities, third-party payers, consumers, and other parties related to insulin pricing and rebates paid by manufacturers to pharmacy benefit managers. These lawsuits assert various theories, including consumer protection and deceptive trade practice, fraud, false advertising, unjust enrichment, civil conspiracy, federal and state RICO statutes, antitrust, and unfair competition claims. These lawsuits have been brought in various state and federal courts since 2017 and are at various stages in the litigation process. Starting in August 2023 after a ruling by the Judicial Panel for Multi-District Litigation, several of these cases were transferred to or filed in the District of New Jersey for coordinated or consolidated pre-trial proceedings. In May 2023, we reached a settlement in the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consumer class action. A motion for preliminary approval of our settlement is pending. In January 2024, the Multi-District Litigation court denied the consumer class plaintiffs’ motion for class certification and ordered the parties to submit briefs addressing the impact of that denial on the motion for preliminary approval of the settlement. In February 2024, we entered into a non-monetary settlement with the Minnesota Attorney General's Office that resolved all matters related to Minnesota's insulin pricing lawsuit.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Investigations, Subpoenas, and Inquiries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 requests, information requests, interrogatories, and other inquiries from various governmental entities related to pricing issues, including the pricing and sale of insulins and other products and calculations of AMP and best price. These include subpoenas from the Vermont Attorney General Office, civil investigative demands from the Washington, New Mexico, Colorado, Louisiana, Texas and Ohio Attorney General Offices, the U.S. Department of Justice, and the U.S. Federal Trade Commission, as well as information requests from the Mississippi, Washington D.C., California, Florida, Hawaii, and Nevada Attorney General Offices.</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In June 2023, the Michigan Court of Appeals affirmed the judgment in our favor. In August 2023, the Michigan Attorney General filed an application for leave to appeal to the Michigan Supreme Court, which is being set for argument.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 aforementioned investigations, subpoenas, and inquiries.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Trial is scheduled for August 2024. Potential damages payable under the litigation, if finally awarded after an appeal, could be material but are not currently reasonably estimable. This matter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17: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3"/>
                <w:szCs w:val="13"/>
                <w:b w:val="1"/>
                <w:bCs w:val="1"/>
                <w:color w:val="auto"/>
                <w:w w:val="95"/>
              </w:rPr>
              <w:t>Foreign Currency</w:t>
            </w:r>
          </w:p>
        </w:tc>
        <w:tc>
          <w:tcPr>
            <w:tcW w:w="180" w:type="dxa"/>
            <w:vAlign w:val="bottom"/>
          </w:tcPr>
          <w:p>
            <w:pPr>
              <w:spacing w:after="0"/>
              <w:rPr>
                <w:sz w:val="13"/>
                <w:szCs w:val="13"/>
                <w:color w:val="auto"/>
              </w:rPr>
            </w:pPr>
          </w:p>
        </w:tc>
        <w:tc>
          <w:tcPr>
            <w:tcW w:w="1100" w:type="dxa"/>
            <w:vAlign w:val="bottom"/>
          </w:tcPr>
          <w:p>
            <w:pPr>
              <w:jc w:val="center"/>
              <w:ind w:right="100"/>
              <w:spacing w:after="0"/>
              <w:rPr>
                <w:sz w:val="20"/>
                <w:szCs w:val="20"/>
                <w:color w:val="auto"/>
              </w:rPr>
            </w:pPr>
            <w:r>
              <w:rPr>
                <w:rFonts w:ascii="Arial" w:cs="Arial" w:eastAsia="Arial" w:hAnsi="Arial"/>
                <w:sz w:val="13"/>
                <w:szCs w:val="13"/>
                <w:b w:val="1"/>
                <w:bCs w:val="1"/>
                <w:color w:val="auto"/>
                <w:w w:val="97"/>
              </w:rPr>
              <w:t>Net Unrealized</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Net Unrealized</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Retirement Benefit</w:t>
            </w:r>
          </w:p>
        </w:tc>
        <w:tc>
          <w:tcPr>
            <w:tcW w:w="12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Gains (Losses)</w:t>
            </w:r>
          </w:p>
        </w:tc>
        <w:tc>
          <w:tcPr>
            <w:tcW w:w="180" w:type="dxa"/>
            <w:vAlign w:val="bottom"/>
          </w:tcPr>
          <w:p>
            <w:pPr>
              <w:spacing w:after="0"/>
              <w:rPr>
                <w:sz w:val="10"/>
                <w:szCs w:val="10"/>
                <w:color w:val="auto"/>
              </w:rPr>
            </w:pPr>
          </w:p>
        </w:tc>
        <w:tc>
          <w:tcPr>
            <w:tcW w:w="128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w w:val="95"/>
              </w:rPr>
              <w:t>Accumulated Other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presented net of taxes)</w:t>
            </w:r>
          </w:p>
        </w:tc>
        <w:tc>
          <w:tcPr>
            <w:tcW w:w="120" w:type="dxa"/>
            <w:vAlign w:val="bottom"/>
          </w:tcPr>
          <w:p>
            <w:pPr>
              <w:spacing w:after="0"/>
              <w:rPr>
                <w:sz w:val="11"/>
                <w:szCs w:val="11"/>
                <w:color w:val="auto"/>
              </w:rPr>
            </w:pPr>
          </w:p>
        </w:tc>
        <w:tc>
          <w:tcPr>
            <w:tcW w:w="12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on Available-For-</w:t>
            </w: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8"/>
              </w:rPr>
              <w:t>Gains (Losses)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7"/>
              </w:rPr>
              <w:t>Sale Securities</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Plans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3"/>
              </w:rPr>
              <w:t>Hedges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25"/>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Beginning balance at January 1, 2021</w:t>
            </w:r>
          </w:p>
        </w:tc>
        <w:tc>
          <w:tcPr>
            <w:tcW w:w="1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(1,427.5)</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D8D8D8"/>
          </w:tcPr>
          <w:p>
            <w:pPr>
              <w:jc w:val="right"/>
              <w:ind w:right="64"/>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(4,751.0)</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(332.7)</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175"/>
        </w:trPr>
        <w:tc>
          <w:tcPr>
            <w:tcW w:w="464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5"/>
                <w:szCs w:val="15"/>
                <w:color w:val="auto"/>
              </w:rPr>
            </w:pPr>
          </w:p>
        </w:tc>
        <w:tc>
          <w:tcPr>
            <w:tcW w:w="960" w:type="dxa"/>
            <w:vAlign w:val="bottom"/>
            <w:vMerge w:val="restart"/>
          </w:tcPr>
          <w:p>
            <w:pPr>
              <w:jc w:val="right"/>
              <w:ind w:right="55"/>
              <w:spacing w:after="0"/>
              <w:rPr>
                <w:sz w:val="20"/>
                <w:szCs w:val="20"/>
                <w:color w:val="auto"/>
              </w:rPr>
            </w:pPr>
            <w:r>
              <w:rPr>
                <w:rFonts w:ascii="Arial" w:cs="Arial" w:eastAsia="Arial" w:hAnsi="Arial"/>
                <w:sz w:val="18"/>
                <w:szCs w:val="18"/>
                <w:color w:val="auto"/>
              </w:rPr>
              <w:t>1,823.4</w:t>
            </w:r>
          </w:p>
        </w:tc>
        <w:tc>
          <w:tcPr>
            <w:tcW w:w="180" w:type="dxa"/>
            <w:vAlign w:val="bottom"/>
          </w:tcPr>
          <w:p>
            <w:pPr>
              <w:spacing w:after="0"/>
              <w:rPr>
                <w:sz w:val="15"/>
                <w:szCs w:val="15"/>
                <w:color w:val="auto"/>
              </w:rPr>
            </w:pPr>
          </w:p>
        </w:tc>
        <w:tc>
          <w:tcPr>
            <w:tcW w:w="1020" w:type="dxa"/>
            <w:vAlign w:val="bottom"/>
            <w:vMerge w:val="restart"/>
          </w:tcPr>
          <w:p>
            <w:pPr>
              <w:jc w:val="right"/>
              <w:ind w:right="38"/>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1,795.4</w:t>
            </w:r>
          </w:p>
        </w:tc>
        <w:tc>
          <w:tcPr>
            <w:tcW w:w="0" w:type="dxa"/>
            <w:vAlign w:val="bottom"/>
          </w:tcPr>
          <w:p>
            <w:pPr>
              <w:spacing w:after="0"/>
              <w:rPr>
                <w:sz w:val="1"/>
                <w:szCs w:val="1"/>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20" w:type="dxa"/>
            <w:vAlign w:val="bottom"/>
            <w:shd w:val="clear" w:color="auto" w:fill="D8D8D8"/>
          </w:tcPr>
          <w:p>
            <w:pPr>
              <w:spacing w:after="0"/>
              <w:rPr>
                <w:sz w:val="15"/>
                <w:szCs w:val="15"/>
                <w:color w:val="auto"/>
              </w:rPr>
            </w:pPr>
          </w:p>
        </w:tc>
        <w:tc>
          <w:tcPr>
            <w:tcW w:w="1260" w:type="dxa"/>
            <w:vAlign w:val="bottom"/>
            <w:vMerge w:val="restart"/>
            <w:shd w:val="clear" w:color="auto" w:fill="D8D8D8"/>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ind w:right="55"/>
              <w:spacing w:after="0"/>
              <w:rPr>
                <w:sz w:val="20"/>
                <w:szCs w:val="20"/>
                <w:color w:val="auto"/>
              </w:rPr>
            </w:pPr>
            <w:r>
              <w:rPr>
                <w:rFonts w:ascii="Arial" w:cs="Arial" w:eastAsia="Arial" w:hAnsi="Arial"/>
                <w:sz w:val="18"/>
                <w:szCs w:val="18"/>
                <w:color w:val="auto"/>
              </w:rPr>
              <w:t>344.0</w:t>
            </w:r>
          </w:p>
        </w:tc>
        <w:tc>
          <w:tcPr>
            <w:tcW w:w="180" w:type="dxa"/>
            <w:vAlign w:val="bottom"/>
            <w:shd w:val="clear" w:color="auto" w:fill="D8D8D8"/>
          </w:tcPr>
          <w:p>
            <w:pPr>
              <w:spacing w:after="0"/>
              <w:rPr>
                <w:sz w:val="15"/>
                <w:szCs w:val="15"/>
                <w:color w:val="auto"/>
              </w:rPr>
            </w:pPr>
          </w:p>
        </w:tc>
        <w:tc>
          <w:tcPr>
            <w:tcW w:w="1020" w:type="dxa"/>
            <w:vAlign w:val="bottom"/>
            <w:vMerge w:val="restart"/>
            <w:shd w:val="clear" w:color="auto" w:fill="D8D8D8"/>
          </w:tcPr>
          <w:p>
            <w:pPr>
              <w:jc w:val="right"/>
              <w:ind w:right="38"/>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D8D8D8"/>
          </w:tcPr>
          <w:p>
            <w:pPr>
              <w:spacing w:after="0"/>
              <w:rPr>
                <w:sz w:val="15"/>
                <w:szCs w:val="15"/>
                <w:color w:val="auto"/>
              </w:rPr>
            </w:pPr>
          </w:p>
        </w:tc>
        <w:tc>
          <w:tcPr>
            <w:tcW w:w="12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43"/>
        </w:trPr>
        <w:tc>
          <w:tcPr>
            <w:tcW w:w="46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shd w:val="clear" w:color="auto" w:fill="D8D8D8"/>
          </w:tcPr>
          <w:p>
            <w:pPr>
              <w:spacing w:after="0"/>
              <w:rPr>
                <w:sz w:val="21"/>
                <w:szCs w:val="21"/>
                <w:color w:val="auto"/>
              </w:rPr>
            </w:pPr>
          </w:p>
        </w:tc>
        <w:tc>
          <w:tcPr>
            <w:tcW w:w="1260" w:type="dxa"/>
            <w:vAlign w:val="bottom"/>
            <w:tcBorders>
              <w:bottom w:val="single" w:sz="8" w:color="auto"/>
            </w:tcBorders>
            <w:vMerge w:val="continue"/>
            <w:shd w:val="clear" w:color="auto" w:fill="D8D8D8"/>
          </w:tcPr>
          <w:p>
            <w:pPr>
              <w:spacing w:after="0"/>
              <w:rPr>
                <w:sz w:val="21"/>
                <w:szCs w:val="21"/>
                <w:color w:val="auto"/>
              </w:rPr>
            </w:pPr>
          </w:p>
        </w:tc>
        <w:tc>
          <w:tcPr>
            <w:tcW w:w="180" w:type="dxa"/>
            <w:vAlign w:val="bottom"/>
            <w:tcBorders>
              <w:bottom w:val="single" w:sz="8" w:color="auto"/>
            </w:tcBorders>
            <w:shd w:val="clear" w:color="auto" w:fill="D8D8D8"/>
          </w:tcPr>
          <w:p>
            <w:pPr>
              <w:spacing w:after="0"/>
              <w:rPr>
                <w:sz w:val="21"/>
                <w:szCs w:val="21"/>
                <w:color w:val="auto"/>
              </w:rPr>
            </w:pPr>
          </w:p>
        </w:tc>
        <w:tc>
          <w:tcPr>
            <w:tcW w:w="1100" w:type="dxa"/>
            <w:vAlign w:val="bottom"/>
            <w:tcBorders>
              <w:bottom w:val="single" w:sz="8" w:color="auto"/>
            </w:tcBorders>
            <w:vMerge w:val="continue"/>
            <w:shd w:val="clear" w:color="auto" w:fill="D8D8D8"/>
          </w:tcPr>
          <w:p>
            <w:pPr>
              <w:spacing w:after="0"/>
              <w:rPr>
                <w:sz w:val="21"/>
                <w:szCs w:val="21"/>
                <w:color w:val="auto"/>
              </w:rPr>
            </w:pPr>
          </w:p>
        </w:tc>
        <w:tc>
          <w:tcPr>
            <w:tcW w:w="320" w:type="dxa"/>
            <w:vAlign w:val="bottom"/>
            <w:tcBorders>
              <w:bottom w:val="single" w:sz="8" w:color="auto"/>
            </w:tcBorders>
            <w:shd w:val="clear" w:color="auto" w:fill="D8D8D8"/>
          </w:tcPr>
          <w:p>
            <w:pPr>
              <w:spacing w:after="0"/>
              <w:rPr>
                <w:sz w:val="21"/>
                <w:szCs w:val="21"/>
                <w:color w:val="auto"/>
              </w:rPr>
            </w:pPr>
          </w:p>
        </w:tc>
        <w:tc>
          <w:tcPr>
            <w:tcW w:w="960" w:type="dxa"/>
            <w:vAlign w:val="bottom"/>
            <w:tcBorders>
              <w:bottom w:val="single" w:sz="8" w:color="auto"/>
            </w:tcBorders>
            <w:vMerge w:val="continue"/>
            <w:shd w:val="clear" w:color="auto" w:fill="D8D8D8"/>
          </w:tcPr>
          <w:p>
            <w:pPr>
              <w:spacing w:after="0"/>
              <w:rPr>
                <w:sz w:val="21"/>
                <w:szCs w:val="21"/>
                <w:color w:val="auto"/>
              </w:rPr>
            </w:pPr>
          </w:p>
        </w:tc>
        <w:tc>
          <w:tcPr>
            <w:tcW w:w="180" w:type="dxa"/>
            <w:vAlign w:val="bottom"/>
            <w:tcBorders>
              <w:bottom w:val="single" w:sz="8" w:color="auto"/>
            </w:tcBorders>
            <w:shd w:val="clear" w:color="auto" w:fill="D8D8D8"/>
          </w:tcPr>
          <w:p>
            <w:pPr>
              <w:spacing w:after="0"/>
              <w:rPr>
                <w:sz w:val="21"/>
                <w:szCs w:val="21"/>
                <w:color w:val="auto"/>
              </w:rPr>
            </w:pPr>
          </w:p>
        </w:tc>
        <w:tc>
          <w:tcPr>
            <w:tcW w:w="1020" w:type="dxa"/>
            <w:vAlign w:val="bottom"/>
            <w:tcBorders>
              <w:bottom w:val="single" w:sz="8" w:color="auto"/>
            </w:tcBorders>
            <w:vMerge w:val="continue"/>
            <w:shd w:val="clear" w:color="auto" w:fill="D8D8D8"/>
          </w:tcPr>
          <w:p>
            <w:pPr>
              <w:spacing w:after="0"/>
              <w:rPr>
                <w:sz w:val="21"/>
                <w:szCs w:val="21"/>
                <w:color w:val="auto"/>
              </w:rPr>
            </w:pPr>
          </w:p>
        </w:tc>
        <w:tc>
          <w:tcPr>
            <w:tcW w:w="180" w:type="dxa"/>
            <w:vAlign w:val="bottom"/>
            <w:tcBorders>
              <w:bottom w:val="single" w:sz="8" w:color="auto"/>
            </w:tcBorders>
            <w:shd w:val="clear" w:color="auto" w:fill="D8D8D8"/>
          </w:tcPr>
          <w:p>
            <w:pPr>
              <w:spacing w:after="0"/>
              <w:rPr>
                <w:sz w:val="21"/>
                <w:szCs w:val="21"/>
                <w:color w:val="auto"/>
              </w:rPr>
            </w:pPr>
          </w:p>
        </w:tc>
        <w:tc>
          <w:tcPr>
            <w:tcW w:w="1280" w:type="dxa"/>
            <w:vAlign w:val="bottom"/>
            <w:tcBorders>
              <w:bottom w:val="single" w:sz="8" w:color="auto"/>
            </w:tcBorders>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2,167.4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119.7</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2,153.3</w:t>
            </w:r>
          </w:p>
        </w:tc>
        <w:tc>
          <w:tcPr>
            <w:tcW w:w="0" w:type="dxa"/>
            <w:vAlign w:val="bottom"/>
          </w:tcPr>
          <w:p>
            <w:pPr>
              <w:spacing w:after="0"/>
              <w:rPr>
                <w:sz w:val="1"/>
                <w:szCs w:val="1"/>
                <w:color w:val="auto"/>
              </w:rPr>
            </w:pPr>
          </w:p>
        </w:tc>
      </w:tr>
      <w:tr>
        <w:trPr>
          <w:trHeight w:val="223"/>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shd w:val="clear" w:color="auto" w:fill="D8D8D8"/>
          </w:tcPr>
          <w:p>
            <w:pPr>
              <w:spacing w:after="0"/>
              <w:rPr>
                <w:sz w:val="19"/>
                <w:szCs w:val="19"/>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(1,550.2)</w:t>
            </w:r>
          </w:p>
        </w:tc>
        <w:tc>
          <w:tcPr>
            <w:tcW w:w="18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D8D8D8"/>
          </w:tcPr>
          <w:p>
            <w:pPr>
              <w:spacing w:after="0"/>
              <w:rPr>
                <w:sz w:val="19"/>
                <w:szCs w:val="19"/>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(2,583.6)</w:t>
            </w:r>
          </w:p>
        </w:tc>
        <w:tc>
          <w:tcPr>
            <w:tcW w:w="18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(213.0)</w:t>
            </w:r>
          </w:p>
        </w:tc>
        <w:tc>
          <w:tcPr>
            <w:tcW w:w="180" w:type="dxa"/>
            <w:vAlign w:val="bottom"/>
            <w:shd w:val="clear" w:color="auto" w:fill="D8D8D8"/>
          </w:tcPr>
          <w:p>
            <w:pPr>
              <w:spacing w:after="0"/>
              <w:rPr>
                <w:sz w:val="19"/>
                <w:szCs w:val="19"/>
                <w:color w:val="auto"/>
              </w:rPr>
            </w:pP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39" w:right="339" w:bottom="1440" w:gutter="0" w:footer="0" w:header="0"/>
        </w:sectPr>
      </w:pPr>
    </w:p>
    <w:p>
      <w:pPr>
        <w:ind w:left="140" w:right="1100"/>
        <w:spacing w:after="0" w:line="237" w:lineRule="auto"/>
        <w:rPr>
          <w:sz w:val="20"/>
          <w:szCs w:val="20"/>
          <w:color w:val="auto"/>
        </w:rPr>
      </w:pPr>
      <w:r>
        <w:rPr>
          <w:rFonts w:ascii="Arial" w:cs="Arial" w:eastAsia="Arial" w:hAnsi="Arial"/>
          <w:sz w:val="18"/>
          <w:szCs w:val="18"/>
          <w:color w:val="auto"/>
        </w:rPr>
        <w:t>Other comprehensive income (loss) before reclassifications</w:t>
      </w:r>
    </w:p>
    <w:p>
      <w:pPr>
        <w:spacing w:after="0" w:line="4" w:lineRule="exact"/>
        <w:rPr>
          <w:sz w:val="20"/>
          <w:szCs w:val="20"/>
          <w:color w:val="auto"/>
        </w:rPr>
      </w:pPr>
    </w:p>
    <w:p>
      <w:pPr>
        <w:ind w:left="140" w:right="680"/>
        <w:spacing w:after="0"/>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jc w:val="right"/>
              <w:ind w:right="310"/>
              <w:spacing w:after="0"/>
              <w:rPr>
                <w:sz w:val="20"/>
                <w:szCs w:val="20"/>
                <w:color w:val="auto"/>
              </w:rPr>
            </w:pPr>
            <w:r>
              <w:rPr>
                <w:rFonts w:ascii="Arial" w:cs="Arial" w:eastAsia="Arial" w:hAnsi="Arial"/>
                <w:sz w:val="18"/>
                <w:szCs w:val="18"/>
                <w:color w:val="auto"/>
                <w:w w:val="98"/>
              </w:rPr>
              <w:t>(324.4)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(52.2)</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291.5</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332.8</w:t>
            </w:r>
          </w:p>
        </w:tc>
        <w:tc>
          <w:tcPr>
            <w:tcW w:w="98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414"/>
        </w:trPr>
        <w:tc>
          <w:tcPr>
            <w:tcW w:w="98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11.4</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229.8</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9.2</w:t>
            </w:r>
          </w:p>
        </w:tc>
        <w:tc>
          <w:tcPr>
            <w:tcW w:w="980" w:type="dxa"/>
            <w:vAlign w:val="bottom"/>
          </w:tcPr>
          <w:p>
            <w:pPr>
              <w:jc w:val="right"/>
              <w:spacing w:after="0"/>
              <w:rPr>
                <w:sz w:val="20"/>
                <w:szCs w:val="20"/>
                <w:color w:val="auto"/>
              </w:rPr>
            </w:pPr>
            <w:r>
              <w:rPr>
                <w:rFonts w:ascii="Arial" w:cs="Arial" w:eastAsia="Arial" w:hAnsi="Arial"/>
                <w:sz w:val="18"/>
                <w:szCs w:val="18"/>
                <w:color w:val="auto"/>
              </w:rPr>
              <w:t>250.8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-264795</wp:posOffset>
            </wp:positionV>
            <wp:extent cx="7132320"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5880"/>
          </w:cols>
          <w:pgMar w:left="320" w:top="103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7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(324.0)</w:t>
            </w:r>
          </w:p>
        </w:tc>
        <w:tc>
          <w:tcPr>
            <w:tcW w:w="11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(40.8)</w:t>
            </w:r>
          </w:p>
        </w:tc>
        <w:tc>
          <w:tcPr>
            <w:tcW w:w="13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521.3</w:t>
            </w: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342.0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w:t>
            </w:r>
          </w:p>
        </w:tc>
      </w:tr>
      <w:tr>
        <w:trPr>
          <w:trHeight w:val="223"/>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2022</w:t>
            </w:r>
          </w:p>
        </w:tc>
        <w:tc>
          <w:tcPr>
            <w:tcW w:w="1700" w:type="dxa"/>
            <w:vAlign w:val="bottom"/>
            <w:shd w:val="clear" w:color="auto" w:fill="D8D8D8"/>
          </w:tcPr>
          <w:p>
            <w:pPr>
              <w:jc w:val="right"/>
              <w:ind w:right="310"/>
              <w:spacing w:after="0"/>
              <w:rPr>
                <w:sz w:val="20"/>
                <w:szCs w:val="20"/>
                <w:color w:val="auto"/>
              </w:rPr>
            </w:pPr>
            <w:r>
              <w:rPr>
                <w:rFonts w:ascii="Arial" w:cs="Arial" w:eastAsia="Arial" w:hAnsi="Arial"/>
                <w:sz w:val="18"/>
                <w:szCs w:val="18"/>
                <w:color w:val="auto"/>
              </w:rPr>
              <w:t>(1,874.2)</w:t>
            </w:r>
          </w:p>
        </w:tc>
        <w:tc>
          <w:tcPr>
            <w:tcW w:w="116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(37.1)</w:t>
            </w:r>
          </w:p>
        </w:tc>
        <w:tc>
          <w:tcPr>
            <w:tcW w:w="13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(2,062.3)</w:t>
            </w:r>
          </w:p>
        </w:tc>
        <w:tc>
          <w:tcPr>
            <w:tcW w:w="1220" w:type="dxa"/>
            <w:vAlign w:val="bottom"/>
            <w:shd w:val="clear" w:color="auto" w:fill="D8D8D8"/>
          </w:tcPr>
          <w:p>
            <w:pPr>
              <w:jc w:val="right"/>
              <w:ind w:right="330"/>
              <w:spacing w:after="0"/>
              <w:rPr>
                <w:sz w:val="20"/>
                <w:szCs w:val="20"/>
                <w:color w:val="auto"/>
              </w:rPr>
            </w:pPr>
            <w:r>
              <w:rPr>
                <w:rFonts w:ascii="Arial" w:cs="Arial" w:eastAsia="Arial" w:hAnsi="Arial"/>
                <w:sz w:val="18"/>
                <w:szCs w:val="18"/>
                <w:color w:val="auto"/>
              </w:rPr>
              <w:t>129.0</w:t>
            </w: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(3,844.6)</w:t>
            </w:r>
          </w:p>
        </w:tc>
      </w:tr>
    </w:tbl>
    <w:p>
      <w:pPr>
        <w:spacing w:after="0" w:line="1" w:lineRule="exact"/>
        <w:rPr>
          <w:sz w:val="20"/>
          <w:szCs w:val="20"/>
          <w:color w:val="auto"/>
        </w:rPr>
      </w:pPr>
    </w:p>
    <w:p>
      <w:pPr>
        <w:sectPr>
          <w:pgSz w:w="11900" w:h="16838" w:orient="portrait"/>
          <w:cols w:equalWidth="0" w:num="1">
            <w:col w:w="11240"/>
          </w:cols>
          <w:pgMar w:left="320" w:top="1039" w:right="339" w:bottom="1440" w:gutter="0" w:footer="0" w:header="0"/>
          <w:type w:val="continuous"/>
        </w:sectPr>
      </w:pPr>
    </w:p>
    <w:p>
      <w:pPr>
        <w:ind w:left="140" w:right="1200"/>
        <w:spacing w:after="0" w:line="237" w:lineRule="auto"/>
        <w:rPr>
          <w:sz w:val="20"/>
          <w:szCs w:val="20"/>
          <w:color w:val="auto"/>
        </w:rPr>
      </w:pPr>
      <w:r>
        <w:rPr>
          <w:rFonts w:ascii="Arial" w:cs="Arial" w:eastAsia="Arial" w:hAnsi="Arial"/>
          <w:sz w:val="18"/>
          <w:szCs w:val="18"/>
          <w:color w:val="auto"/>
        </w:rPr>
        <w:t>Other comprehensive income (loss) before reclassifications</w:t>
      </w:r>
    </w:p>
    <w:p>
      <w:pPr>
        <w:spacing w:after="0" w:line="4" w:lineRule="exact"/>
        <w:rPr>
          <w:sz w:val="20"/>
          <w:szCs w:val="20"/>
          <w:color w:val="auto"/>
        </w:rPr>
      </w:pPr>
    </w:p>
    <w:p>
      <w:pPr>
        <w:ind w:left="140" w:right="780"/>
        <w:spacing w:after="0"/>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78.9</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10.1</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(686.9)</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79.7</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(518.2)</w:t>
            </w:r>
          </w:p>
        </w:tc>
      </w:tr>
      <w:tr>
        <w:trPr>
          <w:trHeight w:val="407"/>
        </w:trPr>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(23.7)</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0.8</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51.9</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6.8</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-264795</wp:posOffset>
            </wp:positionV>
            <wp:extent cx="7132320" cy="265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40" w:space="720"/>
            <w:col w:w="5780"/>
          </w:cols>
          <w:pgMar w:left="320" w:top="103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55.2</w:t>
            </w: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10.9</w:t>
            </w: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(635.0)</w:t>
            </w: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86.5</w:t>
            </w: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(482.4)</w:t>
            </w:r>
          </w:p>
        </w:tc>
      </w:tr>
      <w:tr>
        <w:trPr>
          <w:trHeight w:val="243"/>
        </w:trPr>
        <w:tc>
          <w:tcPr>
            <w:tcW w:w="464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Ending balance at December 31, 2023</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(1,819.0)</w:t>
            </w:r>
          </w:p>
        </w:tc>
        <w:tc>
          <w:tcPr>
            <w:tcW w:w="44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(26.2)</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(2,697.3)</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215.5</w:t>
            </w:r>
          </w:p>
        </w:tc>
        <w:tc>
          <w:tcPr>
            <w:tcW w:w="46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(4,327.0)</w:t>
            </w: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81.0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(75.9)</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(136.2)</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Retirement benefit plans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141.5</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(95.6)</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(532.0)</w:t>
            </w:r>
          </w:p>
        </w:tc>
      </w:tr>
      <w:tr>
        <w:trPr>
          <w:trHeight w:val="230"/>
        </w:trPr>
        <w:tc>
          <w:tcPr>
            <w:tcW w:w="68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6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Benefit (expense) for income taxes related to other comprehensive income (loss)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196.3</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(250.0)</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(695.3)</w:t>
            </w:r>
          </w:p>
        </w:tc>
      </w:tr>
    </w:tbl>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500" w:type="dxa"/>
            <w:vAlign w:val="bottom"/>
            <w:gridSpan w:val="6"/>
          </w:tcPr>
          <w:p>
            <w:pPr>
              <w:ind w:left="40"/>
              <w:spacing w:after="0"/>
              <w:rPr>
                <w:sz w:val="20"/>
                <w:szCs w:val="20"/>
                <w:color w:val="auto"/>
              </w:rPr>
            </w:pPr>
            <w:r>
              <w:rPr>
                <w:rFonts w:ascii="Arial" w:cs="Arial" w:eastAsia="Arial" w:hAnsi="Arial"/>
                <w:sz w:val="14"/>
                <w:szCs w:val="14"/>
                <w:b w:val="1"/>
                <w:bCs w:val="1"/>
                <w:color w:val="auto"/>
              </w:rPr>
              <w:t>Affected Line Item in the Consolidated Statements</w:t>
            </w:r>
          </w:p>
        </w:tc>
        <w:tc>
          <w:tcPr>
            <w:tcW w:w="0" w:type="dxa"/>
            <w:vAlign w:val="bottom"/>
          </w:tcPr>
          <w:p>
            <w:pPr>
              <w:spacing w:after="0"/>
              <w:rPr>
                <w:sz w:val="1"/>
                <w:szCs w:val="1"/>
                <w:color w:val="auto"/>
              </w:rPr>
            </w:pPr>
          </w:p>
        </w:tc>
      </w:tr>
      <w:tr>
        <w:trPr>
          <w:trHeight w:val="197"/>
        </w:trPr>
        <w:tc>
          <w:tcPr>
            <w:tcW w:w="3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of Operations</w:t>
            </w: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D4D4D4"/>
          </w:tcPr>
          <w:p>
            <w:pPr>
              <w:ind w:left="140"/>
              <w:spacing w:after="0"/>
              <w:rPr>
                <w:sz w:val="20"/>
                <w:szCs w:val="20"/>
                <w:color w:val="auto"/>
              </w:rPr>
            </w:pPr>
            <w:r>
              <w:rPr>
                <w:rFonts w:ascii="Arial" w:cs="Arial" w:eastAsia="Arial" w:hAnsi="Arial"/>
                <w:sz w:val="18"/>
                <w:szCs w:val="18"/>
                <w:color w:val="auto"/>
              </w:rPr>
              <w:t>Amortization of retirement benefit items:</w:t>
            </w:r>
          </w:p>
        </w:tc>
        <w:tc>
          <w:tcPr>
            <w:tcW w:w="320" w:type="dxa"/>
            <w:vAlign w:val="bottom"/>
            <w:shd w:val="clear" w:color="auto" w:fill="D4D4D4"/>
          </w:tcPr>
          <w:p>
            <w:pPr>
              <w:spacing w:after="0"/>
              <w:rPr>
                <w:sz w:val="19"/>
                <w:szCs w:val="19"/>
                <w:color w:val="auto"/>
              </w:rPr>
            </w:pPr>
          </w:p>
        </w:tc>
        <w:tc>
          <w:tcPr>
            <w:tcW w:w="1060" w:type="dxa"/>
            <w:vAlign w:val="bottom"/>
            <w:shd w:val="clear" w:color="auto" w:fill="D4D4D4"/>
          </w:tcPr>
          <w:p>
            <w:pPr>
              <w:spacing w:after="0"/>
              <w:rPr>
                <w:sz w:val="19"/>
                <w:szCs w:val="19"/>
                <w:color w:val="auto"/>
              </w:rPr>
            </w:pPr>
          </w:p>
        </w:tc>
        <w:tc>
          <w:tcPr>
            <w:tcW w:w="360" w:type="dxa"/>
            <w:vAlign w:val="bottom"/>
            <w:shd w:val="clear" w:color="auto" w:fill="D4D4D4"/>
          </w:tcPr>
          <w:p>
            <w:pPr>
              <w:spacing w:after="0"/>
              <w:rPr>
                <w:sz w:val="19"/>
                <w:szCs w:val="19"/>
                <w:color w:val="auto"/>
              </w:rPr>
            </w:pPr>
          </w:p>
        </w:tc>
        <w:tc>
          <w:tcPr>
            <w:tcW w:w="1060" w:type="dxa"/>
            <w:vAlign w:val="bottom"/>
            <w:shd w:val="clear" w:color="auto" w:fill="D4D4D4"/>
          </w:tcPr>
          <w:p>
            <w:pPr>
              <w:spacing w:after="0"/>
              <w:rPr>
                <w:sz w:val="19"/>
                <w:szCs w:val="19"/>
                <w:color w:val="auto"/>
              </w:rPr>
            </w:pPr>
          </w:p>
        </w:tc>
        <w:tc>
          <w:tcPr>
            <w:tcW w:w="44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840" w:type="dxa"/>
            <w:vAlign w:val="bottom"/>
            <w:shd w:val="clear" w:color="auto" w:fill="D4D4D4"/>
          </w:tcPr>
          <w:p>
            <w:pPr>
              <w:spacing w:after="0"/>
              <w:rPr>
                <w:sz w:val="19"/>
                <w:szCs w:val="19"/>
                <w:color w:val="auto"/>
              </w:rPr>
            </w:pPr>
          </w:p>
        </w:tc>
        <w:tc>
          <w:tcPr>
            <w:tcW w:w="50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560" w:type="dxa"/>
            <w:vAlign w:val="bottom"/>
            <w:shd w:val="clear" w:color="auto" w:fill="D4D4D4"/>
          </w:tcPr>
          <w:p>
            <w:pPr>
              <w:spacing w:after="0"/>
              <w:rPr>
                <w:sz w:val="19"/>
                <w:szCs w:val="19"/>
                <w:color w:val="auto"/>
              </w:rPr>
            </w:pPr>
          </w:p>
        </w:tc>
        <w:tc>
          <w:tcPr>
            <w:tcW w:w="900" w:type="dxa"/>
            <w:vAlign w:val="bottom"/>
            <w:shd w:val="clear" w:color="auto" w:fill="D4D4D4"/>
          </w:tcPr>
          <w:p>
            <w:pPr>
              <w:spacing w:after="0"/>
              <w:rPr>
                <w:sz w:val="19"/>
                <w:szCs w:val="19"/>
                <w:color w:val="auto"/>
              </w:rPr>
            </w:pPr>
          </w:p>
        </w:tc>
        <w:tc>
          <w:tcPr>
            <w:tcW w:w="2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Prior service benefits, net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center"/>
              <w:ind w:left="233"/>
              <w:spacing w:after="0"/>
              <w:rPr>
                <w:sz w:val="20"/>
                <w:szCs w:val="20"/>
                <w:color w:val="auto"/>
              </w:rPr>
            </w:pPr>
            <w:r>
              <w:rPr>
                <w:rFonts w:ascii="Arial" w:cs="Arial" w:eastAsia="Arial" w:hAnsi="Arial"/>
                <w:sz w:val="18"/>
                <w:szCs w:val="18"/>
                <w:color w:val="auto"/>
              </w:rPr>
              <w:t>(55.4)</w:t>
            </w:r>
          </w:p>
        </w:tc>
        <w:tc>
          <w:tcPr>
            <w:tcW w:w="2580" w:type="dxa"/>
            <w:vAlign w:val="bottom"/>
            <w:gridSpan w:val="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Actuarial losses</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4"/>
              <w:spacing w:after="0"/>
              <w:rPr>
                <w:sz w:val="20"/>
                <w:szCs w:val="20"/>
                <w:color w:val="auto"/>
              </w:rPr>
            </w:pPr>
            <w:r>
              <w:rPr>
                <w:rFonts w:ascii="Arial" w:cs="Arial" w:eastAsia="Arial" w:hAnsi="Arial"/>
                <w:sz w:val="18"/>
                <w:szCs w:val="18"/>
                <w:b w:val="1"/>
                <w:bCs w:val="1"/>
                <w:color w:val="auto"/>
              </w:rPr>
              <w:t>116.2</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2"/>
              <w:spacing w:after="0"/>
              <w:rPr>
                <w:sz w:val="20"/>
                <w:szCs w:val="20"/>
                <w:color w:val="auto"/>
              </w:rPr>
            </w:pPr>
            <w:r>
              <w:rPr>
                <w:rFonts w:ascii="Arial" w:cs="Arial" w:eastAsia="Arial" w:hAnsi="Arial"/>
                <w:sz w:val="18"/>
                <w:szCs w:val="18"/>
                <w:color w:val="auto"/>
              </w:rPr>
              <w:t>343.3</w:t>
            </w:r>
          </w:p>
        </w:tc>
        <w:tc>
          <w:tcPr>
            <w:tcW w:w="440" w:type="dxa"/>
            <w:vAlign w:val="bottom"/>
            <w:tcBorders>
              <w:bottom w:val="single" w:sz="8" w:color="auto"/>
            </w:tcBorders>
            <w:shd w:val="clear" w:color="auto" w:fill="D4D4D4"/>
          </w:tcPr>
          <w:p>
            <w:pPr>
              <w:spacing w:after="0"/>
              <w:rPr>
                <w:sz w:val="19"/>
                <w:szCs w:val="19"/>
                <w:color w:val="auto"/>
              </w:rPr>
            </w:pPr>
          </w:p>
        </w:tc>
        <w:tc>
          <w:tcPr>
            <w:tcW w:w="120" w:type="dxa"/>
            <w:vAlign w:val="bottom"/>
            <w:tcBorders>
              <w:bottom w:val="single" w:sz="8" w:color="auto"/>
            </w:tcBorders>
            <w:shd w:val="clear" w:color="auto" w:fill="D4D4D4"/>
          </w:tcPr>
          <w:p>
            <w:pPr>
              <w:spacing w:after="0"/>
              <w:rPr>
                <w:sz w:val="19"/>
                <w:szCs w:val="19"/>
                <w:color w:val="auto"/>
              </w:rPr>
            </w:pPr>
          </w:p>
        </w:tc>
        <w:tc>
          <w:tcPr>
            <w:tcW w:w="8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490.9</w:t>
            </w:r>
          </w:p>
        </w:tc>
        <w:tc>
          <w:tcPr>
            <w:tcW w:w="2580" w:type="dxa"/>
            <w:vAlign w:val="bottom"/>
            <w:gridSpan w:val="4"/>
            <w:shd w:val="clear" w:color="auto" w:fill="D4D4D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shd w:val="clear" w:color="auto" w:fill="D4D4D4"/>
          </w:tcPr>
          <w:p>
            <w:pPr>
              <w:spacing w:after="0"/>
              <w:rPr>
                <w:sz w:val="19"/>
                <w:szCs w:val="19"/>
                <w:color w:val="auto"/>
              </w:rPr>
            </w:pPr>
          </w:p>
        </w:tc>
        <w:tc>
          <w:tcPr>
            <w:tcW w:w="2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65.7</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290.9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435.5</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(13.8)</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(61.1)</w:t>
            </w:r>
          </w:p>
        </w:tc>
        <w:tc>
          <w:tcPr>
            <w:tcW w:w="440" w:type="dxa"/>
            <w:vAlign w:val="bottom"/>
            <w:tcBorders>
              <w:bottom w:val="single" w:sz="8" w:color="auto"/>
            </w:tcBorders>
            <w:shd w:val="clear" w:color="auto" w:fill="D4D4D4"/>
          </w:tcPr>
          <w:p>
            <w:pPr>
              <w:spacing w:after="0"/>
              <w:rPr>
                <w:sz w:val="19"/>
                <w:szCs w:val="19"/>
                <w:color w:val="auto"/>
              </w:rPr>
            </w:pPr>
          </w:p>
        </w:tc>
        <w:tc>
          <w:tcPr>
            <w:tcW w:w="120" w:type="dxa"/>
            <w:vAlign w:val="bottom"/>
            <w:tcBorders>
              <w:bottom w:val="single" w:sz="8" w:color="auto"/>
            </w:tcBorders>
            <w:shd w:val="clear" w:color="auto" w:fill="D4D4D4"/>
          </w:tcPr>
          <w:p>
            <w:pPr>
              <w:spacing w:after="0"/>
              <w:rPr>
                <w:sz w:val="19"/>
                <w:szCs w:val="19"/>
                <w:color w:val="auto"/>
              </w:rPr>
            </w:pPr>
          </w:p>
        </w:tc>
        <w:tc>
          <w:tcPr>
            <w:tcW w:w="840" w:type="dxa"/>
            <w:vAlign w:val="bottom"/>
            <w:tcBorders>
              <w:bottom w:val="single" w:sz="8" w:color="auto"/>
            </w:tcBorders>
            <w:shd w:val="clear" w:color="auto" w:fill="D4D4D4"/>
          </w:tcPr>
          <w:p>
            <w:pPr>
              <w:jc w:val="center"/>
              <w:ind w:left="233"/>
              <w:spacing w:after="0"/>
              <w:rPr>
                <w:sz w:val="20"/>
                <w:szCs w:val="20"/>
                <w:color w:val="auto"/>
              </w:rPr>
            </w:pPr>
            <w:r>
              <w:rPr>
                <w:rFonts w:ascii="Arial" w:cs="Arial" w:eastAsia="Arial" w:hAnsi="Arial"/>
                <w:sz w:val="18"/>
                <w:szCs w:val="18"/>
                <w:color w:val="auto"/>
              </w:rPr>
              <w:t>(91.5)</w:t>
            </w:r>
          </w:p>
        </w:tc>
        <w:tc>
          <w:tcPr>
            <w:tcW w:w="2020" w:type="dxa"/>
            <w:vAlign w:val="bottom"/>
            <w:gridSpan w:val="3"/>
            <w:shd w:val="clear" w:color="auto" w:fill="D4D4D4"/>
          </w:tcPr>
          <w:p>
            <w:pPr>
              <w:ind w:left="140"/>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D4D4D4"/>
          </w:tcPr>
          <w:p>
            <w:pPr>
              <w:spacing w:after="0"/>
              <w:rPr>
                <w:sz w:val="19"/>
                <w:szCs w:val="19"/>
                <w:color w:val="auto"/>
              </w:rPr>
            </w:pPr>
          </w:p>
        </w:tc>
        <w:tc>
          <w:tcPr>
            <w:tcW w:w="900" w:type="dxa"/>
            <w:vAlign w:val="bottom"/>
            <w:shd w:val="clear" w:color="auto" w:fill="D4D4D4"/>
          </w:tcPr>
          <w:p>
            <w:pPr>
              <w:spacing w:after="0"/>
              <w:rPr>
                <w:sz w:val="19"/>
                <w:szCs w:val="19"/>
                <w:color w:val="auto"/>
              </w:rPr>
            </w:pPr>
          </w:p>
        </w:tc>
        <w:tc>
          <w:tcPr>
            <w:tcW w:w="2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51.9</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229.8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344.0</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D4D4D4"/>
          </w:tcPr>
          <w:p>
            <w:pPr>
              <w:spacing w:after="0"/>
              <w:rPr>
                <w:sz w:val="22"/>
                <w:szCs w:val="22"/>
                <w:color w:val="auto"/>
              </w:rPr>
            </w:pPr>
          </w:p>
        </w:tc>
        <w:tc>
          <w:tcPr>
            <w:tcW w:w="320" w:type="dxa"/>
            <w:vAlign w:val="bottom"/>
            <w:shd w:val="clear" w:color="auto" w:fill="D4D4D4"/>
          </w:tcPr>
          <w:p>
            <w:pPr>
              <w:spacing w:after="0"/>
              <w:rPr>
                <w:sz w:val="22"/>
                <w:szCs w:val="22"/>
                <w:color w:val="auto"/>
              </w:rPr>
            </w:pPr>
          </w:p>
        </w:tc>
        <w:tc>
          <w:tcPr>
            <w:tcW w:w="1060" w:type="dxa"/>
            <w:vAlign w:val="bottom"/>
            <w:shd w:val="clear" w:color="auto" w:fill="D4D4D4"/>
          </w:tcPr>
          <w:p>
            <w:pPr>
              <w:spacing w:after="0"/>
              <w:rPr>
                <w:sz w:val="22"/>
                <w:szCs w:val="22"/>
                <w:color w:val="auto"/>
              </w:rPr>
            </w:pPr>
          </w:p>
        </w:tc>
        <w:tc>
          <w:tcPr>
            <w:tcW w:w="360" w:type="dxa"/>
            <w:vAlign w:val="bottom"/>
            <w:shd w:val="clear" w:color="auto" w:fill="D4D4D4"/>
          </w:tcPr>
          <w:p>
            <w:pPr>
              <w:spacing w:after="0"/>
              <w:rPr>
                <w:sz w:val="22"/>
                <w:szCs w:val="22"/>
                <w:color w:val="auto"/>
              </w:rPr>
            </w:pPr>
          </w:p>
        </w:tc>
        <w:tc>
          <w:tcPr>
            <w:tcW w:w="1060" w:type="dxa"/>
            <w:vAlign w:val="bottom"/>
            <w:shd w:val="clear" w:color="auto" w:fill="D4D4D4"/>
          </w:tcPr>
          <w:p>
            <w:pPr>
              <w:spacing w:after="0"/>
              <w:rPr>
                <w:sz w:val="22"/>
                <w:szCs w:val="22"/>
                <w:color w:val="auto"/>
              </w:rPr>
            </w:pPr>
          </w:p>
        </w:tc>
        <w:tc>
          <w:tcPr>
            <w:tcW w:w="440" w:type="dxa"/>
            <w:vAlign w:val="bottom"/>
            <w:shd w:val="clear" w:color="auto" w:fill="D4D4D4"/>
          </w:tcPr>
          <w:p>
            <w:pPr>
              <w:spacing w:after="0"/>
              <w:rPr>
                <w:sz w:val="22"/>
                <w:szCs w:val="22"/>
                <w:color w:val="auto"/>
              </w:rPr>
            </w:pPr>
          </w:p>
        </w:tc>
        <w:tc>
          <w:tcPr>
            <w:tcW w:w="120" w:type="dxa"/>
            <w:vAlign w:val="bottom"/>
            <w:shd w:val="clear" w:color="auto" w:fill="D4D4D4"/>
          </w:tcPr>
          <w:p>
            <w:pPr>
              <w:spacing w:after="0"/>
              <w:rPr>
                <w:sz w:val="22"/>
                <w:szCs w:val="22"/>
                <w:color w:val="auto"/>
              </w:rPr>
            </w:pPr>
          </w:p>
        </w:tc>
        <w:tc>
          <w:tcPr>
            <w:tcW w:w="840" w:type="dxa"/>
            <w:vAlign w:val="bottom"/>
            <w:shd w:val="clear" w:color="auto" w:fill="D4D4D4"/>
          </w:tcPr>
          <w:p>
            <w:pPr>
              <w:spacing w:after="0"/>
              <w:rPr>
                <w:sz w:val="22"/>
                <w:szCs w:val="22"/>
                <w:color w:val="auto"/>
              </w:rPr>
            </w:pPr>
          </w:p>
        </w:tc>
        <w:tc>
          <w:tcPr>
            <w:tcW w:w="2580" w:type="dxa"/>
            <w:vAlign w:val="bottom"/>
            <w:gridSpan w:val="4"/>
            <w:shd w:val="clear" w:color="auto" w:fill="D4D4D4"/>
          </w:tcPr>
          <w:p>
            <w:pPr>
              <w:spacing w:after="0"/>
              <w:rPr>
                <w:sz w:val="22"/>
                <w:szCs w:val="22"/>
                <w:color w:val="auto"/>
              </w:rPr>
            </w:pPr>
          </w:p>
        </w:tc>
        <w:tc>
          <w:tcPr>
            <w:tcW w:w="900" w:type="dxa"/>
            <w:vAlign w:val="bottom"/>
            <w:shd w:val="clear" w:color="auto" w:fill="D4D4D4"/>
          </w:tcPr>
          <w:p>
            <w:pPr>
              <w:spacing w:after="0"/>
              <w:rPr>
                <w:sz w:val="22"/>
                <w:szCs w:val="22"/>
                <w:color w:val="auto"/>
              </w:rPr>
            </w:pPr>
          </w:p>
        </w:tc>
        <w:tc>
          <w:tcPr>
            <w:tcW w:w="20" w:type="dxa"/>
            <w:vAlign w:val="bottom"/>
            <w:shd w:val="clear" w:color="auto" w:fill="D4D4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Other,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580" w:type="dxa"/>
            <w:vAlign w:val="bottom"/>
            <w:tcBorders>
              <w:bottom w:val="single" w:sz="8" w:color="D4D4D4"/>
            </w:tcBorders>
            <w:gridSpan w:val="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tcBorders>
              <w:bottom w:val="single" w:sz="8" w:color="D4D4D4"/>
            </w:tcBorders>
          </w:tcPr>
          <w:p>
            <w:pPr>
              <w:spacing w:after="0"/>
              <w:rPr>
                <w:sz w:val="19"/>
                <w:szCs w:val="19"/>
                <w:color w:val="auto"/>
              </w:rPr>
            </w:pPr>
          </w:p>
        </w:tc>
        <w:tc>
          <w:tcPr>
            <w:tcW w:w="20" w:type="dxa"/>
            <w:vAlign w:val="bottom"/>
            <w:tcBorders>
              <w:bottom w:val="single" w:sz="8" w:color="D4D4D4"/>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D4D4D4"/>
          </w:tcPr>
          <w:p>
            <w:pPr>
              <w:ind w:left="140"/>
              <w:spacing w:after="0" w:line="156" w:lineRule="exact"/>
              <w:rPr>
                <w:sz w:val="20"/>
                <w:szCs w:val="20"/>
                <w:color w:val="auto"/>
              </w:rPr>
            </w:pPr>
            <w:r>
              <w:rPr>
                <w:rFonts w:ascii="Arial" w:cs="Arial" w:eastAsia="Arial" w:hAnsi="Arial"/>
                <w:sz w:val="18"/>
                <w:szCs w:val="18"/>
                <w:color w:val="auto"/>
                <w:w w:val="99"/>
              </w:rPr>
              <w:t>Total reclassifications for the period, net of</w:t>
            </w:r>
          </w:p>
        </w:tc>
        <w:tc>
          <w:tcPr>
            <w:tcW w:w="320" w:type="dxa"/>
            <w:vAlign w:val="bottom"/>
            <w:vMerge w:val="restart"/>
            <w:shd w:val="clear" w:color="auto" w:fill="D4D4D4"/>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D4D4D4"/>
          </w:tcPr>
          <w:p>
            <w:pPr>
              <w:jc w:val="right"/>
              <w:ind w:right="34"/>
              <w:spacing w:after="0"/>
              <w:rPr>
                <w:sz w:val="20"/>
                <w:szCs w:val="20"/>
                <w:color w:val="auto"/>
              </w:rPr>
            </w:pPr>
            <w:r>
              <w:rPr>
                <w:rFonts w:ascii="Arial" w:cs="Arial" w:eastAsia="Arial" w:hAnsi="Arial"/>
                <w:sz w:val="18"/>
                <w:szCs w:val="18"/>
                <w:b w:val="1"/>
                <w:bCs w:val="1"/>
                <w:color w:val="auto"/>
              </w:rPr>
              <w:t>35.8</w:t>
            </w:r>
          </w:p>
        </w:tc>
        <w:tc>
          <w:tcPr>
            <w:tcW w:w="360" w:type="dxa"/>
            <w:vAlign w:val="bottom"/>
            <w:vMerge w:val="restart"/>
            <w:shd w:val="clear" w:color="auto" w:fill="D4D4D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4D4D4"/>
          </w:tcPr>
          <w:p>
            <w:pPr>
              <w:jc w:val="right"/>
              <w:ind w:right="32"/>
              <w:spacing w:after="0"/>
              <w:rPr>
                <w:sz w:val="20"/>
                <w:szCs w:val="20"/>
                <w:color w:val="auto"/>
              </w:rPr>
            </w:pPr>
            <w:r>
              <w:rPr>
                <w:rFonts w:ascii="Arial" w:cs="Arial" w:eastAsia="Arial" w:hAnsi="Arial"/>
                <w:sz w:val="18"/>
                <w:szCs w:val="18"/>
                <w:color w:val="auto"/>
              </w:rPr>
              <w:t>250.8</w:t>
            </w:r>
          </w:p>
        </w:tc>
        <w:tc>
          <w:tcPr>
            <w:tcW w:w="440" w:type="dxa"/>
            <w:vAlign w:val="bottom"/>
            <w:vMerge w:val="restart"/>
            <w:shd w:val="clear" w:color="auto" w:fill="D4D4D4"/>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4D4D4"/>
          </w:tcPr>
          <w:p>
            <w:pPr>
              <w:spacing w:after="0"/>
              <w:rPr>
                <w:sz w:val="13"/>
                <w:szCs w:val="13"/>
                <w:color w:val="auto"/>
              </w:rPr>
            </w:pPr>
          </w:p>
        </w:tc>
        <w:tc>
          <w:tcPr>
            <w:tcW w:w="840" w:type="dxa"/>
            <w:vAlign w:val="bottom"/>
            <w:vMerge w:val="restart"/>
            <w:shd w:val="clear" w:color="auto" w:fill="D4D4D4"/>
          </w:tcPr>
          <w:p>
            <w:pPr>
              <w:jc w:val="right"/>
              <w:spacing w:after="0"/>
              <w:rPr>
                <w:sz w:val="20"/>
                <w:szCs w:val="20"/>
                <w:color w:val="auto"/>
              </w:rPr>
            </w:pPr>
            <w:r>
              <w:rPr>
                <w:rFonts w:ascii="Arial" w:cs="Arial" w:eastAsia="Arial" w:hAnsi="Arial"/>
                <w:sz w:val="18"/>
                <w:szCs w:val="18"/>
                <w:color w:val="auto"/>
              </w:rPr>
              <w:t>357.9</w:t>
            </w:r>
          </w:p>
        </w:tc>
        <w:tc>
          <w:tcPr>
            <w:tcW w:w="500" w:type="dxa"/>
            <w:vAlign w:val="bottom"/>
            <w:shd w:val="clear" w:color="auto" w:fill="D4D4D4"/>
          </w:tcPr>
          <w:p>
            <w:pPr>
              <w:spacing w:after="0"/>
              <w:rPr>
                <w:sz w:val="13"/>
                <w:szCs w:val="13"/>
                <w:color w:val="auto"/>
              </w:rPr>
            </w:pPr>
          </w:p>
        </w:tc>
        <w:tc>
          <w:tcPr>
            <w:tcW w:w="380" w:type="dxa"/>
            <w:vAlign w:val="bottom"/>
            <w:shd w:val="clear" w:color="auto" w:fill="D4D4D4"/>
          </w:tcPr>
          <w:p>
            <w:pPr>
              <w:spacing w:after="0"/>
              <w:rPr>
                <w:sz w:val="13"/>
                <w:szCs w:val="13"/>
                <w:color w:val="auto"/>
              </w:rPr>
            </w:pPr>
          </w:p>
        </w:tc>
        <w:tc>
          <w:tcPr>
            <w:tcW w:w="1140" w:type="dxa"/>
            <w:vAlign w:val="bottom"/>
            <w:shd w:val="clear" w:color="auto" w:fill="D4D4D4"/>
          </w:tcPr>
          <w:p>
            <w:pPr>
              <w:spacing w:after="0"/>
              <w:rPr>
                <w:sz w:val="13"/>
                <w:szCs w:val="13"/>
                <w:color w:val="auto"/>
              </w:rPr>
            </w:pPr>
          </w:p>
        </w:tc>
        <w:tc>
          <w:tcPr>
            <w:tcW w:w="560" w:type="dxa"/>
            <w:vAlign w:val="bottom"/>
            <w:shd w:val="clear" w:color="auto" w:fill="D4D4D4"/>
          </w:tcPr>
          <w:p>
            <w:pPr>
              <w:spacing w:after="0"/>
              <w:rPr>
                <w:sz w:val="13"/>
                <w:szCs w:val="13"/>
                <w:color w:val="auto"/>
              </w:rPr>
            </w:pPr>
          </w:p>
        </w:tc>
        <w:tc>
          <w:tcPr>
            <w:tcW w:w="900" w:type="dxa"/>
            <w:vAlign w:val="bottom"/>
            <w:shd w:val="clear" w:color="auto" w:fill="D4D4D4"/>
          </w:tcPr>
          <w:p>
            <w:pPr>
              <w:spacing w:after="0"/>
              <w:rPr>
                <w:sz w:val="13"/>
                <w:szCs w:val="13"/>
                <w:color w:val="auto"/>
              </w:rPr>
            </w:pPr>
          </w:p>
        </w:tc>
        <w:tc>
          <w:tcPr>
            <w:tcW w:w="20" w:type="dxa"/>
            <w:vAlign w:val="bottom"/>
            <w:shd w:val="clear" w:color="auto" w:fill="D4D4D4"/>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vMerge w:val="continue"/>
            <w:shd w:val="clear" w:color="auto" w:fill="D4D4D4"/>
          </w:tcPr>
          <w:p>
            <w:pPr>
              <w:spacing w:after="0"/>
              <w:rPr>
                <w:sz w:val="21"/>
                <w:szCs w:val="21"/>
                <w:color w:val="auto"/>
              </w:rPr>
            </w:pPr>
          </w:p>
        </w:tc>
        <w:tc>
          <w:tcPr>
            <w:tcW w:w="1060" w:type="dxa"/>
            <w:vAlign w:val="bottom"/>
            <w:tcBorders>
              <w:bottom w:val="single" w:sz="8" w:color="auto"/>
            </w:tcBorders>
            <w:vMerge w:val="continue"/>
            <w:shd w:val="clear" w:color="auto" w:fill="D4D4D4"/>
          </w:tcPr>
          <w:p>
            <w:pPr>
              <w:spacing w:after="0"/>
              <w:rPr>
                <w:sz w:val="21"/>
                <w:szCs w:val="21"/>
                <w:color w:val="auto"/>
              </w:rPr>
            </w:pPr>
          </w:p>
        </w:tc>
        <w:tc>
          <w:tcPr>
            <w:tcW w:w="360" w:type="dxa"/>
            <w:vAlign w:val="bottom"/>
            <w:tcBorders>
              <w:bottom w:val="single" w:sz="8" w:color="auto"/>
            </w:tcBorders>
            <w:vMerge w:val="continue"/>
            <w:shd w:val="clear" w:color="auto" w:fill="D4D4D4"/>
          </w:tcPr>
          <w:p>
            <w:pPr>
              <w:spacing w:after="0"/>
              <w:rPr>
                <w:sz w:val="21"/>
                <w:szCs w:val="21"/>
                <w:color w:val="auto"/>
              </w:rPr>
            </w:pPr>
          </w:p>
        </w:tc>
        <w:tc>
          <w:tcPr>
            <w:tcW w:w="1060" w:type="dxa"/>
            <w:vAlign w:val="bottom"/>
            <w:tcBorders>
              <w:bottom w:val="single" w:sz="8" w:color="auto"/>
            </w:tcBorders>
            <w:vMerge w:val="continue"/>
            <w:shd w:val="clear" w:color="auto" w:fill="D4D4D4"/>
          </w:tcPr>
          <w:p>
            <w:pPr>
              <w:spacing w:after="0"/>
              <w:rPr>
                <w:sz w:val="21"/>
                <w:szCs w:val="21"/>
                <w:color w:val="auto"/>
              </w:rPr>
            </w:pPr>
          </w:p>
        </w:tc>
        <w:tc>
          <w:tcPr>
            <w:tcW w:w="440" w:type="dxa"/>
            <w:vAlign w:val="bottom"/>
            <w:tcBorders>
              <w:bottom w:val="single" w:sz="8" w:color="auto"/>
            </w:tcBorders>
            <w:vMerge w:val="continue"/>
            <w:shd w:val="clear" w:color="auto" w:fill="D4D4D4"/>
          </w:tcPr>
          <w:p>
            <w:pPr>
              <w:spacing w:after="0"/>
              <w:rPr>
                <w:sz w:val="21"/>
                <w:szCs w:val="21"/>
                <w:color w:val="auto"/>
              </w:rPr>
            </w:pPr>
          </w:p>
        </w:tc>
        <w:tc>
          <w:tcPr>
            <w:tcW w:w="120" w:type="dxa"/>
            <w:vAlign w:val="bottom"/>
            <w:tcBorders>
              <w:bottom w:val="single" w:sz="8" w:color="auto"/>
            </w:tcBorders>
            <w:shd w:val="clear" w:color="auto" w:fill="D4D4D4"/>
          </w:tcPr>
          <w:p>
            <w:pPr>
              <w:spacing w:after="0"/>
              <w:rPr>
                <w:sz w:val="21"/>
                <w:szCs w:val="21"/>
                <w:color w:val="auto"/>
              </w:rPr>
            </w:pPr>
          </w:p>
        </w:tc>
        <w:tc>
          <w:tcPr>
            <w:tcW w:w="840" w:type="dxa"/>
            <w:vAlign w:val="bottom"/>
            <w:tcBorders>
              <w:bottom w:val="single" w:sz="8" w:color="auto"/>
            </w:tcBorders>
            <w:vMerge w:val="continue"/>
            <w:shd w:val="clear" w:color="auto" w:fill="D4D4D4"/>
          </w:tcPr>
          <w:p>
            <w:pPr>
              <w:spacing w:after="0"/>
              <w:rPr>
                <w:sz w:val="21"/>
                <w:szCs w:val="21"/>
                <w:color w:val="auto"/>
              </w:rPr>
            </w:pPr>
          </w:p>
        </w:tc>
        <w:tc>
          <w:tcPr>
            <w:tcW w:w="500" w:type="dxa"/>
            <w:vAlign w:val="bottom"/>
            <w:tcBorders>
              <w:bottom w:val="single" w:sz="8" w:color="D4D4D4"/>
            </w:tcBorders>
            <w:shd w:val="clear" w:color="auto" w:fill="D4D4D4"/>
          </w:tcPr>
          <w:p>
            <w:pPr>
              <w:spacing w:after="0"/>
              <w:rPr>
                <w:sz w:val="21"/>
                <w:szCs w:val="21"/>
                <w:color w:val="auto"/>
              </w:rPr>
            </w:pPr>
          </w:p>
        </w:tc>
        <w:tc>
          <w:tcPr>
            <w:tcW w:w="380" w:type="dxa"/>
            <w:vAlign w:val="bottom"/>
            <w:tcBorders>
              <w:bottom w:val="single" w:sz="8" w:color="D4D4D4"/>
            </w:tcBorders>
            <w:shd w:val="clear" w:color="auto" w:fill="D4D4D4"/>
          </w:tcPr>
          <w:p>
            <w:pPr>
              <w:spacing w:after="0"/>
              <w:rPr>
                <w:sz w:val="21"/>
                <w:szCs w:val="21"/>
                <w:color w:val="auto"/>
              </w:rPr>
            </w:pPr>
          </w:p>
        </w:tc>
        <w:tc>
          <w:tcPr>
            <w:tcW w:w="1140" w:type="dxa"/>
            <w:vAlign w:val="bottom"/>
            <w:tcBorders>
              <w:bottom w:val="single" w:sz="8" w:color="D4D4D4"/>
            </w:tcBorders>
            <w:shd w:val="clear" w:color="auto" w:fill="D4D4D4"/>
          </w:tcPr>
          <w:p>
            <w:pPr>
              <w:spacing w:after="0"/>
              <w:rPr>
                <w:sz w:val="21"/>
                <w:szCs w:val="21"/>
                <w:color w:val="auto"/>
              </w:rPr>
            </w:pPr>
          </w:p>
        </w:tc>
        <w:tc>
          <w:tcPr>
            <w:tcW w:w="560" w:type="dxa"/>
            <w:vAlign w:val="bottom"/>
            <w:tcBorders>
              <w:bottom w:val="single" w:sz="8" w:color="D4D4D4"/>
            </w:tcBorders>
            <w:shd w:val="clear" w:color="auto" w:fill="D4D4D4"/>
          </w:tcPr>
          <w:p>
            <w:pPr>
              <w:spacing w:after="0"/>
              <w:rPr>
                <w:sz w:val="21"/>
                <w:szCs w:val="21"/>
                <w:color w:val="auto"/>
              </w:rPr>
            </w:pPr>
          </w:p>
        </w:tc>
        <w:tc>
          <w:tcPr>
            <w:tcW w:w="900" w:type="dxa"/>
            <w:vAlign w:val="bottom"/>
            <w:tcBorders>
              <w:bottom w:val="single" w:sz="8" w:color="D4D4D4"/>
            </w:tcBorders>
            <w:shd w:val="clear" w:color="auto" w:fill="D4D4D4"/>
          </w:tcPr>
          <w:p>
            <w:pPr>
              <w:spacing w:after="0"/>
              <w:rPr>
                <w:sz w:val="21"/>
                <w:szCs w:val="21"/>
                <w:color w:val="auto"/>
              </w:rPr>
            </w:pPr>
          </w:p>
        </w:tc>
        <w:tc>
          <w:tcPr>
            <w:tcW w:w="20" w:type="dxa"/>
            <w:vAlign w:val="bottom"/>
            <w:tcBorders>
              <w:bottom w:val="single" w:sz="8" w:color="D4D4D4"/>
            </w:tcBorders>
            <w:shd w:val="clear" w:color="auto" w:fill="D4D4D4"/>
          </w:tcPr>
          <w:p>
            <w:pPr>
              <w:spacing w:after="0"/>
              <w:rPr>
                <w:sz w:val="21"/>
                <w:szCs w:val="21"/>
                <w:color w:val="auto"/>
              </w:rPr>
            </w:pPr>
          </w:p>
        </w:tc>
        <w:tc>
          <w:tcPr>
            <w:tcW w:w="0" w:type="dxa"/>
            <w:vAlign w:val="bottom"/>
          </w:tcPr>
          <w:p>
            <w:pPr>
              <w:spacing w:after="0"/>
              <w:rPr>
                <w:sz w:val="1"/>
                <w:szCs w:val="1"/>
                <w:color w:val="auto"/>
              </w:rPr>
            </w:pPr>
          </w:p>
        </w:tc>
      </w:tr>
      <w:tr>
        <w:trPr>
          <w:trHeight w:val="768"/>
        </w:trPr>
        <w:tc>
          <w:tcPr>
            <w:tcW w:w="3540" w:type="dxa"/>
            <w:vAlign w:val="bottom"/>
          </w:tcPr>
          <w:p>
            <w:pPr>
              <w:spacing w:after="0"/>
              <w:rPr>
                <w:sz w:val="20"/>
                <w:szCs w:val="20"/>
                <w:color w:val="auto"/>
              </w:rPr>
            </w:pPr>
            <w:r>
              <w:rPr>
                <w:rFonts w:ascii="Arial" w:cs="Arial" w:eastAsia="Arial" w:hAnsi="Arial"/>
                <w:sz w:val="18"/>
                <w:szCs w:val="18"/>
                <w:b w:val="1"/>
                <w:bCs w:val="1"/>
                <w:color w:val="auto"/>
              </w:rPr>
              <w:t>Note 18: Other–Net, (Income) Expense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Other–net, (income) expense consisted of the following:</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40" w:type="dxa"/>
            <w:vAlign w:val="bottom"/>
            <w:shd w:val="clear" w:color="auto" w:fill="D8D8D8"/>
          </w:tcPr>
          <w:p>
            <w:pPr>
              <w:spacing w:after="0"/>
              <w:rPr>
                <w:sz w:val="19"/>
                <w:szCs w:val="19"/>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485.9</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331.6</w:t>
            </w:r>
          </w:p>
        </w:tc>
        <w:tc>
          <w:tcPr>
            <w:tcW w:w="560" w:type="dxa"/>
            <w:vAlign w:val="bottom"/>
            <w:shd w:val="clear" w:color="auto" w:fill="D8D8D8"/>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3"/>
            <w:shd w:val="clear" w:color="auto" w:fill="D8D8D8"/>
          </w:tcPr>
          <w:p>
            <w:pPr>
              <w:ind w:left="20"/>
              <w:spacing w:after="0"/>
              <w:rPr>
                <w:sz w:val="20"/>
                <w:szCs w:val="20"/>
                <w:color w:val="auto"/>
              </w:rPr>
            </w:pPr>
            <w:r>
              <w:rPr>
                <w:rFonts w:ascii="Arial" w:cs="Arial" w:eastAsia="Arial" w:hAnsi="Arial"/>
                <w:sz w:val="18"/>
                <w:szCs w:val="18"/>
                <w:color w:val="auto"/>
              </w:rPr>
              <w:t>Net investment (gains) losses on equity securities (Note 7)</w:t>
            </w:r>
          </w:p>
        </w:tc>
        <w:tc>
          <w:tcPr>
            <w:tcW w:w="36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4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50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20.2</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410.7</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Debt extinguishment loss (Note 11)</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Retirement benefit plans</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(461.9)</w:t>
            </w: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(372.9)</w:t>
            </w:r>
          </w:p>
        </w:tc>
        <w:tc>
          <w:tcPr>
            <w:tcW w:w="5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DBDBDB"/>
            </w:tcBorders>
          </w:tcPr>
          <w:p>
            <w:pPr>
              <w:spacing w:after="0"/>
              <w:rPr>
                <w:sz w:val="19"/>
                <w:szCs w:val="19"/>
                <w:color w:val="auto"/>
              </w:rPr>
            </w:pPr>
          </w:p>
        </w:tc>
        <w:tc>
          <w:tcPr>
            <w:tcW w:w="106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1060" w:type="dxa"/>
            <w:vAlign w:val="bottom"/>
            <w:tcBorders>
              <w:bottom w:val="single" w:sz="8" w:color="DBDBDB"/>
            </w:tcBorders>
          </w:tcPr>
          <w:p>
            <w:pPr>
              <w:spacing w:after="0"/>
              <w:rPr>
                <w:sz w:val="19"/>
                <w:szCs w:val="19"/>
                <w:color w:val="auto"/>
              </w:rPr>
            </w:pPr>
          </w:p>
        </w:tc>
        <w:tc>
          <w:tcPr>
            <w:tcW w:w="44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14.3</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Other–net, (income) expense</w:t>
            </w:r>
          </w:p>
        </w:tc>
        <w:tc>
          <w:tcPr>
            <w:tcW w:w="32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(96.7)</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8"/>
                <w:szCs w:val="18"/>
                <w:color w:val="auto"/>
              </w:rPr>
              <w:t>320.9</w:t>
            </w:r>
          </w:p>
        </w:tc>
        <w:tc>
          <w:tcPr>
            <w:tcW w:w="56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2"/>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5" w:name="page106"/>
    <w:bookmarkEnd w:id="105"/>
    <w:p>
      <w:pPr>
        <w:spacing w:after="0"/>
        <w:rPr>
          <w:sz w:val="20"/>
          <w:szCs w:val="20"/>
          <w:color w:val="auto"/>
        </w:rPr>
      </w:pPr>
      <w:r>
        <w:rPr>
          <w:rFonts w:ascii="Arial" w:cs="Arial" w:eastAsia="Arial" w:hAnsi="Arial"/>
          <w:sz w:val="32"/>
          <w:szCs w:val="32"/>
          <w:i w:val="1"/>
          <w:iCs w:val="1"/>
          <w:color w:val="auto"/>
        </w:rPr>
        <w:t>Management's Reports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for Financial Statements—Eli Lilly and Company and Subsidiaries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available on our lilly.com website and on the internal LillyNow website to enable reporting of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Red Book</w:t>
      </w:r>
      <w:r>
        <w:rPr>
          <w:rFonts w:ascii="Arial" w:cs="Arial" w:eastAsia="Arial" w:hAnsi="Arial"/>
          <w:sz w:val="18"/>
          <w:szCs w:val="18"/>
          <w:color w:val="auto"/>
        </w:rPr>
        <w:t>, the chief executive officer and all financial management must sign a financial code of ethics, which further reinforces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fiduciary responsibilities.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(PCAOB ID: 42).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audit committee includes four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pre-approve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operate under a code of conduct and are subject to the highest level of ethical standards.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Reporting—Eli Lilly and Company and Subsidiaries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conducted an evaluation of the effectiveness of our internal control over financial reporting based on the framework in "Internal Control— Integrated Framework" (2013) issued by the Committee of Sponsoring Organizations of the Treadway Commission.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106" w:name="page107"/>
    <w:bookmarkEnd w:id="106"/>
    <w:p>
      <w:pPr>
        <w:ind w:right="720"/>
        <w:spacing w:after="0" w:line="262"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2023.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effectiveness of internal control over financial reporting as of December 31, 2023 has been audited by Ernst &amp; Young LLP, an independent registered public accounting firm, as stated in their attestation report, which appears herein. Their responsibility is to evaluate whether internal control over financial reporting was designed and operating effectively.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ind w:left="20"/>
              <w:spacing w:after="0"/>
              <w:rPr>
                <w:sz w:val="20"/>
                <w:szCs w:val="20"/>
                <w:color w:val="auto"/>
              </w:rPr>
            </w:pPr>
            <w:r>
              <w:rPr>
                <w:rFonts w:ascii="Arial" w:cs="Arial" w:eastAsia="Arial" w:hAnsi="Arial"/>
                <w:sz w:val="18"/>
                <w:szCs w:val="18"/>
                <w:color w:val="auto"/>
              </w:rPr>
              <w:t>David Ricks</w:t>
            </w:r>
          </w:p>
        </w:tc>
        <w:tc>
          <w:tcPr>
            <w:tcW w:w="6700" w:type="dxa"/>
            <w:vAlign w:val="bottom"/>
          </w:tcPr>
          <w:p>
            <w:pPr>
              <w:ind w:left="1100"/>
              <w:spacing w:after="0"/>
              <w:rPr>
                <w:sz w:val="20"/>
                <w:szCs w:val="20"/>
                <w:color w:val="auto"/>
              </w:rPr>
            </w:pPr>
            <w:r>
              <w:rPr>
                <w:rFonts w:ascii="Arial" w:cs="Arial" w:eastAsia="Arial" w:hAnsi="Arial"/>
                <w:sz w:val="18"/>
                <w:szCs w:val="18"/>
                <w:color w:val="auto"/>
              </w:rPr>
              <w:t>Anat Ashkenazi</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Chair, President, and Chief Executive Officer</w:t>
            </w:r>
          </w:p>
        </w:tc>
        <w:tc>
          <w:tcPr>
            <w:tcW w:w="6700" w:type="dxa"/>
            <w:vAlign w:val="bottom"/>
          </w:tcPr>
          <w:p>
            <w:pPr>
              <w:ind w:left="1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February 21, 2024</w:t>
            </w:r>
          </w:p>
        </w:tc>
        <w:tc>
          <w:tcPr>
            <w:tcW w:w="6700" w:type="dxa"/>
            <w:vAlign w:val="bottom"/>
          </w:tcPr>
          <w:p>
            <w:pPr>
              <w:spacing w:after="0"/>
              <w:rPr>
                <w:sz w:val="24"/>
                <w:szCs w:val="24"/>
                <w:color w:val="auto"/>
              </w:rPr>
            </w:pPr>
          </w:p>
        </w:tc>
      </w:tr>
      <w:tr>
        <w:trPr>
          <w:trHeight w:val="810"/>
        </w:trPr>
        <w:tc>
          <w:tcPr>
            <w:tcW w:w="4540" w:type="dxa"/>
            <w:vAlign w:val="bottom"/>
          </w:tcPr>
          <w:p>
            <w:pPr>
              <w:spacing w:after="0"/>
              <w:rPr>
                <w:sz w:val="24"/>
                <w:szCs w:val="24"/>
                <w:color w:val="auto"/>
              </w:rPr>
            </w:pPr>
          </w:p>
        </w:tc>
        <w:tc>
          <w:tcPr>
            <w:tcW w:w="6700" w:type="dxa"/>
            <w:vAlign w:val="bottom"/>
          </w:tcPr>
          <w:p>
            <w:pPr>
              <w:jc w:val="right"/>
              <w:ind w:right="5370"/>
              <w:spacing w:after="0"/>
              <w:rPr>
                <w:sz w:val="20"/>
                <w:szCs w:val="20"/>
                <w:color w:val="auto"/>
              </w:rPr>
            </w:pPr>
            <w:r>
              <w:rPr>
                <w:rFonts w:ascii="Arial" w:cs="Arial" w:eastAsia="Arial" w:hAnsi="Arial"/>
                <w:sz w:val="18"/>
                <w:szCs w:val="18"/>
                <w:color w:val="auto"/>
              </w:rPr>
              <w:t>107</w:t>
            </w:r>
          </w:p>
        </w:tc>
      </w:tr>
      <w:tr>
        <w:trPr>
          <w:trHeight w:val="111"/>
        </w:trPr>
        <w:tc>
          <w:tcPr>
            <w:tcW w:w="45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7" w:name="page108"/>
    <w:bookmarkEnd w:id="107"/>
    <w:p>
      <w:pPr>
        <w:spacing w:after="0"/>
        <w:rPr>
          <w:sz w:val="20"/>
          <w:szCs w:val="20"/>
          <w:color w:val="auto"/>
        </w:rPr>
      </w:pPr>
      <w:r>
        <w:rPr>
          <w:rFonts w:ascii="Arial" w:cs="Arial" w:eastAsia="Arial" w:hAnsi="Arial"/>
          <w:sz w:val="32"/>
          <w:szCs w:val="32"/>
          <w:i w:val="1"/>
          <w:i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2023 and 2022, the related consolidated statements of operations, comprehensive income (loss),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(2013 framework), and our report dated February 21, 2024, expressed an unqualified opinion thereon.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108" w:name="page109"/>
    <w:bookmarkEnd w:id="108"/>
    <w:p>
      <w:pPr>
        <w:spacing w:after="0" w:line="22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3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described in Note 2 to the consolidated financial statements under the caption "Net Product Revenue," the Company establishes provisions for sales rebate and discounts in the same period as the related sales occur. At December 31, 2023, the Company had $11,689.0 million in sales rebate and discount accruals. A large portion of these accruals are rebates associated with sales in the United States for which payment for purchase of the product is covered by Medicaid, Managed Care, and Medicare.</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Auditing the Medicaid, Managed Care, and Medicare sales rebate and discount liabilities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changes in rebate contracts, an evaluation of the current Medicaid and Medicare laws and interpretations, the percentage of products that are sold via Medicaid, Managed Care, and Medicare, and product pricing. Given variability in prescription drug costs, continued historical year over year increases in enrollees and variability in prescription data, historical rebate information may not be predictive for management to estimate the rebate accrual and thus, management supplements its historical data analysis with qualitative adjustments based upon current expectations, particularly for select products which contribute the largest portion of the Company's revenue.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We tested the Company's controls addressing the identified risks of material misstatement related to the valuation</w:t>
      </w:r>
    </w:p>
    <w:p>
      <w:pPr>
        <w:spacing w:after="0" w:line="50"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of the sales rebate and discount liabilities. This included testing controls over management's review of the significant assumptions used to calculate the Medicaid, Managed Care, and Medicare rebate liabilities, including</w:t>
      </w:r>
    </w:p>
    <w:p>
      <w:pPr>
        <w:ind w:right="80"/>
        <w:spacing w:after="0" w:line="268" w:lineRule="auto"/>
        <w:rPr>
          <w:sz w:val="20"/>
          <w:szCs w:val="20"/>
          <w:color w:val="auto"/>
        </w:rPr>
      </w:pPr>
      <w:r>
        <w:rPr>
          <w:rFonts w:ascii="Arial" w:cs="Arial" w:eastAsia="Arial" w:hAnsi="Arial"/>
          <w:sz w:val="18"/>
          <w:szCs w:val="18"/>
          <w:color w:val="auto"/>
        </w:rPr>
        <w:t>the significant assumptions discussed above. This testing also included management's control to compare actual activity to forecasted activity and controls to ensure the data used to evaluate the significant assumptions was complete and accurate.</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based on internal and external data sources, to evaluate the completeness of the reserves. Additionally, our procedures included reviewing a sample of contracts, testing a sample of rebate payments and testing the underlying data used in management's evaluation. For Medicaid, we involved our professionals with an understanding of the statutory reimbursement requirements to assess the consistency of the Company's calculation methodologies with the applicable government regulations and policy.</w:t>
      </w:r>
    </w:p>
    <w:p>
      <w:pPr>
        <w:spacing w:after="0" w:line="200" w:lineRule="exact"/>
        <w:rPr>
          <w:sz w:val="20"/>
          <w:szCs w:val="20"/>
          <w:color w:val="auto"/>
        </w:rPr>
      </w:pPr>
    </w:p>
    <w:p>
      <w:pPr>
        <w:sectPr>
          <w:pgSz w:w="11900" w:h="16838" w:orient="portrait"/>
          <w:cols w:equalWidth="0" w:num="2">
            <w:col w:w="1820" w:space="220"/>
            <w:col w:w="9040"/>
          </w:cols>
          <w:pgMar w:left="380" w:top="97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973" w:right="439" w:bottom="1440" w:gutter="0" w:footer="0" w:header="0"/>
          <w:type w:val="continuous"/>
        </w:sectPr>
      </w:pPr>
    </w:p>
    <w:bookmarkStart w:id="109" w:name="page110"/>
    <w:bookmarkEnd w:id="109"/>
    <w:p>
      <w:pPr>
        <w:spacing w:after="0" w:line="230" w:lineRule="exact"/>
        <w:rPr>
          <w:sz w:val="20"/>
          <w:szCs w:val="20"/>
          <w:color w:val="auto"/>
        </w:rPr>
      </w:pPr>
    </w:p>
    <w:p>
      <w:pPr>
        <w:ind w:left="60" w:right="420"/>
        <w:spacing w:after="0" w:line="239"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Retirement Benefits - Valuation of Alternative Investments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in Note 15 to the consolidated financial statements under the caption "Benefit Plan Investments," the Company's benefit plan investment policies are set with specific consideration of return and risk requirements in relationship to the respective liabilities. At December 31, 2023, the Company had $16,289.0 million in plan assets related to the defined benefit pension plans and retiree health benefit plans. Approximately 48 percent of the total pension and retiree health assets are in hedge funds and private equity-like investment funds ("alternative investments"). These alternative investments are valued primarily at net asset value (NAV) reported by the counterparty, adjusted as necessary.</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Auditing the fair value of these alternative investments is challenging because of the higher estimation uncertainty of the inputs to the fair value calculations, particularly the underlying determination of net asset values ("NAVs"). Additionally, certain information regarding the fair value of these alternative investments is based on unaudited information available to management at the time of valuation.</w:t>
      </w:r>
    </w:p>
    <w:p>
      <w:pPr>
        <w:spacing w:after="0" w:line="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tested the Company's controls addressing the risks of material misstatement relating to valuation of alternative investments. This included testing management's controls over alternative investment valuation, which included a comparison of returns to benchmarks and monitoring investment firms' valuation policies and procedures, as well as portfolio performance.</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audit procedures included, among others, comparing fund returns to selected relevant benchmarks and understanding variations, and obtaining the latest audited financial statements and comparing to the Company's estimated fair values.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fair value of the investments and ownership interest directly with the custodian and a sample of fund managers at year end.</w:t>
      </w:r>
    </w:p>
    <w:p>
      <w:pPr>
        <w:spacing w:after="0" w:line="616" w:lineRule="exact"/>
        <w:rPr>
          <w:sz w:val="20"/>
          <w:szCs w:val="20"/>
          <w:color w:val="auto"/>
        </w:rPr>
      </w:pPr>
    </w:p>
    <w:p>
      <w:pPr>
        <w:sectPr>
          <w:pgSz w:w="11900" w:h="16838" w:orient="portrait"/>
          <w:cols w:equalWidth="0" w:num="2">
            <w:col w:w="1880" w:space="220"/>
            <w:col w:w="9080"/>
          </w:cols>
          <w:pgMar w:left="320" w:top="973" w:right="39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3" w:right="39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32"/>
          <w:szCs w:val="32"/>
          <w:i w:val="1"/>
          <w:i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2023, based on criteria established in Internal Control —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2023, based on the COSO criteria.</w:t>
      </w:r>
    </w:p>
    <w:p>
      <w:pPr>
        <w:spacing w:after="0" w:line="1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shareholders' equity and cash flows for each of the three years in the period ended December 31, 2023, and the related notes and our report dated February 21, 2024, expressed an unqualified opinion thereon.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111" w:name="page112"/>
    <w:bookmarkEnd w:id="111"/>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31" w:right="479" w:bottom="1440" w:gutter="0" w:footer="0" w:header="0"/>
        </w:sectPr>
      </w:pPr>
    </w:p>
    <w:bookmarkStart w:id="112" w:name="page113"/>
    <w:bookmarkEnd w:id="112"/>
    <w:p>
      <w:pPr>
        <w:ind w:left="1300" w:right="1840" w:hanging="1295"/>
        <w:spacing w:after="0" w:line="292" w:lineRule="auto"/>
        <w:rPr>
          <w:sz w:val="20"/>
          <w:szCs w:val="20"/>
          <w:color w:val="auto"/>
        </w:rPr>
      </w:pPr>
      <w:r>
        <w:rPr>
          <w:rFonts w:ascii="Arial" w:cs="Arial" w:eastAsia="Arial" w:hAnsi="Arial"/>
          <w:sz w:val="32"/>
          <w:szCs w:val="32"/>
          <w:b w:val="1"/>
          <w:bCs w:val="1"/>
          <w:i w:val="1"/>
          <w:iCs w:val="1"/>
          <w:color w:val="auto"/>
        </w:rPr>
        <w:t>Item 9. Changes in and Disagreements with Accountants on Accounting and Financial Disclosure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9A.Controls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management, with the participation of David Ricks, president and chief executive officer, and Anat Ashkenazi, executive vice president and chief financial officer, evaluated our disclosure controls and procedures (as such term is defined in Rules 13a-15(e) and 15d-15(e) under the Securities Exchange Act of 1934) as of December 31, 2023, and concluded that they were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Ricks and Ms. Ashkenazi provided a report on behalf of management on our internal control over financial reporting, in which management concluded that the company's internal control over financial reporting is effective at December 31, 2023 based on the framework in "Internal Control—Integrated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Due to the inherent limitations, no evaluation over internal control can provide absolute assurance that no material misstatements or fraud exist.</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addition, Ernst &amp; Young LLP, the company's independent registered public accounting firm, issued an attestation report on the company's internal control over financial reporting as of December 31,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You can find the full text of management's report and Ernst &amp; Young's attestation report in Item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fourth quarter of 2023, there were no changes in our internal control over financial reporting that materially affected, or are reasonably likely to materially affect, our internal control over financial reporting. We rely extensively on information systems and technology to manage our business, including integrated supply chain operations, and global consolidated financial results. In February 2024, we completed the implementation of a new global enterprise resource planning (ERP) system, which replaced our operating and financial systems. We recently began our post-implementation activities. The ERP system is designed to accurately maintain our financial records, support integrated supply chain and other operational functionality, and provide timely information to our management team related to the operation of the business. During the implementation and post-implementation activities, we have made, and will have to make, changes to certain of our processes and procedures, and we will evaluate quarterly whether the changes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13" w:name="page114"/>
    <w:bookmarkEnd w:id="113"/>
    <w:p>
      <w:pPr>
        <w:spacing w:after="0"/>
        <w:rPr>
          <w:sz w:val="20"/>
          <w:szCs w:val="20"/>
          <w:color w:val="auto"/>
        </w:rPr>
      </w:pPr>
      <w:r>
        <w:rPr>
          <w:rFonts w:ascii="Arial" w:cs="Arial" w:eastAsia="Arial" w:hAnsi="Arial"/>
          <w:sz w:val="32"/>
          <w:szCs w:val="32"/>
          <w:b w:val="1"/>
          <w:bCs w:val="1"/>
          <w:i w:val="1"/>
          <w:iCs w:val="1"/>
          <w:color w:val="auto"/>
        </w:rPr>
        <w:t>Item 9B.Other Information</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November 16, 2023, Donald Zakrowski, senior vice president, finance, and chief accounting officer, adopted a sales plan (Plan). The Plan was entered into during an open trading window and is intended to satisfy the affirmative defense conditions of Rule 10b5-1(c) of the Exchange Act of 1934 and our policies regarding trading in our securities. The Plan calls for the sale of up to 3,150 shares of company common stock between March 11, 2024 and November 14, 2024 subject to the terms and conditions of the Plan.</w:t>
      </w:r>
    </w:p>
    <w:p>
      <w:pPr>
        <w:spacing w:after="0" w:line="200" w:lineRule="exact"/>
        <w:rPr>
          <w:sz w:val="20"/>
          <w:szCs w:val="20"/>
          <w:color w:val="auto"/>
        </w:rPr>
      </w:pPr>
    </w:p>
    <w:p>
      <w:pPr>
        <w:spacing w:after="0" w:line="212" w:lineRule="exact"/>
        <w:rPr>
          <w:sz w:val="20"/>
          <w:szCs w:val="20"/>
          <w:color w:val="auto"/>
        </w:rPr>
      </w:pPr>
    </w:p>
    <w:p>
      <w:pPr>
        <w:ind w:right="1160"/>
        <w:spacing w:after="0" w:line="288" w:lineRule="auto"/>
        <w:rPr>
          <w:sz w:val="20"/>
          <w:szCs w:val="20"/>
          <w:color w:val="auto"/>
        </w:rPr>
      </w:pPr>
      <w:r>
        <w:rPr>
          <w:rFonts w:ascii="Arial" w:cs="Arial" w:eastAsia="Arial" w:hAnsi="Arial"/>
          <w:sz w:val="32"/>
          <w:szCs w:val="32"/>
          <w:b w:val="1"/>
          <w:bCs w:val="1"/>
          <w:i w:val="1"/>
          <w:iCs w:val="1"/>
          <w:color w:val="auto"/>
        </w:rPr>
        <w:t>Item 9C. Disclosure Regarding Foreign Jurisdictions that Prevent Inspections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114" w:name="page115"/>
    <w:bookmarkEnd w:id="114"/>
    <w:p>
      <w:pPr>
        <w:spacing w:after="0"/>
        <w:rPr>
          <w:sz w:val="20"/>
          <w:szCs w:val="20"/>
          <w:color w:val="auto"/>
        </w:rPr>
      </w:pPr>
      <w:r>
        <w:rPr>
          <w:rFonts w:ascii="Arial" w:cs="Arial" w:eastAsia="Arial" w:hAnsi="Arial"/>
          <w:sz w:val="32"/>
          <w:szCs w:val="32"/>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10. Directors, Executive Officers, and Corporate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1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Information relating to our board of directors is found in our Definitive Proxy Statement, to be dated on or about March 22, 2024 (Proxy Statement), under "Governance - How We Build an Effective Board" and is incorporated in this Annual Report on Form 10-K by reference.</w:t>
      </w:r>
    </w:p>
    <w:p>
      <w:pPr>
        <w:spacing w:after="0" w:line="2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Information relating to our executive officers is found at Item 1, "Business - Executive Officers of the Company" and is incorporated by reference herein.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Information relating to our code of ethics is found in our Proxy Statement under "Governance - How We Operate an Effective Board - Governance Practices - Board Oversight - Key Areas of Oversight by the Board and Its Committees - Governance - Code of Ethics" and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"Governance - How We Build an Effective Board - Director Nominations - Shareholder Director Candidates" and is incorporated in this Annual Report on Form 10-K by reference.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of directors has appointed an audit committee consisting entirely of independent directors in accordance with applicable Securities and Exchange Commission and New York Stock Exchange requirements for audit committees. Information about our audit committee is found in our Proxy Statement under "Governance - How We Operate an Effective Board - Board Structure - Meetings of the Board and Its Committees - Committees of the Board - Audit Committee" and is incorporated in this Annual Report on Form 10-K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Reporting Compliance</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Information about our compliance with Section 16(a) is found in our Proxy Statement under "Ownership of Company Stock - Delinquent Section 16(a) Reports" and is incorporated in this Annual Report on Form 10-K by reference.</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11. Executive Compensation</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Information on director compensation, executive compensation, and talent and compensation committee matters can be found in the Proxy Statement under "Governance - How We Operate an Effective Board - Board Alignment - Director Compensation," "- How We Operate an Effective Board - Board Structure - Meetings of the Board and Its Committees - Committees of the Board - Talent and Compensation Committee," "Compensation - Compensation Discussion and Analysis," "- Talent and Compensation Committee Matters," and "- Executive Compensation." Such information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sectPr>
      </w:pPr>
    </w:p>
    <w:bookmarkStart w:id="115" w:name="page116"/>
    <w:bookmarkEnd w:id="115"/>
    <w:p>
      <w:pPr>
        <w:spacing w:after="0"/>
        <w:rPr>
          <w:sz w:val="20"/>
          <w:szCs w:val="20"/>
          <w:color w:val="auto"/>
        </w:rPr>
      </w:pPr>
      <w:r>
        <w:rPr>
          <w:rFonts w:ascii="Arial" w:cs="Arial" w:eastAsia="Arial" w:hAnsi="Arial"/>
          <w:sz w:val="32"/>
          <w:szCs w:val="32"/>
          <w:b w:val="1"/>
          <w:bCs w:val="1"/>
          <w:i w:val="1"/>
          <w:iCs w:val="1"/>
          <w:color w:val="auto"/>
        </w:rPr>
        <w:t>Item 12. Security Ownership of Certain Beneficial Owners and</w:t>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auto"/>
        </w:rPr>
        <w:t>Management and Related Stockholder Matters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and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presents information as of December 31, 2023 regarding the company's compensation plans under which shares of the company's common stock have been authorized for issuance.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 Number of securities to</w:t>
            </w:r>
          </w:p>
        </w:tc>
        <w:tc>
          <w:tcPr>
            <w:tcW w:w="17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(b) Weighted-average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2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be issued upon exercise</w:t>
            </w:r>
          </w:p>
        </w:tc>
        <w:tc>
          <w:tcPr>
            <w:tcW w:w="17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exercise price of</w:t>
            </w: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of outstanding options,</w:t>
            </w:r>
          </w:p>
        </w:tc>
        <w:tc>
          <w:tcPr>
            <w:tcW w:w="17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outstanding options,</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 xml:space="preserve">warrants, and rights </w:t>
            </w:r>
            <w:r>
              <w:rPr>
                <w:rFonts w:ascii="Arial" w:cs="Arial" w:eastAsia="Arial" w:hAnsi="Arial"/>
                <w:sz w:val="9"/>
                <w:szCs w:val="9"/>
                <w:b w:val="1"/>
                <w:bCs w:val="1"/>
                <w:color w:val="auto"/>
              </w:rPr>
              <w:t>(1)</w:t>
            </w:r>
          </w:p>
        </w:tc>
        <w:tc>
          <w:tcPr>
            <w:tcW w:w="17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223"/>
        </w:trPr>
        <w:tc>
          <w:tcPr>
            <w:tcW w:w="494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shd w:val="clear" w:color="auto" w:fill="D8D8D8"/>
          </w:tcPr>
          <w:p>
            <w:pPr>
              <w:jc w:val="right"/>
              <w:ind w:right="1"/>
              <w:spacing w:after="0"/>
              <w:rPr>
                <w:sz w:val="20"/>
                <w:szCs w:val="20"/>
                <w:color w:val="auto"/>
              </w:rPr>
            </w:pPr>
            <w:r>
              <w:rPr>
                <w:rFonts w:ascii="Arial" w:cs="Arial" w:eastAsia="Arial" w:hAnsi="Arial"/>
                <w:sz w:val="18"/>
                <w:szCs w:val="18"/>
                <w:color w:val="auto"/>
              </w:rPr>
              <w:t>49,082,012</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20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700" w:type="dxa"/>
            <w:vAlign w:val="bottom"/>
          </w:tcPr>
          <w:p>
            <w:pPr>
              <w:ind w:left="118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top w:val="single" w:sz="8" w:color="D8D8D8"/>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8D8D8"/>
              <w:bottom w:val="single" w:sz="8" w:color="D8D8D8"/>
            </w:tcBorders>
            <w:shd w:val="clear" w:color="auto" w:fill="D8D8D8"/>
          </w:tcPr>
          <w:p>
            <w:pPr>
              <w:spacing w:after="0"/>
              <w:rPr>
                <w:sz w:val="20"/>
                <w:szCs w:val="20"/>
                <w:color w:val="auto"/>
              </w:rPr>
            </w:pPr>
          </w:p>
        </w:tc>
        <w:tc>
          <w:tcPr>
            <w:tcW w:w="1700" w:type="dxa"/>
            <w:vAlign w:val="bottom"/>
            <w:tcBorders>
              <w:top w:val="single" w:sz="8" w:color="D8D8D8"/>
              <w:bottom w:val="single" w:sz="8" w:color="D8D8D8"/>
            </w:tcBorders>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bottom w:val="single" w:sz="8" w:color="auto"/>
            </w:tcBorders>
            <w:shd w:val="clear" w:color="auto" w:fill="D8D8D8"/>
          </w:tcPr>
          <w:p>
            <w:pPr>
              <w:jc w:val="right"/>
              <w:ind w:right="1"/>
              <w:spacing w:after="0"/>
              <w:rPr>
                <w:sz w:val="20"/>
                <w:szCs w:val="20"/>
                <w:color w:val="auto"/>
              </w:rPr>
            </w:pPr>
            <w:r>
              <w:rPr>
                <w:rFonts w:ascii="Arial" w:cs="Arial" w:eastAsia="Arial" w:hAnsi="Arial"/>
                <w:sz w:val="18"/>
                <w:szCs w:val="18"/>
                <w:color w:val="auto"/>
              </w:rPr>
              <w:t>49,082,012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9"/>
          <w:szCs w:val="9"/>
          <w:color w:val="auto"/>
        </w:rPr>
      </w:pPr>
      <w:r>
        <w:rPr>
          <w:rFonts w:ascii="Arial" w:cs="Arial" w:eastAsia="Arial" w:hAnsi="Arial"/>
          <w:sz w:val="14"/>
          <w:szCs w:val="14"/>
          <w:color w:val="auto"/>
        </w:rPr>
        <w:t>3,599,883 shares are underlying outstanding equity awards other than options.</w:t>
      </w:r>
    </w:p>
    <w:p>
      <w:pPr>
        <w:spacing w:after="0" w:line="200" w:lineRule="exact"/>
        <w:rPr>
          <w:sz w:val="20"/>
          <w:szCs w:val="20"/>
          <w:color w:val="auto"/>
        </w:rPr>
      </w:pPr>
    </w:p>
    <w:p>
      <w:pPr>
        <w:spacing w:after="0" w:line="365" w:lineRule="exact"/>
        <w:rPr>
          <w:sz w:val="20"/>
          <w:szCs w:val="20"/>
          <w:color w:val="auto"/>
        </w:rPr>
      </w:pPr>
    </w:p>
    <w:p>
      <w:pPr>
        <w:ind w:left="1300" w:right="500" w:hanging="1295"/>
        <w:spacing w:after="0" w:line="292" w:lineRule="auto"/>
        <w:rPr>
          <w:sz w:val="20"/>
          <w:szCs w:val="20"/>
          <w:color w:val="auto"/>
        </w:rPr>
      </w:pPr>
      <w:r>
        <w:rPr>
          <w:rFonts w:ascii="Arial" w:cs="Arial" w:eastAsia="Arial" w:hAnsi="Arial"/>
          <w:sz w:val="32"/>
          <w:szCs w:val="32"/>
          <w:b w:val="1"/>
          <w:bCs w:val="1"/>
          <w:i w:val="1"/>
          <w:iCs w:val="1"/>
          <w:color w:val="auto"/>
        </w:rPr>
        <w:t>Item 13. Certain Relationships and Related Transactions, and Director Independence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1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Information relating to the policies and procedures for approval of related person transactions by our board of directors can be found in the Proxy Statement under "Governance - How We Operate an Effective Board - Board Alignment - Conflicts of Interest and Transactions with Related Persons." Such information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Information relating to director independence can be found in the Proxy Statement under "Governance - How We Build an Effective Board - Director Qualifications - Independence" and is incorporated in this Annual Report on Form 10-K by reference.</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14. Principal Accountant Fees and Services</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"Audit Matters - Item 3. Ratification of the Appointment of the Independent Auditor - Services Performed by the Independent Auditor" and "- Independent Auditor Fees." Such information is incorporated in this Annual Report on Form 10-K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6" w:name="page117"/>
    <w:bookmarkEnd w:id="116"/>
    <w:p>
      <w:pPr>
        <w:spacing w:after="0"/>
        <w:rPr>
          <w:sz w:val="20"/>
          <w:szCs w:val="20"/>
          <w:color w:val="auto"/>
        </w:rPr>
      </w:pPr>
      <w:r>
        <w:rPr>
          <w:rFonts w:ascii="Arial" w:cs="Arial" w:eastAsia="Arial" w:hAnsi="Arial"/>
          <w:sz w:val="32"/>
          <w:szCs w:val="32"/>
          <w:b w:val="1"/>
          <w:bCs w:val="1"/>
          <w:i w:val="1"/>
          <w:iCs w:val="1"/>
          <w:color w:val="auto"/>
        </w:rPr>
        <w:t>Item 15. Exhibits and Financial Statement Schedules</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2023, 2022, and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(Loss)—Years Ended December 31, 2023, 2022, and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Balance Sheets—December 31, 2023 and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2023, 2022, and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2023, 2022, and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7"/>
          <w:szCs w:val="17"/>
          <w:b w:val="1"/>
          <w:bCs w:val="1"/>
          <w:color w:val="auto"/>
        </w:rPr>
        <w:t>Financial Statement Schedules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40" w:type="dxa"/>
            <w:vAlign w:val="bottom"/>
            <w:gridSpan w:val="18"/>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1480" w:type="dxa"/>
            <w:vAlign w:val="bottom"/>
          </w:tcPr>
          <w:p>
            <w:pPr>
              <w:spacing w:after="0"/>
              <w:rPr>
                <w:sz w:val="22"/>
                <w:szCs w:val="22"/>
                <w:color w:val="auto"/>
              </w:rPr>
            </w:pPr>
          </w:p>
        </w:tc>
        <w:tc>
          <w:tcPr>
            <w:tcW w:w="9040" w:type="dxa"/>
            <w:vAlign w:val="bottom"/>
            <w:gridSpan w:val="18"/>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Amended Articles of Incorporation, incorporated by reference to Exhibit 3.1 to the Company's Current Report on</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Form 8-K filed on May 4, 2022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148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FF"/>
              </w:rPr>
            </w:pPr>
            <w:hyperlink r:id="rId161">
              <w:r>
                <w:rPr>
                  <w:rFonts w:ascii="Arial" w:cs="Arial" w:eastAsia="Arial" w:hAnsi="Arial"/>
                  <w:sz w:val="18"/>
                  <w:szCs w:val="18"/>
                  <w:color w:val="0000FF"/>
                </w:rPr>
                <w:t>Bylaws, as amended, incorporated by reference to Exhibit 3.2 to the Company's Current Report on Form 8-K filed</w:t>
              </w:r>
            </w:hyperlink>
          </w:p>
        </w:tc>
      </w:tr>
      <w:tr>
        <w:trPr>
          <w:trHeight w:val="156"/>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0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on May 4, 2022</w:t>
              </w:r>
            </w:hyperlink>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48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FF"/>
              </w:rPr>
            </w:pPr>
            <w:hyperlink r:id="rId162">
              <w:r>
                <w:rPr>
                  <w:rFonts w:ascii="Arial" w:cs="Arial" w:eastAsia="Arial" w:hAnsi="Arial"/>
                  <w:sz w:val="18"/>
                  <w:szCs w:val="18"/>
                  <w:color w:val="0000FF"/>
                </w:rPr>
                <w:t>Indenture, dated February 1, 1991, between the Company and Deutsche Bank Trust Company Americas, as</w:t>
              </w:r>
            </w:hyperlink>
          </w:p>
        </w:tc>
      </w:tr>
      <w:tr>
        <w:trPr>
          <w:trHeight w:val="156"/>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successor trustee to Citibank, N.A., as Trustee, incorporated by reference to Exhibit 4.1 to the Company's</w:t>
              </w:r>
            </w:hyperlink>
          </w:p>
        </w:tc>
        <w:tc>
          <w:tcPr>
            <w:tcW w:w="3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62">
              <w:r>
                <w:rPr>
                  <w:rFonts w:ascii="Arial" w:cs="Arial" w:eastAsia="Arial" w:hAnsi="Arial"/>
                  <w:sz w:val="18"/>
                  <w:szCs w:val="18"/>
                  <w:color w:val="0000FF"/>
                </w:rPr>
                <w:t>Registration Statement on Form S-3, Registration No. 333-186979</w:t>
              </w:r>
            </w:hyperlink>
          </w:p>
        </w:tc>
        <w:tc>
          <w:tcPr>
            <w:tcW w:w="20" w:type="dxa"/>
            <w:vAlign w:val="bottom"/>
          </w:tcPr>
          <w:p>
            <w:pPr>
              <w:spacing w:after="0"/>
              <w:rPr>
                <w:sz w:val="14"/>
                <w:szCs w:val="14"/>
                <w:color w:val="auto"/>
              </w:rPr>
            </w:pPr>
          </w:p>
        </w:tc>
        <w:tc>
          <w:tcPr>
            <w:tcW w:w="5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480" w:type="dxa"/>
            <w:vAlign w:val="bottom"/>
          </w:tcPr>
          <w:p>
            <w:pPr>
              <w:spacing w:after="0"/>
              <w:rPr>
                <w:sz w:val="22"/>
                <w:szCs w:val="22"/>
                <w:color w:val="auto"/>
              </w:rPr>
            </w:pPr>
          </w:p>
        </w:tc>
        <w:tc>
          <w:tcPr>
            <w:tcW w:w="9040" w:type="dxa"/>
            <w:vAlign w:val="bottom"/>
            <w:gridSpan w:val="18"/>
          </w:tcPr>
          <w:p>
            <w:pPr>
              <w:spacing w:after="0"/>
              <w:rPr>
                <w:rFonts w:ascii="Arial" w:cs="Arial" w:eastAsia="Arial" w:hAnsi="Arial"/>
                <w:sz w:val="18"/>
                <w:szCs w:val="18"/>
                <w:color w:val="0000FF"/>
              </w:rPr>
            </w:pPr>
            <w:hyperlink r:id="rId163">
              <w:r>
                <w:rPr>
                  <w:rFonts w:ascii="Arial" w:cs="Arial" w:eastAsia="Arial" w:hAnsi="Arial"/>
                  <w:sz w:val="18"/>
                  <w:szCs w:val="18"/>
                  <w:color w:val="0000FF"/>
                </w:rPr>
                <w:t>Tripartite Agreement, dated September 13, 2007, appointing Deutsche Bank Trust Company Americas as</w:t>
              </w:r>
            </w:hyperlink>
          </w:p>
        </w:tc>
      </w:tr>
      <w:tr>
        <w:trPr>
          <w:trHeight w:val="156"/>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Successor Trustee under the Indenture listed in Exhibit 4.1, incorporated by reference to Exhibit 4.2 to the</w:t>
              </w:r>
            </w:hyperlink>
          </w:p>
        </w:tc>
        <w:tc>
          <w:tcPr>
            <w:tcW w:w="40" w:type="dxa"/>
            <w:vAlign w:val="bottom"/>
            <w:tcBorders>
              <w:bottom w:val="single" w:sz="8" w:color="0000FF"/>
            </w:tcBorders>
            <w:gridSpan w:val="2"/>
          </w:tcPr>
          <w:p>
            <w:pPr>
              <w:spacing w:after="0"/>
              <w:rPr>
                <w:sz w:val="13"/>
                <w:szCs w:val="13"/>
                <w:color w:val="auto"/>
              </w:rPr>
            </w:pPr>
          </w:p>
        </w:tc>
        <w:tc>
          <w:tcPr>
            <w:tcW w:w="5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20" w:type="dxa"/>
            <w:vAlign w:val="bottom"/>
            <w:gridSpan w:val="11"/>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Company's Annual Report on Form 10-K for the year ended December 31, 2008</w:t>
              </w:r>
            </w:hyperlink>
          </w:p>
        </w:tc>
        <w:tc>
          <w:tcPr>
            <w:tcW w:w="5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1480" w:type="dxa"/>
            <w:vAlign w:val="bottom"/>
          </w:tcPr>
          <w:p>
            <w:pPr>
              <w:spacing w:after="0"/>
              <w:rPr>
                <w:sz w:val="22"/>
                <w:szCs w:val="22"/>
                <w:color w:val="auto"/>
              </w:rPr>
            </w:pPr>
          </w:p>
        </w:tc>
        <w:tc>
          <w:tcPr>
            <w:tcW w:w="37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Description of the Company's Common Stock*</w:t>
            </w:r>
          </w:p>
        </w:tc>
        <w:tc>
          <w:tcPr>
            <w:tcW w:w="2680" w:type="dxa"/>
            <w:vAlign w:val="bottom"/>
            <w:tcBorders>
              <w:top w:val="single" w:sz="8" w:color="0000FF"/>
            </w:tcBorders>
            <w:gridSpan w:val="3"/>
          </w:tcPr>
          <w:p>
            <w:pPr>
              <w:spacing w:after="0"/>
              <w:rPr>
                <w:sz w:val="22"/>
                <w:szCs w:val="22"/>
                <w:color w:val="auto"/>
              </w:rPr>
            </w:pPr>
          </w:p>
        </w:tc>
        <w:tc>
          <w:tcPr>
            <w:tcW w:w="2660" w:type="dxa"/>
            <w:vAlign w:val="bottom"/>
            <w:gridSpan w:val="11"/>
          </w:tcPr>
          <w:p>
            <w:pPr>
              <w:spacing w:after="0"/>
              <w:rPr>
                <w:sz w:val="22"/>
                <w:szCs w:val="22"/>
                <w:color w:val="auto"/>
              </w:rPr>
            </w:pP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4.4</w:t>
            </w:r>
          </w:p>
        </w:tc>
        <w:tc>
          <w:tcPr>
            <w:tcW w:w="1480" w:type="dxa"/>
            <w:vAlign w:val="bottom"/>
          </w:tcPr>
          <w:p>
            <w:pPr>
              <w:spacing w:after="0"/>
              <w:rPr>
                <w:sz w:val="22"/>
                <w:szCs w:val="22"/>
                <w:color w:val="auto"/>
              </w:rPr>
            </w:pPr>
          </w:p>
        </w:tc>
        <w:tc>
          <w:tcPr>
            <w:tcW w:w="9040" w:type="dxa"/>
            <w:vAlign w:val="bottom"/>
            <w:gridSpan w:val="18"/>
          </w:tcPr>
          <w:p>
            <w:pPr>
              <w:spacing w:after="0"/>
              <w:rPr>
                <w:rFonts w:ascii="Arial" w:cs="Arial" w:eastAsia="Arial" w:hAnsi="Arial"/>
                <w:sz w:val="18"/>
                <w:szCs w:val="18"/>
                <w:color w:val="0000FF"/>
              </w:rPr>
            </w:pPr>
            <w:hyperlink r:id="rId164">
              <w:r>
                <w:rPr>
                  <w:rFonts w:ascii="Arial" w:cs="Arial" w:eastAsia="Arial" w:hAnsi="Arial"/>
                  <w:sz w:val="18"/>
                  <w:szCs w:val="18"/>
                  <w:color w:val="0000FF"/>
                </w:rPr>
                <w:t>Description of the Company's 1.625% Notes due 2026 and 2.125% Notes due 2030, incorporated by reference to</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Exhibit 4.4 to the Company's Annual Report on Form 10-K for the year ended December 31, 2019</w:t>
              </w:r>
            </w:hyperlink>
          </w:p>
        </w:tc>
        <w:tc>
          <w:tcPr>
            <w:tcW w:w="12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4.5</w:t>
            </w:r>
          </w:p>
        </w:tc>
        <w:tc>
          <w:tcPr>
            <w:tcW w:w="148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FF"/>
              </w:rPr>
            </w:pPr>
            <w:hyperlink r:id="rId165">
              <w:r>
                <w:rPr>
                  <w:rFonts w:ascii="Arial" w:cs="Arial" w:eastAsia="Arial" w:hAnsi="Arial"/>
                  <w:sz w:val="18"/>
                  <w:szCs w:val="18"/>
                  <w:color w:val="0000FF"/>
                </w:rPr>
                <w:t>Description of the Company's 6.77% Notes due 2036, incorporated by reference to Exhibit 4.5 to the Company's</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9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Annual Report on Form 10-K for the year ended December 31, 2019</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4.6</w:t>
            </w:r>
          </w:p>
        </w:tc>
        <w:tc>
          <w:tcPr>
            <w:tcW w:w="148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FF"/>
              </w:rPr>
            </w:pPr>
            <w:hyperlink r:id="rId166">
              <w:r>
                <w:rPr>
                  <w:rFonts w:ascii="Arial" w:cs="Arial" w:eastAsia="Arial" w:hAnsi="Arial"/>
                  <w:sz w:val="18"/>
                  <w:szCs w:val="18"/>
                  <w:color w:val="0000FF"/>
                </w:rPr>
                <w:t>Description of the Company's 7 1/8% Notes due 2025, incorporated by reference to Exhibit 4.6 to the Company's</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9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Annual Report on Form 10-K for the year ended December 31, 2019</w:t>
              </w:r>
            </w:hyperlink>
          </w:p>
        </w:tc>
        <w:tc>
          <w:tcPr>
            <w:tcW w:w="80" w:type="dxa"/>
            <w:vAlign w:val="bottom"/>
            <w:gridSpan w:val="3"/>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4.7</w:t>
            </w:r>
          </w:p>
        </w:tc>
        <w:tc>
          <w:tcPr>
            <w:tcW w:w="1480" w:type="dxa"/>
            <w:vAlign w:val="bottom"/>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FF"/>
              </w:rPr>
            </w:pPr>
            <w:hyperlink r:id="rId167">
              <w:r>
                <w:rPr>
                  <w:rFonts w:ascii="Arial" w:cs="Arial" w:eastAsia="Arial" w:hAnsi="Arial"/>
                  <w:sz w:val="18"/>
                  <w:szCs w:val="18"/>
                  <w:color w:val="0000FF"/>
                </w:rPr>
                <w:t>Description of the Company's 0.625% Notes due 2031 and 1.700% Notes due 2049, incorporated by reference to</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Exhibit 4.7 to the Company's Annual Report on Form 10-K for the year ended December 31, 2019</w:t>
              </w:r>
            </w:hyperlink>
          </w:p>
        </w:tc>
        <w:tc>
          <w:tcPr>
            <w:tcW w:w="12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23" w:right="579" w:bottom="144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4.8</w:t>
            </w:r>
          </w:p>
        </w:tc>
        <w:tc>
          <w:tcPr>
            <w:tcW w:w="9240" w:type="dxa"/>
            <w:vAlign w:val="bottom"/>
            <w:gridSpan w:val="50"/>
          </w:tcPr>
          <w:p>
            <w:pPr>
              <w:spacing w:after="0"/>
              <w:rPr>
                <w:rFonts w:ascii="Arial" w:cs="Arial" w:eastAsia="Arial" w:hAnsi="Arial"/>
                <w:sz w:val="18"/>
                <w:szCs w:val="18"/>
                <w:color w:val="0000FF"/>
              </w:rPr>
            </w:pPr>
            <w:hyperlink r:id="rId169">
              <w:r>
                <w:rPr>
                  <w:rFonts w:ascii="Arial" w:cs="Arial" w:eastAsia="Arial" w:hAnsi="Arial"/>
                  <w:sz w:val="18"/>
                  <w:szCs w:val="18"/>
                  <w:color w:val="0000FF"/>
                </w:rPr>
                <w:t>Description of the Company's 0.500% Notes due 2033, 1.125% Notes due 2051, and 1.375% Notes due 2061,</w:t>
              </w:r>
            </w:hyperlink>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8800" w:type="dxa"/>
            <w:vAlign w:val="bottom"/>
            <w:tcBorders>
              <w:top w:val="single" w:sz="8" w:color="0000FF"/>
            </w:tcBorders>
            <w:gridSpan w:val="45"/>
          </w:tcPr>
          <w:p>
            <w:pPr>
              <w:spacing w:after="0" w:line="169" w:lineRule="exact"/>
              <w:rPr>
                <w:rFonts w:ascii="Arial" w:cs="Arial" w:eastAsia="Arial" w:hAnsi="Arial"/>
                <w:sz w:val="18"/>
                <w:szCs w:val="18"/>
                <w:color w:val="0000FF"/>
              </w:rPr>
            </w:pPr>
            <w:hyperlink r:id="rId169">
              <w:r>
                <w:rPr>
                  <w:rFonts w:ascii="Arial" w:cs="Arial" w:eastAsia="Arial" w:hAnsi="Arial"/>
                  <w:sz w:val="18"/>
                  <w:szCs w:val="18"/>
                  <w:color w:val="0000FF"/>
                </w:rPr>
                <w:t>incorporated by reference to Exhibit 4.8 to the Company's Annual Report on Form 10-K for the year ended</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December 31, 2021</w:t>
              </w:r>
            </w:hyperlink>
          </w:p>
        </w:tc>
        <w:tc>
          <w:tcPr>
            <w:tcW w:w="6840" w:type="dxa"/>
            <w:vAlign w:val="bottom"/>
            <w:tcBorders>
              <w:top w:val="single" w:sz="8" w:color="0000FF"/>
            </w:tcBorders>
            <w:gridSpan w:val="40"/>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4.9</w:t>
            </w:r>
          </w:p>
        </w:tc>
        <w:tc>
          <w:tcPr>
            <w:tcW w:w="9240" w:type="dxa"/>
            <w:vAlign w:val="bottom"/>
            <w:gridSpan w:val="50"/>
          </w:tcPr>
          <w:p>
            <w:pPr>
              <w:spacing w:after="0"/>
              <w:rPr>
                <w:rFonts w:ascii="Arial" w:cs="Arial" w:eastAsia="Arial" w:hAnsi="Arial"/>
                <w:sz w:val="18"/>
                <w:szCs w:val="18"/>
                <w:color w:val="0000FF"/>
              </w:rPr>
            </w:pPr>
            <w:hyperlink r:id="rId170">
              <w:r>
                <w:rPr>
                  <w:rFonts w:ascii="Arial" w:cs="Arial" w:eastAsia="Arial" w:hAnsi="Arial"/>
                  <w:sz w:val="18"/>
                  <w:szCs w:val="18"/>
                  <w:color w:val="0000FF"/>
                </w:rPr>
                <w:t>Description of the Company's 1.625% Notes due 2043, incorporated by reference to Exhibit 4.9 to the Company's</w:t>
              </w:r>
            </w:hyperlink>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32"/>
          </w:tcPr>
          <w:p>
            <w:pPr>
              <w:spacing w:after="0" w:line="169" w:lineRule="exact"/>
              <w:rPr>
                <w:rFonts w:ascii="Arial" w:cs="Arial" w:eastAsia="Arial" w:hAnsi="Arial"/>
                <w:sz w:val="18"/>
                <w:szCs w:val="18"/>
                <w:color w:val="0000FF"/>
              </w:rPr>
            </w:pPr>
            <w:hyperlink r:id="rId170">
              <w:r>
                <w:rPr>
                  <w:rFonts w:ascii="Arial" w:cs="Arial" w:eastAsia="Arial" w:hAnsi="Arial"/>
                  <w:sz w:val="18"/>
                  <w:szCs w:val="18"/>
                  <w:color w:val="0000FF"/>
                </w:rPr>
                <w:t>Annual Report on Form 10-K for the year ended December 31, 2021</w:t>
              </w:r>
            </w:hyperlink>
          </w:p>
        </w:tc>
        <w:tc>
          <w:tcPr>
            <w:tcW w:w="35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3640" w:type="dxa"/>
            <w:vAlign w:val="bottom"/>
            <w:tcBorders>
              <w:bottom w:val="single" w:sz="8" w:color="0000FF"/>
            </w:tcBorders>
            <w:gridSpan w:val="8"/>
          </w:tcPr>
          <w:p>
            <w:pPr>
              <w:spacing w:after="0"/>
              <w:rPr>
                <w:rFonts w:ascii="Arial" w:cs="Arial" w:eastAsia="Arial" w:hAnsi="Arial"/>
                <w:sz w:val="18"/>
                <w:szCs w:val="18"/>
                <w:color w:val="0000FF"/>
              </w:rPr>
            </w:pPr>
            <w:hyperlink r:id="rId171">
              <w:r>
                <w:rPr>
                  <w:rFonts w:ascii="Arial" w:cs="Arial" w:eastAsia="Arial" w:hAnsi="Arial"/>
                  <w:sz w:val="18"/>
                  <w:szCs w:val="18"/>
                  <w:color w:val="0000FF"/>
                </w:rPr>
                <w:t>Amended and Restated 2002 Lilly Stock Plan</w:t>
              </w:r>
            </w:hyperlink>
          </w:p>
        </w:tc>
        <w:tc>
          <w:tcPr>
            <w:tcW w:w="120" w:type="dxa"/>
            <w:vAlign w:val="bottom"/>
            <w:gridSpan w:val="3"/>
          </w:tcPr>
          <w:p>
            <w:pPr>
              <w:spacing w:after="0"/>
              <w:rPr>
                <w:rFonts w:ascii="Arial" w:cs="Arial" w:eastAsia="Arial" w:hAnsi="Arial"/>
                <w:sz w:val="11"/>
                <w:szCs w:val="11"/>
                <w:color w:val="0000FF"/>
                <w:w w:val="74"/>
              </w:rPr>
            </w:pPr>
            <w:hyperlink r:id="rId171">
              <w:r>
                <w:rPr>
                  <w:rFonts w:ascii="Arial" w:cs="Arial" w:eastAsia="Arial" w:hAnsi="Arial"/>
                  <w:sz w:val="11"/>
                  <w:szCs w:val="11"/>
                  <w:color w:val="0000FF"/>
                  <w:w w:val="74"/>
                </w:rPr>
                <w:t>(1)</w:t>
              </w:r>
            </w:hyperlink>
          </w:p>
        </w:tc>
        <w:tc>
          <w:tcPr>
            <w:tcW w:w="4780" w:type="dxa"/>
            <w:vAlign w:val="bottom"/>
            <w:tcBorders>
              <w:bottom w:val="single" w:sz="8" w:color="0000FF"/>
            </w:tcBorders>
            <w:gridSpan w:val="32"/>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 incorporated by reference to Exhibit 10.1 to the Company's</w:t>
              </w:r>
            </w:hyperlink>
          </w:p>
        </w:tc>
        <w:tc>
          <w:tcPr>
            <w:tcW w:w="180" w:type="dxa"/>
            <w:vAlign w:val="bottom"/>
          </w:tcPr>
          <w:p>
            <w:pPr>
              <w:spacing w:after="0"/>
              <w:rPr>
                <w:sz w:val="22"/>
                <w:szCs w:val="22"/>
                <w:color w:val="auto"/>
              </w:rPr>
            </w:pPr>
          </w:p>
        </w:tc>
        <w:tc>
          <w:tcPr>
            <w:tcW w:w="32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3620" w:type="dxa"/>
            <w:vAlign w:val="bottom"/>
            <w:gridSpan w:val="7"/>
            <w:vMerge w:val="restart"/>
          </w:tcPr>
          <w:p>
            <w:pPr>
              <w:spacing w:after="0" w:line="169" w:lineRule="exact"/>
              <w:rPr>
                <w:rFonts w:ascii="Arial" w:cs="Arial" w:eastAsia="Arial" w:hAnsi="Arial"/>
                <w:sz w:val="18"/>
                <w:szCs w:val="18"/>
                <w:color w:val="0000FF"/>
                <w:w w:val="97"/>
              </w:rPr>
            </w:pPr>
            <w:hyperlink r:id="rId171">
              <w:r>
                <w:rPr>
                  <w:rFonts w:ascii="Arial" w:cs="Arial" w:eastAsia="Arial" w:hAnsi="Arial"/>
                  <w:sz w:val="18"/>
                  <w:szCs w:val="18"/>
                  <w:color w:val="0000FF"/>
                  <w:w w:val="97"/>
                </w:rPr>
                <w:t>Quarterly Report on Form 10-Q for the quarter</w:t>
              </w:r>
            </w:hyperlink>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4780" w:type="dxa"/>
            <w:vAlign w:val="bottom"/>
            <w:gridSpan w:val="32"/>
            <w:vMerge w:val="restart"/>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ended June 30, 2018</w:t>
              </w:r>
            </w:hyperlink>
          </w:p>
        </w:tc>
        <w:tc>
          <w:tcPr>
            <w:tcW w:w="18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36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780" w:type="dxa"/>
            <w:vAlign w:val="bottom"/>
            <w:gridSpan w:val="3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10.2</w:t>
            </w:r>
          </w:p>
        </w:tc>
        <w:tc>
          <w:tcPr>
            <w:tcW w:w="4800" w:type="dxa"/>
            <w:vAlign w:val="bottom"/>
            <w:tcBorders>
              <w:bottom w:val="single" w:sz="8" w:color="0000FF"/>
            </w:tcBorders>
            <w:gridSpan w:val="18"/>
          </w:tcPr>
          <w:p>
            <w:pPr>
              <w:spacing w:after="0"/>
              <w:rPr>
                <w:rFonts w:ascii="Arial" w:cs="Arial" w:eastAsia="Arial" w:hAnsi="Arial"/>
                <w:sz w:val="18"/>
                <w:szCs w:val="18"/>
                <w:color w:val="0000FF"/>
                <w:w w:val="99"/>
              </w:rPr>
            </w:pPr>
            <w:hyperlink r:id="rId172">
              <w:r>
                <w:rPr>
                  <w:rFonts w:ascii="Arial" w:cs="Arial" w:eastAsia="Arial" w:hAnsi="Arial"/>
                  <w:sz w:val="18"/>
                  <w:szCs w:val="18"/>
                  <w:color w:val="0000FF"/>
                  <w:w w:val="99"/>
                </w:rPr>
                <w:t>Form of Performance Award under the 2002 Lilly Stock Plan</w:t>
              </w:r>
            </w:hyperlink>
          </w:p>
        </w:tc>
        <w:tc>
          <w:tcPr>
            <w:tcW w:w="140" w:type="dxa"/>
            <w:vAlign w:val="bottom"/>
            <w:gridSpan w:val="5"/>
          </w:tcPr>
          <w:p>
            <w:pPr>
              <w:jc w:val="right"/>
              <w:spacing w:after="0"/>
              <w:rPr>
                <w:rFonts w:ascii="Arial" w:cs="Arial" w:eastAsia="Arial" w:hAnsi="Arial"/>
                <w:sz w:val="12"/>
                <w:szCs w:val="12"/>
                <w:color w:val="0000FF"/>
                <w:w w:val="81"/>
              </w:rPr>
            </w:pPr>
            <w:hyperlink r:id="rId172">
              <w:r>
                <w:rPr>
                  <w:rFonts w:ascii="Arial" w:cs="Arial" w:eastAsia="Arial" w:hAnsi="Arial"/>
                  <w:sz w:val="12"/>
                  <w:szCs w:val="12"/>
                  <w:color w:val="0000FF"/>
                  <w:w w:val="81"/>
                </w:rPr>
                <w:t>(1)</w:t>
              </w:r>
            </w:hyperlink>
          </w:p>
        </w:tc>
        <w:tc>
          <w:tcPr>
            <w:tcW w:w="20" w:type="dxa"/>
            <w:vAlign w:val="bottom"/>
            <w:tcBorders>
              <w:bottom w:val="single" w:sz="8" w:color="0000FF"/>
            </w:tcBorders>
          </w:tcPr>
          <w:p>
            <w:pPr>
              <w:spacing w:after="0"/>
              <w:rPr>
                <w:sz w:val="22"/>
                <w:szCs w:val="22"/>
                <w:color w:val="auto"/>
              </w:rPr>
            </w:pPr>
          </w:p>
        </w:tc>
        <w:tc>
          <w:tcPr>
            <w:tcW w:w="3760" w:type="dxa"/>
            <w:vAlign w:val="bottom"/>
            <w:tcBorders>
              <w:bottom w:val="single" w:sz="8" w:color="0000FF"/>
            </w:tcBorders>
            <w:gridSpan w:val="20"/>
          </w:tcPr>
          <w:p>
            <w:pPr>
              <w:ind w:left="20"/>
              <w:spacing w:after="0"/>
              <w:rPr>
                <w:rFonts w:ascii="Arial" w:cs="Arial" w:eastAsia="Arial" w:hAnsi="Arial"/>
                <w:sz w:val="18"/>
                <w:szCs w:val="18"/>
                <w:color w:val="0000FF"/>
                <w:w w:val="99"/>
              </w:rPr>
            </w:pPr>
            <w:hyperlink r:id="rId172">
              <w:r>
                <w:rPr>
                  <w:rFonts w:ascii="Arial" w:cs="Arial" w:eastAsia="Arial" w:hAnsi="Arial"/>
                  <w:sz w:val="18"/>
                  <w:szCs w:val="18"/>
                  <w:color w:val="0000FF"/>
                  <w:w w:val="99"/>
                </w:rPr>
                <w:t>incorporated by reference to Exhibit 10.2 to the</w:t>
              </w:r>
            </w:hyperlink>
          </w:p>
        </w:tc>
        <w:tc>
          <w:tcPr>
            <w:tcW w:w="32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4800" w:type="dxa"/>
            <w:vAlign w:val="bottom"/>
            <w:gridSpan w:val="18"/>
            <w:vMerge w:val="restart"/>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Company's Annual Report on Form 10-K for the year ended</w:t>
              </w:r>
            </w:hyperlink>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760" w:type="dxa"/>
            <w:vAlign w:val="bottom"/>
            <w:gridSpan w:val="20"/>
            <w:vMerge w:val="restart"/>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December 31, 2022</w:t>
              </w:r>
            </w:hyperlink>
          </w:p>
        </w:tc>
        <w:tc>
          <w:tcPr>
            <w:tcW w:w="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4800" w:type="dxa"/>
            <w:vAlign w:val="bottom"/>
            <w:gridSpan w:val="1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60" w:type="dxa"/>
            <w:vAlign w:val="bottom"/>
            <w:gridSpan w:val="20"/>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96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240" w:type="dxa"/>
            <w:vAlign w:val="bottom"/>
            <w:tcBorders>
              <w:top w:val="single" w:sz="8" w:color="0000FF"/>
              <w:bottom w:val="single" w:sz="8" w:color="0000FF"/>
            </w:tcBorders>
            <w:gridSpan w:val="27"/>
          </w:tcPr>
          <w:p>
            <w:pPr>
              <w:spacing w:after="0"/>
              <w:rPr>
                <w:sz w:val="20"/>
                <w:szCs w:val="20"/>
                <w:color w:val="auto"/>
              </w:rPr>
            </w:pPr>
            <w:r>
              <w:rPr>
                <w:rFonts w:ascii="Arial" w:cs="Arial" w:eastAsia="Arial" w:hAnsi="Arial"/>
                <w:sz w:val="18"/>
                <w:szCs w:val="18"/>
                <w:color w:val="0000FF"/>
                <w:w w:val="99"/>
              </w:rPr>
              <w:t>Form of Shareholder Value Award under the 2002 Lilly Stock Plan</w:t>
            </w:r>
          </w:p>
        </w:tc>
        <w:tc>
          <w:tcPr>
            <w:tcW w:w="140" w:type="dxa"/>
            <w:vAlign w:val="bottom"/>
            <w:tcBorders>
              <w:top w:val="single" w:sz="8" w:color="0000FF"/>
              <w:bottom w:val="single" w:sz="8" w:color="0000FF"/>
            </w:tcBorders>
            <w:vMerge w:val="restart"/>
          </w:tcPr>
          <w:p>
            <w:pPr>
              <w:jc w:val="right"/>
              <w:spacing w:after="0"/>
              <w:rPr>
                <w:sz w:val="20"/>
                <w:szCs w:val="20"/>
                <w:color w:val="auto"/>
              </w:rPr>
            </w:pPr>
            <w:r>
              <w:rPr>
                <w:rFonts w:ascii="Arial" w:cs="Arial" w:eastAsia="Arial" w:hAnsi="Arial"/>
                <w:sz w:val="12"/>
                <w:szCs w:val="12"/>
                <w:color w:val="0000FF"/>
                <w:w w:val="81"/>
              </w:rPr>
              <w:t>(1)</w:t>
            </w:r>
          </w:p>
        </w:tc>
        <w:tc>
          <w:tcPr>
            <w:tcW w:w="120" w:type="dxa"/>
            <w:vAlign w:val="bottom"/>
            <w:tcBorders>
              <w:top w:val="single" w:sz="8" w:color="0000FF"/>
              <w:bottom w:val="single" w:sz="8" w:color="0000FF"/>
            </w:tcBorders>
            <w:gridSpan w:val="5"/>
          </w:tcPr>
          <w:p>
            <w:pPr>
              <w:jc w:val="right"/>
              <w:ind w:right="40"/>
              <w:spacing w:after="0"/>
              <w:rPr>
                <w:sz w:val="20"/>
                <w:szCs w:val="20"/>
                <w:color w:val="auto"/>
              </w:rPr>
            </w:pPr>
            <w:r>
              <w:rPr>
                <w:rFonts w:ascii="Arial" w:cs="Arial" w:eastAsia="Arial" w:hAnsi="Arial"/>
                <w:sz w:val="18"/>
                <w:szCs w:val="18"/>
                <w:color w:val="0000FF"/>
                <w:w w:val="84"/>
              </w:rPr>
              <w:t>*</w:t>
            </w:r>
          </w:p>
        </w:tc>
        <w:tc>
          <w:tcPr>
            <w:tcW w:w="80" w:type="dxa"/>
            <w:vAlign w:val="bottom"/>
            <w:tcBorders>
              <w:top w:val="single" w:sz="8" w:color="0000FF"/>
              <w:bottom w:val="single" w:sz="8" w:color="0000FF"/>
            </w:tcBorders>
            <w:vMerge w:val="restart"/>
          </w:tcPr>
          <w:p>
            <w:pPr>
              <w:spacing w:after="0"/>
              <w:rPr>
                <w:sz w:val="24"/>
                <w:szCs w:val="24"/>
                <w:color w:val="auto"/>
              </w:rPr>
            </w:pPr>
          </w:p>
        </w:tc>
        <w:tc>
          <w:tcPr>
            <w:tcW w:w="80" w:type="dxa"/>
            <w:vAlign w:val="bottom"/>
            <w:tcBorders>
              <w:top w:val="single" w:sz="8" w:color="0000FF"/>
              <w:bottom w:val="single" w:sz="8" w:color="0000FF"/>
            </w:tcBorders>
            <w:vMerge w:val="restart"/>
          </w:tcPr>
          <w:p>
            <w:pPr>
              <w:spacing w:after="0"/>
              <w:rPr>
                <w:sz w:val="24"/>
                <w:szCs w:val="24"/>
                <w:color w:val="auto"/>
              </w:rPr>
            </w:pPr>
          </w:p>
        </w:tc>
        <w:tc>
          <w:tcPr>
            <w:tcW w:w="720" w:type="dxa"/>
            <w:vAlign w:val="bottom"/>
            <w:tcBorders>
              <w:top w:val="single" w:sz="8" w:color="0000FF"/>
              <w:bottom w:val="single" w:sz="8" w:color="0000FF"/>
            </w:tcBorders>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500" w:type="dxa"/>
            <w:vAlign w:val="bottom"/>
            <w:vMerge w:val="restart"/>
          </w:tcPr>
          <w:p>
            <w:pPr>
              <w:spacing w:after="0"/>
              <w:rPr>
                <w:sz w:val="24"/>
                <w:szCs w:val="24"/>
                <w:color w:val="auto"/>
              </w:rPr>
            </w:pPr>
          </w:p>
        </w:tc>
        <w:tc>
          <w:tcPr>
            <w:tcW w:w="880" w:type="dxa"/>
            <w:vAlign w:val="bottom"/>
            <w:vMerge w:val="restart"/>
          </w:tcPr>
          <w:p>
            <w:pPr>
              <w:spacing w:after="0"/>
              <w:rPr>
                <w:sz w:val="24"/>
                <w:szCs w:val="24"/>
                <w:color w:val="auto"/>
              </w:rPr>
            </w:pPr>
          </w:p>
        </w:tc>
        <w:tc>
          <w:tcPr>
            <w:tcW w:w="1020" w:type="dxa"/>
            <w:vAlign w:val="bottom"/>
            <w:gridSpan w:val="6"/>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2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4920" w:type="dxa"/>
            <w:vAlign w:val="bottom"/>
            <w:tcBorders>
              <w:bottom w:val="single" w:sz="8" w:color="0000FF"/>
            </w:tcBorders>
            <w:gridSpan w:val="22"/>
          </w:tcPr>
          <w:p>
            <w:pPr>
              <w:spacing w:after="0" w:line="189" w:lineRule="exact"/>
              <w:rPr>
                <w:sz w:val="20"/>
                <w:szCs w:val="20"/>
                <w:color w:val="auto"/>
              </w:rPr>
            </w:pPr>
            <w:r>
              <w:rPr>
                <w:rFonts w:ascii="Arial" w:cs="Arial" w:eastAsia="Arial" w:hAnsi="Arial"/>
                <w:sz w:val="18"/>
                <w:szCs w:val="18"/>
                <w:color w:val="0000FF"/>
                <w:w w:val="99"/>
              </w:rPr>
              <w:t>Form of Relative Value Award under the 2002 Lilly Stock Plan</w:t>
            </w:r>
          </w:p>
        </w:tc>
        <w:tc>
          <w:tcPr>
            <w:tcW w:w="140" w:type="dxa"/>
            <w:vAlign w:val="bottom"/>
            <w:gridSpan w:val="3"/>
            <w:vMerge w:val="restart"/>
          </w:tcPr>
          <w:p>
            <w:pPr>
              <w:jc w:val="right"/>
              <w:spacing w:after="0"/>
              <w:rPr>
                <w:sz w:val="20"/>
                <w:szCs w:val="20"/>
                <w:color w:val="auto"/>
              </w:rPr>
            </w:pPr>
            <w:r>
              <w:rPr>
                <w:rFonts w:ascii="Arial" w:cs="Arial" w:eastAsia="Arial" w:hAnsi="Arial"/>
                <w:sz w:val="12"/>
                <w:szCs w:val="12"/>
                <w:color w:val="0000FF"/>
                <w:w w:val="81"/>
              </w:rPr>
              <w:t>(1)</w:t>
            </w: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30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gridSpan w:val="3"/>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60" w:type="dxa"/>
            <w:vAlign w:val="bottom"/>
            <w:gridSpan w:val="2"/>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00" w:type="dxa"/>
            <w:vAlign w:val="bottom"/>
            <w:vMerge w:val="restart"/>
          </w:tcPr>
          <w:p>
            <w:pPr>
              <w:spacing w:after="0"/>
              <w:rPr>
                <w:sz w:val="19"/>
                <w:szCs w:val="19"/>
                <w:color w:val="auto"/>
              </w:rPr>
            </w:pPr>
          </w:p>
        </w:tc>
        <w:tc>
          <w:tcPr>
            <w:tcW w:w="880" w:type="dxa"/>
            <w:vAlign w:val="bottom"/>
            <w:vMerge w:val="restart"/>
          </w:tcPr>
          <w:p>
            <w:pPr>
              <w:spacing w:after="0"/>
              <w:rPr>
                <w:sz w:val="19"/>
                <w:szCs w:val="19"/>
                <w:color w:val="auto"/>
              </w:rPr>
            </w:pPr>
          </w:p>
        </w:tc>
        <w:tc>
          <w:tcPr>
            <w:tcW w:w="1020" w:type="dxa"/>
            <w:vAlign w:val="bottom"/>
            <w:gridSpan w:val="6"/>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2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6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5460" w:type="dxa"/>
            <w:vAlign w:val="bottom"/>
            <w:tcBorders>
              <w:bottom w:val="single" w:sz="8" w:color="0000FF"/>
            </w:tcBorders>
            <w:gridSpan w:val="31"/>
          </w:tcPr>
          <w:p>
            <w:pPr>
              <w:spacing w:after="0" w:line="196" w:lineRule="exact"/>
              <w:rPr>
                <w:sz w:val="20"/>
                <w:szCs w:val="20"/>
                <w:color w:val="auto"/>
              </w:rPr>
            </w:pPr>
            <w:r>
              <w:rPr>
                <w:rFonts w:ascii="Arial" w:cs="Arial" w:eastAsia="Arial" w:hAnsi="Arial"/>
                <w:sz w:val="18"/>
                <w:szCs w:val="18"/>
                <w:color w:val="0000FF"/>
                <w:w w:val="99"/>
              </w:rPr>
              <w:t>Form of Restricted Stock Unit Award under the 2002 Lilly Stock Plan</w:t>
            </w:r>
          </w:p>
        </w:tc>
        <w:tc>
          <w:tcPr>
            <w:tcW w:w="120" w:type="dxa"/>
            <w:vAlign w:val="bottom"/>
            <w:gridSpan w:val="3"/>
            <w:vMerge w:val="restart"/>
          </w:tcPr>
          <w:p>
            <w:pPr>
              <w:jc w:val="right"/>
              <w:spacing w:after="0"/>
              <w:rPr>
                <w:sz w:val="20"/>
                <w:szCs w:val="20"/>
                <w:color w:val="auto"/>
              </w:rPr>
            </w:pPr>
            <w:r>
              <w:rPr>
                <w:rFonts w:ascii="Arial" w:cs="Arial" w:eastAsia="Arial" w:hAnsi="Arial"/>
                <w:sz w:val="11"/>
                <w:szCs w:val="11"/>
                <w:color w:val="0000FF"/>
                <w:w w:val="74"/>
              </w:rPr>
              <w:t>(1)</w:t>
            </w:r>
          </w:p>
        </w:tc>
        <w:tc>
          <w:tcPr>
            <w:tcW w:w="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84"/>
              </w:rPr>
              <w:t>*</w:t>
            </w:r>
          </w:p>
        </w:tc>
        <w:tc>
          <w:tcPr>
            <w:tcW w:w="760" w:type="dxa"/>
            <w:vAlign w:val="bottom"/>
            <w:gridSpan w:val="2"/>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00" w:type="dxa"/>
            <w:vAlign w:val="bottom"/>
            <w:vMerge w:val="restart"/>
          </w:tcPr>
          <w:p>
            <w:pPr>
              <w:spacing w:after="0"/>
              <w:rPr>
                <w:sz w:val="19"/>
                <w:szCs w:val="19"/>
                <w:color w:val="auto"/>
              </w:rPr>
            </w:pPr>
          </w:p>
        </w:tc>
        <w:tc>
          <w:tcPr>
            <w:tcW w:w="880" w:type="dxa"/>
            <w:vAlign w:val="bottom"/>
            <w:vMerge w:val="restart"/>
          </w:tcPr>
          <w:p>
            <w:pPr>
              <w:spacing w:after="0"/>
              <w:rPr>
                <w:sz w:val="19"/>
                <w:szCs w:val="19"/>
                <w:color w:val="auto"/>
              </w:rPr>
            </w:pPr>
          </w:p>
        </w:tc>
        <w:tc>
          <w:tcPr>
            <w:tcW w:w="1020" w:type="dxa"/>
            <w:vAlign w:val="bottom"/>
            <w:gridSpan w:val="6"/>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2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35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Form of Non-Compete Payment Agreement</w:t>
              </w:r>
            </w:hyperlink>
          </w:p>
        </w:tc>
        <w:tc>
          <w:tcPr>
            <w:tcW w:w="160" w:type="dxa"/>
            <w:vAlign w:val="bottom"/>
            <w:gridSpan w:val="3"/>
            <w:vMerge w:val="restart"/>
          </w:tcPr>
          <w:p>
            <w:pPr>
              <w:jc w:val="right"/>
              <w:spacing w:after="0"/>
              <w:rPr>
                <w:rFonts w:ascii="Arial" w:cs="Arial" w:eastAsia="Arial" w:hAnsi="Arial"/>
                <w:sz w:val="11"/>
                <w:szCs w:val="11"/>
                <w:color w:val="0000FF"/>
                <w:w w:val="74"/>
              </w:rPr>
            </w:pPr>
            <w:hyperlink r:id="rId173">
              <w:r>
                <w:rPr>
                  <w:rFonts w:ascii="Arial" w:cs="Arial" w:eastAsia="Arial" w:hAnsi="Arial"/>
                  <w:sz w:val="11"/>
                  <w:szCs w:val="11"/>
                  <w:color w:val="0000FF"/>
                  <w:w w:val="74"/>
                </w:rPr>
                <w:t>(1)</w:t>
              </w:r>
            </w:hyperlink>
          </w:p>
        </w:tc>
        <w:tc>
          <w:tcPr>
            <w:tcW w:w="5380" w:type="dxa"/>
            <w:vAlign w:val="bottom"/>
            <w:tcBorders>
              <w:bottom w:val="single" w:sz="8" w:color="0000FF"/>
            </w:tcBorders>
            <w:gridSpan w:val="38"/>
          </w:tcPr>
          <w:p>
            <w:pPr>
              <w:spacing w:after="0" w:line="196"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 incorporated by reference to Exhibit 10.5 to the Company's Annual</w:t>
              </w:r>
            </w:hyperlink>
          </w:p>
        </w:tc>
        <w:tc>
          <w:tcPr>
            <w:tcW w:w="2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96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46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gridSpan w:val="6"/>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960" w:type="dxa"/>
            <w:vAlign w:val="bottom"/>
          </w:tcPr>
          <w:p>
            <w:pPr>
              <w:spacing w:after="0"/>
              <w:rPr>
                <w:sz w:val="11"/>
                <w:szCs w:val="11"/>
                <w:color w:val="auto"/>
              </w:rPr>
            </w:pPr>
          </w:p>
        </w:tc>
        <w:tc>
          <w:tcPr>
            <w:tcW w:w="4840" w:type="dxa"/>
            <w:vAlign w:val="bottom"/>
            <w:tcBorders>
              <w:bottom w:val="single" w:sz="8" w:color="0000FF"/>
            </w:tcBorders>
            <w:gridSpan w:val="20"/>
          </w:tcPr>
          <w:p>
            <w:pPr>
              <w:spacing w:after="0" w:line="129" w:lineRule="exact"/>
              <w:rPr>
                <w:rFonts w:ascii="Arial" w:cs="Arial" w:eastAsia="Arial" w:hAnsi="Arial"/>
                <w:sz w:val="13"/>
                <w:szCs w:val="13"/>
                <w:color w:val="0000FF"/>
              </w:rPr>
            </w:pPr>
            <w:hyperlink r:id="rId173">
              <w:r>
                <w:rPr>
                  <w:rFonts w:ascii="Arial" w:cs="Arial" w:eastAsia="Arial" w:hAnsi="Arial"/>
                  <w:sz w:val="13"/>
                  <w:szCs w:val="13"/>
                  <w:color w:val="0000FF"/>
                </w:rPr>
                <w:t>Report on Form 10-K for the year ended December 31, 2022</w:t>
              </w:r>
            </w:hyperlink>
          </w:p>
        </w:tc>
        <w:tc>
          <w:tcPr>
            <w:tcW w:w="4400" w:type="dxa"/>
            <w:vAlign w:val="bottom"/>
            <w:gridSpan w:val="30"/>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960" w:type="dxa"/>
            <w:vAlign w:val="bottom"/>
          </w:tcPr>
          <w:p>
            <w:pPr>
              <w:spacing w:after="0"/>
              <w:rPr>
                <w:sz w:val="20"/>
                <w:szCs w:val="20"/>
                <w:color w:val="auto"/>
              </w:rPr>
            </w:pPr>
            <w:r>
              <w:rPr>
                <w:rFonts w:ascii="Arial" w:cs="Arial" w:eastAsia="Arial" w:hAnsi="Arial"/>
                <w:sz w:val="18"/>
                <w:szCs w:val="18"/>
                <w:color w:val="auto"/>
              </w:rPr>
              <w:t>10.7</w:t>
            </w:r>
          </w:p>
        </w:tc>
        <w:tc>
          <w:tcPr>
            <w:tcW w:w="4140" w:type="dxa"/>
            <w:vAlign w:val="bottom"/>
            <w:tcBorders>
              <w:bottom w:val="single" w:sz="8" w:color="0000FF"/>
            </w:tcBorders>
            <w:gridSpan w:val="13"/>
          </w:tcPr>
          <w:p>
            <w:pPr>
              <w:spacing w:after="0"/>
              <w:rPr>
                <w:rFonts w:ascii="Arial" w:cs="Arial" w:eastAsia="Arial" w:hAnsi="Arial"/>
                <w:sz w:val="18"/>
                <w:szCs w:val="18"/>
                <w:color w:val="0000FF"/>
                <w:w w:val="99"/>
              </w:rPr>
            </w:pPr>
            <w:hyperlink r:id="rId174">
              <w:r>
                <w:rPr>
                  <w:rFonts w:ascii="Arial" w:cs="Arial" w:eastAsia="Arial" w:hAnsi="Arial"/>
                  <w:sz w:val="18"/>
                  <w:szCs w:val="18"/>
                  <w:color w:val="0000FF"/>
                  <w:w w:val="99"/>
                </w:rPr>
                <w:t>The Lilly Deferred Compensation Plan, as amended</w:t>
              </w:r>
            </w:hyperlink>
          </w:p>
        </w:tc>
        <w:tc>
          <w:tcPr>
            <w:tcW w:w="140" w:type="dxa"/>
            <w:vAlign w:val="bottom"/>
            <w:gridSpan w:val="2"/>
          </w:tcPr>
          <w:p>
            <w:pPr>
              <w:jc w:val="right"/>
              <w:spacing w:after="0"/>
              <w:rPr>
                <w:rFonts w:ascii="Arial" w:cs="Arial" w:eastAsia="Arial" w:hAnsi="Arial"/>
                <w:sz w:val="12"/>
                <w:szCs w:val="12"/>
                <w:u w:val="single" w:color="auto"/>
                <w:color w:val="0000FF"/>
                <w:w w:val="81"/>
              </w:rPr>
            </w:pPr>
            <w:hyperlink r:id="rId174">
              <w:r>
                <w:rPr>
                  <w:rFonts w:ascii="Arial" w:cs="Arial" w:eastAsia="Arial" w:hAnsi="Arial"/>
                  <w:sz w:val="12"/>
                  <w:szCs w:val="12"/>
                  <w:u w:val="single" w:color="auto"/>
                  <w:color w:val="0000FF"/>
                  <w:w w:val="81"/>
                </w:rPr>
                <w:t>(1)</w:t>
              </w:r>
            </w:hyperlink>
          </w:p>
        </w:tc>
        <w:tc>
          <w:tcPr>
            <w:tcW w:w="4780" w:type="dxa"/>
            <w:vAlign w:val="bottom"/>
            <w:tcBorders>
              <w:bottom w:val="single" w:sz="8" w:color="0000FF"/>
            </w:tcBorders>
            <w:gridSpan w:val="33"/>
          </w:tcPr>
          <w:p>
            <w:pPr>
              <w:spacing w:after="0"/>
              <w:rPr>
                <w:rFonts w:ascii="Arial" w:cs="Arial" w:eastAsia="Arial" w:hAnsi="Arial"/>
                <w:sz w:val="18"/>
                <w:szCs w:val="18"/>
                <w:color w:val="0000FF"/>
                <w:w w:val="99"/>
              </w:rPr>
            </w:pPr>
            <w:hyperlink r:id="rId174">
              <w:r>
                <w:rPr>
                  <w:rFonts w:ascii="Arial" w:cs="Arial" w:eastAsia="Arial" w:hAnsi="Arial"/>
                  <w:sz w:val="18"/>
                  <w:szCs w:val="18"/>
                  <w:color w:val="0000FF"/>
                  <w:w w:val="99"/>
                </w:rPr>
                <w:t>, incorporated by reference to Exhibit 10.5 to the Company's</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5480" w:type="dxa"/>
            <w:vAlign w:val="bottom"/>
            <w:tcBorders>
              <w:bottom w:val="single" w:sz="8" w:color="0000FF"/>
            </w:tcBorders>
            <w:gridSpan w:val="32"/>
          </w:tcPr>
          <w:p>
            <w:pPr>
              <w:spacing w:after="0" w:line="169" w:lineRule="exact"/>
              <w:rPr>
                <w:rFonts w:ascii="Arial" w:cs="Arial" w:eastAsia="Arial" w:hAnsi="Arial"/>
                <w:sz w:val="18"/>
                <w:szCs w:val="18"/>
                <w:color w:val="0000FF"/>
              </w:rPr>
            </w:pPr>
            <w:hyperlink r:id="rId174">
              <w:r>
                <w:rPr>
                  <w:rFonts w:ascii="Arial" w:cs="Arial" w:eastAsia="Arial" w:hAnsi="Arial"/>
                  <w:sz w:val="18"/>
                  <w:szCs w:val="18"/>
                  <w:color w:val="0000FF"/>
                </w:rPr>
                <w:t>Annual Report on Form 10-K for the year ended December 31, 2013</w:t>
              </w:r>
            </w:hyperlink>
          </w:p>
        </w:tc>
        <w:tc>
          <w:tcPr>
            <w:tcW w:w="37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FF"/>
            </w:tcBorders>
            <w:gridSpan w:val="10"/>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The Lilly Directors' Deferral Plan, as amended</w:t>
              </w:r>
            </w:hyperlink>
          </w:p>
        </w:tc>
        <w:tc>
          <w:tcPr>
            <w:tcW w:w="140" w:type="dxa"/>
            <w:vAlign w:val="bottom"/>
            <w:gridSpan w:val="2"/>
          </w:tcPr>
          <w:p>
            <w:pPr>
              <w:jc w:val="right"/>
              <w:spacing w:after="0"/>
              <w:rPr>
                <w:rFonts w:ascii="Arial" w:cs="Arial" w:eastAsia="Arial" w:hAnsi="Arial"/>
                <w:sz w:val="12"/>
                <w:szCs w:val="12"/>
                <w:u w:val="single" w:color="auto"/>
                <w:color w:val="0000FF"/>
                <w:w w:val="81"/>
              </w:rPr>
            </w:pPr>
            <w:hyperlink r:id="rId175">
              <w:r>
                <w:rPr>
                  <w:rFonts w:ascii="Arial" w:cs="Arial" w:eastAsia="Arial" w:hAnsi="Arial"/>
                  <w:sz w:val="12"/>
                  <w:szCs w:val="12"/>
                  <w:u w:val="single" w:color="auto"/>
                  <w:color w:val="0000FF"/>
                  <w:w w:val="81"/>
                </w:rPr>
                <w:t>(1)</w:t>
              </w:r>
            </w:hyperlink>
          </w:p>
        </w:tc>
        <w:tc>
          <w:tcPr>
            <w:tcW w:w="5420" w:type="dxa"/>
            <w:vAlign w:val="bottom"/>
            <w:tcBorders>
              <w:bottom w:val="single" w:sz="8" w:color="0000FF"/>
            </w:tcBorders>
            <w:gridSpan w:val="38"/>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 incorporated by reference to Exhibit 10 to the Company's Quarterly</w:t>
              </w:r>
            </w:hyperlink>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3820" w:type="dxa"/>
            <w:vAlign w:val="bottom"/>
            <w:tcBorders>
              <w:bottom w:val="single" w:sz="8" w:color="0000FF"/>
            </w:tcBorders>
            <w:gridSpan w:val="12"/>
          </w:tcPr>
          <w:p>
            <w:pPr>
              <w:spacing w:after="0" w:line="169" w:lineRule="exact"/>
              <w:rPr>
                <w:rFonts w:ascii="Arial" w:cs="Arial" w:eastAsia="Arial" w:hAnsi="Arial"/>
                <w:sz w:val="18"/>
                <w:szCs w:val="18"/>
                <w:color w:val="0000FF"/>
                <w:w w:val="97"/>
              </w:rPr>
            </w:pPr>
            <w:hyperlink r:id="rId175">
              <w:r>
                <w:rPr>
                  <w:rFonts w:ascii="Arial" w:cs="Arial" w:eastAsia="Arial" w:hAnsi="Arial"/>
                  <w:sz w:val="18"/>
                  <w:szCs w:val="18"/>
                  <w:color w:val="0000FF"/>
                  <w:w w:val="97"/>
                </w:rPr>
                <w:t>Report on Form 10-Q for the quarter ended June</w:t>
              </w:r>
            </w:hyperlink>
          </w:p>
        </w:tc>
        <w:tc>
          <w:tcPr>
            <w:tcW w:w="820" w:type="dxa"/>
            <w:vAlign w:val="bottom"/>
            <w:tcBorders>
              <w:bottom w:val="single" w:sz="8" w:color="0000FF"/>
            </w:tcBorders>
            <w:gridSpan w:val="5"/>
          </w:tcPr>
          <w:p>
            <w:pPr>
              <w:jc w:val="right"/>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30, 2017</w:t>
              </w:r>
            </w:hyperlink>
          </w:p>
        </w:tc>
        <w:tc>
          <w:tcPr>
            <w:tcW w:w="4600" w:type="dxa"/>
            <w:vAlign w:val="bottom"/>
            <w:gridSpan w:val="3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10.9</w:t>
            </w:r>
          </w:p>
        </w:tc>
        <w:tc>
          <w:tcPr>
            <w:tcW w:w="4160" w:type="dxa"/>
            <w:vAlign w:val="bottom"/>
            <w:tcBorders>
              <w:bottom w:val="single" w:sz="8" w:color="0000FF"/>
            </w:tcBorders>
            <w:gridSpan w:val="14"/>
          </w:tcPr>
          <w:p>
            <w:pPr>
              <w:spacing w:after="0"/>
              <w:rPr>
                <w:rFonts w:ascii="Arial" w:cs="Arial" w:eastAsia="Arial" w:hAnsi="Arial"/>
                <w:sz w:val="18"/>
                <w:szCs w:val="18"/>
                <w:color w:val="0000FF"/>
                <w:w w:val="99"/>
              </w:rPr>
            </w:pPr>
            <w:hyperlink r:id="rId176">
              <w:r>
                <w:rPr>
                  <w:rFonts w:ascii="Arial" w:cs="Arial" w:eastAsia="Arial" w:hAnsi="Arial"/>
                  <w:sz w:val="18"/>
                  <w:szCs w:val="18"/>
                  <w:color w:val="0000FF"/>
                  <w:w w:val="99"/>
                </w:rPr>
                <w:t>The Eli Lilly and Company Bonus Plan, as amended</w:t>
              </w:r>
            </w:hyperlink>
          </w:p>
        </w:tc>
        <w:tc>
          <w:tcPr>
            <w:tcW w:w="140" w:type="dxa"/>
            <w:vAlign w:val="bottom"/>
            <w:gridSpan w:val="2"/>
          </w:tcPr>
          <w:p>
            <w:pPr>
              <w:jc w:val="right"/>
              <w:spacing w:after="0"/>
              <w:rPr>
                <w:rFonts w:ascii="Arial" w:cs="Arial" w:eastAsia="Arial" w:hAnsi="Arial"/>
                <w:sz w:val="12"/>
                <w:szCs w:val="12"/>
                <w:u w:val="single" w:color="auto"/>
                <w:color w:val="0000FF"/>
                <w:w w:val="81"/>
              </w:rPr>
            </w:pPr>
            <w:hyperlink r:id="rId176">
              <w:r>
                <w:rPr>
                  <w:rFonts w:ascii="Arial" w:cs="Arial" w:eastAsia="Arial" w:hAnsi="Arial"/>
                  <w:sz w:val="12"/>
                  <w:szCs w:val="12"/>
                  <w:u w:val="single" w:color="auto"/>
                  <w:color w:val="0000FF"/>
                  <w:w w:val="81"/>
                </w:rPr>
                <w:t>(1)</w:t>
              </w:r>
            </w:hyperlink>
          </w:p>
        </w:tc>
        <w:tc>
          <w:tcPr>
            <w:tcW w:w="4880" w:type="dxa"/>
            <w:vAlign w:val="bottom"/>
            <w:tcBorders>
              <w:bottom w:val="single" w:sz="8" w:color="0000FF"/>
            </w:tcBorders>
            <w:gridSpan w:val="33"/>
          </w:tcPr>
          <w:p>
            <w:pPr>
              <w:spacing w:after="0"/>
              <w:rPr>
                <w:rFonts w:ascii="Arial" w:cs="Arial" w:eastAsia="Arial" w:hAnsi="Arial"/>
                <w:sz w:val="18"/>
                <w:szCs w:val="18"/>
                <w:color w:val="0000FF"/>
                <w:w w:val="99"/>
              </w:rPr>
            </w:pPr>
            <w:hyperlink r:id="rId176">
              <w:r>
                <w:rPr>
                  <w:rFonts w:ascii="Arial" w:cs="Arial" w:eastAsia="Arial" w:hAnsi="Arial"/>
                  <w:sz w:val="18"/>
                  <w:szCs w:val="18"/>
                  <w:color w:val="0000FF"/>
                  <w:w w:val="99"/>
                </w:rPr>
                <w:t>, incorporated by reference to Exhibit 10.14 to the Company's</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5480" w:type="dxa"/>
            <w:vAlign w:val="bottom"/>
            <w:tcBorders>
              <w:bottom w:val="single" w:sz="8" w:color="0000FF"/>
            </w:tcBorders>
            <w:gridSpan w:val="32"/>
          </w:tcPr>
          <w:p>
            <w:pPr>
              <w:spacing w:after="0" w:line="169" w:lineRule="exact"/>
              <w:rPr>
                <w:rFonts w:ascii="Arial" w:cs="Arial" w:eastAsia="Arial" w:hAnsi="Arial"/>
                <w:sz w:val="18"/>
                <w:szCs w:val="18"/>
                <w:color w:val="0000FF"/>
              </w:rPr>
            </w:pPr>
            <w:hyperlink r:id="rId176">
              <w:r>
                <w:rPr>
                  <w:rFonts w:ascii="Arial" w:cs="Arial" w:eastAsia="Arial" w:hAnsi="Arial"/>
                  <w:sz w:val="18"/>
                  <w:szCs w:val="18"/>
                  <w:color w:val="0000FF"/>
                </w:rPr>
                <w:t>Annual Report on Form 10-K for the year ended December 31, 2020</w:t>
              </w:r>
            </w:hyperlink>
          </w:p>
        </w:tc>
        <w:tc>
          <w:tcPr>
            <w:tcW w:w="37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960" w:type="dxa"/>
            <w:vAlign w:val="bottom"/>
            <w:vMerge w:val="restart"/>
          </w:tcPr>
          <w:p>
            <w:pPr>
              <w:spacing w:after="0"/>
              <w:rPr>
                <w:sz w:val="20"/>
                <w:szCs w:val="20"/>
                <w:color w:val="auto"/>
              </w:rPr>
            </w:pPr>
            <w:r>
              <w:rPr>
                <w:rFonts w:ascii="Arial" w:cs="Arial" w:eastAsia="Arial" w:hAnsi="Arial"/>
                <w:sz w:val="18"/>
                <w:szCs w:val="18"/>
                <w:color w:val="auto"/>
              </w:rPr>
              <w:t>10.10</w:t>
            </w:r>
          </w:p>
        </w:tc>
        <w:tc>
          <w:tcPr>
            <w:tcW w:w="642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color w:val="0000FF"/>
                <w:w w:val="99"/>
              </w:rPr>
              <w:t>2007 Change in Control Severance Pay Plan for Select Employees, as amended</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0000FF"/>
                <w:w w:val="81"/>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4"/>
              </w:rPr>
              <w:t>*</w:t>
            </w:r>
          </w:p>
        </w:tc>
        <w:tc>
          <w:tcPr>
            <w:tcW w:w="500" w:type="dxa"/>
            <w:vAlign w:val="bottom"/>
            <w:vMerge w:val="restart"/>
          </w:tcPr>
          <w:p>
            <w:pPr>
              <w:spacing w:after="0"/>
              <w:rPr>
                <w:sz w:val="24"/>
                <w:szCs w:val="24"/>
                <w:color w:val="auto"/>
              </w:rPr>
            </w:pPr>
          </w:p>
        </w:tc>
        <w:tc>
          <w:tcPr>
            <w:tcW w:w="880" w:type="dxa"/>
            <w:vAlign w:val="bottom"/>
            <w:vMerge w:val="restart"/>
          </w:tcPr>
          <w:p>
            <w:pPr>
              <w:spacing w:after="0"/>
              <w:rPr>
                <w:sz w:val="24"/>
                <w:szCs w:val="24"/>
                <w:color w:val="auto"/>
              </w:rPr>
            </w:pPr>
          </w:p>
        </w:tc>
        <w:tc>
          <w:tcPr>
            <w:tcW w:w="122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2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60" w:type="dxa"/>
            <w:vAlign w:val="bottom"/>
          </w:tcPr>
          <w:p>
            <w:pPr>
              <w:spacing w:after="0" w:line="203" w:lineRule="exact"/>
              <w:rPr>
                <w:sz w:val="20"/>
                <w:szCs w:val="20"/>
                <w:color w:val="auto"/>
              </w:rPr>
            </w:pPr>
            <w:r>
              <w:rPr>
                <w:rFonts w:ascii="Arial" w:cs="Arial" w:eastAsia="Arial" w:hAnsi="Arial"/>
                <w:sz w:val="18"/>
                <w:szCs w:val="18"/>
                <w:color w:val="auto"/>
              </w:rPr>
              <w:t>21</w:t>
            </w:r>
          </w:p>
        </w:tc>
        <w:tc>
          <w:tcPr>
            <w:tcW w:w="9240" w:type="dxa"/>
            <w:vAlign w:val="bottom"/>
            <w:gridSpan w:val="50"/>
          </w:tcPr>
          <w:p>
            <w:pPr>
              <w:spacing w:after="0" w:line="203" w:lineRule="exact"/>
              <w:rPr>
                <w:sz w:val="20"/>
                <w:szCs w:val="20"/>
                <w:color w:val="auto"/>
              </w:rPr>
            </w:pPr>
            <w:r>
              <w:rPr>
                <w:rFonts w:ascii="Arial" w:cs="Arial" w:eastAsia="Arial" w:hAnsi="Arial"/>
                <w:sz w:val="18"/>
                <w:szCs w:val="18"/>
                <w:color w:val="0000FF"/>
              </w:rPr>
              <w:t>List of Subsidiaries*</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23</w:t>
            </w:r>
          </w:p>
        </w:tc>
        <w:tc>
          <w:tcPr>
            <w:tcW w:w="48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4420" w:type="dxa"/>
            <w:vAlign w:val="bottom"/>
            <w:gridSpan w:val="3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40"/>
          </w:tcPr>
          <w:p>
            <w:pPr>
              <w:spacing w:after="0"/>
              <w:rPr>
                <w:sz w:val="20"/>
                <w:szCs w:val="20"/>
                <w:color w:val="auto"/>
              </w:rPr>
            </w:pPr>
            <w:r>
              <w:rPr>
                <w:rFonts w:ascii="Arial" w:cs="Arial" w:eastAsia="Arial" w:hAnsi="Arial"/>
                <w:sz w:val="18"/>
                <w:szCs w:val="18"/>
                <w:color w:val="0000FF"/>
                <w:w w:val="99"/>
              </w:rPr>
              <w:t>Rule 13a-14(a) Certification of David Ricks, Chair, President, and Chief Executive Officer*</w:t>
            </w:r>
          </w:p>
        </w:tc>
        <w:tc>
          <w:tcPr>
            <w:tcW w:w="210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gridSpan w:val="50"/>
          </w:tcPr>
          <w:p>
            <w:pPr>
              <w:spacing w:after="0"/>
              <w:rPr>
                <w:sz w:val="20"/>
                <w:szCs w:val="20"/>
                <w:color w:val="auto"/>
              </w:rPr>
            </w:pPr>
            <w:r>
              <w:rPr>
                <w:rFonts w:ascii="Arial" w:cs="Arial" w:eastAsia="Arial" w:hAnsi="Arial"/>
                <w:sz w:val="18"/>
                <w:szCs w:val="18"/>
                <w:color w:val="0000FF"/>
              </w:rPr>
              <w:t>Rule 13a-14(a) Certification of Anat Ashkenazi, Executive Vice President and Chief Financial Officer*</w:t>
            </w: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32</w:t>
            </w:r>
          </w:p>
        </w:tc>
        <w:tc>
          <w:tcPr>
            <w:tcW w:w="8020" w:type="dxa"/>
            <w:vAlign w:val="bottom"/>
            <w:tcBorders>
              <w:top w:val="single" w:sz="8" w:color="0000FF"/>
            </w:tcBorders>
            <w:gridSpan w:val="41"/>
          </w:tcPr>
          <w:p>
            <w:pPr>
              <w:spacing w:after="0"/>
              <w:rPr>
                <w:sz w:val="20"/>
                <w:szCs w:val="20"/>
                <w:color w:val="auto"/>
              </w:rPr>
            </w:pPr>
            <w:r>
              <w:rPr>
                <w:rFonts w:ascii="Arial" w:cs="Arial" w:eastAsia="Arial" w:hAnsi="Arial"/>
                <w:sz w:val="18"/>
                <w:szCs w:val="18"/>
                <w:color w:val="0000FF"/>
              </w:rPr>
              <w:t>Section 1350 Certification*</w:t>
            </w:r>
          </w:p>
        </w:tc>
        <w:tc>
          <w:tcPr>
            <w:tcW w:w="12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97</w:t>
            </w:r>
          </w:p>
        </w:tc>
        <w:tc>
          <w:tcPr>
            <w:tcW w:w="9240" w:type="dxa"/>
            <w:vAlign w:val="bottom"/>
            <w:gridSpan w:val="50"/>
          </w:tcPr>
          <w:p>
            <w:pPr>
              <w:spacing w:after="0"/>
              <w:rPr>
                <w:sz w:val="20"/>
                <w:szCs w:val="20"/>
                <w:color w:val="auto"/>
              </w:rPr>
            </w:pPr>
            <w:r>
              <w:rPr>
                <w:rFonts w:ascii="Arial" w:cs="Arial" w:eastAsia="Arial" w:hAnsi="Arial"/>
                <w:sz w:val="18"/>
                <w:szCs w:val="18"/>
                <w:color w:val="0000FF"/>
              </w:rPr>
              <w:t>Executive Compensation Recovery Policy*</w:t>
            </w:r>
          </w:p>
        </w:tc>
        <w:tc>
          <w:tcPr>
            <w:tcW w:w="0" w:type="dxa"/>
            <w:vAlign w:val="bottom"/>
          </w:tcPr>
          <w:p>
            <w:pPr>
              <w:spacing w:after="0"/>
              <w:rPr>
                <w:sz w:val="1"/>
                <w:szCs w:val="1"/>
                <w:color w:val="auto"/>
              </w:rPr>
            </w:pPr>
          </w:p>
        </w:tc>
      </w:tr>
      <w:tr>
        <w:trPr>
          <w:trHeight w:val="308"/>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3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Interactive Data File*</w:t>
            </w:r>
          </w:p>
        </w:tc>
        <w:tc>
          <w:tcPr>
            <w:tcW w:w="5840" w:type="dxa"/>
            <w:vAlign w:val="bottom"/>
            <w:gridSpan w:val="46"/>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104</w:t>
            </w:r>
          </w:p>
        </w:tc>
        <w:tc>
          <w:tcPr>
            <w:tcW w:w="9240" w:type="dxa"/>
            <w:vAlign w:val="bottom"/>
            <w:gridSpan w:val="50"/>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7600" w:firstLine="8"/>
        <w:spacing w:after="0" w:line="305" w:lineRule="auto"/>
        <w:tabs>
          <w:tab w:leader="none" w:pos="150" w:val="left"/>
        </w:tabs>
        <w:numPr>
          <w:ilvl w:val="0"/>
          <w:numId w:val="44"/>
        </w:numPr>
        <w:rPr>
          <w:rFonts w:ascii="Arial" w:cs="Arial" w:eastAsia="Arial" w:hAnsi="Arial"/>
          <w:sz w:val="9"/>
          <w:szCs w:val="9"/>
          <w:color w:val="auto"/>
        </w:rPr>
      </w:pPr>
      <w:r>
        <w:rPr>
          <w:rFonts w:ascii="Arial" w:cs="Arial" w:eastAsia="Arial" w:hAnsi="Arial"/>
          <w:sz w:val="14"/>
          <w:szCs w:val="14"/>
          <w:color w:val="auto"/>
        </w:rPr>
        <w:t>Indicates management contract or compensatory plan. * Filed herewith.</w:t>
      </w:r>
    </w:p>
    <w:p>
      <w:pPr>
        <w:spacing w:after="0" w:line="144" w:lineRule="exact"/>
        <w:rPr>
          <w:sz w:val="20"/>
          <w:szCs w:val="20"/>
          <w:color w:val="auto"/>
        </w:rPr>
      </w:pPr>
    </w:p>
    <w:p>
      <w:pPr>
        <w:jc w:val="both"/>
        <w:ind w:right="2980"/>
        <w:spacing w:after="0" w:line="263" w:lineRule="auto"/>
        <w:rPr>
          <w:sz w:val="20"/>
          <w:szCs w:val="20"/>
          <w:color w:val="auto"/>
        </w:rPr>
      </w:pPr>
      <w:r>
        <w:rPr>
          <w:rFonts w:ascii="Arial" w:cs="Arial" w:eastAsia="Arial" w:hAnsi="Arial"/>
          <w:sz w:val="14"/>
          <w:szCs w:val="14"/>
          <w:color w:val="auto"/>
        </w:rPr>
        <w:t>Long-term debt instruments under which the total amount of securities authorized does not exceed 10 percent of our consolidated assets are not filed as exhibits to this Annual Report. We will furnish a copy of these agreements to the Securities and Exchange Commission upon request.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 Lilly and Company</w:t>
      </w:r>
    </w:p>
    <w:p>
      <w:pPr>
        <w:spacing w:after="0" w:line="250" w:lineRule="exact"/>
        <w:rPr>
          <w:sz w:val="20"/>
          <w:szCs w:val="20"/>
          <w:color w:val="auto"/>
        </w:rPr>
      </w:pPr>
    </w:p>
    <w:p>
      <w:pPr>
        <w:ind w:left="20"/>
        <w:spacing w:after="0"/>
        <w:tabs>
          <w:tab w:leader="none" w:pos="620" w:val="left"/>
          <w:tab w:leader="none" w:pos="10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17780</wp:posOffset>
            </wp:positionV>
            <wp:extent cx="39001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David Ricks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0" w:right="439" w:bottom="1440" w:gutter="0" w:footer="0" w:header="0"/>
        </w:sectPr>
      </w:pPr>
    </w:p>
    <w:bookmarkStart w:id="119" w:name="page120"/>
    <w:bookmarkEnd w:id="119"/>
    <w:p>
      <w:pPr>
        <w:ind w:right="66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21, 2024 by the following persons on behalf of the Registrant and in the capacities indicated.</w:t>
      </w:r>
    </w:p>
    <w:p>
      <w:pPr>
        <w:spacing w:after="0" w:line="82" w:lineRule="exact"/>
        <w:rPr>
          <w:sz w:val="20"/>
          <w:szCs w:val="20"/>
          <w:color w:val="auto"/>
        </w:rPr>
      </w:pPr>
    </w:p>
    <w:p>
      <w:pPr>
        <w:ind w:left="2560"/>
        <w:spacing w:after="0"/>
        <w:tabs>
          <w:tab w:leader="none" w:pos="8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08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86" w:lineRule="exact"/>
        <w:rPr>
          <w:sz w:val="20"/>
          <w:szCs w:val="20"/>
          <w:color w:val="auto"/>
        </w:rPr>
      </w:pPr>
    </w:p>
    <w:p>
      <w:pPr>
        <w:jc w:val="center"/>
        <w:ind w:left="760"/>
        <w:spacing w:after="0"/>
        <w:tabs>
          <w:tab w:leader="none" w:pos="180" w:val="left"/>
        </w:tabs>
        <w:rPr>
          <w:sz w:val="20"/>
          <w:szCs w:val="20"/>
          <w:color w:val="auto"/>
        </w:rPr>
      </w:pP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DAVID RICKS</w:t>
      </w:r>
    </w:p>
    <w:p>
      <w:pPr>
        <w:spacing w:after="0" w:line="90" w:lineRule="exact"/>
        <w:rPr>
          <w:sz w:val="20"/>
          <w:szCs w:val="20"/>
          <w:color w:val="auto"/>
        </w:rPr>
      </w:pPr>
    </w:p>
    <w:p>
      <w:pPr>
        <w:ind w:left="2060"/>
        <w:spacing w:after="0"/>
        <w:tabs>
          <w:tab w:leader="none" w:pos="2420" w:val="left"/>
        </w:tabs>
        <w:rPr>
          <w:sz w:val="20"/>
          <w:szCs w:val="20"/>
          <w:color w:val="auto"/>
        </w:rPr>
      </w:pPr>
      <w:r>
        <w:rPr>
          <w:rFonts w:ascii="Arial" w:cs="Arial" w:eastAsia="Arial" w:hAnsi="Arial"/>
          <w:sz w:val="18"/>
          <w:szCs w:val="18"/>
          <w:color w:val="auto"/>
        </w:rPr>
        <w:t>/s/</w:t>
        <w:tab/>
        <w:t>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ANAT ASHKENAZI</w:t>
      </w:r>
    </w:p>
    <w:p>
      <w:pPr>
        <w:spacing w:after="0" w:line="90" w:lineRule="exact"/>
        <w:rPr>
          <w:sz w:val="20"/>
          <w:szCs w:val="20"/>
          <w:color w:val="auto"/>
        </w:rPr>
      </w:pPr>
    </w:p>
    <w:p>
      <w:pPr>
        <w:ind w:left="1980"/>
        <w:spacing w:after="0"/>
        <w:tabs>
          <w:tab w:leader="none" w:pos="2340" w:val="left"/>
        </w:tabs>
        <w:rPr>
          <w:sz w:val="20"/>
          <w:szCs w:val="20"/>
          <w:color w:val="auto"/>
        </w:rPr>
      </w:pPr>
      <w:r>
        <w:rPr>
          <w:rFonts w:ascii="Arial" w:cs="Arial" w:eastAsia="Arial" w:hAnsi="Arial"/>
          <w:sz w:val="18"/>
          <w:szCs w:val="18"/>
          <w:color w:val="auto"/>
        </w:rPr>
        <w:t>/s/</w:t>
        <w:tab/>
        <w:t>Donald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DONALD ZAKROWSKI</w:t>
      </w:r>
    </w:p>
    <w:p>
      <w:pPr>
        <w:spacing w:after="0" w:line="102" w:lineRule="exact"/>
        <w:rPr>
          <w:sz w:val="20"/>
          <w:szCs w:val="20"/>
          <w:color w:val="auto"/>
        </w:rPr>
      </w:pPr>
    </w:p>
    <w:p>
      <w:pPr>
        <w:ind w:left="2120"/>
        <w:spacing w:after="0"/>
        <w:tabs>
          <w:tab w:leader="none" w:pos="250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518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Chair, President, and Chief Executive Officer (principal executive officer)</w:t>
      </w:r>
    </w:p>
    <w:p>
      <w:pPr>
        <w:spacing w:after="0" w:line="15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53"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Senior Vice President, Finance, and Chief Accounting Officer (principal accounting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19" w:lineRule="exact"/>
        <w:rPr>
          <w:sz w:val="20"/>
          <w:szCs w:val="20"/>
          <w:color w:val="auto"/>
        </w:rPr>
      </w:pPr>
    </w:p>
    <w:p>
      <w:pPr>
        <w:sectPr>
          <w:pgSz w:w="11900" w:h="16838" w:orient="portrait"/>
          <w:cols w:equalWidth="0" w:num="2">
            <w:col w:w="5280" w:space="720"/>
            <w:col w:w="524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19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9"/>
              </w:rPr>
              <w:t>Katherine Baicker, Ph.D.</w:t>
            </w:r>
          </w:p>
        </w:tc>
        <w:tc>
          <w:tcPr>
            <w:tcW w:w="880" w:type="dxa"/>
            <w:vAlign w:val="bottom"/>
            <w:tcBorders>
              <w:bottom w:val="single" w:sz="8" w:color="auto"/>
            </w:tcBorders>
          </w:tcPr>
          <w:p>
            <w:pPr>
              <w:spacing w:after="0"/>
              <w:rPr>
                <w:sz w:val="20"/>
                <w:szCs w:val="20"/>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3"/>
          </w:tcPr>
          <w:p>
            <w:pPr>
              <w:jc w:val="center"/>
              <w:ind w:left="790"/>
              <w:spacing w:after="0"/>
              <w:rPr>
                <w:sz w:val="20"/>
                <w:szCs w:val="20"/>
                <w:color w:val="auto"/>
              </w:rPr>
            </w:pPr>
            <w:r>
              <w:rPr>
                <w:rFonts w:ascii="Arial" w:cs="Arial" w:eastAsia="Arial" w:hAnsi="Arial"/>
                <w:sz w:val="18"/>
                <w:szCs w:val="18"/>
                <w:color w:val="auto"/>
                <w:w w:val="99"/>
              </w:rPr>
              <w:t>KATHERINE BAICKER, Ph.D.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2"/>
          </w:tcPr>
          <w:p>
            <w:pPr>
              <w:jc w:val="center"/>
              <w:ind w:right="950"/>
              <w:spacing w:after="0"/>
              <w:rPr>
                <w:sz w:val="20"/>
                <w:szCs w:val="20"/>
                <w:color w:val="auto"/>
              </w:rPr>
            </w:pPr>
            <w:r>
              <w:rPr>
                <w:rFonts w:ascii="Arial" w:cs="Arial" w:eastAsia="Arial" w:hAnsi="Arial"/>
                <w:sz w:val="18"/>
                <w:szCs w:val="18"/>
                <w:color w:val="auto"/>
              </w:rPr>
              <w:t>/s/  Erik Fyrwald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2"/>
          </w:tcPr>
          <w:p>
            <w:pPr>
              <w:jc w:val="center"/>
              <w:ind w:right="950"/>
              <w:spacing w:after="0"/>
              <w:rPr>
                <w:sz w:val="20"/>
                <w:szCs w:val="20"/>
                <w:color w:val="auto"/>
              </w:rPr>
            </w:pPr>
            <w:r>
              <w:rPr>
                <w:rFonts w:ascii="Arial" w:cs="Arial" w:eastAsia="Arial" w:hAnsi="Arial"/>
                <w:sz w:val="18"/>
                <w:szCs w:val="18"/>
                <w:color w:val="auto"/>
                <w:w w:val="99"/>
              </w:rPr>
              <w:t>ERIK FYRWALD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98"/>
              </w:rPr>
              <w:t>Mary Lynne Hedley, Ph.D.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3"/>
          </w:tcPr>
          <w:p>
            <w:pPr>
              <w:jc w:val="center"/>
              <w:ind w:left="810"/>
              <w:spacing w:after="0"/>
              <w:rPr>
                <w:sz w:val="20"/>
                <w:szCs w:val="20"/>
                <w:color w:val="auto"/>
              </w:rPr>
            </w:pPr>
            <w:r>
              <w:rPr>
                <w:rFonts w:ascii="Arial" w:cs="Arial" w:eastAsia="Arial" w:hAnsi="Arial"/>
                <w:sz w:val="18"/>
                <w:szCs w:val="18"/>
                <w:color w:val="auto"/>
                <w:w w:val="98"/>
              </w:rPr>
              <w:t>MARY LYNNE HEDLEY, Ph. 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52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rPr>
              <w:t>Jamere Jackson</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2"/>
          </w:tcPr>
          <w:p>
            <w:pPr>
              <w:jc w:val="center"/>
              <w:ind w:right="970"/>
              <w:spacing w:after="0"/>
              <w:rPr>
                <w:sz w:val="20"/>
                <w:szCs w:val="20"/>
                <w:color w:val="auto"/>
              </w:rPr>
            </w:pPr>
            <w:r>
              <w:rPr>
                <w:rFonts w:ascii="Arial" w:cs="Arial" w:eastAsia="Arial" w:hAnsi="Arial"/>
                <w:sz w:val="18"/>
                <w:szCs w:val="18"/>
                <w:color w:val="auto"/>
              </w:rPr>
              <w:t>JAMERE JACKSON</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252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rPr>
              <w:t>Kimberly Johnson</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2"/>
          </w:tcPr>
          <w:p>
            <w:pPr>
              <w:jc w:val="center"/>
              <w:ind w:right="950"/>
              <w:spacing w:after="0"/>
              <w:rPr>
                <w:sz w:val="20"/>
                <w:szCs w:val="20"/>
                <w:color w:val="auto"/>
              </w:rPr>
            </w:pPr>
            <w:r>
              <w:rPr>
                <w:rFonts w:ascii="Arial" w:cs="Arial" w:eastAsia="Arial" w:hAnsi="Arial"/>
                <w:sz w:val="18"/>
                <w:szCs w:val="18"/>
                <w:color w:val="auto"/>
                <w:w w:val="98"/>
              </w:rPr>
              <w:t>KIMBERLY JOHNSON</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94"/>
              </w:rPr>
              <w:t>/s/</w:t>
            </w:r>
          </w:p>
        </w:tc>
        <w:tc>
          <w:tcPr>
            <w:tcW w:w="2940" w:type="dxa"/>
            <w:vAlign w:val="bottom"/>
            <w:tcBorders>
              <w:bottom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9"/>
              </w:rPr>
              <w:t>William Kaelin, Jr., M.D.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3"/>
          </w:tcPr>
          <w:p>
            <w:pPr>
              <w:jc w:val="center"/>
              <w:ind w:left="790"/>
              <w:spacing w:after="0"/>
              <w:rPr>
                <w:sz w:val="20"/>
                <w:szCs w:val="20"/>
                <w:color w:val="auto"/>
              </w:rPr>
            </w:pPr>
            <w:r>
              <w:rPr>
                <w:rFonts w:ascii="Arial" w:cs="Arial" w:eastAsia="Arial" w:hAnsi="Arial"/>
                <w:sz w:val="18"/>
                <w:szCs w:val="18"/>
                <w:color w:val="auto"/>
                <w:w w:val="99"/>
              </w:rPr>
              <w:t>WILLIAM KAELIN, JR., M.D.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4"/>
              </w:rPr>
              <w:t>/s/</w:t>
            </w:r>
          </w:p>
        </w:tc>
        <w:tc>
          <w:tcPr>
            <w:tcW w:w="252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rPr>
              <w:t>Juan Luciano</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2"/>
          </w:tcPr>
          <w:p>
            <w:pPr>
              <w:jc w:val="center"/>
              <w:ind w:right="970"/>
              <w:spacing w:after="0"/>
              <w:rPr>
                <w:sz w:val="20"/>
                <w:szCs w:val="20"/>
                <w:color w:val="auto"/>
              </w:rPr>
            </w:pPr>
            <w:r>
              <w:rPr>
                <w:rFonts w:ascii="Arial" w:cs="Arial" w:eastAsia="Arial" w:hAnsi="Arial"/>
                <w:sz w:val="18"/>
                <w:szCs w:val="18"/>
                <w:color w:val="auto"/>
                <w:w w:val="99"/>
              </w:rPr>
              <w:t>JUAN LUCIANO</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48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rPr>
              <w:t>/s/  Marschall Runge, M.D., Ph.D.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3"/>
          </w:tcPr>
          <w:p>
            <w:pPr>
              <w:jc w:val="center"/>
              <w:ind w:left="790"/>
              <w:spacing w:after="0"/>
              <w:rPr>
                <w:sz w:val="20"/>
                <w:szCs w:val="20"/>
                <w:color w:val="auto"/>
              </w:rPr>
            </w:pPr>
            <w:r>
              <w:rPr>
                <w:rFonts w:ascii="Arial" w:cs="Arial" w:eastAsia="Arial" w:hAnsi="Arial"/>
                <w:sz w:val="18"/>
                <w:szCs w:val="18"/>
                <w:color w:val="auto"/>
              </w:rPr>
              <w:t>MARSCHALL RUNGE, M.D., Ph.D.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48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rPr>
              <w:t>/s/  Gabrielle Sulzberger</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3"/>
          </w:tcPr>
          <w:p>
            <w:pPr>
              <w:jc w:val="center"/>
              <w:ind w:left="790"/>
              <w:spacing w:after="0"/>
              <w:rPr>
                <w:sz w:val="20"/>
                <w:szCs w:val="20"/>
                <w:color w:val="auto"/>
              </w:rPr>
            </w:pPr>
            <w:r>
              <w:rPr>
                <w:rFonts w:ascii="Arial" w:cs="Arial" w:eastAsia="Arial" w:hAnsi="Arial"/>
                <w:sz w:val="18"/>
                <w:szCs w:val="18"/>
                <w:color w:val="auto"/>
              </w:rPr>
              <w:t>GABRIELLE SULZBERGER</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t>
            </w:r>
          </w:p>
        </w:tc>
        <w:tc>
          <w:tcPr>
            <w:tcW w:w="252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9"/>
              </w:rPr>
              <w:t>Karen Walker</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2"/>
          </w:tcPr>
          <w:p>
            <w:pPr>
              <w:jc w:val="center"/>
              <w:ind w:right="950"/>
              <w:spacing w:after="0"/>
              <w:rPr>
                <w:sz w:val="20"/>
                <w:szCs w:val="20"/>
                <w:color w:val="auto"/>
              </w:rPr>
            </w:pPr>
            <w:r>
              <w:rPr>
                <w:rFonts w:ascii="Arial" w:cs="Arial" w:eastAsia="Arial" w:hAnsi="Arial"/>
                <w:sz w:val="18"/>
                <w:szCs w:val="18"/>
                <w:color w:val="auto"/>
                <w:w w:val="99"/>
              </w:rPr>
              <w:t>KAREN WALKER</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886"/>
        </w:trPr>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360" w:type="dxa"/>
            <w:vAlign w:val="bottom"/>
            <w:gridSpan w:val="2"/>
          </w:tcPr>
          <w:p>
            <w:pPr>
              <w:jc w:val="right"/>
              <w:ind w:right="5370"/>
              <w:spacing w:after="0"/>
              <w:rPr>
                <w:sz w:val="20"/>
                <w:szCs w:val="20"/>
                <w:color w:val="auto"/>
              </w:rPr>
            </w:pPr>
            <w:r>
              <w:rPr>
                <w:rFonts w:ascii="Arial" w:cs="Arial" w:eastAsia="Arial" w:hAnsi="Arial"/>
                <w:sz w:val="18"/>
                <w:szCs w:val="18"/>
                <w:color w:val="auto"/>
              </w:rPr>
              <w:t>120</w:t>
            </w:r>
          </w:p>
        </w:tc>
      </w:tr>
      <w:tr>
        <w:trPr>
          <w:trHeight w:val="111"/>
        </w:trPr>
        <w:tc>
          <w:tcPr>
            <w:tcW w:w="19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Trademarks Used In this Annual Report on Form 10-K</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Trademarks or service marks owned by Eli Lilly and Company or its affiliates, when first used in each item of this Annual Report on Form 10-K, appear with an initial capital and are followed by the symbol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w:t>
      </w:r>
      <w:r>
        <w:rPr>
          <w:rFonts w:ascii="Arial" w:cs="Arial" w:eastAsia="Arial" w:hAnsi="Arial"/>
          <w:sz w:val="23"/>
          <w:szCs w:val="23"/>
          <w:color w:val="auto"/>
          <w:vertAlign w:val="superscript"/>
        </w:rPr>
        <w:t>™</w:t>
      </w:r>
      <w:r>
        <w:rPr>
          <w:rFonts w:ascii="Arial" w:cs="Arial" w:eastAsia="Arial" w:hAnsi="Arial"/>
          <w:sz w:val="18"/>
          <w:szCs w:val="18"/>
          <w:color w:val="auto"/>
        </w:rPr>
        <w:t>, as applicable. In subsequent uses of the marks in the item, the symbols may be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Takeda Pharmaceutical Company Limited.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Baqsimi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Amphastar Pharmaceuticals,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3"/>
          <w:szCs w:val="23"/>
          <w:color w:val="auto"/>
          <w:vertAlign w:val="superscript"/>
        </w:rPr>
        <w:t>®</w:t>
      </w:r>
      <w:r>
        <w:rPr>
          <w:rFonts w:ascii="Arial" w:cs="Arial" w:eastAsia="Arial" w:hAnsi="Arial"/>
          <w:sz w:val="18"/>
          <w:szCs w:val="18"/>
          <w:color w:val="auto"/>
        </w:rPr>
        <w:t>, Jardiance</w:t>
      </w:r>
      <w:r>
        <w:rPr>
          <w:rFonts w:ascii="Arial" w:cs="Arial" w:eastAsia="Arial" w:hAnsi="Arial"/>
          <w:sz w:val="23"/>
          <w:szCs w:val="23"/>
          <w:color w:val="auto"/>
          <w:vertAlign w:val="superscript"/>
        </w:rPr>
        <w:t>®</w:t>
      </w:r>
      <w:r>
        <w:rPr>
          <w:rFonts w:ascii="Arial" w:cs="Arial" w:eastAsia="Arial" w:hAnsi="Arial"/>
          <w:sz w:val="18"/>
          <w:szCs w:val="18"/>
          <w:color w:val="auto"/>
        </w:rPr>
        <w:t>, Jentadueto</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Trajenta</w:t>
      </w:r>
      <w:r>
        <w:rPr>
          <w:rFonts w:ascii="Arial" w:cs="Arial" w:eastAsia="Arial" w:hAnsi="Arial"/>
          <w:sz w:val="23"/>
          <w:szCs w:val="23"/>
          <w:color w:val="auto"/>
          <w:vertAlign w:val="superscript"/>
        </w:rPr>
        <w:t>®</w:t>
      </w:r>
      <w:r>
        <w:rPr>
          <w:rFonts w:ascii="Arial" w:cs="Arial" w:eastAsia="Arial" w:hAnsi="Arial"/>
          <w:sz w:val="18"/>
          <w:szCs w:val="18"/>
          <w:color w:val="auto"/>
        </w:rPr>
        <w:t>, and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Boehringer Ingelheim International GmbH.</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Innovent Biologics (Suzhou) Co., Ltd.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Journey Medical Corporation.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Cheplapharm Arzneimittel GmbH.</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320" w:top="998" w:right="4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Exhibit 4.3 Description of Common Stock</w:t>
      </w:r>
    </w:p>
    <w:p>
      <w:pPr>
        <w:spacing w:after="0" w:line="189"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i w:val="1"/>
          <w:iCs w:val="1"/>
          <w:color w:val="auto"/>
        </w:rPr>
        <w:t>The following summary of Eli Lilly and Company’s common stock is based on and qualified by, among other things, our amended articles of incorporation and our bylaws, both of which are filed as exhibits to our Annual Report on Form 10-K. Throughout this exhibit, references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“Company,” “our,” and “us” refer to Eli Lilly and Company.</w:t>
      </w:r>
    </w:p>
    <w:p>
      <w:pPr>
        <w:spacing w:after="0" w:line="167"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As of the filing date of our Annual Report on Form 10-K for the fiscal year ended December 31, 2023, our authorized capital stock consists of 3,205,000,000 shares, of which 3,200,000,000 shares are common stock, without par value, and 5,000,000 shares are preferred</w:t>
      </w:r>
    </w:p>
    <w:p>
      <w:pPr>
        <w:ind w:right="40"/>
        <w:spacing w:after="0" w:line="228" w:lineRule="auto"/>
        <w:rPr>
          <w:sz w:val="20"/>
          <w:szCs w:val="20"/>
          <w:color w:val="auto"/>
        </w:rPr>
      </w:pPr>
      <w:r>
        <w:rPr>
          <w:rFonts w:ascii="Times New Roman" w:cs="Times New Roman" w:eastAsia="Times New Roman" w:hAnsi="Times New Roman"/>
          <w:sz w:val="20"/>
          <w:szCs w:val="20"/>
          <w:color w:val="auto"/>
        </w:rPr>
        <w:t>stock, without par value. No shares of preferred stock are issued and outstanding as of the filing date of our Annual Report on Form 10-K for the fiscal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89"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Dividend Rights</w:t>
      </w:r>
      <w:r>
        <w:rPr>
          <w:rFonts w:ascii="Times New Roman" w:cs="Times New Roman" w:eastAsia="Times New Roman" w:hAnsi="Times New Roman"/>
          <w:sz w:val="20"/>
          <w:szCs w:val="20"/>
          <w:color w:val="auto"/>
        </w:rPr>
        <w:t>. Subject to the dividend rights of the holders of any outstanding shares of preferred stock, the holders of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are entitled to receive ratably dividends as may be lawfully declared at any time by our board of directors.</w:t>
      </w:r>
    </w:p>
    <w:p>
      <w:pPr>
        <w:spacing w:after="0" w:line="138"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Rights Upon Liquidation</w:t>
      </w:r>
      <w:r>
        <w:rPr>
          <w:rFonts w:ascii="Times New Roman" w:cs="Times New Roman" w:eastAsia="Times New Roman" w:hAnsi="Times New Roman"/>
          <w:sz w:val="19"/>
          <w:szCs w:val="19"/>
          <w:color w:val="auto"/>
        </w:rPr>
        <w:t>. Upon liquidation, dissolution or winding up of our affairs, after payment to the holders of any outstanding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shares of preferred stock of the full amount to which they are entitled, the holders of shares of common stock are entitled, to the exclusion of</w:t>
      </w:r>
    </w:p>
    <w:p>
      <w:pPr>
        <w:spacing w:after="0" w:line="1" w:lineRule="exact"/>
        <w:rPr>
          <w:sz w:val="20"/>
          <w:szCs w:val="20"/>
          <w:color w:val="auto"/>
        </w:rPr>
      </w:pPr>
    </w:p>
    <w:p>
      <w:pPr>
        <w:ind w:right="520"/>
        <w:spacing w:after="0" w:line="221" w:lineRule="auto"/>
        <w:rPr>
          <w:sz w:val="20"/>
          <w:szCs w:val="20"/>
          <w:color w:val="auto"/>
        </w:rPr>
      </w:pPr>
      <w:r>
        <w:rPr>
          <w:rFonts w:ascii="Times New Roman" w:cs="Times New Roman" w:eastAsia="Times New Roman" w:hAnsi="Times New Roman"/>
          <w:sz w:val="20"/>
          <w:szCs w:val="20"/>
          <w:color w:val="auto"/>
        </w:rPr>
        <w:t>any holders of preferred stock, to share ratably in our remaining assets that are legally available for distribution after satisfaction of our liabilities.</w:t>
      </w:r>
    </w:p>
    <w:p>
      <w:pPr>
        <w:spacing w:after="0" w:line="158" w:lineRule="exact"/>
        <w:rPr>
          <w:sz w:val="20"/>
          <w:szCs w:val="20"/>
          <w:color w:val="auto"/>
        </w:rPr>
      </w:pPr>
    </w:p>
    <w:p>
      <w:pPr>
        <w:ind w:right="36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No Conversion, Redemption or Preemptive Rights. </w:t>
      </w:r>
      <w:r>
        <w:rPr>
          <w:rFonts w:ascii="Times New Roman" w:cs="Times New Roman" w:eastAsia="Times New Roman" w:hAnsi="Times New Roman"/>
          <w:sz w:val="20"/>
          <w:szCs w:val="20"/>
          <w:color w:val="auto"/>
        </w:rPr>
        <w:t>Holders of our common stock have no conversion, redemption, preemptive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rights.</w:t>
      </w:r>
    </w:p>
    <w:p>
      <w:pPr>
        <w:spacing w:after="0" w:line="13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Voting Rights</w:t>
      </w:r>
      <w:r>
        <w:rPr>
          <w:rFonts w:ascii="Times New Roman" w:cs="Times New Roman" w:eastAsia="Times New Roman" w:hAnsi="Times New Roman"/>
          <w:sz w:val="20"/>
          <w:szCs w:val="20"/>
          <w:color w:val="auto"/>
        </w:rPr>
        <w:t>. Each outstanding share of common stock is entitled to one vote on all matters submitted to a vote of shareholders.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amended articles of incorporation do not provide for cumulative voting in the election of directors.</w:t>
      </w:r>
    </w:p>
    <w:p>
      <w:pPr>
        <w:spacing w:after="0" w:line="13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Other Provisions. </w:t>
      </w:r>
      <w:r>
        <w:rPr>
          <w:rFonts w:ascii="Times New Roman" w:cs="Times New Roman" w:eastAsia="Times New Roman" w:hAnsi="Times New Roman"/>
          <w:sz w:val="20"/>
          <w:szCs w:val="20"/>
          <w:color w:val="auto"/>
        </w:rPr>
        <w:t>No shares of any class of our capital stock are subject to any sinking fund provisions or to calls, assessments by,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Effects of Issuance of Preferred Stock</w:t>
      </w:r>
    </w:p>
    <w:p>
      <w:pPr>
        <w:spacing w:after="0" w:line="17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Our amended articles of incorporation authorize our board of directors, without further shareholder action, to provide for the issuance of up to 5,000,000 shares of preferred stock, in one or more series, and to fix, by the adoption and filing in accordance with the Indiana</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Business Corporation Law (the “IBCL”), of an amendment or amendments to our amended articles of incorporation, the designations, terms and relative rights and preferences, including the dividend rate, voting rights, conversion rights, redemption and sinking fund provisions and</w:t>
      </w:r>
    </w:p>
    <w:p>
      <w:pPr>
        <w:spacing w:after="0" w:line="211" w:lineRule="auto"/>
        <w:rPr>
          <w:sz w:val="20"/>
          <w:szCs w:val="20"/>
          <w:color w:val="auto"/>
        </w:rPr>
      </w:pPr>
      <w:r>
        <w:rPr>
          <w:rFonts w:ascii="Times New Roman" w:cs="Times New Roman" w:eastAsia="Times New Roman" w:hAnsi="Times New Roman"/>
          <w:sz w:val="20"/>
          <w:szCs w:val="20"/>
          <w:color w:val="auto"/>
        </w:rPr>
        <w:t>liquidation preferences, of each of these series. We may amend from time to time our amended articles of incorporation to increase the</w:t>
      </w:r>
    </w:p>
    <w:p>
      <w:pPr>
        <w:spacing w:after="0" w:line="215" w:lineRule="auto"/>
        <w:rPr>
          <w:sz w:val="20"/>
          <w:szCs w:val="20"/>
          <w:color w:val="auto"/>
        </w:rPr>
      </w:pPr>
      <w:r>
        <w:rPr>
          <w:rFonts w:ascii="Times New Roman" w:cs="Times New Roman" w:eastAsia="Times New Roman" w:hAnsi="Times New Roman"/>
          <w:sz w:val="19"/>
          <w:szCs w:val="19"/>
          <w:color w:val="auto"/>
        </w:rPr>
        <w:t>number of authorized shares of preferred stock. Any such amendment would be approved if the votes cast favoring the amendment exceed the votes cast opposing the amendment. The issuance of preferred stock could have the effect of delaying or preventing a change in control of</w:t>
      </w:r>
    </w:p>
    <w:p>
      <w:pPr>
        <w:spacing w:after="0" w:line="211" w:lineRule="auto"/>
        <w:rPr>
          <w:sz w:val="20"/>
          <w:szCs w:val="20"/>
          <w:color w:val="auto"/>
        </w:rPr>
      </w:pPr>
      <w:r>
        <w:rPr>
          <w:rFonts w:ascii="Times New Roman" w:cs="Times New Roman" w:eastAsia="Times New Roman" w:hAnsi="Times New Roman"/>
          <w:sz w:val="20"/>
          <w:szCs w:val="20"/>
          <w:color w:val="auto"/>
        </w:rPr>
        <w:t>our Company and could decrease the amount available for distribution to holders of our common stock or could adversely affect the rights</w:t>
      </w:r>
    </w:p>
    <w:p>
      <w:pPr>
        <w:ind w:right="640"/>
        <w:spacing w:after="0" w:line="221" w:lineRule="auto"/>
        <w:rPr>
          <w:sz w:val="20"/>
          <w:szCs w:val="20"/>
          <w:color w:val="auto"/>
        </w:rPr>
      </w:pPr>
      <w:r>
        <w:rPr>
          <w:rFonts w:ascii="Times New Roman" w:cs="Times New Roman" w:eastAsia="Times New Roman" w:hAnsi="Times New Roman"/>
          <w:sz w:val="20"/>
          <w:szCs w:val="20"/>
          <w:color w:val="auto"/>
        </w:rPr>
        <w:t>and powers, including voting rights, of such holders. In certain circumstances, the issuance of preferred stock could have the effect of decreasing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Provisions of Our Amended Articles of Incorporation and Our Bylaws</w:t>
      </w:r>
    </w:p>
    <w:p>
      <w:pPr>
        <w:spacing w:after="0" w:line="193"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Our amended articles of incorporation and our bylaws contain certain provisions that may be deemed to have an anti-takeover effect and may delay, deter or prevent a tender offer or takeover attempt that a shareholder might consider in its best interest, including those</w:t>
      </w:r>
    </w:p>
    <w:p>
      <w:pPr>
        <w:spacing w:after="0"/>
        <w:rPr>
          <w:sz w:val="20"/>
          <w:szCs w:val="20"/>
          <w:color w:val="auto"/>
        </w:rPr>
      </w:pPr>
      <w:r>
        <w:rPr>
          <w:rFonts w:ascii="Times New Roman" w:cs="Times New Roman" w:eastAsia="Times New Roman" w:hAnsi="Times New Roman"/>
          <w:sz w:val="20"/>
          <w:szCs w:val="20"/>
          <w:color w:val="auto"/>
        </w:rPr>
        <w:t>attempts that might result in a premium over the market price for the shares held by shareholders.</w:t>
      </w:r>
    </w:p>
    <w:p>
      <w:pPr>
        <w:sectPr>
          <w:pgSz w:w="11900" w:h="16838" w:orient="portrait"/>
          <w:cols w:equalWidth="0" w:num="1">
            <w:col w:w="11220"/>
          </w:cols>
          <w:pgMar w:left="320" w:top="1395" w:right="35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20"/>
          <w:szCs w:val="20"/>
          <w:color w:val="auto"/>
        </w:rPr>
        <w:t>Our bylaws provide that special meetings of holders of common stock may be called only by our board of directors or the Chair of</w:t>
      </w:r>
    </w:p>
    <w:p>
      <w:pPr>
        <w:ind w:right="80"/>
        <w:spacing w:after="0" w:line="221" w:lineRule="auto"/>
        <w:rPr>
          <w:sz w:val="20"/>
          <w:szCs w:val="20"/>
          <w:color w:val="auto"/>
        </w:rPr>
      </w:pPr>
      <w:r>
        <w:rPr>
          <w:rFonts w:ascii="Times New Roman" w:cs="Times New Roman" w:eastAsia="Times New Roman" w:hAnsi="Times New Roman"/>
          <w:sz w:val="20"/>
          <w:szCs w:val="20"/>
          <w:color w:val="auto"/>
        </w:rPr>
        <w:t>the board of directors. Holders of our common stock are not permitted to call a special meeting or to require that our board of directors call a special meeting of shareholders.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bylaws establish an advance notice procedure for the nomination, other than by or at the direction of our board of directors, of</w:t>
      </w:r>
    </w:p>
    <w:p>
      <w:pPr>
        <w:spacing w:after="0" w:line="215" w:lineRule="auto"/>
        <w:rPr>
          <w:sz w:val="20"/>
          <w:szCs w:val="20"/>
          <w:color w:val="auto"/>
        </w:rPr>
      </w:pPr>
      <w:r>
        <w:rPr>
          <w:rFonts w:ascii="Times New Roman" w:cs="Times New Roman" w:eastAsia="Times New Roman" w:hAnsi="Times New Roman"/>
          <w:sz w:val="19"/>
          <w:szCs w:val="19"/>
          <w:color w:val="auto"/>
        </w:rPr>
        <w:t>candidates for election as directors, as well as for other shareholder proposals to be considered at annual meetings of shareholders. In general, notice of intent to nominate a director or raise business at such meetings must be received by us no later than the close of business on the</w:t>
      </w:r>
    </w:p>
    <w:p>
      <w:pPr>
        <w:spacing w:after="0" w:line="222" w:lineRule="auto"/>
        <w:rPr>
          <w:sz w:val="20"/>
          <w:szCs w:val="20"/>
          <w:color w:val="auto"/>
        </w:rPr>
      </w:pPr>
      <w:r>
        <w:rPr>
          <w:rFonts w:ascii="Times New Roman" w:cs="Times New Roman" w:eastAsia="Times New Roman" w:hAnsi="Times New Roman"/>
          <w:sz w:val="19"/>
          <w:szCs w:val="19"/>
          <w:color w:val="auto"/>
        </w:rPr>
        <w:t>120th calendar day and no earlier than the close of business on the 180th calendar day in advance of the anniversary of the date on which our</w:t>
      </w:r>
    </w:p>
    <w:p>
      <w:pPr>
        <w:ind w:right="380"/>
        <w:spacing w:after="0" w:line="215" w:lineRule="auto"/>
        <w:rPr>
          <w:sz w:val="20"/>
          <w:szCs w:val="20"/>
          <w:color w:val="auto"/>
        </w:rPr>
      </w:pPr>
      <w:r>
        <w:rPr>
          <w:rFonts w:ascii="Times New Roman" w:cs="Times New Roman" w:eastAsia="Times New Roman" w:hAnsi="Times New Roman"/>
          <w:sz w:val="19"/>
          <w:szCs w:val="19"/>
          <w:color w:val="auto"/>
        </w:rPr>
        <w:t>proxy statement was released to shareholders in connection with the previous year’s annual meeting of shareholders, subject to certain exceptions, and must contain certain specified information concerning the person to be nominated or the matters to be brought before the</w:t>
      </w:r>
    </w:p>
    <w:p>
      <w:pPr>
        <w:spacing w:after="0"/>
        <w:rPr>
          <w:sz w:val="20"/>
          <w:szCs w:val="20"/>
          <w:color w:val="auto"/>
        </w:rPr>
      </w:pPr>
      <w:r>
        <w:rPr>
          <w:rFonts w:ascii="Times New Roman" w:cs="Times New Roman" w:eastAsia="Times New Roman" w:hAnsi="Times New Roman"/>
          <w:sz w:val="20"/>
          <w:szCs w:val="20"/>
          <w:color w:val="auto"/>
        </w:rPr>
        <w:t>meeting and concerning the shareholder submitting the proposal.</w:t>
      </w:r>
    </w:p>
    <w:p>
      <w:pPr>
        <w:spacing w:after="0" w:line="167" w:lineRule="exact"/>
        <w:rPr>
          <w:sz w:val="20"/>
          <w:szCs w:val="20"/>
          <w:color w:val="auto"/>
        </w:rPr>
      </w:pPr>
    </w:p>
    <w:p>
      <w:pPr>
        <w:jc w:val="both"/>
        <w:ind w:right="80" w:firstLine="648"/>
        <w:spacing w:after="0" w:line="227" w:lineRule="auto"/>
        <w:rPr>
          <w:sz w:val="20"/>
          <w:szCs w:val="20"/>
          <w:color w:val="auto"/>
        </w:rPr>
      </w:pPr>
      <w:r>
        <w:rPr>
          <w:rFonts w:ascii="Times New Roman" w:cs="Times New Roman" w:eastAsia="Times New Roman" w:hAnsi="Times New Roman"/>
          <w:sz w:val="19"/>
          <w:szCs w:val="19"/>
          <w:color w:val="auto"/>
        </w:rPr>
        <w:t>Our bylaws further establish an advance notice procedure for a shareholder or group of shareholders meeting certain requirements to nominate and include in our annual meeting proxy materials director candidates constituting up to the greater of (i) two directors or (ii) 20%</w:t>
      </w:r>
    </w:p>
    <w:p>
      <w:pPr>
        <w:spacing w:after="0"/>
        <w:rPr>
          <w:sz w:val="20"/>
          <w:szCs w:val="20"/>
          <w:color w:val="auto"/>
        </w:rPr>
      </w:pPr>
      <w:r>
        <w:rPr>
          <w:rFonts w:ascii="Times New Roman" w:cs="Times New Roman" w:eastAsia="Times New Roman" w:hAnsi="Times New Roman"/>
          <w:sz w:val="20"/>
          <w:szCs w:val="20"/>
          <w:color w:val="auto"/>
        </w:rPr>
        <w:t>of the number of directors serving on our board of directors, subject to certain conditions specified in our bylaws.</w:t>
      </w:r>
    </w:p>
    <w:p>
      <w:pPr>
        <w:spacing w:after="0" w:line="167"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Our amended articles of incorporation provide for our board of directors to be divided into three classes of directors, as nearly equal in number as possible, serving staggered terms of office. Approximately one-third of our board of directors is elected each year to three-year</w:t>
      </w:r>
    </w:p>
    <w:p>
      <w:pPr>
        <w:ind w:right="220"/>
        <w:spacing w:after="0" w:line="228" w:lineRule="auto"/>
        <w:rPr>
          <w:sz w:val="20"/>
          <w:szCs w:val="20"/>
          <w:color w:val="auto"/>
        </w:rPr>
      </w:pPr>
      <w:r>
        <w:rPr>
          <w:rFonts w:ascii="Times New Roman" w:cs="Times New Roman" w:eastAsia="Times New Roman" w:hAnsi="Times New Roman"/>
          <w:sz w:val="20"/>
          <w:szCs w:val="20"/>
          <w:color w:val="auto"/>
        </w:rPr>
        <w:t>terms of office. In addition, our directors (other than directors appointed by holders of preferred stock) may be removed only for cause and only upon the affirmative vote of holders of at least 80% of our outstanding voting stock, voting together as a single class.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Our amended articles of incorporation provide that, in addition to any affirmative vote required by law, the affirmative vote of</w:t>
      </w:r>
    </w:p>
    <w:p>
      <w:pPr>
        <w:ind w:right="500"/>
        <w:spacing w:after="0" w:line="215" w:lineRule="auto"/>
        <w:rPr>
          <w:sz w:val="20"/>
          <w:szCs w:val="20"/>
          <w:color w:val="auto"/>
        </w:rPr>
      </w:pPr>
      <w:r>
        <w:rPr>
          <w:rFonts w:ascii="Times New Roman" w:cs="Times New Roman" w:eastAsia="Times New Roman" w:hAnsi="Times New Roman"/>
          <w:sz w:val="19"/>
          <w:szCs w:val="19"/>
          <w:color w:val="auto"/>
        </w:rPr>
        <w:t>holders of at least 80% of our outstanding voting stock, voting together as a single class, shall be necessary to (i) approve certain major business transactions (such as mergers or asset sales with an interested shareholder or our liquidation), unless approved by our board of</w:t>
      </w:r>
    </w:p>
    <w:p>
      <w:pPr>
        <w:ind w:right="620"/>
        <w:spacing w:after="0" w:line="228" w:lineRule="auto"/>
        <w:rPr>
          <w:sz w:val="20"/>
          <w:szCs w:val="20"/>
          <w:color w:val="auto"/>
        </w:rPr>
      </w:pPr>
      <w:r>
        <w:rPr>
          <w:rFonts w:ascii="Times New Roman" w:cs="Times New Roman" w:eastAsia="Times New Roman" w:hAnsi="Times New Roman"/>
          <w:sz w:val="20"/>
          <w:szCs w:val="20"/>
          <w:color w:val="auto"/>
        </w:rPr>
        <w:t>directors in the manner prescribed in the articles, (ii) amend certain provisions of our amended articles of incorporation relating to the number and terms of office of our directors, and (iii) modify or eliminate these supermajority voting provisions.</w:t>
      </w:r>
    </w:p>
    <w:p>
      <w:pPr>
        <w:spacing w:after="0" w:line="149"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20"/>
          <w:szCs w:val="20"/>
          <w:color w:val="auto"/>
        </w:rPr>
        <w:t>Under Section 23-1-39-1 of the IBCL and our amended articles of incorporation and bylaws, our bylaws may be adopted, repealed, altered or amended by either our board of directors or our shareholders, in each case, as set forth in our amended articles of incorporation and bylaws.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Provisions of the IBCL</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an Indiana corporation, we are governed by the IBCL. Under specified circumstances, the following provisions of the IBCL may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delay, prevent or make more difficult certain unsolicited acquisitions or changes in control of us. These provisions also may have the effect of preventing changes in our management. It is possible that these provisions could make it more difficult to accomplish transactions which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may otherwise deem to be in their best interest.</w:t>
      </w:r>
    </w:p>
    <w:p>
      <w:pPr>
        <w:spacing w:after="0" w:line="163" w:lineRule="exact"/>
        <w:rPr>
          <w:sz w:val="20"/>
          <w:szCs w:val="20"/>
          <w:color w:val="auto"/>
        </w:rPr>
      </w:pPr>
    </w:p>
    <w:p>
      <w:pPr>
        <w:ind w:right="180" w:firstLine="648"/>
        <w:spacing w:after="0" w:line="229" w:lineRule="auto"/>
        <w:rPr>
          <w:sz w:val="20"/>
          <w:szCs w:val="20"/>
          <w:color w:val="auto"/>
        </w:rPr>
      </w:pPr>
      <w:r>
        <w:rPr>
          <w:rFonts w:ascii="Times New Roman" w:cs="Times New Roman" w:eastAsia="Times New Roman" w:hAnsi="Times New Roman"/>
          <w:sz w:val="19"/>
          <w:szCs w:val="19"/>
          <w:i w:val="1"/>
          <w:iCs w:val="1"/>
          <w:color w:val="auto"/>
        </w:rPr>
        <w:t>Unanimous Written Consent of Shareholders</w:t>
      </w:r>
      <w:r>
        <w:rPr>
          <w:rFonts w:ascii="Times New Roman" w:cs="Times New Roman" w:eastAsia="Times New Roman" w:hAnsi="Times New Roman"/>
          <w:sz w:val="19"/>
          <w:szCs w:val="19"/>
          <w:color w:val="auto"/>
        </w:rPr>
        <w:t>. Under Chapter 29 of the IBCL, any action required or permitted to be taken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holders of common stock may be effected only at an annual meeting or special meeting of such holders, and shareholders may act in lieu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meetings only by unanimous written consent.</w:t>
      </w:r>
    </w:p>
    <w:p>
      <w:pPr>
        <w:spacing w:after="0" w:line="163"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9"/>
          <w:szCs w:val="19"/>
          <w:i w:val="1"/>
          <w:iCs w:val="1"/>
          <w:color w:val="auto"/>
        </w:rPr>
        <w:t>Control Share Acquisitions</w:t>
      </w:r>
      <w:r>
        <w:rPr>
          <w:rFonts w:ascii="Times New Roman" w:cs="Times New Roman" w:eastAsia="Times New Roman" w:hAnsi="Times New Roman"/>
          <w:sz w:val="19"/>
          <w:szCs w:val="19"/>
          <w:color w:val="auto"/>
        </w:rPr>
        <w:t>. Under Chapter 42 of the IBCL, an acquiring person or group who makes a “control share acquisition”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 “issuing public corporation” may not exercise voting rights on any “control shares” unless these voting rights are conferred by a majority</w:t>
      </w:r>
    </w:p>
    <w:p>
      <w:pPr>
        <w:spacing w:after="0" w:line="223" w:lineRule="auto"/>
        <w:rPr>
          <w:sz w:val="20"/>
          <w:szCs w:val="20"/>
          <w:color w:val="auto"/>
        </w:rPr>
      </w:pPr>
      <w:r>
        <w:rPr>
          <w:rFonts w:ascii="Times New Roman" w:cs="Times New Roman" w:eastAsia="Times New Roman" w:hAnsi="Times New Roman"/>
          <w:sz w:val="19"/>
          <w:szCs w:val="19"/>
          <w:color w:val="auto"/>
        </w:rPr>
        <w:t>vote of the disinterested shareholders of the issuing public corporation at a special meeting of those shareholders held upon the request and at</w:t>
      </w:r>
    </w:p>
    <w:p>
      <w:pPr>
        <w:ind w:right="100"/>
        <w:spacing w:after="0" w:line="221" w:lineRule="auto"/>
        <w:rPr>
          <w:sz w:val="20"/>
          <w:szCs w:val="20"/>
          <w:color w:val="auto"/>
        </w:rPr>
      </w:pPr>
      <w:r>
        <w:rPr>
          <w:rFonts w:ascii="Times New Roman" w:cs="Times New Roman" w:eastAsia="Times New Roman" w:hAnsi="Times New Roman"/>
          <w:sz w:val="20"/>
          <w:szCs w:val="20"/>
          <w:color w:val="auto"/>
        </w:rPr>
        <w:t>the expense of the acquiring person. If control shares acquired in a control share acquisition are accorded full voting rights and the acquiring person has acquired control shares with a majority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94" w:right="359" w:bottom="1440" w:gutter="0" w:footer="0" w:header="0"/>
        </w:sectPr>
      </w:pPr>
    </w:p>
    <w:bookmarkStart w:id="123" w:name="page124"/>
    <w:bookmarkEnd w:id="123"/>
    <w:p>
      <w:pPr>
        <w:ind w:right="380"/>
        <w:spacing w:after="0"/>
        <w:rPr>
          <w:sz w:val="20"/>
          <w:szCs w:val="20"/>
          <w:color w:val="auto"/>
        </w:rPr>
      </w:pPr>
      <w:r>
        <w:rPr>
          <w:rFonts w:ascii="Times New Roman" w:cs="Times New Roman" w:eastAsia="Times New Roman" w:hAnsi="Times New Roman"/>
          <w:sz w:val="20"/>
          <w:szCs w:val="20"/>
          <w:color w:val="auto"/>
        </w:rPr>
        <w:t>more of all voting power, all shareholders of the issuing public corporation have dissenters’ rights to receive the fair value of their shares pursuant to Chapter 44 of the IBCL.</w:t>
      </w:r>
    </w:p>
    <w:p>
      <w:pPr>
        <w:spacing w:after="0" w:line="148" w:lineRule="exact"/>
        <w:rPr>
          <w:sz w:val="20"/>
          <w:szCs w:val="20"/>
          <w:color w:val="auto"/>
        </w:rPr>
      </w:pPr>
    </w:p>
    <w:p>
      <w:pPr>
        <w:ind w:right="360" w:firstLine="648"/>
        <w:spacing w:after="0" w:line="234" w:lineRule="auto"/>
        <w:rPr>
          <w:sz w:val="20"/>
          <w:szCs w:val="20"/>
          <w:color w:val="auto"/>
        </w:rPr>
      </w:pPr>
      <w:r>
        <w:rPr>
          <w:rFonts w:ascii="Times New Roman" w:cs="Times New Roman" w:eastAsia="Times New Roman" w:hAnsi="Times New Roman"/>
          <w:sz w:val="19"/>
          <w:szCs w:val="19"/>
          <w:color w:val="auto"/>
        </w:rPr>
        <w:t>Under the IBCL, “control shares” means shares acquired by a person that, when added to all other shares of the issuing public corporation owned by that person or in respect to which that person may exercise or direct the exercise of voting power, would otherwise</w:t>
      </w:r>
    </w:p>
    <w:p>
      <w:pPr>
        <w:spacing w:after="0" w:line="1" w:lineRule="exact"/>
        <w:rPr>
          <w:sz w:val="20"/>
          <w:szCs w:val="20"/>
          <w:color w:val="auto"/>
        </w:rPr>
      </w:pPr>
    </w:p>
    <w:p>
      <w:pPr>
        <w:ind w:right="500"/>
        <w:spacing w:after="0" w:line="221" w:lineRule="auto"/>
        <w:rPr>
          <w:sz w:val="20"/>
          <w:szCs w:val="20"/>
          <w:color w:val="auto"/>
        </w:rPr>
      </w:pPr>
      <w:r>
        <w:rPr>
          <w:rFonts w:ascii="Times New Roman" w:cs="Times New Roman" w:eastAsia="Times New Roman" w:hAnsi="Times New Roman"/>
          <w:sz w:val="20"/>
          <w:szCs w:val="20"/>
          <w:color w:val="auto"/>
        </w:rPr>
        <w:t>entitle that person (directly or indirectly, alone or as part of a group) to exercise or direct the exercise of the voting power of the issuing public corporation in the election of directors within any of the following ranges: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one-fifth or more but less than one-third;</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one-third or more but less than a majority; or</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 majority or more.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“Control share acquisition” means, subject to specified exceptions, the acquisition, directly or indirectly, by any person of ownership</w:t>
      </w:r>
    </w:p>
    <w:p>
      <w:pPr>
        <w:spacing w:after="0" w:line="6"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of, or the power to direct the exercise of voting power with respect to, issued and outstanding control shares. For the purposes of determining whether an acquisition constitutes a control share acquisition, shares acquired within 90 days or under a plan to make a control share</w:t>
      </w:r>
    </w:p>
    <w:p>
      <w:pPr>
        <w:spacing w:after="0" w:line="222" w:lineRule="auto"/>
        <w:rPr>
          <w:sz w:val="20"/>
          <w:szCs w:val="20"/>
          <w:color w:val="auto"/>
        </w:rPr>
      </w:pPr>
      <w:r>
        <w:rPr>
          <w:rFonts w:ascii="Times New Roman" w:cs="Times New Roman" w:eastAsia="Times New Roman" w:hAnsi="Times New Roman"/>
          <w:sz w:val="19"/>
          <w:szCs w:val="19"/>
          <w:color w:val="auto"/>
        </w:rPr>
        <w:t>acquisition are considered to have been acquired in the same acquisition. “Issuing public corporation” means a corporation which has (i) 100</w:t>
      </w:r>
    </w:p>
    <w:p>
      <w:pPr>
        <w:ind w:right="40"/>
        <w:spacing w:after="0" w:line="215" w:lineRule="auto"/>
        <w:rPr>
          <w:sz w:val="20"/>
          <w:szCs w:val="20"/>
          <w:color w:val="auto"/>
        </w:rPr>
      </w:pPr>
      <w:r>
        <w:rPr>
          <w:rFonts w:ascii="Times New Roman" w:cs="Times New Roman" w:eastAsia="Times New Roman" w:hAnsi="Times New Roman"/>
          <w:sz w:val="19"/>
          <w:szCs w:val="19"/>
          <w:color w:val="auto"/>
        </w:rPr>
        <w:t>or more shareholders, (ii) its principal place of business or its principal office in Indiana, or that owns or controls assets within Indiana having a fair market value of greater than $1,000,000, and (iii) (A) more than 10% of its shareholders resident in Indiana, (B) more than 10%</w:t>
      </w:r>
    </w:p>
    <w:p>
      <w:pPr>
        <w:spacing w:after="0"/>
        <w:rPr>
          <w:sz w:val="20"/>
          <w:szCs w:val="20"/>
          <w:color w:val="auto"/>
        </w:rPr>
      </w:pPr>
      <w:r>
        <w:rPr>
          <w:rFonts w:ascii="Times New Roman" w:cs="Times New Roman" w:eastAsia="Times New Roman" w:hAnsi="Times New Roman"/>
          <w:sz w:val="20"/>
          <w:szCs w:val="20"/>
          <w:color w:val="auto"/>
        </w:rPr>
        <w:t>of its shares owned of record or owned beneficially by Indiana residents, or (C) 1,000 shareholders resident in Indiana.</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above provisions do not apply if, before a control share acquisition is made, the corporation’s articles of incorporation or bylaws, including a by-law adopted by the corporation’s board of directors, provide that they do not apply. Our amended articles of incorporation and</w:t>
      </w:r>
    </w:p>
    <w:p>
      <w:pPr>
        <w:spacing w:after="0"/>
        <w:rPr>
          <w:sz w:val="20"/>
          <w:szCs w:val="20"/>
          <w:color w:val="auto"/>
        </w:rPr>
      </w:pPr>
      <w:r>
        <w:rPr>
          <w:rFonts w:ascii="Times New Roman" w:cs="Times New Roman" w:eastAsia="Times New Roman" w:hAnsi="Times New Roman"/>
          <w:sz w:val="20"/>
          <w:szCs w:val="20"/>
          <w:color w:val="auto"/>
        </w:rPr>
        <w:t>our bylaws do not currently exclude us from Chapter 42.</w:t>
      </w:r>
    </w:p>
    <w:p>
      <w:pPr>
        <w:spacing w:after="0" w:line="149"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Certain Business Combinations</w:t>
      </w:r>
      <w:r>
        <w:rPr>
          <w:rFonts w:ascii="Times New Roman" w:cs="Times New Roman" w:eastAsia="Times New Roman" w:hAnsi="Times New Roman"/>
          <w:sz w:val="19"/>
          <w:szCs w:val="19"/>
          <w:color w:val="auto"/>
        </w:rPr>
        <w:t>. Chapter 43 of the IBCL restricts the ability of a “resident domestic corporation” to engage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 combinations with an “interested shareholder” for five years after the date the interested shareholder became such, unless the</w:t>
      </w:r>
    </w:p>
    <w:p>
      <w:pPr>
        <w:spacing w:after="0" w:line="1" w:lineRule="exact"/>
        <w:rPr>
          <w:sz w:val="20"/>
          <w:szCs w:val="20"/>
          <w:color w:val="auto"/>
        </w:rPr>
      </w:pPr>
    </w:p>
    <w:p>
      <w:pPr>
        <w:ind w:right="480"/>
        <w:spacing w:after="0" w:line="215" w:lineRule="auto"/>
        <w:rPr>
          <w:sz w:val="20"/>
          <w:szCs w:val="20"/>
          <w:color w:val="auto"/>
        </w:rPr>
      </w:pPr>
      <w:r>
        <w:rPr>
          <w:rFonts w:ascii="Times New Roman" w:cs="Times New Roman" w:eastAsia="Times New Roman" w:hAnsi="Times New Roman"/>
          <w:sz w:val="19"/>
          <w:szCs w:val="19"/>
          <w:color w:val="auto"/>
        </w:rPr>
        <w:t>business combination or the purchase of shares by the interested shareholder on the interested shareholder’s date of acquiring shares is approved by the board of directors of the resident domestic corporation before that date. If the business combination was not previously</w:t>
      </w:r>
    </w:p>
    <w:p>
      <w:pPr>
        <w:spacing w:after="0" w:line="211" w:lineRule="auto"/>
        <w:rPr>
          <w:sz w:val="20"/>
          <w:szCs w:val="20"/>
          <w:color w:val="auto"/>
        </w:rPr>
      </w:pPr>
      <w:r>
        <w:rPr>
          <w:rFonts w:ascii="Times New Roman" w:cs="Times New Roman" w:eastAsia="Times New Roman" w:hAnsi="Times New Roman"/>
          <w:sz w:val="20"/>
          <w:szCs w:val="20"/>
          <w:color w:val="auto"/>
        </w:rPr>
        <w:t>approved, the interested shareholder may effect a business combination after the five-year period only if that shareholder receives approval</w:t>
      </w:r>
    </w:p>
    <w:p>
      <w:pPr>
        <w:ind w:right="20"/>
        <w:spacing w:after="0" w:line="215" w:lineRule="auto"/>
        <w:rPr>
          <w:sz w:val="20"/>
          <w:szCs w:val="20"/>
          <w:color w:val="auto"/>
        </w:rPr>
      </w:pPr>
      <w:r>
        <w:rPr>
          <w:rFonts w:ascii="Times New Roman" w:cs="Times New Roman" w:eastAsia="Times New Roman" w:hAnsi="Times New Roman"/>
          <w:sz w:val="19"/>
          <w:szCs w:val="19"/>
          <w:color w:val="auto"/>
        </w:rPr>
        <w:t>from a majority of the disinterested shareholders or the offer meets specified fair price criteria. For purposes of the above provisions, “resident domestic corporation” means an Indiana corporation that has 100 or more shareholders. “Interested shareholder” means any person,</w:t>
      </w:r>
    </w:p>
    <w:p>
      <w:pPr>
        <w:spacing w:after="0" w:line="211" w:lineRule="auto"/>
        <w:rPr>
          <w:sz w:val="20"/>
          <w:szCs w:val="20"/>
          <w:color w:val="auto"/>
        </w:rPr>
      </w:pPr>
      <w:r>
        <w:rPr>
          <w:rFonts w:ascii="Times New Roman" w:cs="Times New Roman" w:eastAsia="Times New Roman" w:hAnsi="Times New Roman"/>
          <w:sz w:val="20"/>
          <w:szCs w:val="20"/>
          <w:color w:val="auto"/>
        </w:rPr>
        <w:t>other than the resident domestic corporation or its subsidiaries, who is (1) the beneficial owner, directly or indirectly, of 10% or more of the</w:t>
      </w:r>
    </w:p>
    <w:p>
      <w:pPr>
        <w:ind w:right="360"/>
        <w:spacing w:after="0" w:line="215" w:lineRule="auto"/>
        <w:rPr>
          <w:sz w:val="20"/>
          <w:szCs w:val="20"/>
          <w:color w:val="auto"/>
        </w:rPr>
      </w:pPr>
      <w:r>
        <w:rPr>
          <w:rFonts w:ascii="Times New Roman" w:cs="Times New Roman" w:eastAsia="Times New Roman" w:hAnsi="Times New Roman"/>
          <w:sz w:val="19"/>
          <w:szCs w:val="19"/>
          <w:color w:val="auto"/>
        </w:rPr>
        <w:t>voting power of the outstanding voting shares of the resident domestic corporation or (2) an affiliate or associate of the resident domestic corporation, which at any time within the five-year period immediately before the date in question, was the beneficial owner, directly or</w:t>
      </w:r>
    </w:p>
    <w:p>
      <w:pPr>
        <w:spacing w:after="0"/>
        <w:rPr>
          <w:sz w:val="20"/>
          <w:szCs w:val="20"/>
          <w:color w:val="auto"/>
        </w:rPr>
      </w:pPr>
      <w:r>
        <w:rPr>
          <w:rFonts w:ascii="Times New Roman" w:cs="Times New Roman" w:eastAsia="Times New Roman" w:hAnsi="Times New Roman"/>
          <w:sz w:val="20"/>
          <w:szCs w:val="20"/>
          <w:color w:val="auto"/>
        </w:rPr>
        <w:t>indirectly, of 10% or more of the voting power of the then outstanding shares of the resident domestic corporation.</w:t>
      </w:r>
    </w:p>
    <w:p>
      <w:pPr>
        <w:spacing w:after="0" w:line="167" w:lineRule="exact"/>
        <w:rPr>
          <w:sz w:val="20"/>
          <w:szCs w:val="20"/>
          <w:color w:val="auto"/>
        </w:rPr>
      </w:pPr>
    </w:p>
    <w:p>
      <w:pPr>
        <w:ind w:right="500" w:firstLine="648"/>
        <w:spacing w:after="0" w:line="227" w:lineRule="auto"/>
        <w:rPr>
          <w:sz w:val="20"/>
          <w:szCs w:val="20"/>
          <w:color w:val="auto"/>
        </w:rPr>
      </w:pPr>
      <w:r>
        <w:rPr>
          <w:rFonts w:ascii="Times New Roman" w:cs="Times New Roman" w:eastAsia="Times New Roman" w:hAnsi="Times New Roman"/>
          <w:sz w:val="19"/>
          <w:szCs w:val="19"/>
          <w:color w:val="auto"/>
        </w:rPr>
        <w:t>The definition of “beneficial owner” for purposes of Chapter 43, means a person who individually or with or through any of its affiliates or associates, directly or indirectly, owns or has the right to acquire or vote the subject shares (excluding voting rights under</w:t>
      </w:r>
    </w:p>
    <w:p>
      <w:pPr>
        <w:spacing w:after="0" w:line="211" w:lineRule="auto"/>
        <w:rPr>
          <w:sz w:val="20"/>
          <w:szCs w:val="20"/>
          <w:color w:val="auto"/>
        </w:rPr>
      </w:pPr>
      <w:r>
        <w:rPr>
          <w:rFonts w:ascii="Times New Roman" w:cs="Times New Roman" w:eastAsia="Times New Roman" w:hAnsi="Times New Roman"/>
          <w:sz w:val="20"/>
          <w:szCs w:val="20"/>
          <w:color w:val="auto"/>
        </w:rPr>
        <w:t>revocable proxies made in accordance with federal law), has any agreement, arrangement or understanding for the purpose of acquiring,</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20"/>
          <w:szCs w:val="20"/>
          <w:color w:val="auto"/>
        </w:rPr>
        <w:t>holding or voting or disposing of the subject shares, or holds any “derivative instrument” that includes the opportunity to profit or share in any profit derived from any increase in the value of the subject shares.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above provisions do not apply to corporations that elect not to be subject to Chapter 43 in an amendment to their articles of</w:t>
      </w:r>
    </w:p>
    <w:p>
      <w:pPr>
        <w:ind w:right="120"/>
        <w:spacing w:after="0" w:line="221" w:lineRule="auto"/>
        <w:rPr>
          <w:sz w:val="20"/>
          <w:szCs w:val="20"/>
          <w:color w:val="auto"/>
        </w:rPr>
      </w:pPr>
      <w:r>
        <w:rPr>
          <w:rFonts w:ascii="Times New Roman" w:cs="Times New Roman" w:eastAsia="Times New Roman" w:hAnsi="Times New Roman"/>
          <w:sz w:val="20"/>
          <w:szCs w:val="20"/>
          <w:color w:val="auto"/>
        </w:rPr>
        <w:t>incorporation approved by a majority of the disinterested shareholders. That amendment, however, cannot become effective until 18 months after its passage and would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99"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only to share acquisitions occurring after its effective date. Our amended articles of incorporation do not exclude us from Chapter 43.</w:t>
      </w:r>
    </w:p>
    <w:p>
      <w:pPr>
        <w:spacing w:after="0" w:line="185" w:lineRule="exact"/>
        <w:rPr>
          <w:sz w:val="20"/>
          <w:szCs w:val="20"/>
          <w:color w:val="auto"/>
        </w:rPr>
      </w:pPr>
    </w:p>
    <w:p>
      <w:pPr>
        <w:ind w:right="100" w:firstLine="648"/>
        <w:spacing w:after="0" w:line="229" w:lineRule="auto"/>
        <w:rPr>
          <w:sz w:val="20"/>
          <w:szCs w:val="20"/>
          <w:color w:val="auto"/>
        </w:rPr>
      </w:pPr>
      <w:r>
        <w:rPr>
          <w:rFonts w:ascii="Times New Roman" w:cs="Times New Roman" w:eastAsia="Times New Roman" w:hAnsi="Times New Roman"/>
          <w:sz w:val="19"/>
          <w:szCs w:val="19"/>
          <w:i w:val="1"/>
          <w:iCs w:val="1"/>
          <w:color w:val="auto"/>
        </w:rPr>
        <w:t>Mandatory Classified Board of Directors</w:t>
      </w:r>
      <w:r>
        <w:rPr>
          <w:rFonts w:ascii="Times New Roman" w:cs="Times New Roman" w:eastAsia="Times New Roman" w:hAnsi="Times New Roman"/>
          <w:sz w:val="19"/>
          <w:szCs w:val="19"/>
          <w:color w:val="auto"/>
        </w:rPr>
        <w:t>. Under Chapter 33 of the IBCL, a corporation with a class of voting shares registered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SEC under Section 12 of the Exchange Act must have a classified board of directors unless the corporation adopts a by-law expressly</w:t>
      </w:r>
    </w:p>
    <w:p>
      <w:pPr>
        <w:spacing w:after="0" w:line="223" w:lineRule="auto"/>
        <w:rPr>
          <w:sz w:val="20"/>
          <w:szCs w:val="20"/>
          <w:color w:val="auto"/>
        </w:rPr>
      </w:pPr>
      <w:r>
        <w:rPr>
          <w:rFonts w:ascii="Times New Roman" w:cs="Times New Roman" w:eastAsia="Times New Roman" w:hAnsi="Times New Roman"/>
          <w:sz w:val="19"/>
          <w:szCs w:val="19"/>
          <w:color w:val="auto"/>
        </w:rPr>
        <w:t>electing not to be governed by this provision by the later of July 31, 2009 or 30 days after the corporation’s voting shares are registered under</w:t>
      </w:r>
    </w:p>
    <w:p>
      <w:pPr>
        <w:ind w:right="740"/>
        <w:spacing w:after="0" w:line="215" w:lineRule="auto"/>
        <w:rPr>
          <w:sz w:val="20"/>
          <w:szCs w:val="20"/>
          <w:color w:val="auto"/>
        </w:rPr>
      </w:pPr>
      <w:r>
        <w:rPr>
          <w:rFonts w:ascii="Times New Roman" w:cs="Times New Roman" w:eastAsia="Times New Roman" w:hAnsi="Times New Roman"/>
          <w:sz w:val="19"/>
          <w:szCs w:val="19"/>
          <w:color w:val="auto"/>
        </w:rPr>
        <w:t>Section 12 of the Exchange Act. Although our amended articles of incorporation provide for a classified board of directors (and that provision can only be amended upon the affirmative vote of holders of at least 80% of our outstanding voting stock), we adopted an</w:t>
      </w:r>
    </w:p>
    <w:p>
      <w:pPr>
        <w:ind w:right="220"/>
        <w:spacing w:after="0" w:line="228" w:lineRule="auto"/>
        <w:rPr>
          <w:sz w:val="20"/>
          <w:szCs w:val="20"/>
          <w:color w:val="auto"/>
        </w:rPr>
      </w:pPr>
      <w:r>
        <w:rPr>
          <w:rFonts w:ascii="Times New Roman" w:cs="Times New Roman" w:eastAsia="Times New Roman" w:hAnsi="Times New Roman"/>
          <w:sz w:val="20"/>
          <w:szCs w:val="20"/>
          <w:color w:val="auto"/>
        </w:rPr>
        <w:t>amendment to our bylaws electing not to be subject to this mandatory requirement effective July 13, 2009; however, the IBCL permits this election to be rescinded by subsequent action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399" w:right="379" w:bottom="1440" w:gutter="0" w:footer="0" w:header="0"/>
        </w:sectPr>
      </w:pPr>
    </w:p>
    <w:bookmarkStart w:id="125" w:name="page126"/>
    <w:bookmarkEnd w:id="125"/>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Exhibit 10.3 Form of Shareholder Value Award under the 2002 Lilly Stock Plan</w:t>
      </w:r>
    </w:p>
    <w:p>
      <w:pPr>
        <w:spacing w:after="0" w:line="160" w:lineRule="exact"/>
        <w:rPr>
          <w:sz w:val="20"/>
          <w:szCs w:val="20"/>
          <w:color w:val="auto"/>
        </w:rPr>
      </w:pPr>
    </w:p>
    <w:p>
      <w:pPr>
        <w:jc w:val="center"/>
        <w:spacing w:after="0" w:line="210" w:lineRule="auto"/>
        <w:rPr>
          <w:sz w:val="20"/>
          <w:szCs w:val="20"/>
          <w:color w:val="auto"/>
        </w:rPr>
      </w:pPr>
      <w:r>
        <w:rPr>
          <w:rFonts w:ascii="Calibri" w:cs="Calibri" w:eastAsia="Calibri" w:hAnsi="Calibri"/>
          <w:sz w:val="43"/>
          <w:szCs w:val="43"/>
          <w:color w:val="auto"/>
        </w:rPr>
        <w:t>Eli Lilly and Company Shareholder Value Award Agreement (for Executve Ofcers)</w:t>
      </w:r>
    </w:p>
    <w:p>
      <w:pPr>
        <w:spacing w:after="0" w:line="207"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149" w:lineRule="exact"/>
        <w:rPr>
          <w:sz w:val="20"/>
          <w:szCs w:val="20"/>
          <w:color w:val="auto"/>
        </w:rPr>
      </w:pPr>
    </w:p>
    <w:p>
      <w:pPr>
        <w:spacing w:after="0"/>
        <w:rPr>
          <w:sz w:val="20"/>
          <w:szCs w:val="20"/>
          <w:color w:val="auto"/>
        </w:rPr>
      </w:pPr>
      <w:r>
        <w:rPr>
          <w:rFonts w:ascii="Calibri" w:cs="Calibri" w:eastAsia="Calibri" w:hAnsi="Calibri"/>
          <w:sz w:val="25"/>
          <w:szCs w:val="25"/>
          <w:color w:val="auto"/>
        </w:rPr>
        <w:t xml:space="preserve">Lilly Stock Price Performance Levels: </w:t>
      </w:r>
      <w:r>
        <w:rPr>
          <w:rFonts w:ascii="Calibri" w:cs="Calibri" w:eastAsia="Calibri" w:hAnsi="Calibri"/>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420" w:val="left"/>
        </w:tabs>
        <w:rPr>
          <w:sz w:val="20"/>
          <w:szCs w:val="20"/>
          <w:color w:val="auto"/>
        </w:rPr>
      </w:pPr>
      <w:r>
        <w:rPr>
          <w:rFonts w:ascii="Calibri" w:cs="Calibri" w:eastAsia="Calibri" w:hAnsi="Calibri"/>
          <w:sz w:val="25"/>
          <w:szCs w:val="25"/>
          <w:color w:val="auto"/>
        </w:rPr>
        <w:t>Performance Period:</w:t>
      </w:r>
      <w:r>
        <w:rPr>
          <w:sz w:val="20"/>
          <w:szCs w:val="20"/>
          <w:color w:val="auto"/>
        </w:rPr>
        <w:tab/>
      </w:r>
      <w:r>
        <w:rPr>
          <w:rFonts w:ascii="Arial" w:cs="Arial" w:eastAsia="Arial" w:hAnsi="Arial"/>
          <w:sz w:val="25"/>
          <w:szCs w:val="25"/>
          <w:color w:val="auto"/>
        </w:rPr>
        <w:t>[•] – [•]</w:t>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Calibri" w:cs="Calibri" w:eastAsia="Calibri" w:hAnsi="Calibri"/>
          <w:sz w:val="25"/>
          <w:szCs w:val="2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308"/>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1.  Grant of Shareholder Value Award</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2</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2.</w:t>
            </w:r>
          </w:p>
        </w:tc>
        <w:tc>
          <w:tcPr>
            <w:tcW w:w="60" w:type="dxa"/>
            <w:vAlign w:val="bottom"/>
          </w:tcPr>
          <w:p>
            <w:pPr>
              <w:spacing w:after="0"/>
              <w:rPr>
                <w:sz w:val="24"/>
                <w:szCs w:val="24"/>
                <w:color w:val="auto"/>
              </w:rPr>
            </w:pPr>
          </w:p>
        </w:tc>
        <w:tc>
          <w:tcPr>
            <w:tcW w:w="7980" w:type="dxa"/>
            <w:vAlign w:val="bottom"/>
          </w:tcPr>
          <w:p>
            <w:pPr>
              <w:ind w:left="40"/>
              <w:spacing w:after="0"/>
              <w:rPr>
                <w:sz w:val="20"/>
                <w:szCs w:val="20"/>
                <w:color w:val="auto"/>
              </w:rPr>
            </w:pPr>
            <w:r>
              <w:rPr>
                <w:rFonts w:ascii="Calibri" w:cs="Calibri" w:eastAsia="Calibri" w:hAnsi="Calibri"/>
                <w:sz w:val="22"/>
                <w:szCs w:val="22"/>
                <w:color w:val="auto"/>
              </w:rPr>
              <w:t>Vestng</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3.  Impact of Certain Employment Status Changes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4.  Change in Control</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5.</w:t>
            </w:r>
          </w:p>
        </w:tc>
        <w:tc>
          <w:tcPr>
            <w:tcW w:w="60" w:type="dxa"/>
            <w:vAlign w:val="bottom"/>
          </w:tcPr>
          <w:p>
            <w:pPr>
              <w:spacing w:after="0"/>
              <w:rPr>
                <w:sz w:val="24"/>
                <w:szCs w:val="24"/>
                <w:color w:val="auto"/>
              </w:rPr>
            </w:pPr>
          </w:p>
        </w:tc>
        <w:tc>
          <w:tcPr>
            <w:tcW w:w="7980" w:type="dxa"/>
            <w:vAlign w:val="bottom"/>
          </w:tcPr>
          <w:p>
            <w:pPr>
              <w:ind w:left="40"/>
              <w:spacing w:after="0"/>
              <w:rPr>
                <w:sz w:val="20"/>
                <w:szCs w:val="20"/>
                <w:color w:val="auto"/>
              </w:rPr>
            </w:pPr>
            <w:r>
              <w:rPr>
                <w:rFonts w:ascii="Calibri" w:cs="Calibri" w:eastAsia="Calibri" w:hAnsi="Calibri"/>
                <w:sz w:val="22"/>
                <w:szCs w:val="22"/>
                <w:color w:val="auto"/>
              </w:rPr>
              <w:t>Setlement</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6.  Rights of the Grantee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7.  Prohibiton Against Transfer</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8.</w:t>
            </w:r>
          </w:p>
        </w:tc>
        <w:tc>
          <w:tcPr>
            <w:tcW w:w="8040" w:type="dxa"/>
            <w:vAlign w:val="bottom"/>
            <w:gridSpan w:val="2"/>
          </w:tcPr>
          <w:p>
            <w:pPr>
              <w:ind w:left="100"/>
              <w:spacing w:after="0"/>
              <w:rPr>
                <w:sz w:val="20"/>
                <w:szCs w:val="20"/>
                <w:color w:val="auto"/>
              </w:rPr>
            </w:pPr>
            <w:r>
              <w:rPr>
                <w:rFonts w:ascii="Calibri" w:cs="Calibri" w:eastAsia="Calibri" w:hAnsi="Calibri"/>
                <w:sz w:val="22"/>
                <w:szCs w:val="22"/>
                <w:color w:val="auto"/>
              </w:rPr>
              <w:t>Responsibility for Taxes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9.</w:t>
            </w:r>
          </w:p>
        </w:tc>
        <w:tc>
          <w:tcPr>
            <w:tcW w:w="8040" w:type="dxa"/>
            <w:vAlign w:val="bottom"/>
            <w:gridSpan w:val="2"/>
          </w:tcPr>
          <w:p>
            <w:pPr>
              <w:ind w:left="100"/>
              <w:spacing w:after="0"/>
              <w:rPr>
                <w:sz w:val="20"/>
                <w:szCs w:val="20"/>
                <w:color w:val="auto"/>
              </w:rPr>
            </w:pPr>
            <w:r>
              <w:rPr>
                <w:rFonts w:ascii="Calibri" w:cs="Calibri" w:eastAsia="Calibri" w:hAnsi="Calibri"/>
                <w:sz w:val="22"/>
                <w:szCs w:val="22"/>
                <w:color w:val="auto"/>
              </w:rPr>
              <w:t>Secton 409A Compliance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10.</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Grantee’s Acknowledgment</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11.</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Data Privacy</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12.  Restrictve Covenants, Remedies, and Additonal Terms and Conditons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13.  Governing Law and Choice of Venue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12</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14.</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Miscellaneous Provisions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12</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15.</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Compensaton Recovery</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13</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16.</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Award Subject to Acknowledgement of Acceptance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99"/>
        <w:spacing w:after="0"/>
        <w:rPr>
          <w:sz w:val="20"/>
          <w:szCs w:val="20"/>
          <w:color w:val="auto"/>
        </w:rPr>
      </w:pPr>
      <w:r>
        <w:rPr>
          <w:rFonts w:ascii="Calibri" w:cs="Calibri" w:eastAsia="Calibri" w:hAnsi="Calibri"/>
          <w:sz w:val="16"/>
          <w:szCs w:val="16"/>
          <w:color w:val="auto"/>
        </w:rPr>
        <w:t>Page 2</w:t>
      </w:r>
    </w:p>
    <w:p>
      <w:pPr>
        <w:sectPr>
          <w:pgSz w:w="11900" w:h="16838" w:orient="portrait"/>
          <w:cols w:equalWidth="0" w:num="1">
            <w:col w:w="10940"/>
          </w:cols>
          <w:pgMar w:left="320" w:top="330" w:right="639" w:bottom="1440" w:gutter="0" w:footer="0" w:header="0"/>
        </w:sectPr>
      </w:pPr>
    </w:p>
    <w:bookmarkStart w:id="127" w:name="page128"/>
    <w:bookmarkEnd w:id="127"/>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1.</w:t>
      </w:r>
      <w:r>
        <w:rPr>
          <w:sz w:val="20"/>
          <w:szCs w:val="20"/>
          <w:color w:val="auto"/>
        </w:rPr>
        <w:tab/>
      </w:r>
      <w:r>
        <w:rPr>
          <w:rFonts w:ascii="Calibri" w:cs="Calibri" w:eastAsia="Calibri" w:hAnsi="Calibri"/>
          <w:sz w:val="22"/>
          <w:szCs w:val="22"/>
          <w:color w:val="auto"/>
        </w:rPr>
        <w:t>Grant of Shareholder Value Award</w:t>
      </w:r>
    </w:p>
    <w:p>
      <w:pPr>
        <w:spacing w:after="0" w:line="64"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Plan administrator’s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xml:space="preserve"> (the "Target Number of Shares").</w:t>
      </w:r>
    </w:p>
    <w:p>
      <w:pPr>
        <w:spacing w:after="0" w:line="44"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179" w:lineRule="exact"/>
        <w:rPr>
          <w:sz w:val="20"/>
          <w:szCs w:val="20"/>
          <w:color w:val="auto"/>
        </w:rPr>
      </w:pPr>
    </w:p>
    <w:p>
      <w:pPr>
        <w:jc w:val="both"/>
        <w:ind w:left="420"/>
        <w:spacing w:after="0" w:line="236"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2.</w:t>
        <w:tab/>
        <w:t>Vestng</w:t>
      </w:r>
    </w:p>
    <w:p>
      <w:pPr>
        <w:spacing w:after="0" w:line="24" w:lineRule="exact"/>
        <w:rPr>
          <w:sz w:val="20"/>
          <w:szCs w:val="20"/>
          <w:color w:val="auto"/>
        </w:rPr>
      </w:pPr>
    </w:p>
    <w:p>
      <w:pPr>
        <w:jc w:val="both"/>
        <w:ind w:left="420"/>
        <w:spacing w:after="0" w:line="226"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41" w:lineRule="exact"/>
        <w:rPr>
          <w:sz w:val="20"/>
          <w:szCs w:val="20"/>
          <w:color w:val="auto"/>
        </w:rPr>
      </w:pPr>
    </w:p>
    <w:p>
      <w:pPr>
        <w:ind w:left="1300" w:hanging="644"/>
        <w:spacing w:after="0" w:line="226" w:lineRule="auto"/>
        <w:tabs>
          <w:tab w:leader="none" w:pos="1113"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41" w:lineRule="exact"/>
        <w:rPr>
          <w:rFonts w:ascii="Arial" w:cs="Arial" w:eastAsia="Arial" w:hAnsi="Arial"/>
          <w:sz w:val="22"/>
          <w:szCs w:val="22"/>
          <w:color w:val="auto"/>
        </w:rPr>
      </w:pPr>
    </w:p>
    <w:p>
      <w:pPr>
        <w:ind w:left="1300" w:hanging="644"/>
        <w:spacing w:after="0" w:line="226" w:lineRule="auto"/>
        <w:tabs>
          <w:tab w:leader="none" w:pos="1113"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41" w:lineRule="exact"/>
        <w:rPr>
          <w:sz w:val="20"/>
          <w:szCs w:val="20"/>
          <w:color w:val="auto"/>
        </w:rPr>
      </w:pPr>
    </w:p>
    <w:p>
      <w:pPr>
        <w:jc w:val="both"/>
        <w:ind w:left="420" w:right="20"/>
        <w:spacing w:after="0" w:line="236"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3.</w:t>
      </w:r>
      <w:r>
        <w:rPr>
          <w:sz w:val="20"/>
          <w:szCs w:val="20"/>
          <w:color w:val="auto"/>
        </w:rPr>
        <w:tab/>
      </w:r>
      <w:r>
        <w:rPr>
          <w:rFonts w:ascii="Calibri" w:cs="Calibri" w:eastAsia="Calibri" w:hAnsi="Calibri"/>
          <w:sz w:val="22"/>
          <w:szCs w:val="22"/>
          <w:color w:val="auto"/>
        </w:rPr>
        <w:t>Impact of Certain Employment Status Changes</w:t>
      </w:r>
    </w:p>
    <w:p>
      <w:pPr>
        <w:spacing w:after="0" w:line="64" w:lineRule="exact"/>
        <w:rPr>
          <w:sz w:val="20"/>
          <w:szCs w:val="20"/>
          <w:color w:val="auto"/>
        </w:rPr>
      </w:pPr>
    </w:p>
    <w:p>
      <w:pPr>
        <w:jc w:val="both"/>
        <w:ind w:left="420" w:right="20"/>
        <w:spacing w:after="0" w:line="226"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41" w:lineRule="exact"/>
        <w:rPr>
          <w:sz w:val="20"/>
          <w:szCs w:val="20"/>
          <w:color w:val="auto"/>
        </w:rPr>
      </w:pPr>
    </w:p>
    <w:p>
      <w:pPr>
        <w:ind w:left="1300" w:hanging="644"/>
        <w:spacing w:after="0" w:line="214" w:lineRule="auto"/>
        <w:tabs>
          <w:tab w:leader="none" w:pos="108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41"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2</w:t>
      </w:r>
    </w:p>
    <w:p>
      <w:pPr>
        <w:sectPr>
          <w:pgSz w:w="11900" w:h="16838" w:orient="portrait"/>
          <w:cols w:equalWidth="0" w:num="1">
            <w:col w:w="11240"/>
          </w:cols>
          <w:pgMar w:left="320" w:top="330" w:right="339"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41"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43" w:lineRule="exact"/>
        <w:rPr>
          <w:sz w:val="20"/>
          <w:szCs w:val="20"/>
          <w:color w:val="auto"/>
        </w:rPr>
      </w:pPr>
    </w:p>
    <w:p>
      <w:pPr>
        <w:jc w:val="both"/>
        <w:ind w:left="1300" w:hanging="644"/>
        <w:spacing w:after="0" w:line="231" w:lineRule="auto"/>
        <w:tabs>
          <w:tab w:leader="none" w:pos="1315"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3(a),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42" w:lineRule="exact"/>
        <w:rPr>
          <w:rFonts w:ascii="Arial" w:cs="Arial" w:eastAsia="Arial" w:hAnsi="Arial"/>
          <w:sz w:val="21"/>
          <w:szCs w:val="21"/>
          <w:color w:val="auto"/>
        </w:rPr>
      </w:pPr>
    </w:p>
    <w:p>
      <w:pPr>
        <w:ind w:left="1300" w:right="20"/>
        <w:spacing w:after="0" w:line="236"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2" w:lineRule="exact"/>
        <w:rPr>
          <w:rFonts w:ascii="Arial" w:cs="Arial" w:eastAsia="Arial" w:hAnsi="Arial"/>
          <w:sz w:val="21"/>
          <w:szCs w:val="21"/>
          <w:color w:val="auto"/>
        </w:rPr>
      </w:pPr>
    </w:p>
    <w:p>
      <w:pPr>
        <w:ind w:left="1980" w:hanging="352"/>
        <w:spacing w:after="0"/>
        <w:tabs>
          <w:tab w:leader="none" w:pos="1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20" w:lineRule="auto"/>
        <w:tabs>
          <w:tab w:leader="none" w:pos="2199" w:val="left"/>
        </w:tabs>
        <w:numPr>
          <w:ilvl w:val="1"/>
          <w:numId w:val="47"/>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44" w:lineRule="exact"/>
        <w:rPr>
          <w:sz w:val="20"/>
          <w:szCs w:val="20"/>
          <w:color w:val="auto"/>
        </w:rPr>
      </w:pPr>
    </w:p>
    <w:p>
      <w:pPr>
        <w:ind w:left="1300" w:right="760"/>
        <w:spacing w:after="0" w:line="236"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3" w:lineRule="exact"/>
        <w:rPr>
          <w:sz w:val="20"/>
          <w:szCs w:val="20"/>
          <w:color w:val="auto"/>
        </w:rPr>
      </w:pPr>
    </w:p>
    <w:p>
      <w:pPr>
        <w:ind w:left="1300"/>
        <w:spacing w:after="0" w:line="25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15" w:lineRule="auto"/>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Misconduct</w:t>
      </w:r>
      <w:r>
        <w:rPr>
          <w:rFonts w:ascii="Arial" w:cs="Arial" w:eastAsia="Arial" w:hAnsi="Arial"/>
          <w:sz w:val="22"/>
          <w:szCs w:val="22"/>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44"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The Committee’s determination as to whether (1)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 to locate a position within the Company or an Affiliate following reallocation or medical reassignment shall be final and binding on the Grantee.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4.</w:t>
      </w:r>
      <w:r>
        <w:rPr>
          <w:sz w:val="20"/>
          <w:szCs w:val="20"/>
          <w:color w:val="auto"/>
        </w:rPr>
        <w:tab/>
      </w:r>
      <w:r>
        <w:rPr>
          <w:rFonts w:ascii="Calibri" w:cs="Calibri" w:eastAsia="Calibri" w:hAnsi="Calibri"/>
          <w:sz w:val="22"/>
          <w:szCs w:val="22"/>
          <w:color w:val="auto"/>
        </w:rPr>
        <w:t>Change in Control</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3</w:t>
      </w:r>
    </w:p>
    <w:p>
      <w:pPr>
        <w:sectPr>
          <w:pgSz w:w="11900" w:h="16838" w:orient="portrait"/>
          <w:cols w:equalWidth="0" w:num="1">
            <w:col w:w="11240"/>
          </w:cols>
          <w:pgMar w:left="320" w:top="330" w:right="339" w:bottom="1440" w:gutter="0" w:footer="0" w:header="0"/>
        </w:sectPr>
      </w:pPr>
    </w:p>
    <w:bookmarkStart w:id="129" w:name="page130"/>
    <w:bookmarkEnd w:id="129"/>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hanging="644"/>
        <w:spacing w:after="0" w:line="226" w:lineRule="auto"/>
        <w:tabs>
          <w:tab w:leader="none" w:pos="1282"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41" w:lineRule="exact"/>
        <w:rPr>
          <w:rFonts w:ascii="Arial" w:cs="Arial" w:eastAsia="Arial" w:hAnsi="Arial"/>
          <w:sz w:val="22"/>
          <w:szCs w:val="22"/>
          <w:color w:val="auto"/>
        </w:rPr>
      </w:pPr>
    </w:p>
    <w:p>
      <w:pPr>
        <w:ind w:left="1300" w:hanging="644"/>
        <w:spacing w:after="0" w:line="214" w:lineRule="auto"/>
        <w:tabs>
          <w:tab w:leader="none" w:pos="1124"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41" w:lineRule="exact"/>
        <w:rPr>
          <w:rFonts w:ascii="Arial" w:cs="Arial" w:eastAsia="Arial" w:hAnsi="Arial"/>
          <w:sz w:val="22"/>
          <w:szCs w:val="22"/>
          <w:color w:val="auto"/>
        </w:rPr>
      </w:pPr>
    </w:p>
    <w:p>
      <w:pPr>
        <w:jc w:val="both"/>
        <w:ind w:left="1960" w:hanging="332"/>
        <w:spacing w:after="0" w:line="220" w:lineRule="auto"/>
        <w:tabs>
          <w:tab w:leader="none" w:pos="2035"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44" w:lineRule="exact"/>
        <w:rPr>
          <w:rFonts w:ascii="Arial" w:cs="Arial" w:eastAsia="Arial" w:hAnsi="Arial"/>
          <w:sz w:val="22"/>
          <w:szCs w:val="22"/>
          <w:color w:val="auto"/>
        </w:rPr>
      </w:pPr>
    </w:p>
    <w:p>
      <w:pPr>
        <w:jc w:val="both"/>
        <w:ind w:left="1960" w:hanging="332"/>
        <w:spacing w:after="0" w:line="217" w:lineRule="auto"/>
        <w:tabs>
          <w:tab w:leader="none" w:pos="2159"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44"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may be amended, restated, or superseded from time to time.</w:t>
      </w:r>
    </w:p>
    <w:p>
      <w:pPr>
        <w:spacing w:after="0" w:line="44" w:lineRule="exact"/>
        <w:rPr>
          <w:sz w:val="20"/>
          <w:szCs w:val="20"/>
          <w:color w:val="auto"/>
        </w:rPr>
      </w:pPr>
    </w:p>
    <w:p>
      <w:pPr>
        <w:ind w:left="1300" w:hanging="644"/>
        <w:spacing w:after="0" w:line="220" w:lineRule="auto"/>
        <w:tabs>
          <w:tab w:leader="none" w:pos="1067"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5.</w:t>
        <w:tab/>
        <w:t>Setlement</w:t>
      </w:r>
    </w:p>
    <w:p>
      <w:pPr>
        <w:spacing w:after="0" w:line="64" w:lineRule="exact"/>
        <w:rPr>
          <w:sz w:val="20"/>
          <w:szCs w:val="20"/>
          <w:color w:val="auto"/>
        </w:rPr>
      </w:pPr>
    </w:p>
    <w:p>
      <w:pPr>
        <w:ind w:left="1300" w:hanging="644"/>
        <w:spacing w:after="0" w:line="236" w:lineRule="auto"/>
        <w:tabs>
          <w:tab w:leader="none" w:pos="11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42" w:lineRule="exact"/>
        <w:rPr>
          <w:rFonts w:ascii="Arial" w:cs="Arial" w:eastAsia="Arial" w:hAnsi="Arial"/>
          <w:sz w:val="22"/>
          <w:szCs w:val="22"/>
          <w:color w:val="auto"/>
        </w:rPr>
      </w:pPr>
    </w:p>
    <w:p>
      <w:pPr>
        <w:ind w:left="1300" w:hanging="644"/>
        <w:spacing w:after="0" w:line="210" w:lineRule="auto"/>
        <w:tabs>
          <w:tab w:leader="none" w:pos="10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4</w:t>
      </w:r>
    </w:p>
    <w:p>
      <w:pPr>
        <w:sectPr>
          <w:pgSz w:w="11900" w:h="16838" w:orient="portrait"/>
          <w:cols w:equalWidth="0" w:num="1">
            <w:col w:w="11240"/>
          </w:cols>
          <w:pgMar w:left="320" w:top="330" w:right="339" w:bottom="1440" w:gutter="0" w:footer="0" w:header="0"/>
        </w:sectPr>
      </w:pPr>
    </w:p>
    <w:bookmarkStart w:id="130" w:name="page131"/>
    <w:bookmarkEnd w:id="130"/>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hanging="644"/>
        <w:spacing w:after="0" w:line="212" w:lineRule="auto"/>
        <w:tabs>
          <w:tab w:leader="none" w:pos="1232"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48" w:lineRule="exact"/>
        <w:rPr>
          <w:rFonts w:ascii="Arial" w:cs="Arial" w:eastAsia="Arial" w:hAnsi="Arial"/>
          <w:sz w:val="22"/>
          <w:szCs w:val="22"/>
          <w:color w:val="auto"/>
        </w:rPr>
      </w:pPr>
    </w:p>
    <w:p>
      <w:pPr>
        <w:ind w:left="1300" w:hanging="644"/>
        <w:spacing w:after="0" w:line="226" w:lineRule="auto"/>
        <w:tabs>
          <w:tab w:leader="none" w:pos="1106" w:val="left"/>
        </w:tabs>
        <w:numPr>
          <w:ilvl w:val="0"/>
          <w:numId w:val="52"/>
        </w:numPr>
        <w:rPr>
          <w:rFonts w:ascii="Arial" w:cs="Arial" w:eastAsia="Arial" w:hAnsi="Arial"/>
          <w:sz w:val="22"/>
          <w:szCs w:val="22"/>
          <w:color w:val="auto"/>
        </w:rPr>
      </w:pPr>
      <w:r>
        <w:rPr>
          <w:rFonts w:ascii="Arial" w:cs="Arial" w:eastAsia="Arial" w:hAnsi="Arial"/>
          <w:sz w:val="22"/>
          <w:szCs w:val="22"/>
          <w:color w:val="auto"/>
        </w:rPr>
        <w:t>At the time of settlement provided in this Section 5, Lilly shall issue or transfer Shares to the Grantee. In the event the Grantee is entitled to a fractional Share, the fraction may be paid in cash or rounded, in the Committee’s discretion.</w:t>
      </w:r>
    </w:p>
    <w:p>
      <w:pPr>
        <w:spacing w:after="0" w:line="41" w:lineRule="exact"/>
        <w:rPr>
          <w:rFonts w:ascii="Arial" w:cs="Arial" w:eastAsia="Arial" w:hAnsi="Arial"/>
          <w:sz w:val="22"/>
          <w:szCs w:val="22"/>
          <w:color w:val="auto"/>
        </w:rPr>
      </w:pPr>
    </w:p>
    <w:p>
      <w:pPr>
        <w:ind w:left="1300" w:right="20" w:hanging="644"/>
        <w:spacing w:after="0" w:line="236" w:lineRule="auto"/>
        <w:tabs>
          <w:tab w:leader="none" w:pos="1079"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6.</w:t>
      </w:r>
      <w:r>
        <w:rPr>
          <w:sz w:val="20"/>
          <w:szCs w:val="20"/>
          <w:color w:val="auto"/>
        </w:rPr>
        <w:tab/>
      </w:r>
      <w:r>
        <w:rPr>
          <w:rFonts w:ascii="Calibri" w:cs="Calibri" w:eastAsia="Calibri" w:hAnsi="Calibri"/>
          <w:sz w:val="22"/>
          <w:szCs w:val="22"/>
          <w:color w:val="auto"/>
        </w:rPr>
        <w:t>Rights of the Grantee</w:t>
      </w:r>
    </w:p>
    <w:p>
      <w:pPr>
        <w:spacing w:after="0" w:line="64" w:lineRule="exact"/>
        <w:rPr>
          <w:sz w:val="20"/>
          <w:szCs w:val="20"/>
          <w:color w:val="auto"/>
        </w:rPr>
      </w:pPr>
    </w:p>
    <w:p>
      <w:pPr>
        <w:ind w:left="1300" w:hanging="644"/>
        <w:spacing w:after="0" w:line="226" w:lineRule="auto"/>
        <w:tabs>
          <w:tab w:leader="none" w:pos="11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Shareholder Value Award does not entitle the Grantee to any rights of a shareholder of Lilly until such time as the Shareholder Value Award is settled and Shares are issued or transferred to the Grantee.</w:t>
      </w:r>
    </w:p>
    <w:p>
      <w:pPr>
        <w:spacing w:after="0" w:line="41" w:lineRule="exact"/>
        <w:rPr>
          <w:rFonts w:ascii="Arial" w:cs="Arial" w:eastAsia="Arial" w:hAnsi="Arial"/>
          <w:sz w:val="22"/>
          <w:szCs w:val="22"/>
          <w:color w:val="auto"/>
        </w:rPr>
      </w:pPr>
    </w:p>
    <w:p>
      <w:pPr>
        <w:ind w:left="1300" w:hanging="644"/>
        <w:spacing w:after="0" w:line="220" w:lineRule="auto"/>
        <w:tabs>
          <w:tab w:leader="none" w:pos="112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Shares pursuant to this Award Agreement shall be an unsecured claim against the general assets of the Company.</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7.</w:t>
      </w:r>
      <w:r>
        <w:rPr>
          <w:sz w:val="20"/>
          <w:szCs w:val="20"/>
          <w:color w:val="auto"/>
        </w:rPr>
        <w:tab/>
      </w:r>
      <w:r>
        <w:rPr>
          <w:rFonts w:ascii="Calibri" w:cs="Calibri" w:eastAsia="Calibri" w:hAnsi="Calibri"/>
          <w:sz w:val="22"/>
          <w:szCs w:val="22"/>
          <w:color w:val="auto"/>
        </w:rPr>
        <w:t>Prohibiton Against Transfer</w:t>
      </w:r>
    </w:p>
    <w:p>
      <w:pPr>
        <w:spacing w:after="0" w:line="78"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8.</w:t>
      </w:r>
      <w:r>
        <w:rPr>
          <w:sz w:val="20"/>
          <w:szCs w:val="20"/>
          <w:color w:val="auto"/>
        </w:rPr>
        <w:tab/>
      </w:r>
      <w:r>
        <w:rPr>
          <w:rFonts w:ascii="Calibri" w:cs="Calibri" w:eastAsia="Calibri" w:hAnsi="Calibri"/>
          <w:sz w:val="22"/>
          <w:szCs w:val="22"/>
          <w:color w:val="auto"/>
        </w:rPr>
        <w:t>Responsibility for Taxes</w:t>
      </w:r>
    </w:p>
    <w:p>
      <w:pPr>
        <w:spacing w:after="0" w:line="64" w:lineRule="exact"/>
        <w:rPr>
          <w:sz w:val="20"/>
          <w:szCs w:val="20"/>
          <w:color w:val="auto"/>
        </w:rPr>
      </w:pPr>
    </w:p>
    <w:p>
      <w:pPr>
        <w:ind w:left="1300" w:hanging="644"/>
        <w:spacing w:after="0" w:line="209" w:lineRule="auto"/>
        <w:tabs>
          <w:tab w:leader="none" w:pos="1126"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5</w:t>
      </w:r>
    </w:p>
    <w:p>
      <w:pPr>
        <w:sectPr>
          <w:pgSz w:w="11900" w:h="16838" w:orient="portrait"/>
          <w:cols w:equalWidth="0" w:num="1">
            <w:col w:w="11240"/>
          </w:cols>
          <w:pgMar w:left="320" w:top="330" w:right="339"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Employer (or former employer, as applicable) may be required to withhold or account for Tax Related Items in more than one jurisdiction.</w:t>
      </w:r>
    </w:p>
    <w:p>
      <w:pPr>
        <w:spacing w:after="0" w:line="43" w:lineRule="exact"/>
        <w:rPr>
          <w:sz w:val="20"/>
          <w:szCs w:val="20"/>
          <w:color w:val="auto"/>
        </w:rPr>
      </w:pPr>
    </w:p>
    <w:p>
      <w:pPr>
        <w:ind w:left="1300" w:hanging="644"/>
        <w:spacing w:after="0" w:line="236" w:lineRule="auto"/>
        <w:tabs>
          <w:tab w:leader="none" w:pos="11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42" w:lineRule="exact"/>
        <w:rPr>
          <w:rFonts w:ascii="Arial" w:cs="Arial" w:eastAsia="Arial" w:hAnsi="Arial"/>
          <w:sz w:val="22"/>
          <w:szCs w:val="22"/>
          <w:color w:val="auto"/>
        </w:rPr>
      </w:pPr>
    </w:p>
    <w:p>
      <w:pPr>
        <w:jc w:val="both"/>
        <w:ind w:left="1960" w:hanging="332"/>
        <w:spacing w:after="0" w:line="217" w:lineRule="auto"/>
        <w:tabs>
          <w:tab w:leader="none" w:pos="2087"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44" w:lineRule="exact"/>
        <w:rPr>
          <w:rFonts w:ascii="Arial" w:cs="Arial" w:eastAsia="Arial" w:hAnsi="Arial"/>
          <w:sz w:val="22"/>
          <w:szCs w:val="22"/>
          <w:color w:val="auto"/>
        </w:rPr>
      </w:pPr>
    </w:p>
    <w:p>
      <w:pPr>
        <w:jc w:val="both"/>
        <w:ind w:left="1960" w:hanging="332"/>
        <w:spacing w:after="0" w:line="210" w:lineRule="auto"/>
        <w:tabs>
          <w:tab w:leader="none" w:pos="2068"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49" w:lineRule="exact"/>
        <w:rPr>
          <w:rFonts w:ascii="Arial" w:cs="Arial" w:eastAsia="Arial" w:hAnsi="Arial"/>
          <w:sz w:val="22"/>
          <w:szCs w:val="22"/>
          <w:color w:val="auto"/>
        </w:rPr>
      </w:pPr>
    </w:p>
    <w:p>
      <w:pPr>
        <w:jc w:val="both"/>
        <w:ind w:left="1960" w:hanging="332"/>
        <w:spacing w:after="0" w:line="215" w:lineRule="auto"/>
        <w:tabs>
          <w:tab w:leader="none" w:pos="2129"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44" w:lineRule="exact"/>
        <w:rPr>
          <w:rFonts w:ascii="Arial" w:cs="Arial" w:eastAsia="Arial" w:hAnsi="Arial"/>
          <w:sz w:val="22"/>
          <w:szCs w:val="22"/>
          <w:color w:val="auto"/>
        </w:rPr>
      </w:pPr>
    </w:p>
    <w:p>
      <w:pPr>
        <w:ind w:left="1300" w:hanging="644"/>
        <w:spacing w:after="0" w:line="212" w:lineRule="auto"/>
        <w:tabs>
          <w:tab w:leader="none" w:pos="10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48" w:lineRule="exact"/>
        <w:rPr>
          <w:rFonts w:ascii="Arial" w:cs="Arial" w:eastAsia="Arial" w:hAnsi="Arial"/>
          <w:sz w:val="22"/>
          <w:szCs w:val="22"/>
          <w:color w:val="auto"/>
        </w:rPr>
      </w:pPr>
    </w:p>
    <w:p>
      <w:pPr>
        <w:ind w:left="1300" w:hanging="644"/>
        <w:spacing w:after="0" w:line="236" w:lineRule="auto"/>
        <w:tabs>
          <w:tab w:leader="none" w:pos="1112" w:val="left"/>
        </w:tabs>
        <w:numPr>
          <w:ilvl w:val="0"/>
          <w:numId w:val="55"/>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9.</w:t>
        <w:tab/>
        <w:t>Secton 409A Compliance</w:t>
      </w:r>
    </w:p>
    <w:p>
      <w:pPr>
        <w:spacing w:after="0" w:line="10"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6</w:t>
      </w:r>
    </w:p>
    <w:p>
      <w:pPr>
        <w:sectPr>
          <w:pgSz w:w="11900" w:h="16838" w:orient="portrait"/>
          <w:cols w:equalWidth="0" w:num="1">
            <w:col w:w="11240"/>
          </w:cols>
          <w:pgMar w:left="320" w:top="330" w:right="339" w:bottom="1440" w:gutter="0" w:footer="0" w:header="0"/>
        </w:sectPr>
      </w:pPr>
    </w:p>
    <w:bookmarkStart w:id="132" w:name="page133"/>
    <w:bookmarkEnd w:id="132"/>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10.</w:t>
      </w:r>
      <w:r>
        <w:rPr>
          <w:sz w:val="20"/>
          <w:szCs w:val="20"/>
          <w:color w:val="auto"/>
        </w:rPr>
        <w:tab/>
      </w:r>
      <w:r>
        <w:rPr>
          <w:rFonts w:ascii="Calibri" w:cs="Calibri" w:eastAsia="Calibri" w:hAnsi="Calibri"/>
          <w:sz w:val="22"/>
          <w:szCs w:val="22"/>
          <w:color w:val="auto"/>
        </w:rPr>
        <w:t>Grantee’s Acknowledgment</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right="20" w:hanging="644"/>
        <w:spacing w:after="0" w:line="236" w:lineRule="auto"/>
        <w:tabs>
          <w:tab w:leader="none" w:pos="113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2" w:lineRule="exact"/>
        <w:rPr>
          <w:rFonts w:ascii="Arial" w:cs="Arial" w:eastAsia="Arial" w:hAnsi="Arial"/>
          <w:sz w:val="22"/>
          <w:szCs w:val="22"/>
          <w:color w:val="auto"/>
        </w:rPr>
      </w:pPr>
    </w:p>
    <w:p>
      <w:pPr>
        <w:ind w:left="1300" w:hanging="644"/>
        <w:spacing w:after="0" w:line="226" w:lineRule="auto"/>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41" w:lineRule="exact"/>
        <w:rPr>
          <w:rFonts w:ascii="Arial" w:cs="Arial" w:eastAsia="Arial" w:hAnsi="Arial"/>
          <w:sz w:val="22"/>
          <w:szCs w:val="22"/>
          <w:color w:val="auto"/>
        </w:rPr>
      </w:pPr>
    </w:p>
    <w:p>
      <w:pPr>
        <w:ind w:left="1300" w:hanging="644"/>
        <w:spacing w:after="0" w:line="236" w:lineRule="auto"/>
        <w:tabs>
          <w:tab w:leader="none" w:pos="110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2" w:lineRule="exact"/>
        <w:rPr>
          <w:rFonts w:ascii="Arial" w:cs="Arial" w:eastAsia="Arial" w:hAnsi="Arial"/>
          <w:sz w:val="22"/>
          <w:szCs w:val="22"/>
          <w:color w:val="auto"/>
        </w:rPr>
      </w:pPr>
    </w:p>
    <w:p>
      <w:pPr>
        <w:ind w:left="1080" w:hanging="424"/>
        <w:spacing w:after="0"/>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36" w:lineRule="auto"/>
        <w:tabs>
          <w:tab w:leader="none" w:pos="12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42" w:lineRule="exact"/>
        <w:rPr>
          <w:rFonts w:ascii="Arial" w:cs="Arial" w:eastAsia="Arial" w:hAnsi="Arial"/>
          <w:sz w:val="22"/>
          <w:szCs w:val="22"/>
          <w:color w:val="auto"/>
        </w:rPr>
      </w:pPr>
    </w:p>
    <w:p>
      <w:pPr>
        <w:ind w:left="1300" w:hanging="644"/>
        <w:spacing w:after="0" w:line="217" w:lineRule="auto"/>
        <w:tabs>
          <w:tab w:leader="none" w:pos="102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44" w:lineRule="exact"/>
        <w:rPr>
          <w:rFonts w:ascii="Arial" w:cs="Arial" w:eastAsia="Arial" w:hAnsi="Arial"/>
          <w:sz w:val="22"/>
          <w:szCs w:val="22"/>
          <w:color w:val="auto"/>
        </w:rPr>
      </w:pPr>
    </w:p>
    <w:p>
      <w:pPr>
        <w:ind w:left="1300" w:hanging="644"/>
        <w:spacing w:after="0" w:line="231" w:lineRule="auto"/>
        <w:tabs>
          <w:tab w:leader="none" w:pos="1082" w:val="left"/>
        </w:tabs>
        <w:numPr>
          <w:ilvl w:val="0"/>
          <w:numId w:val="56"/>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42" w:lineRule="exact"/>
        <w:rPr>
          <w:rFonts w:ascii="Arial" w:cs="Arial" w:eastAsia="Arial" w:hAnsi="Arial"/>
          <w:sz w:val="21"/>
          <w:szCs w:val="21"/>
          <w:color w:val="auto"/>
        </w:rPr>
      </w:pPr>
    </w:p>
    <w:p>
      <w:pPr>
        <w:ind w:left="1300" w:hanging="644"/>
        <w:spacing w:after="0" w:line="236" w:lineRule="auto"/>
        <w:tabs>
          <w:tab w:leader="none" w:pos="124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42" w:lineRule="exact"/>
        <w:rPr>
          <w:rFonts w:ascii="Arial" w:cs="Arial" w:eastAsia="Arial" w:hAnsi="Arial"/>
          <w:sz w:val="22"/>
          <w:szCs w:val="22"/>
          <w:color w:val="auto"/>
        </w:rPr>
      </w:pPr>
    </w:p>
    <w:p>
      <w:pPr>
        <w:ind w:left="1300" w:hanging="644"/>
        <w:spacing w:after="0" w:line="215" w:lineRule="auto"/>
        <w:tabs>
          <w:tab w:leader="none" w:pos="1011"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acquired under the Plan or proceeds therefrom resulting from (i) the application of a clawback policy described in Section 15 of this Agreement or required by law or (ii)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44" w:lineRule="exact"/>
        <w:rPr>
          <w:rFonts w:ascii="Arial" w:cs="Arial" w:eastAsia="Arial" w:hAnsi="Arial"/>
          <w:sz w:val="22"/>
          <w:szCs w:val="22"/>
          <w:color w:val="auto"/>
        </w:rPr>
      </w:pPr>
    </w:p>
    <w:p>
      <w:pPr>
        <w:ind w:left="1300" w:hanging="644"/>
        <w:spacing w:after="0" w:line="209" w:lineRule="auto"/>
        <w:tabs>
          <w:tab w:leader="none" w:pos="1064" w:val="left"/>
        </w:tabs>
        <w:numPr>
          <w:ilvl w:val="0"/>
          <w:numId w:val="56"/>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7</w:t>
      </w:r>
    </w:p>
    <w:p>
      <w:pPr>
        <w:sectPr>
          <w:pgSz w:w="11900" w:h="16838" w:orient="portrait"/>
          <w:cols w:equalWidth="0" w:num="1">
            <w:col w:w="11240"/>
          </w:cols>
          <w:pgMar w:left="320" w:top="330" w:right="339"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644"/>
        <w:spacing w:after="0" w:line="226" w:lineRule="auto"/>
        <w:tabs>
          <w:tab w:leader="none" w:pos="1111"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41" w:lineRule="exact"/>
        <w:rPr>
          <w:rFonts w:ascii="Arial" w:cs="Arial" w:eastAsia="Arial" w:hAnsi="Arial"/>
          <w:sz w:val="22"/>
          <w:szCs w:val="22"/>
          <w:color w:val="auto"/>
        </w:rPr>
      </w:pPr>
    </w:p>
    <w:p>
      <w:pPr>
        <w:ind w:left="1300" w:hanging="644"/>
        <w:spacing w:after="0" w:line="220" w:lineRule="auto"/>
        <w:tabs>
          <w:tab w:leader="none" w:pos="109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44" w:lineRule="exact"/>
        <w:rPr>
          <w:rFonts w:ascii="Arial" w:cs="Arial" w:eastAsia="Arial" w:hAnsi="Arial"/>
          <w:sz w:val="22"/>
          <w:szCs w:val="22"/>
          <w:color w:val="auto"/>
        </w:rPr>
      </w:pPr>
    </w:p>
    <w:p>
      <w:pPr>
        <w:ind w:left="1300" w:right="20" w:hanging="644"/>
        <w:spacing w:after="0" w:line="236" w:lineRule="auto"/>
        <w:tabs>
          <w:tab w:leader="none" w:pos="1142"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w:t>
      </w:r>
    </w:p>
    <w:p>
      <w:pPr>
        <w:spacing w:after="0" w:line="42" w:lineRule="exact"/>
        <w:rPr>
          <w:rFonts w:ascii="Arial" w:cs="Arial" w:eastAsia="Arial" w:hAnsi="Arial"/>
          <w:sz w:val="22"/>
          <w:szCs w:val="22"/>
          <w:color w:val="auto"/>
        </w:rPr>
      </w:pPr>
    </w:p>
    <w:p>
      <w:pPr>
        <w:ind w:left="1300" w:hanging="644"/>
        <w:spacing w:after="0" w:line="226" w:lineRule="auto"/>
        <w:tabs>
          <w:tab w:leader="none" w:pos="111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 and</w:t>
      </w:r>
    </w:p>
    <w:p>
      <w:pPr>
        <w:spacing w:after="0" w:line="41" w:lineRule="exact"/>
        <w:rPr>
          <w:rFonts w:ascii="Arial" w:cs="Arial" w:eastAsia="Arial" w:hAnsi="Arial"/>
          <w:sz w:val="22"/>
          <w:szCs w:val="22"/>
          <w:color w:val="auto"/>
        </w:rPr>
      </w:pPr>
    </w:p>
    <w:p>
      <w:pPr>
        <w:jc w:val="both"/>
        <w:ind w:left="1300" w:hanging="644"/>
        <w:spacing w:after="0" w:line="220" w:lineRule="auto"/>
        <w:tabs>
          <w:tab w:leader="none" w:pos="12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11.</w:t>
        <w:tab/>
        <w:t>Data Privacy</w:t>
      </w:r>
    </w:p>
    <w:p>
      <w:pPr>
        <w:spacing w:after="0" w:line="64" w:lineRule="exact"/>
        <w:rPr>
          <w:sz w:val="20"/>
          <w:szCs w:val="20"/>
          <w:color w:val="auto"/>
        </w:rPr>
      </w:pPr>
    </w:p>
    <w:p>
      <w:pPr>
        <w:jc w:val="both"/>
        <w:ind w:left="1300" w:hanging="644"/>
        <w:spacing w:after="0" w:line="210" w:lineRule="auto"/>
        <w:tabs>
          <w:tab w:leader="none" w:pos="1248" w:val="left"/>
        </w:tabs>
        <w:numPr>
          <w:ilvl w:val="0"/>
          <w:numId w:val="5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ind w:left="1300" w:hanging="644"/>
        <w:spacing w:after="0" w:line="211" w:lineRule="auto"/>
        <w:tabs>
          <w:tab w:leader="none" w:pos="1194" w:val="left"/>
        </w:tabs>
        <w:numPr>
          <w:ilvl w:val="0"/>
          <w:numId w:val="5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ind w:left="1300" w:hanging="644"/>
        <w:spacing w:after="0" w:line="237" w:lineRule="auto"/>
        <w:tabs>
          <w:tab w:leader="none" w:pos="1087" w:val="left"/>
        </w:tabs>
        <w:numPr>
          <w:ilvl w:val="0"/>
          <w:numId w:val="58"/>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8</w:t>
      </w:r>
    </w:p>
    <w:p>
      <w:pPr>
        <w:sectPr>
          <w:pgSz w:w="11900" w:h="16838" w:orient="portrait"/>
          <w:cols w:equalWidth="0" w:num="1">
            <w:col w:w="11240"/>
          </w:cols>
          <w:pgMar w:left="320" w:top="330" w:right="339" w:bottom="1440" w:gutter="0" w:footer="0" w:header="0"/>
        </w:sectPr>
      </w:pPr>
    </w:p>
    <w:bookmarkStart w:id="134" w:name="page135"/>
    <w:bookmarkEnd w:id="134"/>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644"/>
        <w:spacing w:after="0" w:line="226" w:lineRule="auto"/>
        <w:tabs>
          <w:tab w:leader="none" w:pos="1180"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1" w:lineRule="exact"/>
        <w:rPr>
          <w:rFonts w:ascii="Arial" w:cs="Arial" w:eastAsia="Arial" w:hAnsi="Arial"/>
          <w:sz w:val="22"/>
          <w:szCs w:val="22"/>
          <w:i w:val="1"/>
          <w:iCs w:val="1"/>
          <w:color w:val="auto"/>
        </w:rPr>
      </w:pPr>
    </w:p>
    <w:p>
      <w:pPr>
        <w:ind w:left="1300" w:hanging="644"/>
        <w:spacing w:after="0" w:line="215" w:lineRule="auto"/>
        <w:tabs>
          <w:tab w:leader="none" w:pos="1126"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ind w:left="1300" w:hanging="644"/>
        <w:spacing w:after="0" w:line="208" w:lineRule="auto"/>
        <w:tabs>
          <w:tab w:leader="none" w:pos="1080"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75"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12.</w:t>
        <w:tab/>
        <w:t>Restrictve Covenants, Remedies, and Additonal Terms and Conditons</w:t>
      </w:r>
    </w:p>
    <w:p>
      <w:pPr>
        <w:spacing w:after="0" w:line="64" w:lineRule="exact"/>
        <w:rPr>
          <w:sz w:val="20"/>
          <w:szCs w:val="20"/>
          <w:color w:val="auto"/>
        </w:rPr>
      </w:pPr>
    </w:p>
    <w:p>
      <w:pPr>
        <w:ind w:left="1300" w:hanging="644"/>
        <w:spacing w:after="0" w:line="217" w:lineRule="auto"/>
        <w:tabs>
          <w:tab w:leader="none" w:pos="1221"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44" w:lineRule="exact"/>
        <w:rPr>
          <w:rFonts w:ascii="Arial" w:cs="Arial" w:eastAsia="Arial" w:hAnsi="Arial"/>
          <w:sz w:val="22"/>
          <w:szCs w:val="22"/>
          <w:color w:val="auto"/>
        </w:rPr>
      </w:pPr>
    </w:p>
    <w:p>
      <w:pPr>
        <w:jc w:val="both"/>
        <w:ind w:left="1960" w:hanging="332"/>
        <w:spacing w:after="0" w:line="215" w:lineRule="auto"/>
        <w:tabs>
          <w:tab w:leader="none" w:pos="20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9</w:t>
      </w:r>
    </w:p>
    <w:p>
      <w:pPr>
        <w:sectPr>
          <w:pgSz w:w="11900" w:h="16838" w:orient="portrait"/>
          <w:cols w:equalWidth="0" w:num="1">
            <w:col w:w="11240"/>
          </w:cols>
          <w:pgMar w:left="320" w:top="330" w:right="339" w:bottom="1440" w:gutter="0" w:footer="0" w:header="0"/>
        </w:sectPr>
      </w:pPr>
    </w:p>
    <w:bookmarkStart w:id="135" w:name="page136"/>
    <w:bookmarkEnd w:id="135"/>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960" w:hanging="332"/>
        <w:spacing w:after="0" w:line="224" w:lineRule="auto"/>
        <w:tabs>
          <w:tab w:leader="none" w:pos="2151" w:val="left"/>
        </w:tabs>
        <w:numPr>
          <w:ilvl w:val="0"/>
          <w:numId w:val="61"/>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42"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43"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44"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41"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acknowledges and agrees that during the course of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10</w:t>
      </w:r>
    </w:p>
    <w:p>
      <w:pPr>
        <w:sectPr>
          <w:pgSz w:w="11900" w:h="16838" w:orient="portrait"/>
          <w:cols w:equalWidth="0" w:num="1">
            <w:col w:w="11240"/>
          </w:cols>
          <w:pgMar w:left="320" w:top="330" w:right="339" w:bottom="1440" w:gutter="0" w:footer="0" w:header="0"/>
        </w:sectPr>
      </w:pPr>
    </w:p>
    <w:bookmarkStart w:id="136" w:name="page137"/>
    <w:bookmarkEnd w:id="136"/>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41"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48"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other Non-Compete Payment Agreement entered into between Grantee and Lilly, each of which remains in full force and effect, or that the Grantee agrees to in the future.</w:t>
      </w:r>
    </w:p>
    <w:p>
      <w:pPr>
        <w:spacing w:after="0" w:line="41"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44" w:lineRule="exact"/>
        <w:rPr>
          <w:sz w:val="20"/>
          <w:szCs w:val="20"/>
          <w:color w:val="auto"/>
        </w:rPr>
      </w:pPr>
    </w:p>
    <w:p>
      <w:pPr>
        <w:ind w:left="1300" w:hanging="644"/>
        <w:spacing w:after="0" w:line="214" w:lineRule="auto"/>
        <w:tabs>
          <w:tab w:leader="none" w:pos="118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149" w:lineRule="exact"/>
        <w:rPr>
          <w:rFonts w:ascii="Arial" w:cs="Arial" w:eastAsia="Arial" w:hAnsi="Arial"/>
          <w:sz w:val="22"/>
          <w:szCs w:val="22"/>
          <w:color w:val="auto"/>
        </w:rPr>
      </w:pPr>
    </w:p>
    <w:p>
      <w:pPr>
        <w:ind w:left="1300" w:hanging="644"/>
        <w:spacing w:after="0" w:line="210" w:lineRule="auto"/>
        <w:tabs>
          <w:tab w:leader="none" w:pos="114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Shareholder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11</w:t>
      </w:r>
    </w:p>
    <w:p>
      <w:pPr>
        <w:sectPr>
          <w:pgSz w:w="11900" w:h="16838" w:orient="portrait"/>
          <w:cols w:equalWidth="0" w:num="1">
            <w:col w:w="11240"/>
          </w:cols>
          <w:pgMar w:left="320" w:top="330" w:right="339" w:bottom="1440" w:gutter="0" w:footer="0" w:header="0"/>
        </w:sectPr>
      </w:pPr>
    </w:p>
    <w:bookmarkStart w:id="137" w:name="page138"/>
    <w:bookmarkEnd w:id="137"/>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300" w:hanging="644"/>
        <w:spacing w:after="0" w:line="212" w:lineRule="auto"/>
        <w:tabs>
          <w:tab w:leader="none" w:pos="1113"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13.</w:t>
      </w:r>
      <w:r>
        <w:rPr>
          <w:sz w:val="20"/>
          <w:szCs w:val="20"/>
          <w:color w:val="auto"/>
        </w:rPr>
        <w:tab/>
      </w:r>
      <w:r>
        <w:rPr>
          <w:rFonts w:ascii="Calibri" w:cs="Calibri" w:eastAsia="Calibri" w:hAnsi="Calibri"/>
          <w:sz w:val="22"/>
          <w:szCs w:val="22"/>
          <w:color w:val="auto"/>
        </w:rPr>
        <w:t>Governing Law and Choice of Venue</w:t>
      </w:r>
    </w:p>
    <w:p>
      <w:pPr>
        <w:spacing w:after="0" w:line="64" w:lineRule="exact"/>
        <w:rPr>
          <w:sz w:val="20"/>
          <w:szCs w:val="20"/>
          <w:color w:val="auto"/>
        </w:rPr>
      </w:pPr>
    </w:p>
    <w:p>
      <w:pPr>
        <w:jc w:val="both"/>
        <w:ind w:left="400"/>
        <w:spacing w:after="0" w:line="212"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14.</w:t>
        <w:tab/>
        <w:t>Miscellaneous Provisions</w:t>
      </w:r>
    </w:p>
    <w:p>
      <w:pPr>
        <w:spacing w:after="0" w:line="78" w:lineRule="exact"/>
        <w:rPr>
          <w:sz w:val="20"/>
          <w:szCs w:val="20"/>
          <w:color w:val="auto"/>
        </w:rPr>
      </w:pPr>
    </w:p>
    <w:p>
      <w:pPr>
        <w:ind w:left="1300" w:hanging="644"/>
        <w:spacing w:after="0" w:line="220" w:lineRule="auto"/>
        <w:tabs>
          <w:tab w:leader="none" w:pos="1167"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9" w:lineRule="exact"/>
        <w:rPr>
          <w:rFonts w:ascii="Arial" w:cs="Arial" w:eastAsia="Arial" w:hAnsi="Arial"/>
          <w:sz w:val="21"/>
          <w:szCs w:val="21"/>
          <w:color w:val="auto"/>
        </w:rPr>
      </w:pPr>
    </w:p>
    <w:p>
      <w:pPr>
        <w:jc w:val="both"/>
        <w:ind w:left="1300" w:hanging="644"/>
        <w:spacing w:after="0" w:line="215" w:lineRule="auto"/>
        <w:tabs>
          <w:tab w:leader="none" w:pos="124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57" w:lineRule="exact"/>
        <w:rPr>
          <w:rFonts w:ascii="Arial" w:cs="Arial" w:eastAsia="Arial" w:hAnsi="Arial"/>
          <w:sz w:val="22"/>
          <w:szCs w:val="22"/>
          <w:color w:val="auto"/>
        </w:rPr>
      </w:pPr>
    </w:p>
    <w:p>
      <w:pPr>
        <w:ind w:left="1300" w:hanging="644"/>
        <w:spacing w:after="0" w:line="222" w:lineRule="auto"/>
        <w:tabs>
          <w:tab w:leader="none" w:pos="1121" w:val="left"/>
        </w:tabs>
        <w:numPr>
          <w:ilvl w:val="0"/>
          <w:numId w:val="64"/>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6" w:lineRule="exact"/>
        <w:rPr>
          <w:rFonts w:ascii="Arial" w:cs="Arial" w:eastAsia="Arial" w:hAnsi="Arial"/>
          <w:sz w:val="23"/>
          <w:szCs w:val="23"/>
          <w:color w:val="auto"/>
        </w:rPr>
      </w:pPr>
    </w:p>
    <w:p>
      <w:pPr>
        <w:ind w:left="1300" w:hanging="644"/>
        <w:spacing w:after="0" w:line="215" w:lineRule="auto"/>
        <w:tabs>
          <w:tab w:leader="none" w:pos="1107" w:val="left"/>
        </w:tabs>
        <w:numPr>
          <w:ilvl w:val="0"/>
          <w:numId w:val="64"/>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12</w:t>
      </w:r>
    </w:p>
    <w:p>
      <w:pPr>
        <w:sectPr>
          <w:pgSz w:w="11900" w:h="16838" w:orient="portrait"/>
          <w:cols w:equalWidth="0" w:num="1">
            <w:col w:w="11240"/>
          </w:cols>
          <w:pgMar w:left="320" w:top="330" w:right="339" w:bottom="1440" w:gutter="0" w:footer="0" w:header="0"/>
        </w:sectPr>
      </w:pPr>
    </w:p>
    <w:bookmarkStart w:id="138" w:name="page139"/>
    <w:bookmarkEnd w:id="138"/>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deemed null and void shall first be construed, interpreted or revised retroactively to permit this Award Agreement to be construed so as to foster the intent of this Award Agreement and the Plan.</w:t>
      </w:r>
    </w:p>
    <w:p>
      <w:pPr>
        <w:spacing w:after="0" w:line="43"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56" w:lineRule="exact"/>
        <w:rPr>
          <w:sz w:val="20"/>
          <w:szCs w:val="20"/>
          <w:color w:val="auto"/>
        </w:rPr>
      </w:pPr>
    </w:p>
    <w:p>
      <w:pPr>
        <w:ind w:left="1300" w:hanging="644"/>
        <w:spacing w:after="0" w:line="215" w:lineRule="auto"/>
        <w:tabs>
          <w:tab w:leader="none" w:pos="1120" w:val="left"/>
        </w:tabs>
        <w:numPr>
          <w:ilvl w:val="0"/>
          <w:numId w:val="65"/>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15.</w:t>
        <w:tab/>
        <w:t>Compensaton Recovery</w:t>
      </w:r>
    </w:p>
    <w:p>
      <w:pPr>
        <w:spacing w:after="0" w:line="78" w:lineRule="exact"/>
        <w:rPr>
          <w:sz w:val="20"/>
          <w:szCs w:val="20"/>
          <w:color w:val="auto"/>
        </w:rPr>
      </w:pPr>
    </w:p>
    <w:p>
      <w:pPr>
        <w:ind w:left="1300" w:hanging="644"/>
        <w:spacing w:after="0" w:line="214" w:lineRule="auto"/>
        <w:tabs>
          <w:tab w:leader="none" w:pos="110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41" w:lineRule="exact"/>
        <w:rPr>
          <w:rFonts w:ascii="Arial" w:cs="Arial" w:eastAsia="Arial" w:hAnsi="Arial"/>
          <w:sz w:val="22"/>
          <w:szCs w:val="22"/>
          <w:color w:val="auto"/>
        </w:rPr>
      </w:pPr>
    </w:p>
    <w:p>
      <w:pPr>
        <w:ind w:left="1300" w:hanging="644"/>
        <w:spacing w:after="0" w:line="220" w:lineRule="auto"/>
        <w:tabs>
          <w:tab w:leader="none" w:pos="10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44" w:lineRule="exact"/>
        <w:rPr>
          <w:rFonts w:ascii="Arial" w:cs="Arial" w:eastAsia="Arial" w:hAnsi="Arial"/>
          <w:sz w:val="22"/>
          <w:szCs w:val="22"/>
          <w:color w:val="auto"/>
        </w:rPr>
      </w:pPr>
    </w:p>
    <w:p>
      <w:pPr>
        <w:jc w:val="both"/>
        <w:ind w:left="1880" w:hanging="333"/>
        <w:spacing w:after="0" w:line="214" w:lineRule="auto"/>
        <w:tabs>
          <w:tab w:leader="none" w:pos="1972" w:val="left"/>
        </w:tabs>
        <w:numPr>
          <w:ilvl w:val="1"/>
          <w:numId w:val="66"/>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41" w:lineRule="exact"/>
        <w:rPr>
          <w:rFonts w:ascii="Arial" w:cs="Arial" w:eastAsia="Arial" w:hAnsi="Arial"/>
          <w:sz w:val="22"/>
          <w:szCs w:val="22"/>
          <w:color w:val="auto"/>
        </w:rPr>
      </w:pPr>
    </w:p>
    <w:p>
      <w:pPr>
        <w:jc w:val="both"/>
        <w:ind w:left="1880" w:hanging="333"/>
        <w:spacing w:after="0" w:line="220" w:lineRule="auto"/>
        <w:tabs>
          <w:tab w:leader="none" w:pos="2066"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44" w:lineRule="exact"/>
        <w:rPr>
          <w:sz w:val="20"/>
          <w:szCs w:val="20"/>
          <w:color w:val="auto"/>
        </w:rPr>
      </w:pPr>
    </w:p>
    <w:p>
      <w:pPr>
        <w:jc w:val="both"/>
        <w:ind w:left="1300"/>
        <w:spacing w:after="0" w:line="223"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41" w:lineRule="exact"/>
        <w:rPr>
          <w:sz w:val="20"/>
          <w:szCs w:val="20"/>
          <w:color w:val="auto"/>
        </w:rPr>
      </w:pPr>
    </w:p>
    <w:p>
      <w:pPr>
        <w:ind w:left="1300" w:right="20" w:hanging="644"/>
        <w:spacing w:after="0" w:line="236" w:lineRule="auto"/>
        <w:tabs>
          <w:tab w:leader="none" w:pos="11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13</w:t>
      </w:r>
    </w:p>
    <w:p>
      <w:pPr>
        <w:sectPr>
          <w:pgSz w:w="11900" w:h="16838" w:orient="portrait"/>
          <w:cols w:equalWidth="0" w:num="1">
            <w:col w:w="11240"/>
          </w:cols>
          <w:pgMar w:left="320" w:top="330" w:right="339" w:bottom="1440" w:gutter="0" w:footer="0" w:header="0"/>
        </w:sectPr>
      </w:pPr>
    </w:p>
    <w:bookmarkStart w:id="139" w:name="page140"/>
    <w:bookmarkEnd w:id="139"/>
    <w:p>
      <w:pPr>
        <w:spacing w:after="0"/>
        <w:rPr>
          <w:sz w:val="20"/>
          <w:szCs w:val="20"/>
          <w:color w:val="auto"/>
        </w:rPr>
      </w:pPr>
      <w:r>
        <w:rPr>
          <w:rFonts w:ascii="Calibri" w:cs="Calibri" w:eastAsia="Calibri" w:hAnsi="Calibri"/>
          <w:sz w:val="22"/>
          <w:szCs w:val="22"/>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party administrator engaged by the Company to hold any Shares and other amounts acquired pursuant to Award to re-convey, transfer or otherwise return such Shares and/or other amounts to the Company upon the Company’s enforcement of this Section 15.</w:t>
      </w:r>
    </w:p>
    <w:p>
      <w:pPr>
        <w:spacing w:after="0" w:line="41" w:lineRule="exact"/>
        <w:rPr>
          <w:sz w:val="20"/>
          <w:szCs w:val="20"/>
          <w:color w:val="auto"/>
        </w:rPr>
      </w:pPr>
    </w:p>
    <w:p>
      <w:pPr>
        <w:ind w:left="1300" w:hanging="644"/>
        <w:spacing w:after="0" w:line="226" w:lineRule="auto"/>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42"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16.</w:t>
      </w:r>
      <w:r>
        <w:rPr>
          <w:sz w:val="20"/>
          <w:szCs w:val="20"/>
          <w:color w:val="auto"/>
        </w:rPr>
        <w:tab/>
      </w:r>
      <w:r>
        <w:rPr>
          <w:rFonts w:ascii="Calibri" w:cs="Calibri" w:eastAsia="Calibri" w:hAnsi="Calibri"/>
          <w:sz w:val="22"/>
          <w:szCs w:val="22"/>
          <w:color w:val="auto"/>
        </w:rPr>
        <w:t>Award Subject to Acknowledgement of Acceptance</w:t>
      </w:r>
    </w:p>
    <w:p>
      <w:pPr>
        <w:spacing w:after="0" w:line="64"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2"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Page 14</w:t>
      </w:r>
    </w:p>
    <w:p>
      <w:pPr>
        <w:sectPr>
          <w:pgSz w:w="11900" w:h="16838" w:orient="portrait"/>
          <w:cols w:equalWidth="0" w:num="1">
            <w:col w:w="11240"/>
          </w:cols>
          <w:pgMar w:left="320" w:top="328" w:right="339" w:bottom="1440" w:gutter="0" w:footer="0" w:header="0"/>
        </w:sectPr>
      </w:pPr>
    </w:p>
    <w:bookmarkStart w:id="140" w:name="page141"/>
    <w:bookmarkEnd w:id="140"/>
    <w:p>
      <w:pPr>
        <w:spacing w:after="0" w:line="49" w:lineRule="exact"/>
        <w:rPr>
          <w:sz w:val="20"/>
          <w:szCs w:val="20"/>
          <w:color w:val="auto"/>
        </w:rPr>
      </w:pPr>
    </w:p>
    <w:p>
      <w:pPr>
        <w:spacing w:after="0"/>
        <w:rPr>
          <w:sz w:val="20"/>
          <w:szCs w:val="20"/>
          <w:color w:val="auto"/>
        </w:rPr>
      </w:pPr>
      <w:r>
        <w:rPr>
          <w:rFonts w:ascii="Calibri" w:cs="Calibri" w:eastAsia="Calibri" w:hAnsi="Calibri"/>
          <w:sz w:val="22"/>
          <w:szCs w:val="22"/>
          <w:color w:val="auto"/>
        </w:rPr>
        <w:t>Exhibit 10.4 Form of Relatve Value Award under the 2002 Lilly Stock Plan</w:t>
      </w:r>
    </w:p>
    <w:p>
      <w:pPr>
        <w:spacing w:after="0" w:line="200" w:lineRule="exact"/>
        <w:rPr>
          <w:sz w:val="20"/>
          <w:szCs w:val="20"/>
          <w:color w:val="auto"/>
        </w:rPr>
      </w:pPr>
    </w:p>
    <w:p>
      <w:pPr>
        <w:spacing w:after="0" w:line="202" w:lineRule="exact"/>
        <w:rPr>
          <w:sz w:val="20"/>
          <w:szCs w:val="20"/>
          <w:color w:val="auto"/>
        </w:rPr>
      </w:pPr>
    </w:p>
    <w:p>
      <w:pPr>
        <w:jc w:val="center"/>
        <w:ind w:left="500" w:right="2580"/>
        <w:spacing w:after="0" w:line="210" w:lineRule="auto"/>
        <w:rPr>
          <w:sz w:val="20"/>
          <w:szCs w:val="20"/>
          <w:color w:val="auto"/>
        </w:rPr>
      </w:pPr>
      <w:r>
        <w:rPr>
          <w:rFonts w:ascii="Calibri" w:cs="Calibri" w:eastAsia="Calibri" w:hAnsi="Calibri"/>
          <w:sz w:val="43"/>
          <w:szCs w:val="43"/>
          <w:color w:val="auto"/>
        </w:rPr>
        <w:t>Eli Lilly and Company Relatve Value Award Agreement (for Executve Ofcers)</w:t>
      </w:r>
    </w:p>
    <w:p>
      <w:pPr>
        <w:spacing w:after="0" w:line="207" w:lineRule="exact"/>
        <w:rPr>
          <w:sz w:val="20"/>
          <w:szCs w:val="20"/>
          <w:color w:val="auto"/>
        </w:rPr>
      </w:pPr>
    </w:p>
    <w:p>
      <w:pPr>
        <w:jc w:val="both"/>
        <w:ind w:left="340"/>
        <w:spacing w:after="0" w:line="226"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153" w:lineRule="exact"/>
        <w:rPr>
          <w:sz w:val="20"/>
          <w:szCs w:val="20"/>
          <w:color w:val="auto"/>
        </w:rPr>
      </w:pPr>
    </w:p>
    <w:p>
      <w:pPr>
        <w:ind w:left="340"/>
        <w:spacing w:after="0"/>
        <w:rPr>
          <w:sz w:val="20"/>
          <w:szCs w:val="20"/>
          <w:color w:val="auto"/>
        </w:rPr>
      </w:pPr>
      <w:r>
        <w:rPr>
          <w:rFonts w:ascii="Calibri" w:cs="Calibri" w:eastAsia="Calibri" w:hAnsi="Calibri"/>
          <w:sz w:val="25"/>
          <w:szCs w:val="25"/>
          <w:color w:val="auto"/>
        </w:rPr>
        <w:t xml:space="preserve">Lilly Relatve Total Shareholder Return Performance Levels: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tabs>
          <w:tab w:leader="none" w:pos="2740" w:val="left"/>
        </w:tabs>
        <w:rPr>
          <w:sz w:val="20"/>
          <w:szCs w:val="20"/>
          <w:color w:val="auto"/>
        </w:rPr>
      </w:pPr>
      <w:r>
        <w:rPr>
          <w:rFonts w:ascii="Calibri" w:cs="Calibri" w:eastAsia="Calibri" w:hAnsi="Calibri"/>
          <w:sz w:val="25"/>
          <w:szCs w:val="25"/>
          <w:color w:val="auto"/>
        </w:rPr>
        <w:t>Performance Period:</w:t>
      </w:r>
      <w:r>
        <w:rPr>
          <w:sz w:val="20"/>
          <w:szCs w:val="20"/>
          <w:color w:val="auto"/>
        </w:rPr>
        <w:tab/>
      </w:r>
      <w:r>
        <w:rPr>
          <w:rFonts w:ascii="Arial" w:cs="Arial" w:eastAsia="Arial" w:hAnsi="Arial"/>
          <w:sz w:val="25"/>
          <w:szCs w:val="25"/>
          <w:color w:val="auto"/>
        </w:rPr>
        <w:t>[•] – [•]</w:t>
      </w:r>
    </w:p>
    <w:p>
      <w:pPr>
        <w:sectPr>
          <w:pgSz w:w="11900" w:h="16838" w:orient="portrait"/>
          <w:cols w:equalWidth="0" w:num="1">
            <w:col w:w="11080"/>
          </w:cols>
          <w:pgMar w:left="320" w:top="1440" w:right="499" w:bottom="1440" w:gutter="0" w:footer="0" w:header="0"/>
        </w:sectPr>
      </w:pPr>
    </w:p>
    <w:bookmarkStart w:id="141" w:name="page142"/>
    <w:bookmarkEnd w:id="141"/>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Calibri" w:cs="Calibri" w:eastAsia="Calibri" w:hAnsi="Calibri"/>
          <w:sz w:val="25"/>
          <w:szCs w:val="25"/>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308"/>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1.  Grant of Relatve Value Award</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2.</w:t>
            </w:r>
          </w:p>
        </w:tc>
        <w:tc>
          <w:tcPr>
            <w:tcW w:w="60" w:type="dxa"/>
            <w:vAlign w:val="bottom"/>
          </w:tcPr>
          <w:p>
            <w:pPr>
              <w:spacing w:after="0"/>
              <w:rPr>
                <w:sz w:val="24"/>
                <w:szCs w:val="24"/>
                <w:color w:val="auto"/>
              </w:rPr>
            </w:pPr>
          </w:p>
        </w:tc>
        <w:tc>
          <w:tcPr>
            <w:tcW w:w="8000" w:type="dxa"/>
            <w:vAlign w:val="bottom"/>
          </w:tcPr>
          <w:p>
            <w:pPr>
              <w:ind w:left="40"/>
              <w:spacing w:after="0"/>
              <w:rPr>
                <w:sz w:val="20"/>
                <w:szCs w:val="20"/>
                <w:color w:val="auto"/>
              </w:rPr>
            </w:pPr>
            <w:r>
              <w:rPr>
                <w:rFonts w:ascii="Calibri" w:cs="Calibri" w:eastAsia="Calibri" w:hAnsi="Calibri"/>
                <w:sz w:val="22"/>
                <w:szCs w:val="22"/>
                <w:color w:val="auto"/>
              </w:rPr>
              <w:t>Vestng</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3.  Impact of Certain Employment Status Changes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4.  Change in Control</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5.</w:t>
            </w:r>
          </w:p>
        </w:tc>
        <w:tc>
          <w:tcPr>
            <w:tcW w:w="60" w:type="dxa"/>
            <w:vAlign w:val="bottom"/>
          </w:tcPr>
          <w:p>
            <w:pPr>
              <w:spacing w:after="0"/>
              <w:rPr>
                <w:sz w:val="24"/>
                <w:szCs w:val="24"/>
                <w:color w:val="auto"/>
              </w:rPr>
            </w:pPr>
          </w:p>
        </w:tc>
        <w:tc>
          <w:tcPr>
            <w:tcW w:w="8000" w:type="dxa"/>
            <w:vAlign w:val="bottom"/>
          </w:tcPr>
          <w:p>
            <w:pPr>
              <w:ind w:left="40"/>
              <w:spacing w:after="0"/>
              <w:rPr>
                <w:sz w:val="20"/>
                <w:szCs w:val="20"/>
                <w:color w:val="auto"/>
              </w:rPr>
            </w:pPr>
            <w:r>
              <w:rPr>
                <w:rFonts w:ascii="Calibri" w:cs="Calibri" w:eastAsia="Calibri" w:hAnsi="Calibri"/>
                <w:sz w:val="22"/>
                <w:szCs w:val="22"/>
                <w:color w:val="auto"/>
              </w:rPr>
              <w:t>Setlement</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6.  Rights of the Grantee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7.  Prohibiton Against Transfer</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8.</w:t>
            </w:r>
          </w:p>
        </w:tc>
        <w:tc>
          <w:tcPr>
            <w:tcW w:w="8060" w:type="dxa"/>
            <w:vAlign w:val="bottom"/>
            <w:gridSpan w:val="2"/>
          </w:tcPr>
          <w:p>
            <w:pPr>
              <w:ind w:left="100"/>
              <w:spacing w:after="0"/>
              <w:rPr>
                <w:sz w:val="20"/>
                <w:szCs w:val="20"/>
                <w:color w:val="auto"/>
              </w:rPr>
            </w:pPr>
            <w:r>
              <w:rPr>
                <w:rFonts w:ascii="Calibri" w:cs="Calibri" w:eastAsia="Calibri" w:hAnsi="Calibri"/>
                <w:sz w:val="22"/>
                <w:szCs w:val="22"/>
                <w:color w:val="auto"/>
              </w:rPr>
              <w:t>Responsibility for Taxes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9.</w:t>
            </w:r>
          </w:p>
        </w:tc>
        <w:tc>
          <w:tcPr>
            <w:tcW w:w="8060" w:type="dxa"/>
            <w:vAlign w:val="bottom"/>
            <w:gridSpan w:val="2"/>
          </w:tcPr>
          <w:p>
            <w:pPr>
              <w:ind w:left="100"/>
              <w:spacing w:after="0"/>
              <w:rPr>
                <w:sz w:val="20"/>
                <w:szCs w:val="20"/>
                <w:color w:val="auto"/>
              </w:rPr>
            </w:pPr>
            <w:r>
              <w:rPr>
                <w:rFonts w:ascii="Calibri" w:cs="Calibri" w:eastAsia="Calibri" w:hAnsi="Calibri"/>
                <w:sz w:val="22"/>
                <w:szCs w:val="22"/>
                <w:color w:val="auto"/>
              </w:rPr>
              <w:t>Secton 409A Compliance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10.</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Grantee’s Acknowledgment</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11.</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Data Privacy</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10</w:t>
            </w:r>
          </w:p>
        </w:tc>
      </w:tr>
      <w:tr>
        <w:trPr>
          <w:trHeight w:val="311"/>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12.  Restrictve Covenants, Remedies, and Additonal Terms and Conditons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11</w:t>
            </w:r>
          </w:p>
        </w:tc>
      </w:tr>
      <w:tr>
        <w:trPr>
          <w:trHeight w:val="310"/>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13.  Governing Law and Choice of Venue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13</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14.</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Miscellaneous Provisions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14</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15.</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Compensaton Recovery</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14</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16.</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Award Subject to Acknowledgement of Acceptance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Calibri" w:cs="Calibri" w:eastAsia="Calibri" w:hAnsi="Calibri"/>
          <w:sz w:val="16"/>
          <w:szCs w:val="16"/>
          <w:color w:val="auto"/>
        </w:rPr>
        <w:t>Page 2</w:t>
      </w:r>
    </w:p>
    <w:p>
      <w:pPr>
        <w:sectPr>
          <w:pgSz w:w="11900" w:h="16838" w:orient="portrait"/>
          <w:cols w:equalWidth="0" w:num="1">
            <w:col w:w="10960"/>
          </w:cols>
          <w:pgMar w:left="320" w:top="328" w:right="619" w:bottom="1440" w:gutter="0" w:footer="0" w:header="0"/>
        </w:sectPr>
      </w:pPr>
    </w:p>
    <w:bookmarkStart w:id="142" w:name="page143"/>
    <w:bookmarkEnd w:id="142"/>
    <w:p>
      <w:pPr>
        <w:spacing w:after="0"/>
        <w:rPr>
          <w:sz w:val="20"/>
          <w:szCs w:val="20"/>
          <w:color w:val="auto"/>
        </w:rPr>
      </w:pPr>
      <w:r>
        <w:rPr>
          <w:rFonts w:ascii="Calibri" w:cs="Calibri" w:eastAsia="Calibri" w:hAnsi="Calibri"/>
          <w:sz w:val="22"/>
          <w:szCs w:val="22"/>
          <w:color w:val="auto"/>
        </w:rPr>
        <w:t>Eli Lilly and Company Relatve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1.</w:t>
        <w:tab/>
        <w:t>Grant of Relatve Value Award</w:t>
      </w:r>
    </w:p>
    <w:p>
      <w:pPr>
        <w:spacing w:after="0" w:line="64"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Plan administrator’s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xml:space="preserve"> (the "Target Number of Shares").</w:t>
      </w:r>
    </w:p>
    <w:p>
      <w:pPr>
        <w:spacing w:after="0" w:line="152"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152" w:lineRule="exact"/>
        <w:rPr>
          <w:sz w:val="20"/>
          <w:szCs w:val="20"/>
          <w:color w:val="auto"/>
        </w:rPr>
      </w:pPr>
    </w:p>
    <w:p>
      <w:pPr>
        <w:jc w:val="both"/>
        <w:ind w:left="420"/>
        <w:spacing w:after="0" w:line="236"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2.</w:t>
        <w:tab/>
        <w:t>Vestng</w:t>
      </w:r>
    </w:p>
    <w:p>
      <w:pPr>
        <w:spacing w:after="0" w:line="10" w:lineRule="exact"/>
        <w:rPr>
          <w:sz w:val="20"/>
          <w:szCs w:val="20"/>
          <w:color w:val="auto"/>
        </w:rPr>
      </w:pPr>
    </w:p>
    <w:p>
      <w:pPr>
        <w:jc w:val="both"/>
        <w:ind w:left="420"/>
        <w:spacing w:after="0" w:line="226"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41" w:lineRule="exact"/>
        <w:rPr>
          <w:sz w:val="20"/>
          <w:szCs w:val="20"/>
          <w:color w:val="auto"/>
        </w:rPr>
      </w:pPr>
    </w:p>
    <w:p>
      <w:pPr>
        <w:ind w:left="1300" w:hanging="644"/>
        <w:spacing w:after="0" w:line="226" w:lineRule="auto"/>
        <w:tabs>
          <w:tab w:leader="none" w:pos="1153"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Multiple</w:t>
      </w:r>
      <w:r>
        <w:rPr>
          <w:rFonts w:ascii="Arial" w:cs="Arial" w:eastAsia="Arial" w:hAnsi="Arial"/>
          <w:sz w:val="22"/>
          <w:szCs w:val="22"/>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41" w:lineRule="exact"/>
        <w:rPr>
          <w:rFonts w:ascii="Arial" w:cs="Arial" w:eastAsia="Arial" w:hAnsi="Arial"/>
          <w:sz w:val="22"/>
          <w:szCs w:val="22"/>
          <w:color w:val="auto"/>
        </w:rPr>
      </w:pPr>
    </w:p>
    <w:p>
      <w:pPr>
        <w:ind w:left="1300" w:hanging="644"/>
        <w:spacing w:after="0" w:line="226" w:lineRule="auto"/>
        <w:tabs>
          <w:tab w:leader="none" w:pos="1113"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41" w:lineRule="exact"/>
        <w:rPr>
          <w:rFonts w:ascii="Arial" w:cs="Arial" w:eastAsia="Arial" w:hAnsi="Arial"/>
          <w:sz w:val="22"/>
          <w:szCs w:val="22"/>
          <w:color w:val="auto"/>
        </w:rPr>
      </w:pPr>
    </w:p>
    <w:p>
      <w:pPr>
        <w:ind w:left="1300" w:hanging="644"/>
        <w:spacing w:after="0" w:line="220" w:lineRule="auto"/>
        <w:tabs>
          <w:tab w:leader="none" w:pos="1087"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44"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41" w:lineRule="exact"/>
        <w:rPr>
          <w:sz w:val="20"/>
          <w:szCs w:val="20"/>
          <w:color w:val="auto"/>
        </w:rPr>
      </w:pPr>
    </w:p>
    <w:p>
      <w:pPr>
        <w:ind w:left="1300" w:hanging="644"/>
        <w:spacing w:after="0" w:line="226" w:lineRule="auto"/>
        <w:tabs>
          <w:tab w:leader="none" w:pos="1167"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41" w:lineRule="exact"/>
        <w:rPr>
          <w:rFonts w:ascii="Arial" w:cs="Arial" w:eastAsia="Arial" w:hAnsi="Arial"/>
          <w:sz w:val="22"/>
          <w:szCs w:val="22"/>
          <w:color w:val="auto"/>
        </w:rPr>
      </w:pPr>
    </w:p>
    <w:p>
      <w:pPr>
        <w:ind w:left="1300" w:hanging="644"/>
        <w:spacing w:after="0" w:line="220" w:lineRule="auto"/>
        <w:tabs>
          <w:tab w:leader="none" w:pos="1153"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44" w:lineRule="exact"/>
        <w:rPr>
          <w:rFonts w:ascii="Arial" w:cs="Arial" w:eastAsia="Arial" w:hAnsi="Arial"/>
          <w:sz w:val="22"/>
          <w:szCs w:val="22"/>
          <w:color w:val="auto"/>
        </w:rPr>
      </w:pPr>
    </w:p>
    <w:p>
      <w:pPr>
        <w:ind w:left="1300" w:hanging="644"/>
        <w:spacing w:after="0" w:line="236" w:lineRule="auto"/>
        <w:tabs>
          <w:tab w:leader="none" w:pos="1147"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w:t>
      </w:r>
    </w:p>
    <w:p>
      <w:pPr>
        <w:sectPr>
          <w:pgSz w:w="11900" w:h="16838" w:orient="portrait"/>
          <w:cols w:equalWidth="0" w:num="1">
            <w:col w:w="11240"/>
          </w:cols>
          <w:pgMar w:left="320" w:top="328" w:right="339" w:bottom="1440" w:gutter="0" w:footer="0" w:header="0"/>
        </w:sectPr>
      </w:pPr>
    </w:p>
    <w:bookmarkStart w:id="143" w:name="page144"/>
    <w:bookmarkEnd w:id="143"/>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an independent share price can be determined, for each trading day in the last two months of the Performance Period, rounded to the nearest cent.</w:t>
      </w:r>
    </w:p>
    <w:p>
      <w:pPr>
        <w:spacing w:after="0" w:line="43" w:lineRule="exact"/>
        <w:rPr>
          <w:sz w:val="20"/>
          <w:szCs w:val="20"/>
          <w:color w:val="auto"/>
        </w:rPr>
      </w:pPr>
    </w:p>
    <w:p>
      <w:pPr>
        <w:ind w:left="1300" w:hanging="644"/>
        <w:spacing w:after="0" w:line="236" w:lineRule="auto"/>
        <w:tabs>
          <w:tab w:leader="none" w:pos="1099"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42" w:lineRule="exact"/>
        <w:rPr>
          <w:rFonts w:ascii="Arial" w:cs="Arial" w:eastAsia="Arial" w:hAnsi="Arial"/>
          <w:sz w:val="22"/>
          <w:szCs w:val="22"/>
          <w:color w:val="auto"/>
        </w:rPr>
      </w:pPr>
    </w:p>
    <w:p>
      <w:pPr>
        <w:ind w:left="1300" w:hanging="644"/>
        <w:spacing w:after="0" w:line="220" w:lineRule="auto"/>
        <w:tabs>
          <w:tab w:leader="none" w:pos="1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44" w:lineRule="exact"/>
        <w:rPr>
          <w:sz w:val="20"/>
          <w:szCs w:val="20"/>
          <w:color w:val="auto"/>
        </w:rPr>
      </w:pPr>
    </w:p>
    <w:p>
      <w:pPr>
        <w:jc w:val="both"/>
        <w:ind w:left="420" w:right="20"/>
        <w:spacing w:after="0" w:line="236"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3.</w:t>
      </w:r>
      <w:r>
        <w:rPr>
          <w:sz w:val="20"/>
          <w:szCs w:val="20"/>
          <w:color w:val="auto"/>
        </w:rPr>
        <w:tab/>
      </w:r>
      <w:r>
        <w:rPr>
          <w:rFonts w:ascii="Calibri" w:cs="Calibri" w:eastAsia="Calibri" w:hAnsi="Calibri"/>
          <w:sz w:val="22"/>
          <w:szCs w:val="22"/>
          <w:color w:val="auto"/>
        </w:rPr>
        <w:t>Impact of Certain Employment Status Changes</w:t>
      </w:r>
    </w:p>
    <w:p>
      <w:pPr>
        <w:spacing w:after="0" w:line="64" w:lineRule="exact"/>
        <w:rPr>
          <w:sz w:val="20"/>
          <w:szCs w:val="20"/>
          <w:color w:val="auto"/>
        </w:rPr>
      </w:pPr>
    </w:p>
    <w:p>
      <w:pPr>
        <w:jc w:val="both"/>
        <w:ind w:left="420" w:right="20"/>
        <w:spacing w:after="0" w:line="226"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41" w:lineRule="exact"/>
        <w:rPr>
          <w:sz w:val="20"/>
          <w:szCs w:val="20"/>
          <w:color w:val="auto"/>
        </w:rPr>
      </w:pPr>
    </w:p>
    <w:p>
      <w:pPr>
        <w:ind w:left="1300" w:hanging="644"/>
        <w:spacing w:after="0" w:line="214" w:lineRule="auto"/>
        <w:tabs>
          <w:tab w:leader="none" w:pos="108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41" w:lineRule="exact"/>
        <w:rPr>
          <w:sz w:val="20"/>
          <w:szCs w:val="20"/>
          <w:color w:val="auto"/>
        </w:rPr>
      </w:pPr>
    </w:p>
    <w:p>
      <w:pPr>
        <w:jc w:val="both"/>
        <w:ind w:left="1300"/>
        <w:spacing w:after="0" w:line="219"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3" w:lineRule="exact"/>
        <w:rPr>
          <w:sz w:val="20"/>
          <w:szCs w:val="20"/>
          <w:color w:val="auto"/>
        </w:rPr>
      </w:pPr>
    </w:p>
    <w:p>
      <w:pPr>
        <w:jc w:val="both"/>
        <w:ind w:left="1300" w:firstLine="4"/>
        <w:spacing w:after="0" w:line="211" w:lineRule="auto"/>
        <w:tabs>
          <w:tab w:leader="none" w:pos="1674" w:val="left"/>
        </w:tabs>
        <w:numPr>
          <w:ilvl w:val="0"/>
          <w:numId w:val="73"/>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43"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43" w:lineRule="exact"/>
        <w:rPr>
          <w:sz w:val="20"/>
          <w:szCs w:val="20"/>
          <w:color w:val="auto"/>
        </w:rPr>
      </w:pPr>
    </w:p>
    <w:p>
      <w:pPr>
        <w:jc w:val="both"/>
        <w:ind w:left="1300" w:hanging="644"/>
        <w:spacing w:after="0" w:line="231" w:lineRule="auto"/>
        <w:tabs>
          <w:tab w:leader="none" w:pos="1315"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3(a),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42" w:lineRule="exact"/>
        <w:rPr>
          <w:rFonts w:ascii="Arial" w:cs="Arial" w:eastAsia="Arial" w:hAnsi="Arial"/>
          <w:sz w:val="21"/>
          <w:szCs w:val="21"/>
          <w:color w:val="auto"/>
        </w:rPr>
      </w:pPr>
    </w:p>
    <w:p>
      <w:pPr>
        <w:ind w:left="1300" w:right="20"/>
        <w:spacing w:after="0" w:line="236"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2" w:lineRule="exact"/>
        <w:rPr>
          <w:rFonts w:ascii="Arial" w:cs="Arial" w:eastAsia="Arial" w:hAnsi="Arial"/>
          <w:sz w:val="21"/>
          <w:szCs w:val="21"/>
          <w:color w:val="auto"/>
        </w:rPr>
      </w:pPr>
    </w:p>
    <w:p>
      <w:pPr>
        <w:ind w:left="1980" w:hanging="352"/>
        <w:spacing w:after="0"/>
        <w:tabs>
          <w:tab w:leader="none" w:pos="1980" w:val="left"/>
        </w:tabs>
        <w:numPr>
          <w:ilvl w:val="1"/>
          <w:numId w:val="74"/>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4</w:t>
      </w:r>
    </w:p>
    <w:p>
      <w:pPr>
        <w:sectPr>
          <w:pgSz w:w="11900" w:h="16838" w:orient="portrait"/>
          <w:cols w:equalWidth="0" w:num="1">
            <w:col w:w="11240"/>
          </w:cols>
          <w:pgMar w:left="320" w:top="328" w:right="339" w:bottom="1440" w:gutter="0" w:footer="0" w:header="0"/>
        </w:sectPr>
      </w:pPr>
    </w:p>
    <w:bookmarkStart w:id="144" w:name="page145"/>
    <w:bookmarkEnd w:id="144"/>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960" w:hanging="332"/>
        <w:spacing w:after="0" w:line="220" w:lineRule="auto"/>
        <w:tabs>
          <w:tab w:leader="none" w:pos="219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44" w:lineRule="exact"/>
        <w:rPr>
          <w:sz w:val="20"/>
          <w:szCs w:val="20"/>
          <w:color w:val="auto"/>
        </w:rPr>
      </w:pPr>
    </w:p>
    <w:p>
      <w:pPr>
        <w:ind w:left="1300" w:right="760"/>
        <w:spacing w:after="0" w:line="236"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3" w:lineRule="exact"/>
        <w:rPr>
          <w:sz w:val="20"/>
          <w:szCs w:val="20"/>
          <w:color w:val="auto"/>
        </w:rPr>
      </w:pPr>
    </w:p>
    <w:p>
      <w:pPr>
        <w:ind w:left="1300" w:right="100"/>
        <w:spacing w:after="0" w:line="25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15" w:lineRule="auto"/>
        <w:tabs>
          <w:tab w:leader="none" w:pos="115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44"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The Committee’s determination as to whether (1)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of as a result of the failure to locate a position within the Company or an Affiliate following reallocation or medical reassignment shall be final and binding on the Grantee.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4.</w:t>
      </w:r>
      <w:r>
        <w:rPr>
          <w:sz w:val="20"/>
          <w:szCs w:val="20"/>
          <w:color w:val="auto"/>
        </w:rPr>
        <w:tab/>
      </w:r>
      <w:r>
        <w:rPr>
          <w:rFonts w:ascii="Calibri" w:cs="Calibri" w:eastAsia="Calibri" w:hAnsi="Calibri"/>
          <w:sz w:val="22"/>
          <w:szCs w:val="22"/>
          <w:color w:val="auto"/>
        </w:rPr>
        <w:t>Change in Control</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26" w:lineRule="auto"/>
        <w:tabs>
          <w:tab w:leader="none" w:pos="12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41" w:lineRule="exact"/>
        <w:rPr>
          <w:rFonts w:ascii="Arial" w:cs="Arial" w:eastAsia="Arial" w:hAnsi="Arial"/>
          <w:sz w:val="22"/>
          <w:szCs w:val="22"/>
          <w:color w:val="auto"/>
        </w:rPr>
      </w:pPr>
    </w:p>
    <w:p>
      <w:pPr>
        <w:ind w:left="1300" w:hanging="644"/>
        <w:spacing w:after="0" w:line="221" w:lineRule="auto"/>
        <w:tabs>
          <w:tab w:leader="none" w:pos="1124"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44" w:lineRule="exact"/>
        <w:rPr>
          <w:rFonts w:ascii="Arial" w:cs="Arial" w:eastAsia="Arial" w:hAnsi="Arial"/>
          <w:sz w:val="21"/>
          <w:szCs w:val="21"/>
          <w:color w:val="auto"/>
        </w:rPr>
      </w:pPr>
    </w:p>
    <w:p>
      <w:pPr>
        <w:jc w:val="both"/>
        <w:ind w:left="1960" w:hanging="332"/>
        <w:spacing w:after="0" w:line="220" w:lineRule="auto"/>
        <w:tabs>
          <w:tab w:leader="none" w:pos="2035" w:val="left"/>
        </w:tabs>
        <w:numPr>
          <w:ilvl w:val="1"/>
          <w:numId w:val="77"/>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44" w:lineRule="exact"/>
        <w:rPr>
          <w:rFonts w:ascii="Arial" w:cs="Arial" w:eastAsia="Arial" w:hAnsi="Arial"/>
          <w:sz w:val="22"/>
          <w:szCs w:val="22"/>
          <w:color w:val="auto"/>
        </w:rPr>
      </w:pPr>
    </w:p>
    <w:p>
      <w:pPr>
        <w:jc w:val="both"/>
        <w:ind w:left="1960" w:right="20" w:hanging="332"/>
        <w:spacing w:after="0" w:line="226" w:lineRule="auto"/>
        <w:tabs>
          <w:tab w:leader="none" w:pos="2159" w:val="left"/>
        </w:tabs>
        <w:numPr>
          <w:ilvl w:val="1"/>
          <w:numId w:val="77"/>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5</w:t>
      </w:r>
    </w:p>
    <w:p>
      <w:pPr>
        <w:sectPr>
          <w:pgSz w:w="11900" w:h="16838" w:orient="portrait"/>
          <w:cols w:equalWidth="0" w:num="1">
            <w:col w:w="11240"/>
          </w:cols>
          <w:pgMar w:left="320" w:top="328" w:right="339" w:bottom="1440" w:gutter="0" w:footer="0" w:header="0"/>
        </w:sectPr>
      </w:pPr>
    </w:p>
    <w:bookmarkStart w:id="145" w:name="page146"/>
    <w:bookmarkEnd w:id="145"/>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960"/>
        <w:spacing w:after="0" w:line="226" w:lineRule="auto"/>
        <w:rPr>
          <w:sz w:val="20"/>
          <w:szCs w:val="20"/>
          <w:color w:val="auto"/>
        </w:rPr>
      </w:pPr>
      <w:r>
        <w:rPr>
          <w:rFonts w:ascii="Arial" w:cs="Arial" w:eastAsia="Arial" w:hAnsi="Arial"/>
          <w:sz w:val="22"/>
          <w:szCs w:val="22"/>
          <w:color w:val="auto"/>
        </w:rPr>
        <w:t>a Covered Termination (as defined below) prior to the end of the Performance Period, then immediately as of the date of the Covered Termination, the Credited RSU Award shall vest automatically in full.</w:t>
      </w:r>
    </w:p>
    <w:p>
      <w:pPr>
        <w:spacing w:after="0" w:line="41"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restated, or superseded from time to time.</w:t>
      </w:r>
    </w:p>
    <w:p>
      <w:pPr>
        <w:spacing w:after="0" w:line="58" w:lineRule="exact"/>
        <w:rPr>
          <w:sz w:val="20"/>
          <w:szCs w:val="20"/>
          <w:color w:val="auto"/>
        </w:rPr>
      </w:pPr>
    </w:p>
    <w:p>
      <w:pPr>
        <w:ind w:left="1300" w:hanging="644"/>
        <w:spacing w:after="0" w:line="218" w:lineRule="auto"/>
        <w:tabs>
          <w:tab w:leader="none" w:pos="1094" w:val="left"/>
        </w:tabs>
        <w:numPr>
          <w:ilvl w:val="0"/>
          <w:numId w:val="78"/>
        </w:numPr>
        <w:rPr>
          <w:rFonts w:ascii="Arial" w:cs="Arial" w:eastAsia="Arial" w:hAnsi="Arial"/>
          <w:sz w:val="23"/>
          <w:szCs w:val="23"/>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5.</w:t>
        <w:tab/>
        <w:t>Setlement</w:t>
      </w:r>
    </w:p>
    <w:p>
      <w:pPr>
        <w:spacing w:after="0" w:line="64" w:lineRule="exact"/>
        <w:rPr>
          <w:sz w:val="20"/>
          <w:szCs w:val="20"/>
          <w:color w:val="auto"/>
        </w:rPr>
      </w:pPr>
    </w:p>
    <w:p>
      <w:pPr>
        <w:ind w:left="1300" w:hanging="644"/>
        <w:spacing w:after="0" w:line="236" w:lineRule="auto"/>
        <w:tabs>
          <w:tab w:leader="none" w:pos="1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42" w:lineRule="exact"/>
        <w:rPr>
          <w:rFonts w:ascii="Arial" w:cs="Arial" w:eastAsia="Arial" w:hAnsi="Arial"/>
          <w:sz w:val="22"/>
          <w:szCs w:val="22"/>
          <w:color w:val="auto"/>
        </w:rPr>
      </w:pPr>
    </w:p>
    <w:p>
      <w:pPr>
        <w:ind w:left="1300" w:hanging="644"/>
        <w:spacing w:after="0" w:line="210" w:lineRule="auto"/>
        <w:tabs>
          <w:tab w:leader="none" w:pos="1097"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49" w:lineRule="exact"/>
        <w:rPr>
          <w:rFonts w:ascii="Arial" w:cs="Arial" w:eastAsia="Arial" w:hAnsi="Arial"/>
          <w:sz w:val="22"/>
          <w:szCs w:val="22"/>
          <w:color w:val="auto"/>
        </w:rPr>
      </w:pPr>
    </w:p>
    <w:p>
      <w:pPr>
        <w:jc w:val="both"/>
        <w:ind w:left="1300" w:hanging="644"/>
        <w:spacing w:after="0" w:line="212" w:lineRule="auto"/>
        <w:tabs>
          <w:tab w:leader="none" w:pos="1232"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48" w:lineRule="exact"/>
        <w:rPr>
          <w:rFonts w:ascii="Arial" w:cs="Arial" w:eastAsia="Arial" w:hAnsi="Arial"/>
          <w:sz w:val="22"/>
          <w:szCs w:val="22"/>
          <w:color w:val="auto"/>
        </w:rPr>
      </w:pPr>
    </w:p>
    <w:p>
      <w:pPr>
        <w:ind w:left="1300" w:hanging="644"/>
        <w:spacing w:after="0" w:line="226" w:lineRule="auto"/>
        <w:tabs>
          <w:tab w:leader="none" w:pos="1106" w:val="left"/>
        </w:tabs>
        <w:numPr>
          <w:ilvl w:val="0"/>
          <w:numId w:val="79"/>
        </w:numPr>
        <w:rPr>
          <w:rFonts w:ascii="Arial" w:cs="Arial" w:eastAsia="Arial" w:hAnsi="Arial"/>
          <w:sz w:val="22"/>
          <w:szCs w:val="22"/>
          <w:color w:val="auto"/>
        </w:rPr>
      </w:pPr>
      <w:r>
        <w:rPr>
          <w:rFonts w:ascii="Arial" w:cs="Arial" w:eastAsia="Arial" w:hAnsi="Arial"/>
          <w:sz w:val="22"/>
          <w:szCs w:val="22"/>
          <w:color w:val="auto"/>
        </w:rPr>
        <w:t>At the time of settlement provided in this Section 5, Lilly shall issue or transfer Shares to the Grantee. In the event the Grantee is entitled to a fractional Share, the fraction may be paid in cash or rounded, in the Committee’s discretion.</w:t>
      </w:r>
    </w:p>
    <w:p>
      <w:pPr>
        <w:spacing w:after="0" w:line="41" w:lineRule="exact"/>
        <w:rPr>
          <w:rFonts w:ascii="Arial" w:cs="Arial" w:eastAsia="Arial" w:hAnsi="Arial"/>
          <w:sz w:val="22"/>
          <w:szCs w:val="22"/>
          <w:color w:val="auto"/>
        </w:rPr>
      </w:pPr>
    </w:p>
    <w:p>
      <w:pPr>
        <w:ind w:left="1300" w:right="20" w:hanging="644"/>
        <w:spacing w:after="0" w:line="236" w:lineRule="auto"/>
        <w:tabs>
          <w:tab w:leader="none" w:pos="1079"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6.</w:t>
      </w:r>
      <w:r>
        <w:rPr>
          <w:sz w:val="20"/>
          <w:szCs w:val="20"/>
          <w:color w:val="auto"/>
        </w:rPr>
        <w:tab/>
      </w:r>
      <w:r>
        <w:rPr>
          <w:rFonts w:ascii="Calibri" w:cs="Calibri" w:eastAsia="Calibri" w:hAnsi="Calibri"/>
          <w:sz w:val="22"/>
          <w:szCs w:val="22"/>
          <w:color w:val="auto"/>
        </w:rPr>
        <w:t>Rights of the Grantee</w:t>
      </w:r>
    </w:p>
    <w:p>
      <w:pPr>
        <w:spacing w:after="0" w:line="78" w:lineRule="exact"/>
        <w:rPr>
          <w:sz w:val="20"/>
          <w:szCs w:val="20"/>
          <w:color w:val="auto"/>
        </w:rPr>
      </w:pPr>
    </w:p>
    <w:p>
      <w:pPr>
        <w:jc w:val="both"/>
        <w:ind w:left="1300" w:hanging="644"/>
        <w:spacing w:after="0" w:line="226" w:lineRule="auto"/>
        <w:tabs>
          <w:tab w:leader="none" w:pos="126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6</w:t>
      </w:r>
    </w:p>
    <w:p>
      <w:pPr>
        <w:sectPr>
          <w:pgSz w:w="11900" w:h="16838" w:orient="portrait"/>
          <w:cols w:equalWidth="0" w:num="1">
            <w:col w:w="11240"/>
          </w:cols>
          <w:pgMar w:left="320" w:top="330" w:right="339"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line="220" w:lineRule="auto"/>
        <w:tabs>
          <w:tab w:leader="none" w:pos="112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Shares pursuant to this Award Agreement shall be an unsecured claim against the general assets of the Company.</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7.</w:t>
      </w:r>
      <w:r>
        <w:rPr>
          <w:sz w:val="20"/>
          <w:szCs w:val="20"/>
          <w:color w:val="auto"/>
        </w:rPr>
        <w:tab/>
      </w:r>
      <w:r>
        <w:rPr>
          <w:rFonts w:ascii="Calibri" w:cs="Calibri" w:eastAsia="Calibri" w:hAnsi="Calibri"/>
          <w:sz w:val="22"/>
          <w:szCs w:val="22"/>
          <w:color w:val="auto"/>
        </w:rPr>
        <w:t>Prohibiton Against Transfer</w:t>
      </w:r>
    </w:p>
    <w:p>
      <w:pPr>
        <w:spacing w:after="0" w:line="64"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8.</w:t>
      </w:r>
      <w:r>
        <w:rPr>
          <w:sz w:val="20"/>
          <w:szCs w:val="20"/>
          <w:color w:val="auto"/>
        </w:rPr>
        <w:tab/>
      </w:r>
      <w:r>
        <w:rPr>
          <w:rFonts w:ascii="Calibri" w:cs="Calibri" w:eastAsia="Calibri" w:hAnsi="Calibri"/>
          <w:sz w:val="22"/>
          <w:szCs w:val="22"/>
          <w:color w:val="auto"/>
        </w:rPr>
        <w:t>Responsibility for Taxes</w:t>
      </w:r>
    </w:p>
    <w:p>
      <w:pPr>
        <w:spacing w:after="0" w:line="64" w:lineRule="exact"/>
        <w:rPr>
          <w:sz w:val="20"/>
          <w:szCs w:val="20"/>
          <w:color w:val="auto"/>
        </w:rPr>
      </w:pPr>
    </w:p>
    <w:p>
      <w:pPr>
        <w:ind w:left="1300" w:hanging="644"/>
        <w:spacing w:after="0" w:line="208" w:lineRule="auto"/>
        <w:tabs>
          <w:tab w:leader="none" w:pos="1126"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56" w:lineRule="exact"/>
        <w:rPr>
          <w:rFonts w:ascii="Arial" w:cs="Arial" w:eastAsia="Arial" w:hAnsi="Arial"/>
          <w:sz w:val="22"/>
          <w:szCs w:val="22"/>
          <w:color w:val="auto"/>
        </w:rPr>
      </w:pPr>
    </w:p>
    <w:p>
      <w:pPr>
        <w:ind w:left="1300" w:hanging="644"/>
        <w:spacing w:after="0" w:line="236" w:lineRule="auto"/>
        <w:tabs>
          <w:tab w:leader="none" w:pos="1191" w:val="left"/>
        </w:tabs>
        <w:numPr>
          <w:ilvl w:val="0"/>
          <w:numId w:val="82"/>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42" w:lineRule="exact"/>
        <w:rPr>
          <w:rFonts w:ascii="Arial" w:cs="Arial" w:eastAsia="Arial" w:hAnsi="Arial"/>
          <w:sz w:val="22"/>
          <w:szCs w:val="22"/>
          <w:color w:val="auto"/>
        </w:rPr>
      </w:pPr>
    </w:p>
    <w:p>
      <w:pPr>
        <w:jc w:val="both"/>
        <w:ind w:left="1960" w:hanging="332"/>
        <w:spacing w:after="0" w:line="217" w:lineRule="auto"/>
        <w:tabs>
          <w:tab w:leader="none" w:pos="2161" w:val="left"/>
        </w:tabs>
        <w:numPr>
          <w:ilvl w:val="1"/>
          <w:numId w:val="82"/>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44" w:lineRule="exact"/>
        <w:rPr>
          <w:rFonts w:ascii="Arial" w:cs="Arial" w:eastAsia="Arial" w:hAnsi="Arial"/>
          <w:sz w:val="22"/>
          <w:szCs w:val="22"/>
          <w:color w:val="auto"/>
        </w:rPr>
      </w:pPr>
    </w:p>
    <w:p>
      <w:pPr>
        <w:jc w:val="both"/>
        <w:ind w:left="1960" w:hanging="332"/>
        <w:spacing w:after="0" w:line="212" w:lineRule="auto"/>
        <w:tabs>
          <w:tab w:leader="none" w:pos="2093" w:val="left"/>
        </w:tabs>
        <w:numPr>
          <w:ilvl w:val="1"/>
          <w:numId w:val="82"/>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7</w:t>
      </w:r>
    </w:p>
    <w:p>
      <w:pPr>
        <w:sectPr>
          <w:pgSz w:w="11900" w:h="16838" w:orient="portrait"/>
          <w:cols w:equalWidth="0" w:num="1">
            <w:col w:w="11240"/>
          </w:cols>
          <w:pgMar w:left="320" w:top="330" w:right="339" w:bottom="1440" w:gutter="0" w:footer="0" w:header="0"/>
        </w:sectPr>
      </w:pPr>
    </w:p>
    <w:bookmarkStart w:id="147" w:name="page148"/>
    <w:bookmarkEnd w:id="147"/>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960"/>
        <w:spacing w:after="0" w:line="226" w:lineRule="auto"/>
        <w:rPr>
          <w:sz w:val="20"/>
          <w:szCs w:val="20"/>
          <w:color w:val="auto"/>
        </w:rPr>
      </w:pPr>
      <w:r>
        <w:rPr>
          <w:rFonts w:ascii="Arial" w:cs="Arial" w:eastAsia="Arial" w:hAnsi="Arial"/>
          <w:sz w:val="22"/>
          <w:szCs w:val="22"/>
          <w:color w:val="auto"/>
        </w:rPr>
        <w:t>withhold in Shares otherwise issuable to the Grantee pursuant to this Award, and/or (D) apply any other method of withholding determined by the Company and, to the extent required by Applicable Laws or the Plan, approved by the Committee.</w:t>
      </w:r>
    </w:p>
    <w:p>
      <w:pPr>
        <w:spacing w:after="0" w:line="41" w:lineRule="exact"/>
        <w:rPr>
          <w:sz w:val="20"/>
          <w:szCs w:val="20"/>
          <w:color w:val="auto"/>
        </w:rPr>
      </w:pPr>
    </w:p>
    <w:p>
      <w:pPr>
        <w:jc w:val="both"/>
        <w:ind w:left="1960" w:hanging="332"/>
        <w:spacing w:after="0" w:line="215" w:lineRule="auto"/>
        <w:tabs>
          <w:tab w:leader="none" w:pos="2134"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44" w:lineRule="exact"/>
        <w:rPr>
          <w:rFonts w:ascii="Arial" w:cs="Arial" w:eastAsia="Arial" w:hAnsi="Arial"/>
          <w:sz w:val="22"/>
          <w:szCs w:val="22"/>
          <w:color w:val="auto"/>
        </w:rPr>
      </w:pPr>
    </w:p>
    <w:p>
      <w:pPr>
        <w:ind w:left="1300" w:hanging="644"/>
        <w:spacing w:after="0" w:line="212" w:lineRule="auto"/>
        <w:tabs>
          <w:tab w:leader="none" w:pos="10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48" w:lineRule="exact"/>
        <w:rPr>
          <w:rFonts w:ascii="Arial" w:cs="Arial" w:eastAsia="Arial" w:hAnsi="Arial"/>
          <w:sz w:val="22"/>
          <w:szCs w:val="22"/>
          <w:color w:val="auto"/>
        </w:rPr>
      </w:pPr>
    </w:p>
    <w:p>
      <w:pPr>
        <w:ind w:left="1300" w:hanging="644"/>
        <w:spacing w:after="0" w:line="236" w:lineRule="auto"/>
        <w:tabs>
          <w:tab w:leader="none" w:pos="1112" w:val="left"/>
        </w:tabs>
        <w:numPr>
          <w:ilvl w:val="0"/>
          <w:numId w:val="84"/>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9.</w:t>
        <w:tab/>
        <w:t>Secton 409A Compliance</w:t>
      </w:r>
    </w:p>
    <w:p>
      <w:pPr>
        <w:spacing w:after="0" w:line="10"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10.</w:t>
      </w:r>
      <w:r>
        <w:rPr>
          <w:sz w:val="20"/>
          <w:szCs w:val="20"/>
          <w:color w:val="auto"/>
        </w:rPr>
        <w:tab/>
      </w:r>
      <w:r>
        <w:rPr>
          <w:rFonts w:ascii="Calibri" w:cs="Calibri" w:eastAsia="Calibri" w:hAnsi="Calibri"/>
          <w:sz w:val="22"/>
          <w:szCs w:val="22"/>
          <w:color w:val="auto"/>
        </w:rPr>
        <w:t>Grantee’s Acknowledgment</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71" w:lineRule="exact"/>
        <w:rPr>
          <w:sz w:val="20"/>
          <w:szCs w:val="20"/>
          <w:color w:val="auto"/>
        </w:rPr>
      </w:pPr>
    </w:p>
    <w:p>
      <w:pPr>
        <w:ind w:left="1300" w:right="20" w:hanging="644"/>
        <w:spacing w:after="0" w:line="236" w:lineRule="auto"/>
        <w:tabs>
          <w:tab w:leader="none" w:pos="113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2" w:lineRule="exact"/>
        <w:rPr>
          <w:rFonts w:ascii="Arial" w:cs="Arial" w:eastAsia="Arial" w:hAnsi="Arial"/>
          <w:sz w:val="22"/>
          <w:szCs w:val="22"/>
          <w:color w:val="auto"/>
        </w:rPr>
      </w:pPr>
    </w:p>
    <w:p>
      <w:pPr>
        <w:ind w:left="1300" w:hanging="644"/>
        <w:spacing w:after="0" w:line="226" w:lineRule="auto"/>
        <w:tabs>
          <w:tab w:leader="none" w:pos="11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41" w:lineRule="exact"/>
        <w:rPr>
          <w:rFonts w:ascii="Arial" w:cs="Arial" w:eastAsia="Arial" w:hAnsi="Arial"/>
          <w:sz w:val="22"/>
          <w:szCs w:val="22"/>
          <w:color w:val="auto"/>
        </w:rPr>
      </w:pPr>
    </w:p>
    <w:p>
      <w:pPr>
        <w:ind w:left="1300" w:hanging="644"/>
        <w:spacing w:after="0" w:line="236" w:lineRule="auto"/>
        <w:tabs>
          <w:tab w:leader="none" w:pos="1101"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2" w:lineRule="exact"/>
        <w:rPr>
          <w:rFonts w:ascii="Arial" w:cs="Arial" w:eastAsia="Arial" w:hAnsi="Arial"/>
          <w:sz w:val="22"/>
          <w:szCs w:val="22"/>
          <w:color w:val="auto"/>
        </w:rPr>
      </w:pPr>
    </w:p>
    <w:p>
      <w:pPr>
        <w:ind w:left="1080" w:hanging="424"/>
        <w:spacing w:after="0"/>
        <w:tabs>
          <w:tab w:leader="none" w:pos="10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36" w:lineRule="auto"/>
        <w:tabs>
          <w:tab w:leader="none" w:pos="12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42" w:lineRule="exact"/>
        <w:rPr>
          <w:rFonts w:ascii="Arial" w:cs="Arial" w:eastAsia="Arial" w:hAnsi="Arial"/>
          <w:sz w:val="22"/>
          <w:szCs w:val="22"/>
          <w:color w:val="auto"/>
        </w:rPr>
      </w:pPr>
    </w:p>
    <w:p>
      <w:pPr>
        <w:ind w:left="1300" w:hanging="644"/>
        <w:spacing w:after="0" w:line="217" w:lineRule="auto"/>
        <w:tabs>
          <w:tab w:leader="none" w:pos="102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8</w:t>
      </w:r>
    </w:p>
    <w:p>
      <w:pPr>
        <w:sectPr>
          <w:pgSz w:w="11900" w:h="16838" w:orient="portrait"/>
          <w:cols w:equalWidth="0" w:num="1">
            <w:col w:w="11240"/>
          </w:cols>
          <w:pgMar w:left="320" w:top="330" w:right="339"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line="226" w:lineRule="auto"/>
        <w:tabs>
          <w:tab w:leader="none" w:pos="1124" w:val="left"/>
        </w:tabs>
        <w:numPr>
          <w:ilvl w:val="0"/>
          <w:numId w:val="86"/>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41" w:lineRule="exact"/>
        <w:rPr>
          <w:rFonts w:ascii="Arial" w:cs="Arial" w:eastAsia="Arial" w:hAnsi="Arial"/>
          <w:sz w:val="22"/>
          <w:szCs w:val="22"/>
          <w:color w:val="auto"/>
        </w:rPr>
      </w:pPr>
    </w:p>
    <w:p>
      <w:pPr>
        <w:ind w:left="1300" w:hanging="644"/>
        <w:spacing w:after="0" w:line="231" w:lineRule="auto"/>
        <w:tabs>
          <w:tab w:leader="none" w:pos="1082" w:val="left"/>
        </w:tabs>
        <w:numPr>
          <w:ilvl w:val="0"/>
          <w:numId w:val="86"/>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42" w:lineRule="exact"/>
        <w:rPr>
          <w:rFonts w:ascii="Arial" w:cs="Arial" w:eastAsia="Arial" w:hAnsi="Arial"/>
          <w:sz w:val="21"/>
          <w:szCs w:val="21"/>
          <w:color w:val="auto"/>
        </w:rPr>
      </w:pPr>
    </w:p>
    <w:p>
      <w:pPr>
        <w:ind w:left="1300" w:hanging="644"/>
        <w:spacing w:after="0" w:line="236" w:lineRule="auto"/>
        <w:tabs>
          <w:tab w:leader="none" w:pos="118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42" w:lineRule="exact"/>
        <w:rPr>
          <w:rFonts w:ascii="Arial" w:cs="Arial" w:eastAsia="Arial" w:hAnsi="Arial"/>
          <w:sz w:val="22"/>
          <w:szCs w:val="22"/>
          <w:color w:val="auto"/>
        </w:rPr>
      </w:pPr>
    </w:p>
    <w:p>
      <w:pPr>
        <w:ind w:left="1300" w:hanging="644"/>
        <w:spacing w:after="0" w:line="215" w:lineRule="auto"/>
        <w:tabs>
          <w:tab w:leader="none" w:pos="1011"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acquired under the Plan or proceeds therefrom resulting from (i) the application of a clawback policy described in Section 15 of this Agreement or required by law or (ii)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44" w:lineRule="exact"/>
        <w:rPr>
          <w:rFonts w:ascii="Arial" w:cs="Arial" w:eastAsia="Arial" w:hAnsi="Arial"/>
          <w:sz w:val="22"/>
          <w:szCs w:val="22"/>
          <w:color w:val="auto"/>
        </w:rPr>
      </w:pPr>
    </w:p>
    <w:p>
      <w:pPr>
        <w:ind w:left="1300" w:hanging="644"/>
        <w:spacing w:after="0" w:line="209" w:lineRule="auto"/>
        <w:tabs>
          <w:tab w:leader="none" w:pos="1111" w:val="left"/>
        </w:tabs>
        <w:numPr>
          <w:ilvl w:val="0"/>
          <w:numId w:val="86"/>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52" w:lineRule="exact"/>
        <w:rPr>
          <w:rFonts w:ascii="Arial" w:cs="Arial" w:eastAsia="Arial" w:hAnsi="Arial"/>
          <w:sz w:val="22"/>
          <w:szCs w:val="22"/>
          <w:color w:val="auto"/>
        </w:rPr>
      </w:pPr>
    </w:p>
    <w:p>
      <w:pPr>
        <w:ind w:left="1300" w:hanging="644"/>
        <w:spacing w:after="0" w:line="220" w:lineRule="auto"/>
        <w:tabs>
          <w:tab w:leader="none" w:pos="1090" w:val="left"/>
        </w:tabs>
        <w:numPr>
          <w:ilvl w:val="0"/>
          <w:numId w:val="8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44" w:lineRule="exact"/>
        <w:rPr>
          <w:rFonts w:ascii="Arial" w:cs="Arial" w:eastAsia="Arial" w:hAnsi="Arial"/>
          <w:sz w:val="22"/>
          <w:szCs w:val="22"/>
          <w:color w:val="auto"/>
        </w:rPr>
      </w:pPr>
    </w:p>
    <w:p>
      <w:pPr>
        <w:ind w:left="1300" w:hanging="644"/>
        <w:spacing w:after="0" w:line="226" w:lineRule="auto"/>
        <w:tabs>
          <w:tab w:leader="none" w:pos="116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41" w:lineRule="exact"/>
        <w:rPr>
          <w:rFonts w:ascii="Arial" w:cs="Arial" w:eastAsia="Arial" w:hAnsi="Arial"/>
          <w:sz w:val="22"/>
          <w:szCs w:val="22"/>
          <w:color w:val="auto"/>
        </w:rPr>
      </w:pPr>
    </w:p>
    <w:p>
      <w:pPr>
        <w:ind w:left="1300" w:hanging="644"/>
        <w:spacing w:after="0" w:line="236" w:lineRule="auto"/>
        <w:tabs>
          <w:tab w:leader="none" w:pos="10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42" w:lineRule="exact"/>
        <w:rPr>
          <w:rFonts w:ascii="Arial" w:cs="Arial" w:eastAsia="Arial" w:hAnsi="Arial"/>
          <w:sz w:val="22"/>
          <w:szCs w:val="22"/>
          <w:color w:val="auto"/>
        </w:rPr>
      </w:pPr>
    </w:p>
    <w:p>
      <w:pPr>
        <w:jc w:val="both"/>
        <w:ind w:left="1300" w:hanging="644"/>
        <w:spacing w:after="0" w:line="220" w:lineRule="auto"/>
        <w:tabs>
          <w:tab w:leader="none" w:pos="12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9</w:t>
      </w:r>
    </w:p>
    <w:p>
      <w:pPr>
        <w:sectPr>
          <w:pgSz w:w="11900" w:h="16838" w:orient="portrait"/>
          <w:cols w:equalWidth="0" w:num="1">
            <w:col w:w="11240"/>
          </w:cols>
          <w:pgMar w:left="320" w:top="330" w:right="339" w:bottom="1440" w:gutter="0" w:footer="0" w:header="0"/>
        </w:sectPr>
      </w:pPr>
    </w:p>
    <w:bookmarkStart w:id="149" w:name="page150"/>
    <w:bookmarkEnd w:id="149"/>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11.</w:t>
        <w:tab/>
        <w:t>Data Privacy</w:t>
      </w:r>
    </w:p>
    <w:p>
      <w:pPr>
        <w:spacing w:after="0" w:line="64" w:lineRule="exact"/>
        <w:rPr>
          <w:sz w:val="20"/>
          <w:szCs w:val="20"/>
          <w:color w:val="auto"/>
        </w:rPr>
      </w:pPr>
    </w:p>
    <w:p>
      <w:pPr>
        <w:jc w:val="both"/>
        <w:ind w:left="1300" w:hanging="644"/>
        <w:spacing w:after="0" w:line="210" w:lineRule="auto"/>
        <w:tabs>
          <w:tab w:leader="none" w:pos="1248" w:val="left"/>
        </w:tabs>
        <w:numPr>
          <w:ilvl w:val="0"/>
          <w:numId w:val="8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ind w:left="1300" w:hanging="644"/>
        <w:spacing w:after="0" w:line="211" w:lineRule="auto"/>
        <w:tabs>
          <w:tab w:leader="none" w:pos="1194" w:val="left"/>
        </w:tabs>
        <w:numPr>
          <w:ilvl w:val="0"/>
          <w:numId w:val="8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ind w:left="1300" w:hanging="644"/>
        <w:spacing w:after="0" w:line="237" w:lineRule="auto"/>
        <w:tabs>
          <w:tab w:leader="none" w:pos="1087" w:val="left"/>
        </w:tabs>
        <w:numPr>
          <w:ilvl w:val="0"/>
          <w:numId w:val="87"/>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0" w:lineRule="exact"/>
        <w:rPr>
          <w:rFonts w:ascii="Arial" w:cs="Arial" w:eastAsia="Arial" w:hAnsi="Arial"/>
          <w:sz w:val="21"/>
          <w:szCs w:val="21"/>
          <w:i w:val="1"/>
          <w:iCs w:val="1"/>
          <w:color w:val="auto"/>
        </w:rPr>
      </w:pPr>
    </w:p>
    <w:p>
      <w:pPr>
        <w:ind w:left="1300" w:hanging="644"/>
        <w:spacing w:after="0" w:line="226" w:lineRule="auto"/>
        <w:tabs>
          <w:tab w:leader="none" w:pos="1180" w:val="left"/>
        </w:tabs>
        <w:numPr>
          <w:ilvl w:val="0"/>
          <w:numId w:val="8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1" w:lineRule="exact"/>
        <w:rPr>
          <w:rFonts w:ascii="Arial" w:cs="Arial" w:eastAsia="Arial" w:hAnsi="Arial"/>
          <w:sz w:val="22"/>
          <w:szCs w:val="22"/>
          <w:i w:val="1"/>
          <w:iCs w:val="1"/>
          <w:color w:val="auto"/>
        </w:rPr>
      </w:pPr>
    </w:p>
    <w:p>
      <w:pPr>
        <w:ind w:left="1300" w:hanging="644"/>
        <w:spacing w:after="0" w:line="215" w:lineRule="auto"/>
        <w:tabs>
          <w:tab w:leader="none" w:pos="1126" w:val="left"/>
        </w:tabs>
        <w:numPr>
          <w:ilvl w:val="0"/>
          <w:numId w:val="8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ind w:left="1300" w:hanging="644"/>
        <w:spacing w:after="0" w:line="211" w:lineRule="auto"/>
        <w:tabs>
          <w:tab w:leader="none" w:pos="1080" w:val="left"/>
        </w:tabs>
        <w:numPr>
          <w:ilvl w:val="0"/>
          <w:numId w:val="8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10</w:t>
      </w:r>
    </w:p>
    <w:p>
      <w:pPr>
        <w:sectPr>
          <w:pgSz w:w="11900" w:h="16838" w:orient="portrait"/>
          <w:cols w:equalWidth="0" w:num="1">
            <w:col w:w="11240"/>
          </w:cols>
          <w:pgMar w:left="320" w:top="330" w:right="339"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i w:val="1"/>
          <w:iCs w:val="1"/>
          <w:color w:val="auto"/>
        </w:rPr>
        <w:t>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41" w:lineRule="exact"/>
        <w:rPr>
          <w:sz w:val="20"/>
          <w:szCs w:val="20"/>
          <w:color w:val="auto"/>
        </w:rPr>
      </w:pPr>
    </w:p>
    <w:p>
      <w:pPr>
        <w:jc w:val="both"/>
        <w:ind w:left="1300" w:hanging="644"/>
        <w:spacing w:after="0" w:line="215" w:lineRule="auto"/>
        <w:tabs>
          <w:tab w:leader="none" w:pos="1275" w:val="left"/>
        </w:tabs>
        <w:numPr>
          <w:ilvl w:val="0"/>
          <w:numId w:val="8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12.</w:t>
        <w:tab/>
        <w:t>Restrictve Covenants, Remedies, and Additonal Terms and Conditons</w:t>
      </w:r>
    </w:p>
    <w:p>
      <w:pPr>
        <w:spacing w:after="0" w:line="10" w:lineRule="exact"/>
        <w:rPr>
          <w:sz w:val="20"/>
          <w:szCs w:val="20"/>
          <w:color w:val="auto"/>
        </w:rPr>
      </w:pPr>
    </w:p>
    <w:p>
      <w:pPr>
        <w:ind w:left="1300" w:hanging="644"/>
        <w:spacing w:after="0" w:line="217" w:lineRule="auto"/>
        <w:tabs>
          <w:tab w:leader="none" w:pos="122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44" w:lineRule="exact"/>
        <w:rPr>
          <w:rFonts w:ascii="Arial" w:cs="Arial" w:eastAsia="Arial" w:hAnsi="Arial"/>
          <w:sz w:val="22"/>
          <w:szCs w:val="22"/>
          <w:color w:val="auto"/>
        </w:rPr>
      </w:pPr>
    </w:p>
    <w:p>
      <w:pPr>
        <w:jc w:val="both"/>
        <w:ind w:left="1960" w:hanging="332"/>
        <w:spacing w:after="0" w:line="215" w:lineRule="auto"/>
        <w:tabs>
          <w:tab w:leader="none" w:pos="2004" w:val="left"/>
        </w:tabs>
        <w:numPr>
          <w:ilvl w:val="1"/>
          <w:numId w:val="89"/>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44" w:lineRule="exact"/>
        <w:rPr>
          <w:rFonts w:ascii="Arial" w:cs="Arial" w:eastAsia="Arial" w:hAnsi="Arial"/>
          <w:sz w:val="22"/>
          <w:szCs w:val="22"/>
          <w:color w:val="auto"/>
        </w:rPr>
      </w:pPr>
    </w:p>
    <w:p>
      <w:pPr>
        <w:jc w:val="both"/>
        <w:ind w:left="1960" w:hanging="332"/>
        <w:spacing w:after="0" w:line="224" w:lineRule="auto"/>
        <w:tabs>
          <w:tab w:leader="none" w:pos="2151" w:val="left"/>
        </w:tabs>
        <w:numPr>
          <w:ilvl w:val="1"/>
          <w:numId w:val="89"/>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42"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43"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For purposes of this Award Agreement, “Competively-Sensitive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11</w:t>
      </w:r>
    </w:p>
    <w:p>
      <w:pPr>
        <w:sectPr>
          <w:pgSz w:w="11900" w:h="16838" w:orient="portrait"/>
          <w:cols w:equalWidth="0" w:num="1">
            <w:col w:w="11240"/>
          </w:cols>
          <w:pgMar w:left="320" w:top="330" w:right="339" w:bottom="1440" w:gutter="0" w:footer="0" w:header="0"/>
        </w:sectPr>
      </w:pPr>
    </w:p>
    <w:bookmarkStart w:id="151" w:name="page152"/>
    <w:bookmarkEnd w:id="151"/>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41"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41"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48"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48"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other Non-Compete Payment Agreement entered into between Grantee and Lilly, each of which remains in full force and effect, or that the Grantee agrees 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12</w:t>
      </w:r>
    </w:p>
    <w:p>
      <w:pPr>
        <w:sectPr>
          <w:pgSz w:w="11900" w:h="16838" w:orient="portrait"/>
          <w:cols w:equalWidth="0" w:num="1">
            <w:col w:w="11240"/>
          </w:cols>
          <w:pgMar w:left="320" w:top="330" w:right="339" w:bottom="1440" w:gutter="0" w:footer="0" w:header="0"/>
        </w:sectPr>
      </w:pPr>
    </w:p>
    <w:bookmarkStart w:id="152" w:name="page153"/>
    <w:bookmarkEnd w:id="152"/>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44" w:lineRule="exact"/>
        <w:rPr>
          <w:sz w:val="20"/>
          <w:szCs w:val="20"/>
          <w:color w:val="auto"/>
        </w:rPr>
      </w:pPr>
    </w:p>
    <w:p>
      <w:pPr>
        <w:ind w:left="1300" w:hanging="644"/>
        <w:spacing w:after="0" w:line="214" w:lineRule="auto"/>
        <w:tabs>
          <w:tab w:leader="none" w:pos="11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41" w:lineRule="exact"/>
        <w:rPr>
          <w:rFonts w:ascii="Arial" w:cs="Arial" w:eastAsia="Arial" w:hAnsi="Arial"/>
          <w:sz w:val="22"/>
          <w:szCs w:val="22"/>
          <w:color w:val="auto"/>
        </w:rPr>
      </w:pPr>
    </w:p>
    <w:p>
      <w:pPr>
        <w:ind w:left="1300" w:hanging="644"/>
        <w:spacing w:after="0" w:line="210" w:lineRule="auto"/>
        <w:tabs>
          <w:tab w:leader="none" w:pos="1141"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49" w:lineRule="exact"/>
        <w:rPr>
          <w:rFonts w:ascii="Arial" w:cs="Arial" w:eastAsia="Arial" w:hAnsi="Arial"/>
          <w:sz w:val="22"/>
          <w:szCs w:val="22"/>
          <w:color w:val="auto"/>
        </w:rPr>
      </w:pPr>
    </w:p>
    <w:p>
      <w:pPr>
        <w:ind w:left="1300" w:hanging="644"/>
        <w:spacing w:after="0" w:line="212" w:lineRule="auto"/>
        <w:tabs>
          <w:tab w:leader="none" w:pos="111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13.</w:t>
      </w:r>
      <w:r>
        <w:rPr>
          <w:sz w:val="20"/>
          <w:szCs w:val="20"/>
          <w:color w:val="auto"/>
        </w:rPr>
        <w:tab/>
      </w:r>
      <w:r>
        <w:rPr>
          <w:rFonts w:ascii="Calibri" w:cs="Calibri" w:eastAsia="Calibri" w:hAnsi="Calibri"/>
          <w:sz w:val="22"/>
          <w:szCs w:val="22"/>
          <w:color w:val="auto"/>
        </w:rPr>
        <w:t>Governing Law and Choice of Venue</w:t>
      </w:r>
    </w:p>
    <w:p>
      <w:pPr>
        <w:spacing w:after="0" w:line="64" w:lineRule="exact"/>
        <w:rPr>
          <w:sz w:val="20"/>
          <w:szCs w:val="20"/>
          <w:color w:val="auto"/>
        </w:rPr>
      </w:pPr>
    </w:p>
    <w:p>
      <w:pPr>
        <w:jc w:val="both"/>
        <w:ind w:left="400"/>
        <w:spacing w:after="0" w:line="212"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13</w:t>
      </w:r>
    </w:p>
    <w:p>
      <w:pPr>
        <w:sectPr>
          <w:pgSz w:w="11900" w:h="16838" w:orient="portrait"/>
          <w:cols w:equalWidth="0" w:num="1">
            <w:col w:w="11240"/>
          </w:cols>
          <w:pgMar w:left="320" w:top="330" w:right="339" w:bottom="1440" w:gutter="0" w:footer="0" w:header="0"/>
        </w:sectPr>
      </w:pPr>
    </w:p>
    <w:bookmarkStart w:id="153" w:name="page154"/>
    <w:bookmarkEnd w:id="153"/>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14.</w:t>
        <w:tab/>
        <w:t>Miscellaneous Provisions</w:t>
      </w:r>
    </w:p>
    <w:p>
      <w:pPr>
        <w:spacing w:after="0" w:line="64" w:lineRule="exact"/>
        <w:rPr>
          <w:sz w:val="20"/>
          <w:szCs w:val="20"/>
          <w:color w:val="auto"/>
        </w:rPr>
      </w:pPr>
    </w:p>
    <w:p>
      <w:pPr>
        <w:ind w:left="1300" w:hanging="644"/>
        <w:spacing w:after="0" w:line="220" w:lineRule="auto"/>
        <w:tabs>
          <w:tab w:leader="none" w:pos="1167"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9" w:lineRule="exact"/>
        <w:rPr>
          <w:rFonts w:ascii="Arial" w:cs="Arial" w:eastAsia="Arial" w:hAnsi="Arial"/>
          <w:sz w:val="21"/>
          <w:szCs w:val="21"/>
          <w:color w:val="auto"/>
        </w:rPr>
      </w:pPr>
    </w:p>
    <w:p>
      <w:pPr>
        <w:jc w:val="both"/>
        <w:ind w:left="1300" w:hanging="644"/>
        <w:spacing w:after="0" w:line="215" w:lineRule="auto"/>
        <w:tabs>
          <w:tab w:leader="none" w:pos="1248"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57" w:lineRule="exact"/>
        <w:rPr>
          <w:rFonts w:ascii="Arial" w:cs="Arial" w:eastAsia="Arial" w:hAnsi="Arial"/>
          <w:sz w:val="22"/>
          <w:szCs w:val="22"/>
          <w:color w:val="auto"/>
        </w:rPr>
      </w:pPr>
    </w:p>
    <w:p>
      <w:pPr>
        <w:ind w:left="1300" w:hanging="644"/>
        <w:spacing w:after="0" w:line="222" w:lineRule="auto"/>
        <w:tabs>
          <w:tab w:leader="none" w:pos="1121" w:val="left"/>
        </w:tabs>
        <w:numPr>
          <w:ilvl w:val="0"/>
          <w:numId w:val="91"/>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6" w:lineRule="exact"/>
        <w:rPr>
          <w:rFonts w:ascii="Arial" w:cs="Arial" w:eastAsia="Arial" w:hAnsi="Arial"/>
          <w:sz w:val="23"/>
          <w:szCs w:val="23"/>
          <w:color w:val="auto"/>
        </w:rPr>
      </w:pPr>
    </w:p>
    <w:p>
      <w:pPr>
        <w:ind w:left="1300" w:hanging="644"/>
        <w:spacing w:after="0" w:line="214" w:lineRule="auto"/>
        <w:tabs>
          <w:tab w:leader="none" w:pos="1107" w:val="left"/>
        </w:tabs>
        <w:numPr>
          <w:ilvl w:val="0"/>
          <w:numId w:val="91"/>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44"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56" w:lineRule="exact"/>
        <w:rPr>
          <w:sz w:val="20"/>
          <w:szCs w:val="20"/>
          <w:color w:val="auto"/>
        </w:rPr>
      </w:pPr>
    </w:p>
    <w:p>
      <w:pPr>
        <w:ind w:left="1300" w:hanging="644"/>
        <w:spacing w:after="0" w:line="215" w:lineRule="auto"/>
        <w:tabs>
          <w:tab w:leader="none" w:pos="1120" w:val="left"/>
        </w:tabs>
        <w:numPr>
          <w:ilvl w:val="0"/>
          <w:numId w:val="92"/>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15.</w:t>
        <w:tab/>
        <w:t>Compensaton Recovery</w:t>
      </w:r>
    </w:p>
    <w:p>
      <w:pPr>
        <w:spacing w:after="0" w:line="64" w:lineRule="exact"/>
        <w:rPr>
          <w:sz w:val="20"/>
          <w:szCs w:val="20"/>
          <w:color w:val="auto"/>
        </w:rPr>
      </w:pPr>
    </w:p>
    <w:p>
      <w:pPr>
        <w:ind w:left="1300" w:hanging="644"/>
        <w:spacing w:after="0" w:line="214" w:lineRule="auto"/>
        <w:tabs>
          <w:tab w:leader="none" w:pos="110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14</w:t>
      </w:r>
    </w:p>
    <w:p>
      <w:pPr>
        <w:sectPr>
          <w:pgSz w:w="11900" w:h="16838" w:orient="portrait"/>
          <w:cols w:equalWidth="0" w:num="1">
            <w:col w:w="11240"/>
          </w:cols>
          <w:pgMar w:left="320" w:top="330" w:right="339"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22"/>
          <w:szCs w:val="22"/>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line="220" w:lineRule="auto"/>
        <w:tabs>
          <w:tab w:leader="none" w:pos="1077" w:val="left"/>
        </w:tabs>
        <w:numPr>
          <w:ilvl w:val="0"/>
          <w:numId w:val="94"/>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44" w:lineRule="exact"/>
        <w:rPr>
          <w:rFonts w:ascii="Arial" w:cs="Arial" w:eastAsia="Arial" w:hAnsi="Arial"/>
          <w:sz w:val="22"/>
          <w:szCs w:val="22"/>
          <w:color w:val="auto"/>
        </w:rPr>
      </w:pPr>
    </w:p>
    <w:p>
      <w:pPr>
        <w:jc w:val="both"/>
        <w:ind w:left="1960" w:hanging="332"/>
        <w:spacing w:after="0" w:line="214" w:lineRule="auto"/>
        <w:tabs>
          <w:tab w:leader="none" w:pos="2035" w:val="left"/>
        </w:tabs>
        <w:numPr>
          <w:ilvl w:val="1"/>
          <w:numId w:val="94"/>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41" w:lineRule="exact"/>
        <w:rPr>
          <w:rFonts w:ascii="Arial" w:cs="Arial" w:eastAsia="Arial" w:hAnsi="Arial"/>
          <w:sz w:val="22"/>
          <w:szCs w:val="22"/>
          <w:color w:val="auto"/>
        </w:rPr>
      </w:pPr>
    </w:p>
    <w:p>
      <w:pPr>
        <w:jc w:val="both"/>
        <w:ind w:left="1960" w:hanging="332"/>
        <w:spacing w:after="0" w:line="220" w:lineRule="auto"/>
        <w:tabs>
          <w:tab w:leader="none" w:pos="2121" w:val="left"/>
        </w:tabs>
        <w:numPr>
          <w:ilvl w:val="1"/>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44" w:lineRule="exact"/>
        <w:rPr>
          <w:sz w:val="20"/>
          <w:szCs w:val="20"/>
          <w:color w:val="auto"/>
        </w:rPr>
      </w:pPr>
    </w:p>
    <w:p>
      <w:pPr>
        <w:jc w:val="both"/>
        <w:ind w:left="1300"/>
        <w:spacing w:after="0" w:line="223"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41" w:lineRule="exact"/>
        <w:rPr>
          <w:sz w:val="20"/>
          <w:szCs w:val="20"/>
          <w:color w:val="auto"/>
        </w:rPr>
      </w:pPr>
    </w:p>
    <w:p>
      <w:pPr>
        <w:ind w:left="1300" w:hanging="644"/>
        <w:spacing w:after="0" w:line="217" w:lineRule="auto"/>
        <w:tabs>
          <w:tab w:leader="none" w:pos="11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Award to re-convey, transfer or otherwise return such Shares and/or other amounts to the Company upon the Company’s enforcement of this Section 15.</w:t>
      </w:r>
    </w:p>
    <w:p>
      <w:pPr>
        <w:spacing w:after="0" w:line="44" w:lineRule="exact"/>
        <w:rPr>
          <w:rFonts w:ascii="Arial" w:cs="Arial" w:eastAsia="Arial" w:hAnsi="Arial"/>
          <w:sz w:val="22"/>
          <w:szCs w:val="22"/>
          <w:color w:val="auto"/>
        </w:rPr>
      </w:pPr>
    </w:p>
    <w:p>
      <w:pPr>
        <w:ind w:left="1300" w:hanging="644"/>
        <w:spacing w:after="0" w:line="226" w:lineRule="auto"/>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42"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16.</w:t>
      </w:r>
      <w:r>
        <w:rPr>
          <w:sz w:val="20"/>
          <w:szCs w:val="20"/>
          <w:color w:val="auto"/>
        </w:rPr>
        <w:tab/>
      </w:r>
      <w:r>
        <w:rPr>
          <w:rFonts w:ascii="Calibri" w:cs="Calibri" w:eastAsia="Calibri" w:hAnsi="Calibri"/>
          <w:sz w:val="22"/>
          <w:szCs w:val="22"/>
          <w:color w:val="auto"/>
        </w:rPr>
        <w:t>Award Subject to Acknowledgement of Acceptance</w:t>
      </w:r>
    </w:p>
    <w:p>
      <w:pPr>
        <w:spacing w:after="0" w:line="64"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2"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_________________________</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15</w:t>
      </w:r>
    </w:p>
    <w:p>
      <w:pPr>
        <w:sectPr>
          <w:pgSz w:w="11900" w:h="16838" w:orient="portrait"/>
          <w:cols w:equalWidth="0" w:num="1">
            <w:col w:w="11240"/>
          </w:cols>
          <w:pgMar w:left="320" w:top="330" w:right="339" w:bottom="1440" w:gutter="0" w:footer="0" w:header="0"/>
          <w:type w:val="continuous"/>
        </w:sectPr>
      </w:pPr>
    </w:p>
    <w:bookmarkStart w:id="155" w:name="page156"/>
    <w:bookmarkEnd w:id="155"/>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Exhibit 10.5 Form of Restricted Stock Unit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Calibri" w:cs="Calibri" w:eastAsia="Calibri" w:hAnsi="Calibri"/>
          <w:sz w:val="43"/>
          <w:szCs w:val="43"/>
          <w:color w:val="auto"/>
        </w:rPr>
        <w:t>Eli Lilly and Company</w:t>
      </w:r>
    </w:p>
    <w:p>
      <w:pPr>
        <w:jc w:val="center"/>
        <w:ind w:right="-259"/>
        <w:spacing w:after="0" w:line="196" w:lineRule="auto"/>
        <w:rPr>
          <w:sz w:val="20"/>
          <w:szCs w:val="20"/>
          <w:color w:val="auto"/>
        </w:rPr>
      </w:pPr>
      <w:r>
        <w:rPr>
          <w:rFonts w:ascii="Calibri" w:cs="Calibri" w:eastAsia="Calibri" w:hAnsi="Calibri"/>
          <w:sz w:val="43"/>
          <w:szCs w:val="43"/>
          <w:color w:val="auto"/>
        </w:rPr>
        <w:t>Restricted Stock Unit Award Agreement</w:t>
      </w:r>
    </w:p>
    <w:p>
      <w:pPr>
        <w:jc w:val="center"/>
        <w:ind w:right="-259"/>
        <w:spacing w:after="0" w:line="195" w:lineRule="auto"/>
        <w:rPr>
          <w:sz w:val="20"/>
          <w:szCs w:val="20"/>
          <w:color w:val="auto"/>
        </w:rPr>
      </w:pPr>
      <w:r>
        <w:rPr>
          <w:rFonts w:ascii="Calibri" w:cs="Calibri" w:eastAsia="Calibri" w:hAnsi="Calibri"/>
          <w:sz w:val="40"/>
          <w:szCs w:val="40"/>
          <w:color w:val="auto"/>
        </w:rPr>
        <w:t>(for Executve Ofcer)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This Restricted Stock Unit Award has been granted on [•] (“Grant Date”) by Eli Lilly and Company, an Indiana corporation, with its principal offices in Indianapolis, Indiana (“Lilly” or the “Company”), to the Eligible Individual who has received this Restricted Stock Unit Award Agreement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29"/>
          <w:szCs w:val="29"/>
          <w:b w:val="1"/>
          <w:bCs w:val="1"/>
          <w:color w:val="auto"/>
        </w:rPr>
        <w:t>Vesting Date:</w:t>
      </w:r>
      <w:r>
        <w:rPr>
          <w:sz w:val="20"/>
          <w:szCs w:val="20"/>
          <w:color w:val="auto"/>
        </w:rPr>
        <w:tab/>
      </w:r>
      <w:r>
        <w:rPr>
          <w:rFonts w:ascii="Arial" w:cs="Arial" w:eastAsia="Arial" w:hAnsi="Arial"/>
          <w:sz w:val="22"/>
          <w:szCs w:val="22"/>
          <w:color w:val="auto"/>
        </w:rPr>
        <w: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(except as otherwise provided in this</w:t>
      </w:r>
    </w:p>
    <w:p>
      <w:pPr>
        <w:spacing w:after="0" w:line="2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Restricted Stock Unit Award Agreement)</w:t>
      </w:r>
    </w:p>
    <w:p>
      <w:pPr>
        <w:sectPr>
          <w:pgSz w:w="11900" w:h="16838" w:orient="portrait"/>
          <w:cols w:equalWidth="0" w:num="1">
            <w:col w:w="10980"/>
          </w:cols>
          <w:pgMar w:left="320" w:top="1440" w:right="599" w:bottom="1440" w:gutter="0" w:footer="0" w:header="0"/>
        </w:sectPr>
      </w:pPr>
    </w:p>
    <w:bookmarkStart w:id="156" w:name="page157"/>
    <w:bookmarkEnd w:id="156"/>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354"/>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60" w:type="dxa"/>
            <w:vAlign w:val="bottom"/>
          </w:tcPr>
          <w:p>
            <w:pPr>
              <w:ind w:left="3520"/>
              <w:spacing w:after="0"/>
              <w:rPr>
                <w:sz w:val="20"/>
                <w:szCs w:val="20"/>
                <w:color w:val="auto"/>
              </w:rPr>
            </w:pPr>
            <w:r>
              <w:rPr>
                <w:rFonts w:ascii="Calibri" w:cs="Calibri" w:eastAsia="Calibri" w:hAnsi="Calibri"/>
                <w:sz w:val="29"/>
                <w:szCs w:val="29"/>
                <w:color w:val="auto"/>
              </w:rPr>
              <w:t>Table of Contents</w:t>
            </w:r>
          </w:p>
        </w:tc>
        <w:tc>
          <w:tcPr>
            <w:tcW w:w="1860" w:type="dxa"/>
            <w:vAlign w:val="bottom"/>
          </w:tcPr>
          <w:p>
            <w:pPr>
              <w:spacing w:after="0"/>
              <w:rPr>
                <w:sz w:val="24"/>
                <w:szCs w:val="24"/>
                <w:color w:val="auto"/>
              </w:rPr>
            </w:pPr>
          </w:p>
        </w:tc>
      </w:tr>
      <w:tr>
        <w:trPr>
          <w:trHeight w:val="603"/>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1.  Grant of Restricted Stock Units</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2.</w:t>
            </w:r>
          </w:p>
        </w:tc>
        <w:tc>
          <w:tcPr>
            <w:tcW w:w="60" w:type="dxa"/>
            <w:vAlign w:val="bottom"/>
          </w:tcPr>
          <w:p>
            <w:pPr>
              <w:spacing w:after="0"/>
              <w:rPr>
                <w:sz w:val="24"/>
                <w:szCs w:val="24"/>
                <w:color w:val="auto"/>
              </w:rPr>
            </w:pPr>
          </w:p>
        </w:tc>
        <w:tc>
          <w:tcPr>
            <w:tcW w:w="7960" w:type="dxa"/>
            <w:vAlign w:val="bottom"/>
          </w:tcPr>
          <w:p>
            <w:pPr>
              <w:ind w:left="40"/>
              <w:spacing w:after="0"/>
              <w:rPr>
                <w:sz w:val="20"/>
                <w:szCs w:val="20"/>
                <w:color w:val="auto"/>
              </w:rPr>
            </w:pPr>
            <w:r>
              <w:rPr>
                <w:rFonts w:ascii="Calibri" w:cs="Calibri" w:eastAsia="Calibri" w:hAnsi="Calibri"/>
                <w:sz w:val="22"/>
                <w:szCs w:val="22"/>
                <w:color w:val="auto"/>
              </w:rPr>
              <w:t>Vestng</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3.  Change in Control</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4.</w:t>
            </w:r>
          </w:p>
        </w:tc>
        <w:tc>
          <w:tcPr>
            <w:tcW w:w="60" w:type="dxa"/>
            <w:vAlign w:val="bottom"/>
          </w:tcPr>
          <w:p>
            <w:pPr>
              <w:spacing w:after="0"/>
              <w:rPr>
                <w:sz w:val="24"/>
                <w:szCs w:val="24"/>
                <w:color w:val="auto"/>
              </w:rPr>
            </w:pPr>
          </w:p>
        </w:tc>
        <w:tc>
          <w:tcPr>
            <w:tcW w:w="7960" w:type="dxa"/>
            <w:vAlign w:val="bottom"/>
          </w:tcPr>
          <w:p>
            <w:pPr>
              <w:ind w:left="40"/>
              <w:spacing w:after="0"/>
              <w:rPr>
                <w:sz w:val="20"/>
                <w:szCs w:val="20"/>
                <w:color w:val="auto"/>
              </w:rPr>
            </w:pPr>
            <w:r>
              <w:rPr>
                <w:rFonts w:ascii="Calibri" w:cs="Calibri" w:eastAsia="Calibri" w:hAnsi="Calibri"/>
                <w:sz w:val="22"/>
                <w:szCs w:val="22"/>
                <w:color w:val="auto"/>
              </w:rPr>
              <w:t>Setlement</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5.  Rights of the Grantee</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6.  Prohibiton Against Transfer</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7.  Responsibility for Taxes</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8.</w:t>
            </w:r>
          </w:p>
        </w:tc>
        <w:tc>
          <w:tcPr>
            <w:tcW w:w="8020" w:type="dxa"/>
            <w:vAlign w:val="bottom"/>
            <w:gridSpan w:val="2"/>
          </w:tcPr>
          <w:p>
            <w:pPr>
              <w:ind w:left="100"/>
              <w:spacing w:after="0"/>
              <w:rPr>
                <w:sz w:val="20"/>
                <w:szCs w:val="20"/>
                <w:color w:val="auto"/>
              </w:rPr>
            </w:pPr>
            <w:r>
              <w:rPr>
                <w:rFonts w:ascii="Calibri" w:cs="Calibri" w:eastAsia="Calibri" w:hAnsi="Calibri"/>
                <w:sz w:val="22"/>
                <w:szCs w:val="22"/>
                <w:color w:val="auto"/>
              </w:rPr>
              <w:t>Secton 409A Compliance</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9.</w:t>
            </w:r>
          </w:p>
        </w:tc>
        <w:tc>
          <w:tcPr>
            <w:tcW w:w="60" w:type="dxa"/>
            <w:vAlign w:val="bottom"/>
          </w:tcPr>
          <w:p>
            <w:pPr>
              <w:spacing w:after="0"/>
              <w:rPr>
                <w:sz w:val="24"/>
                <w:szCs w:val="24"/>
                <w:color w:val="auto"/>
              </w:rPr>
            </w:pPr>
          </w:p>
        </w:tc>
        <w:tc>
          <w:tcPr>
            <w:tcW w:w="7960" w:type="dxa"/>
            <w:vAlign w:val="bottom"/>
          </w:tcPr>
          <w:p>
            <w:pPr>
              <w:ind w:left="40"/>
              <w:spacing w:after="0"/>
              <w:rPr>
                <w:sz w:val="20"/>
                <w:szCs w:val="20"/>
                <w:color w:val="auto"/>
              </w:rPr>
            </w:pPr>
            <w:r>
              <w:rPr>
                <w:rFonts w:ascii="Calibri" w:cs="Calibri" w:eastAsia="Calibri" w:hAnsi="Calibri"/>
                <w:sz w:val="22"/>
                <w:szCs w:val="22"/>
                <w:color w:val="auto"/>
              </w:rPr>
              <w:t>Grantee’s Acknowledgement</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10.</w:t>
            </w:r>
          </w:p>
        </w:tc>
        <w:tc>
          <w:tcPr>
            <w:tcW w:w="7960" w:type="dxa"/>
            <w:vAlign w:val="bottom"/>
          </w:tcPr>
          <w:p>
            <w:pPr>
              <w:ind w:left="140"/>
              <w:spacing w:after="0"/>
              <w:rPr>
                <w:sz w:val="20"/>
                <w:szCs w:val="20"/>
                <w:color w:val="auto"/>
              </w:rPr>
            </w:pPr>
            <w:r>
              <w:rPr>
                <w:rFonts w:ascii="Calibri" w:cs="Calibri" w:eastAsia="Calibri" w:hAnsi="Calibri"/>
                <w:sz w:val="22"/>
                <w:szCs w:val="22"/>
                <w:color w:val="auto"/>
              </w:rPr>
              <w:t>Data Privacy</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w:t>
            </w:r>
          </w:p>
        </w:tc>
      </w:tr>
      <w:tr>
        <w:trPr>
          <w:trHeight w:val="311"/>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11.  Restrictve Covenants, Remedies, and Additonal Terms and Conditons</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0"/>
              </w:rPr>
              <w:t>10</w:t>
            </w:r>
          </w:p>
        </w:tc>
      </w:tr>
      <w:tr>
        <w:trPr>
          <w:trHeight w:val="310"/>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12.  Governing Law and Choice of Venue</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0"/>
              </w:rPr>
              <w:t>13</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13.</w:t>
            </w:r>
          </w:p>
        </w:tc>
        <w:tc>
          <w:tcPr>
            <w:tcW w:w="7960" w:type="dxa"/>
            <w:vAlign w:val="bottom"/>
          </w:tcPr>
          <w:p>
            <w:pPr>
              <w:ind w:left="140"/>
              <w:spacing w:after="0"/>
              <w:rPr>
                <w:sz w:val="20"/>
                <w:szCs w:val="20"/>
                <w:color w:val="auto"/>
              </w:rPr>
            </w:pPr>
            <w:r>
              <w:rPr>
                <w:rFonts w:ascii="Calibri" w:cs="Calibri" w:eastAsia="Calibri" w:hAnsi="Calibri"/>
                <w:sz w:val="22"/>
                <w:szCs w:val="22"/>
                <w:color w:val="auto"/>
              </w:rPr>
              <w:t>Miscellaneous Provisions</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0"/>
              </w:rPr>
              <w:t>13</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14.</w:t>
            </w:r>
          </w:p>
        </w:tc>
        <w:tc>
          <w:tcPr>
            <w:tcW w:w="7960" w:type="dxa"/>
            <w:vAlign w:val="bottom"/>
          </w:tcPr>
          <w:p>
            <w:pPr>
              <w:ind w:left="140"/>
              <w:spacing w:after="0"/>
              <w:rPr>
                <w:sz w:val="20"/>
                <w:szCs w:val="20"/>
                <w:color w:val="auto"/>
              </w:rPr>
            </w:pPr>
            <w:r>
              <w:rPr>
                <w:rFonts w:ascii="Calibri" w:cs="Calibri" w:eastAsia="Calibri" w:hAnsi="Calibri"/>
                <w:sz w:val="22"/>
                <w:szCs w:val="22"/>
                <w:color w:val="auto"/>
              </w:rPr>
              <w:t>Compensaton Recovery</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0"/>
              </w:rPr>
              <w:t>14</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15.</w:t>
            </w:r>
          </w:p>
        </w:tc>
        <w:tc>
          <w:tcPr>
            <w:tcW w:w="7960" w:type="dxa"/>
            <w:vAlign w:val="bottom"/>
          </w:tcPr>
          <w:p>
            <w:pPr>
              <w:ind w:left="140"/>
              <w:spacing w:after="0"/>
              <w:rPr>
                <w:sz w:val="20"/>
                <w:szCs w:val="20"/>
                <w:color w:val="auto"/>
              </w:rPr>
            </w:pPr>
            <w:r>
              <w:rPr>
                <w:rFonts w:ascii="Calibri" w:cs="Calibri" w:eastAsia="Calibri" w:hAnsi="Calibri"/>
                <w:sz w:val="22"/>
                <w:szCs w:val="22"/>
                <w:color w:val="auto"/>
              </w:rPr>
              <w:t>Award Subject to Acknowledgement of Acceptance</w:t>
            </w:r>
          </w:p>
        </w:tc>
        <w:tc>
          <w:tcPr>
            <w:tcW w:w="18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0"/>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0900"/>
          </w:cols>
          <w:pgMar w:left="320" w:top="87" w:right="679" w:bottom="1440" w:gutter="0" w:footer="0" w:header="0"/>
        </w:sectPr>
      </w:pPr>
    </w:p>
    <w:bookmarkStart w:id="157" w:name="page158"/>
    <w:bookmarkEnd w:id="157"/>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1.</w:t>
      </w:r>
      <w:r>
        <w:rPr>
          <w:sz w:val="20"/>
          <w:szCs w:val="20"/>
          <w:color w:val="auto"/>
        </w:rPr>
        <w:tab/>
      </w:r>
      <w:r>
        <w:rPr>
          <w:rFonts w:ascii="Calibri" w:cs="Calibri" w:eastAsia="Calibri" w:hAnsi="Calibri"/>
          <w:sz w:val="22"/>
          <w:szCs w:val="22"/>
          <w:color w:val="auto"/>
        </w:rPr>
        <w:t>Grant of Restricted Stock Units</w:t>
      </w:r>
    </w:p>
    <w:p>
      <w:pPr>
        <w:spacing w:after="0" w:line="172" w:lineRule="exact"/>
        <w:rPr>
          <w:sz w:val="20"/>
          <w:szCs w:val="20"/>
          <w:color w:val="auto"/>
        </w:rPr>
      </w:pPr>
    </w:p>
    <w:p>
      <w:pPr>
        <w:jc w:val="both"/>
        <w:ind w:left="500"/>
        <w:spacing w:after="0" w:line="231" w:lineRule="auto"/>
        <w:rPr>
          <w:sz w:val="20"/>
          <w:szCs w:val="20"/>
          <w:color w:val="auto"/>
        </w:rPr>
      </w:pPr>
      <w:r>
        <w:rPr>
          <w:rFonts w:ascii="Arial" w:cs="Arial" w:eastAsia="Arial" w:hAnsi="Arial"/>
          <w:sz w:val="21"/>
          <w:szCs w:val="21"/>
          <w:color w:val="auto"/>
        </w:rPr>
        <w:t xml:space="preserve">Eli Lilly and Company, an Indiana corporation (“Lilly” or the “Company”), has granted to the Eligible Individual who has received this Restricted Stock Unit Award Agreement (the “Grantee”) an award of restricted stock units (the “Restricted Stock Units” or the “Award”) with respect to the number of shares of Lilly Common Stock (the “Shares”) that the Grantee may view by logging on to the Plan administrator’s website at </w:t>
      </w:r>
      <w:r>
        <w:rPr>
          <w:rFonts w:ascii="Arial" w:cs="Arial" w:eastAsia="Arial" w:hAnsi="Arial"/>
          <w:sz w:val="21"/>
          <w:szCs w:val="21"/>
          <w:u w:val="single" w:color="auto"/>
          <w:color w:val="auto"/>
        </w:rPr>
        <w:t>http://myequity.lilly.com</w:t>
      </w:r>
      <w:r>
        <w:rPr>
          <w:rFonts w:ascii="Arial" w:cs="Arial" w:eastAsia="Arial" w:hAnsi="Arial"/>
          <w:sz w:val="21"/>
          <w:szCs w:val="21"/>
          <w:color w:val="auto"/>
        </w:rPr>
        <w:t>.</w:t>
      </w:r>
    </w:p>
    <w:p>
      <w:pPr>
        <w:spacing w:after="0" w:line="150" w:lineRule="exact"/>
        <w:rPr>
          <w:sz w:val="20"/>
          <w:szCs w:val="20"/>
          <w:color w:val="auto"/>
        </w:rPr>
      </w:pPr>
    </w:p>
    <w:p>
      <w:pPr>
        <w:jc w:val="both"/>
        <w:ind w:left="5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Restricted Stock Unit Award Agreement, including all appendices, exhibits and addenda hereto (the “Award Agreement”). In the event of any conflict between the terms of the Plan and this Award Agreement, the terms of the Plan shall govern except with respect to the provisions described in Section 11 below (in which case, the terms of the Award Agreement shall govern).</w:t>
      </w:r>
    </w:p>
    <w:p>
      <w:pPr>
        <w:spacing w:after="0" w:line="152"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2.</w:t>
        <w:tab/>
        <w:t>Vestng</w:t>
      </w:r>
    </w:p>
    <w:p>
      <w:pPr>
        <w:spacing w:after="0" w:line="64" w:lineRule="exact"/>
        <w:rPr>
          <w:sz w:val="20"/>
          <w:szCs w:val="20"/>
          <w:color w:val="auto"/>
        </w:rPr>
      </w:pPr>
    </w:p>
    <w:p>
      <w:pPr>
        <w:ind w:left="1300" w:hanging="644"/>
        <w:spacing w:after="0" w:line="236" w:lineRule="auto"/>
        <w:tabs>
          <w:tab w:leader="none" w:pos="1221" w:val="left"/>
        </w:tabs>
        <w:numPr>
          <w:ilvl w:val="0"/>
          <w:numId w:val="96"/>
        </w:numPr>
        <w:rPr>
          <w:rFonts w:ascii="Arial" w:cs="Arial" w:eastAsia="Arial" w:hAnsi="Arial"/>
          <w:sz w:val="22"/>
          <w:szCs w:val="22"/>
          <w:color w:val="auto"/>
        </w:rPr>
      </w:pPr>
      <w:r>
        <w:rPr>
          <w:rFonts w:ascii="Arial" w:cs="Arial" w:eastAsia="Arial" w:hAnsi="Arial"/>
          <w:sz w:val="22"/>
          <w:szCs w:val="22"/>
          <w:color w:val="auto"/>
        </w:rPr>
        <w:t>For purposes of the vesting provisions set forth in Section 2 of this Award Agreement, the following definitions will apply:</w:t>
      </w:r>
    </w:p>
    <w:p>
      <w:pPr>
        <w:spacing w:after="0" w:line="177" w:lineRule="exact"/>
        <w:rPr>
          <w:rFonts w:ascii="Arial" w:cs="Arial" w:eastAsia="Arial" w:hAnsi="Arial"/>
          <w:sz w:val="22"/>
          <w:szCs w:val="22"/>
          <w:color w:val="auto"/>
        </w:rPr>
      </w:pPr>
    </w:p>
    <w:p>
      <w:pPr>
        <w:ind w:left="1800" w:hanging="334"/>
        <w:spacing w:after="0" w:line="236" w:lineRule="auto"/>
        <w:tabs>
          <w:tab w:leader="none" w:pos="2013" w:val="left"/>
        </w:tabs>
        <w:numPr>
          <w:ilvl w:val="1"/>
          <w:numId w:val="96"/>
        </w:numPr>
        <w:rPr>
          <w:rFonts w:ascii="Arial" w:cs="Arial" w:eastAsia="Arial" w:hAnsi="Arial"/>
          <w:sz w:val="22"/>
          <w:szCs w:val="22"/>
          <w:color w:val="auto"/>
        </w:rPr>
      </w:pPr>
      <w:r>
        <w:rPr>
          <w:rFonts w:ascii="Arial" w:cs="Arial" w:eastAsia="Arial" w:hAnsi="Arial"/>
          <w:sz w:val="22"/>
          <w:szCs w:val="22"/>
          <w:color w:val="auto"/>
        </w:rPr>
        <w:t>“Qualifying Termination” means the termination of the Grantee's Service under any one of the following circumstances:</w:t>
      </w:r>
    </w:p>
    <w:p>
      <w:pPr>
        <w:spacing w:after="0" w:line="177" w:lineRule="exact"/>
        <w:rPr>
          <w:rFonts w:ascii="Arial" w:cs="Arial" w:eastAsia="Arial" w:hAnsi="Arial"/>
          <w:sz w:val="22"/>
          <w:szCs w:val="22"/>
          <w:color w:val="auto"/>
        </w:rPr>
      </w:pPr>
    </w:p>
    <w:p>
      <w:pPr>
        <w:ind w:left="2240" w:hanging="450"/>
        <w:spacing w:after="0"/>
        <w:tabs>
          <w:tab w:leader="none" w:pos="2240" w:val="left"/>
        </w:tabs>
        <w:numPr>
          <w:ilvl w:val="2"/>
          <w:numId w:val="96"/>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206" w:lineRule="exact"/>
        <w:rPr>
          <w:rFonts w:ascii="Arial" w:cs="Arial" w:eastAsia="Arial" w:hAnsi="Arial"/>
          <w:sz w:val="22"/>
          <w:szCs w:val="22"/>
          <w:color w:val="auto"/>
        </w:rPr>
      </w:pPr>
    </w:p>
    <w:p>
      <w:pPr>
        <w:jc w:val="both"/>
        <w:ind w:left="2280" w:hanging="490"/>
        <w:spacing w:after="0" w:line="220" w:lineRule="auto"/>
        <w:tabs>
          <w:tab w:leader="none" w:pos="2362" w:val="left"/>
        </w:tabs>
        <w:numPr>
          <w:ilvl w:val="2"/>
          <w:numId w:val="96"/>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179" w:lineRule="exact"/>
        <w:rPr>
          <w:sz w:val="20"/>
          <w:szCs w:val="20"/>
          <w:color w:val="auto"/>
        </w:rPr>
      </w:pPr>
    </w:p>
    <w:p>
      <w:pPr>
        <w:jc w:val="both"/>
        <w:ind w:left="1800"/>
        <w:spacing w:after="0" w:line="236"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178" w:lineRule="exact"/>
        <w:rPr>
          <w:sz w:val="20"/>
          <w:szCs w:val="20"/>
          <w:color w:val="auto"/>
        </w:rPr>
      </w:pPr>
    </w:p>
    <w:p>
      <w:pPr>
        <w:jc w:val="both"/>
        <w:ind w:left="1800"/>
        <w:spacing w:after="0" w:line="226" w:lineRule="auto"/>
        <w:rPr>
          <w:sz w:val="20"/>
          <w:szCs w:val="20"/>
          <w:color w:val="auto"/>
        </w:rPr>
      </w:pPr>
      <w:r>
        <w:rPr>
          <w:rFonts w:ascii="Arial" w:cs="Arial" w:eastAsia="Arial" w:hAnsi="Arial"/>
          <w:sz w:val="22"/>
          <w:szCs w:val="22"/>
          <w:color w:val="auto"/>
        </w:rPr>
        <w:t>“Reduction in workforce” means the elimination of a work group, functional or business unit or other broadly applicable reduction in job positions that directly results in termination of the Grantee’s Service.</w:t>
      </w:r>
    </w:p>
    <w:p>
      <w:pPr>
        <w:spacing w:after="0" w:line="149" w:lineRule="exact"/>
        <w:rPr>
          <w:sz w:val="20"/>
          <w:szCs w:val="20"/>
          <w:color w:val="auto"/>
        </w:rPr>
      </w:pPr>
    </w:p>
    <w:p>
      <w:pPr>
        <w:ind w:left="1300" w:hanging="644"/>
        <w:spacing w:after="0" w:line="236" w:lineRule="auto"/>
        <w:tabs>
          <w:tab w:leader="none" w:pos="1223"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Award shall vest at the close of business in Indianapolis, Indiana, U.S.A. on the earliest of the following dates (each, a “Vesting Date”):</w:t>
      </w:r>
    </w:p>
    <w:p>
      <w:pPr>
        <w:spacing w:after="0" w:line="150" w:lineRule="exact"/>
        <w:rPr>
          <w:rFonts w:ascii="Arial" w:cs="Arial" w:eastAsia="Arial" w:hAnsi="Arial"/>
          <w:sz w:val="22"/>
          <w:szCs w:val="22"/>
          <w:color w:val="auto"/>
        </w:rPr>
      </w:pPr>
    </w:p>
    <w:p>
      <w:pPr>
        <w:ind w:left="1800" w:right="640" w:hanging="334"/>
        <w:spacing w:after="0" w:line="236" w:lineRule="auto"/>
        <w:tabs>
          <w:tab w:leader="none" w:pos="2044" w:val="left"/>
        </w:tabs>
        <w:numPr>
          <w:ilvl w:val="1"/>
          <w:numId w:val="97"/>
        </w:numPr>
        <w:rPr>
          <w:rFonts w:ascii="Times New Roman" w:cs="Times New Roman" w:eastAsia="Times New Roman" w:hAnsi="Times New Roman"/>
          <w:sz w:val="22"/>
          <w:szCs w:val="22"/>
          <w:color w:val="auto"/>
        </w:rPr>
      </w:pPr>
      <w:r>
        <w:rPr>
          <w:rFonts w:ascii="Arial" w:cs="Arial" w:eastAsia="Arial" w:hAnsi="Arial"/>
          <w:sz w:val="22"/>
          <w:szCs w:val="22"/>
          <w:color w:val="auto"/>
        </w:rPr>
        <w:t>[•], provided the Grantee is still in active Service on the Vesting Date, subject to any alternative date(s) set forth in any appendix attached hereto (the “Appendix”),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87" w:right="339" w:bottom="1440" w:gutter="0" w:footer="0" w:header="0"/>
        </w:sectPr>
      </w:pPr>
    </w:p>
    <w:bookmarkStart w:id="158" w:name="page159"/>
    <w:bookmarkEnd w:id="158"/>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40" w:hanging="474"/>
        <w:spacing w:after="0"/>
        <w:tabs>
          <w:tab w:leader="none" w:pos="1940" w:val="left"/>
        </w:tabs>
        <w:numPr>
          <w:ilvl w:val="0"/>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the date the Grantee’s Service is terminated due to the Grantee’s death, or</w:t>
      </w:r>
    </w:p>
    <w:p>
      <w:pPr>
        <w:spacing w:after="0" w:line="313" w:lineRule="exact"/>
        <w:rPr>
          <w:rFonts w:ascii="Times New Roman" w:cs="Times New Roman" w:eastAsia="Times New Roman" w:hAnsi="Times New Roman"/>
          <w:sz w:val="22"/>
          <w:szCs w:val="22"/>
          <w:color w:val="auto"/>
        </w:rPr>
      </w:pPr>
    </w:p>
    <w:p>
      <w:pPr>
        <w:jc w:val="both"/>
        <w:ind w:left="1800" w:right="640" w:hanging="334"/>
        <w:spacing w:after="0" w:line="220" w:lineRule="auto"/>
        <w:tabs>
          <w:tab w:leader="none" w:pos="2056" w:val="left"/>
        </w:tabs>
        <w:numPr>
          <w:ilvl w:val="0"/>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the date the Grantee is subject to a Qualifying Termination, in which case the number of Restricted Stock Units that shall vest shall be reduced proportionally for the portion of the total days between the Grant Date and the Vesting Date specified in 2(b)(i) that the Grantee was not in active Service.</w:t>
      </w:r>
    </w:p>
    <w:p>
      <w:pPr>
        <w:spacing w:after="0" w:line="179"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Committee’s determination as to whether (A) the Grantee’s Service has been terminated as a direct result of either a plant closing or a reduction in workforce, (B) the Grantee’s Service has been terminated as a result of the failure to locate a position within the Company or an Affiliate following reallocation, including reallocation due to the Grantee’s inability to continue to work due to medical reasons, and (C) a transfer of employment between Lilly and an Affiliate or between Affiliates constitutes a termination of Service shall be final and binding on the Grantee.</w:t>
      </w:r>
    </w:p>
    <w:p>
      <w:pPr>
        <w:spacing w:after="0" w:line="179" w:lineRule="exact"/>
        <w:rPr>
          <w:sz w:val="20"/>
          <w:szCs w:val="20"/>
          <w:color w:val="auto"/>
        </w:rPr>
      </w:pPr>
    </w:p>
    <w:p>
      <w:pPr>
        <w:ind w:left="1300" w:hanging="644"/>
        <w:spacing w:after="0" w:line="226" w:lineRule="auto"/>
        <w:tabs>
          <w:tab w:leader="none" w:pos="10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the event the Grantee's Service with the Company or an Affiliate is terminated prior to a Vesting Date for any reason or in any circumstance other than those specified in Sections 2(b)(ii) or 2(b)(iii), any unvested portion of the Award will be forfeited.</w:t>
      </w:r>
    </w:p>
    <w:p>
      <w:pPr>
        <w:spacing w:after="0" w:line="176" w:lineRule="exact"/>
        <w:rPr>
          <w:rFonts w:ascii="Arial" w:cs="Arial" w:eastAsia="Arial" w:hAnsi="Arial"/>
          <w:sz w:val="22"/>
          <w:szCs w:val="22"/>
          <w:color w:val="auto"/>
        </w:rPr>
      </w:pPr>
    </w:p>
    <w:p>
      <w:pPr>
        <w:ind w:left="1300" w:hanging="644"/>
        <w:spacing w:after="0" w:line="215" w:lineRule="auto"/>
        <w:tabs>
          <w:tab w:leader="none" w:pos="1138"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Committee may, at its discretion, cancel the Award or reduce the number of Restricted Stock Units and any accrued Dividend Equivalent Rights, prorated according to time or other measure as deemed appropriate by the Committee, if at any time prior to the Vesting Date,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12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3.</w:t>
      </w:r>
      <w:r>
        <w:rPr>
          <w:sz w:val="20"/>
          <w:szCs w:val="20"/>
          <w:color w:val="auto"/>
        </w:rPr>
        <w:tab/>
      </w:r>
      <w:r>
        <w:rPr>
          <w:rFonts w:ascii="Calibri" w:cs="Calibri" w:eastAsia="Calibri" w:hAnsi="Calibri"/>
          <w:sz w:val="25"/>
          <w:szCs w:val="25"/>
          <w:color w:val="auto"/>
        </w:rPr>
        <w:t>Change in Control</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06" w:lineRule="exact"/>
        <w:rPr>
          <w:sz w:val="20"/>
          <w:szCs w:val="20"/>
          <w:color w:val="auto"/>
        </w:rPr>
      </w:pPr>
    </w:p>
    <w:p>
      <w:pPr>
        <w:jc w:val="both"/>
        <w:ind w:left="1300" w:hanging="644"/>
        <w:spacing w:after="0" w:line="226" w:lineRule="auto"/>
        <w:tabs>
          <w:tab w:leader="none" w:pos="128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3 shall be the consummation of a merger, share exchange, or consolidation of the Company, as defined in Section 2.6(c) of the Plan (a “Transaction”).</w:t>
      </w:r>
    </w:p>
    <w:p>
      <w:pPr>
        <w:spacing w:after="0" w:line="176" w:lineRule="exact"/>
        <w:rPr>
          <w:rFonts w:ascii="Arial" w:cs="Arial" w:eastAsia="Arial" w:hAnsi="Arial"/>
          <w:sz w:val="22"/>
          <w:szCs w:val="22"/>
          <w:color w:val="auto"/>
        </w:rPr>
      </w:pPr>
    </w:p>
    <w:p>
      <w:pPr>
        <w:ind w:left="1300" w:hanging="644"/>
        <w:spacing w:after="0" w:line="226" w:lineRule="auto"/>
        <w:tabs>
          <w:tab w:leader="none" w:pos="109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the event that the Award is not converted, assumed, substituted, continued or replaced by a successor or surviving corporation, or a parent or subsidiary thereof, in connection with a Transaction, then immediately prior to the Transaction, the Award shall vest automatically in full.</w:t>
      </w:r>
    </w:p>
    <w:p>
      <w:pPr>
        <w:spacing w:after="0" w:line="176" w:lineRule="exact"/>
        <w:rPr>
          <w:rFonts w:ascii="Arial" w:cs="Arial" w:eastAsia="Arial" w:hAnsi="Arial"/>
          <w:sz w:val="22"/>
          <w:szCs w:val="22"/>
          <w:color w:val="auto"/>
        </w:rPr>
      </w:pPr>
    </w:p>
    <w:p>
      <w:pPr>
        <w:ind w:left="1300" w:hanging="644"/>
        <w:spacing w:after="0" w:line="220" w:lineRule="auto"/>
        <w:tabs>
          <w:tab w:leader="none" w:pos="111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the event that the Award is converted, assumed, substituted, continued or replaced by a successor or surviving corporation, or a parent or subsidiary thereof, in connection with a Transaction and the Grantee is subject to a Covered Termination (as defined below) prior to any applicable Vesting Date, the Award shall vest automatically in full.</w:t>
      </w:r>
    </w:p>
    <w:p>
      <w:pPr>
        <w:spacing w:after="0" w:line="179"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For purposes of this provision, “Covered Termination” shall mean a termination of Service as described in Sections 2(b)(ii) and 2(b)(iii), Grantee’s termination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85" w:right="339" w:bottom="1440" w:gutter="0" w:footer="0" w:header="0"/>
        </w:sectPr>
      </w:pPr>
    </w:p>
    <w:bookmarkStart w:id="159" w:name="page160"/>
    <w:bookmarkEnd w:id="159"/>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without Cause or the Grantee’s resignation for Good Reason. “Cause” and “Good Reason” shall have the meanings ascribed to them in the Eli Lilly and Company 2007 Change in Control Severance Pay Plan for Select Employees, as amended, restated, or superseded from time to time.</w:t>
      </w:r>
    </w:p>
    <w:p>
      <w:pPr>
        <w:spacing w:after="0" w:line="176" w:lineRule="exact"/>
        <w:rPr>
          <w:sz w:val="20"/>
          <w:szCs w:val="20"/>
          <w:color w:val="auto"/>
        </w:rPr>
      </w:pPr>
    </w:p>
    <w:p>
      <w:pPr>
        <w:ind w:left="1300" w:hanging="644"/>
        <w:spacing w:after="0" w:line="220" w:lineRule="auto"/>
        <w:tabs>
          <w:tab w:leader="none" w:pos="107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3, then references to Shares in this Award Agreement shall be read to mean stock of the successor or surviving corporation, or a parent or subsidiary thereof, as and when applicable.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4.</w:t>
        <w:tab/>
        <w:t>Setlement</w:t>
      </w:r>
    </w:p>
    <w:p>
      <w:pPr>
        <w:spacing w:after="0" w:line="64" w:lineRule="exact"/>
        <w:rPr>
          <w:sz w:val="20"/>
          <w:szCs w:val="20"/>
          <w:color w:val="auto"/>
        </w:rPr>
      </w:pPr>
    </w:p>
    <w:p>
      <w:pPr>
        <w:ind w:left="1300" w:hanging="644"/>
        <w:spacing w:after="0" w:line="226" w:lineRule="auto"/>
        <w:tabs>
          <w:tab w:leader="none" w:pos="113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and generally within sixty (60) days following the applicable Vesting Date, or, if earlier, a vesting event contemplated under the Section 3 above.</w:t>
      </w:r>
    </w:p>
    <w:p>
      <w:pPr>
        <w:spacing w:after="0" w:line="176" w:lineRule="exact"/>
        <w:rPr>
          <w:rFonts w:ascii="Arial" w:cs="Arial" w:eastAsia="Arial" w:hAnsi="Arial"/>
          <w:sz w:val="22"/>
          <w:szCs w:val="22"/>
          <w:color w:val="auto"/>
        </w:rPr>
      </w:pPr>
    </w:p>
    <w:p>
      <w:pPr>
        <w:ind w:left="1300" w:hanging="644"/>
        <w:spacing w:after="0" w:line="236" w:lineRule="auto"/>
        <w:tabs>
          <w:tab w:leader="none" w:pos="111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At such time, Lilly shall issue or transfer Shares to the Grantee. In the event the Grantee is entitled to a fractional Share, the fraction may be paid in cash or rounded, in the Committee’s discretion.</w:t>
      </w:r>
    </w:p>
    <w:p>
      <w:pPr>
        <w:spacing w:after="0" w:line="177" w:lineRule="exact"/>
        <w:rPr>
          <w:rFonts w:ascii="Arial" w:cs="Arial" w:eastAsia="Arial" w:hAnsi="Arial"/>
          <w:sz w:val="22"/>
          <w:szCs w:val="22"/>
          <w:color w:val="auto"/>
        </w:rPr>
      </w:pPr>
    </w:p>
    <w:p>
      <w:pPr>
        <w:ind w:left="1300" w:right="20" w:hanging="644"/>
        <w:spacing w:after="0" w:line="236" w:lineRule="auto"/>
        <w:tabs>
          <w:tab w:leader="none" w:pos="106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43" w:lineRule="exact"/>
        <w:rPr>
          <w:sz w:val="20"/>
          <w:szCs w:val="20"/>
          <w:color w:val="auto"/>
        </w:rPr>
      </w:pPr>
    </w:p>
    <w:p>
      <w:pPr>
        <w:ind w:left="420"/>
        <w:spacing w:after="0"/>
        <w:tabs>
          <w:tab w:leader="none" w:pos="1520" w:val="left"/>
        </w:tabs>
        <w:rPr>
          <w:sz w:val="20"/>
          <w:szCs w:val="20"/>
          <w:color w:val="auto"/>
        </w:rPr>
      </w:pPr>
      <w:r>
        <w:rPr>
          <w:rFonts w:ascii="Calibri" w:cs="Calibri" w:eastAsia="Calibri" w:hAnsi="Calibri"/>
          <w:sz w:val="23"/>
          <w:szCs w:val="23"/>
          <w:color w:val="auto"/>
        </w:rPr>
        <w:t>Secton 5.</w:t>
      </w:r>
      <w:r>
        <w:rPr>
          <w:sz w:val="20"/>
          <w:szCs w:val="20"/>
          <w:color w:val="auto"/>
        </w:rPr>
        <w:tab/>
      </w:r>
      <w:r>
        <w:rPr>
          <w:rFonts w:ascii="Calibri" w:cs="Calibri" w:eastAsia="Calibri" w:hAnsi="Calibri"/>
          <w:sz w:val="22"/>
          <w:szCs w:val="22"/>
          <w:color w:val="auto"/>
        </w:rPr>
        <w:t>Rights of the Grantee</w:t>
      </w:r>
    </w:p>
    <w:p>
      <w:pPr>
        <w:spacing w:after="0" w:line="64" w:lineRule="exact"/>
        <w:rPr>
          <w:sz w:val="20"/>
          <w:szCs w:val="20"/>
          <w:color w:val="auto"/>
        </w:rPr>
      </w:pPr>
    </w:p>
    <w:p>
      <w:pPr>
        <w:jc w:val="both"/>
        <w:ind w:left="1300" w:hanging="644"/>
        <w:spacing w:after="0" w:line="226" w:lineRule="auto"/>
        <w:tabs>
          <w:tab w:leader="none" w:pos="128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Restricted Stock Units do not entitle the Grantee to any rights of a shareholder of Lilly until such time as the Restricted Stock Units vest and Shares are issued or transferred to the Grantee.</w:t>
      </w:r>
    </w:p>
    <w:p>
      <w:pPr>
        <w:spacing w:after="0" w:line="41" w:lineRule="exact"/>
        <w:rPr>
          <w:rFonts w:ascii="Arial" w:cs="Arial" w:eastAsia="Arial" w:hAnsi="Arial"/>
          <w:sz w:val="22"/>
          <w:szCs w:val="22"/>
          <w:color w:val="auto"/>
        </w:rPr>
      </w:pPr>
    </w:p>
    <w:p>
      <w:pPr>
        <w:ind w:left="1300" w:hanging="644"/>
        <w:spacing w:after="0" w:line="209" w:lineRule="auto"/>
        <w:tabs>
          <w:tab w:leader="none" w:pos="109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As long as the Grantee holds Restricted Stock Units granted pursuant to this Award, the Company shall accrue for the Grantee, on each date that the Company pays a cash dividend to holders of Company Shares, Dividend Equivalent Rights equal to the total number of Restricted Stock Units credited to the Grantee under this Award multiplied by the dollar amount of the cash dividend paid per Share by the Company on such date. Dividend Equivalent Rights shall accrue in an account denominated in U.S. dollars and shall not accrue interest or other credits prior to being paid. A report showing the accrued Dividend Equivalent Rights shall be sent to the Grantee periodically, as determined by the Company. The accrued Dividend Equivalent Rights shall be subject to the same vesting conditions as the Restricted Stock Units to which the Dividend Equivalent Rights relate, and the Dividend Equivalent Rights shall be forfeited in the event that the Restricted Stock Units with respect to which such Dividend Equivalent Rights were credited are forfeited. Following the applicable Vesting Date, Lilly shall pay to the Grantee in cash all accrued Dividend Equivalent Rights in accordance with Section 4 above.</w:t>
      </w:r>
    </w:p>
    <w:p>
      <w:pPr>
        <w:spacing w:after="0" w:line="187" w:lineRule="exact"/>
        <w:rPr>
          <w:rFonts w:ascii="Arial" w:cs="Arial" w:eastAsia="Arial" w:hAnsi="Arial"/>
          <w:sz w:val="22"/>
          <w:szCs w:val="22"/>
          <w:color w:val="auto"/>
        </w:rPr>
      </w:pPr>
    </w:p>
    <w:p>
      <w:pPr>
        <w:ind w:left="1300" w:hanging="644"/>
        <w:spacing w:after="0" w:line="220" w:lineRule="auto"/>
        <w:tabs>
          <w:tab w:leader="none" w:pos="111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Shares pursuant to this Award Agreement shall be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40"/>
          </w:cols>
          <w:pgMar w:left="320" w:top="85" w:right="339" w:bottom="1440" w:gutter="0" w:footer="0" w:header="0"/>
        </w:sectPr>
      </w:pPr>
    </w:p>
    <w:bookmarkStart w:id="160" w:name="page161"/>
    <w:bookmarkEnd w:id="160"/>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6.</w:t>
      </w:r>
      <w:r>
        <w:rPr>
          <w:sz w:val="20"/>
          <w:szCs w:val="20"/>
          <w:color w:val="auto"/>
        </w:rPr>
        <w:tab/>
      </w:r>
      <w:r>
        <w:rPr>
          <w:rFonts w:ascii="Calibri" w:cs="Calibri" w:eastAsia="Calibri" w:hAnsi="Calibri"/>
          <w:sz w:val="22"/>
          <w:szCs w:val="22"/>
          <w:color w:val="auto"/>
        </w:rPr>
        <w:t>Prohibiton Against Transfer</w:t>
      </w:r>
    </w:p>
    <w:p>
      <w:pPr>
        <w:spacing w:after="0" w:line="64" w:lineRule="exact"/>
        <w:rPr>
          <w:sz w:val="20"/>
          <w:szCs w:val="20"/>
          <w:color w:val="auto"/>
        </w:rPr>
      </w:pPr>
    </w:p>
    <w:p>
      <w:pPr>
        <w:jc w:val="both"/>
        <w:ind w:left="500"/>
        <w:spacing w:after="0" w:line="228" w:lineRule="auto"/>
        <w:rPr>
          <w:sz w:val="20"/>
          <w:szCs w:val="20"/>
          <w:color w:val="auto"/>
        </w:rPr>
      </w:pPr>
      <w:r>
        <w:rPr>
          <w:rFonts w:ascii="Arial" w:cs="Arial" w:eastAsia="Arial" w:hAnsi="Arial"/>
          <w:sz w:val="21"/>
          <w:szCs w:val="21"/>
          <w:color w:val="auto"/>
        </w:rPr>
        <w:t>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42"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7.</w:t>
      </w:r>
      <w:r>
        <w:rPr>
          <w:sz w:val="20"/>
          <w:szCs w:val="20"/>
          <w:color w:val="auto"/>
        </w:rPr>
        <w:tab/>
      </w:r>
      <w:r>
        <w:rPr>
          <w:rFonts w:ascii="Calibri" w:cs="Calibri" w:eastAsia="Calibri" w:hAnsi="Calibri"/>
          <w:sz w:val="22"/>
          <w:szCs w:val="22"/>
          <w:color w:val="auto"/>
        </w:rPr>
        <w:t>Responsibility for Taxes</w:t>
      </w:r>
    </w:p>
    <w:p>
      <w:pPr>
        <w:spacing w:after="0" w:line="10" w:lineRule="exact"/>
        <w:rPr>
          <w:sz w:val="20"/>
          <w:szCs w:val="20"/>
          <w:color w:val="auto"/>
        </w:rPr>
      </w:pPr>
    </w:p>
    <w:p>
      <w:pPr>
        <w:ind w:left="1300" w:hanging="644"/>
        <w:spacing w:after="0" w:line="208" w:lineRule="auto"/>
        <w:tabs>
          <w:tab w:leader="none" w:pos="112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Restricted Stock Units, the accrual of Dividend Equivalent Rights, the vesting of the Restricted Stock Units and the lapse of restrictions, the transfer and issuance of any Shares, the receipt of any cash payment pursuant to the Award and/or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187" w:lineRule="exact"/>
        <w:rPr>
          <w:rFonts w:ascii="Arial" w:cs="Arial" w:eastAsia="Arial" w:hAnsi="Arial"/>
          <w:sz w:val="22"/>
          <w:szCs w:val="22"/>
          <w:color w:val="auto"/>
        </w:rPr>
      </w:pPr>
    </w:p>
    <w:p>
      <w:pPr>
        <w:ind w:left="1300" w:hanging="644"/>
        <w:spacing w:after="0" w:line="236" w:lineRule="auto"/>
        <w:tabs>
          <w:tab w:leader="none" w:pos="119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177" w:lineRule="exact"/>
        <w:rPr>
          <w:rFonts w:ascii="Arial" w:cs="Arial" w:eastAsia="Arial" w:hAnsi="Arial"/>
          <w:sz w:val="22"/>
          <w:szCs w:val="22"/>
          <w:color w:val="auto"/>
        </w:rPr>
      </w:pPr>
    </w:p>
    <w:p>
      <w:pPr>
        <w:jc w:val="both"/>
        <w:ind w:left="1960" w:hanging="494"/>
        <w:spacing w:after="0" w:line="215" w:lineRule="auto"/>
        <w:tabs>
          <w:tab w:leader="none" w:pos="1976"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In the case of Dividend Equivalent Rights paid to the Grantee and if the Restricted Stock Units are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79" w:lineRule="exact"/>
        <w:rPr>
          <w:rFonts w:ascii="Arial" w:cs="Arial" w:eastAsia="Arial" w:hAnsi="Arial"/>
          <w:sz w:val="22"/>
          <w:szCs w:val="22"/>
          <w:color w:val="auto"/>
        </w:rPr>
      </w:pPr>
    </w:p>
    <w:p>
      <w:pPr>
        <w:jc w:val="both"/>
        <w:ind w:left="1960" w:hanging="494"/>
        <w:spacing w:after="0" w:line="214" w:lineRule="auto"/>
        <w:tabs>
          <w:tab w:leader="none" w:pos="198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6</w:t>
      </w:r>
    </w:p>
    <w:p>
      <w:pPr>
        <w:sectPr>
          <w:pgSz w:w="11900" w:h="16838" w:orient="portrait"/>
          <w:cols w:equalWidth="0" w:num="1">
            <w:col w:w="11240"/>
          </w:cols>
          <w:pgMar w:left="320" w:top="85" w:right="339" w:bottom="1440" w:gutter="0" w:footer="0" w:header="0"/>
        </w:sectPr>
      </w:pPr>
    </w:p>
    <w:bookmarkStart w:id="161" w:name="page162"/>
    <w:bookmarkEnd w:id="161"/>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960"/>
        <w:spacing w:after="0" w:line="217" w:lineRule="auto"/>
        <w:rPr>
          <w:sz w:val="20"/>
          <w:szCs w:val="20"/>
          <w:color w:val="auto"/>
        </w:rPr>
      </w:pPr>
      <w:r>
        <w:rPr>
          <w:rFonts w:ascii="Arial" w:cs="Arial" w:eastAsia="Arial" w:hAnsi="Arial"/>
          <w:sz w:val="22"/>
          <w:szCs w:val="22"/>
          <w:color w:val="auto"/>
        </w:rPr>
        <w:t>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179" w:lineRule="exact"/>
        <w:rPr>
          <w:sz w:val="20"/>
          <w:szCs w:val="20"/>
          <w:color w:val="auto"/>
        </w:rPr>
      </w:pPr>
    </w:p>
    <w:p>
      <w:pPr>
        <w:jc w:val="both"/>
        <w:ind w:left="1960" w:hanging="494"/>
        <w:spacing w:after="0" w:line="215" w:lineRule="auto"/>
        <w:tabs>
          <w:tab w:leader="none" w:pos="202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7(b)(ii)(A) and (B) above.</w:t>
      </w:r>
    </w:p>
    <w:p>
      <w:pPr>
        <w:spacing w:after="0" w:line="179" w:lineRule="exact"/>
        <w:rPr>
          <w:rFonts w:ascii="Arial" w:cs="Arial" w:eastAsia="Arial" w:hAnsi="Arial"/>
          <w:sz w:val="22"/>
          <w:szCs w:val="22"/>
          <w:color w:val="auto"/>
        </w:rPr>
      </w:pPr>
    </w:p>
    <w:p>
      <w:pPr>
        <w:ind w:left="1300" w:hanging="644"/>
        <w:spacing w:after="0" w:line="212" w:lineRule="auto"/>
        <w:tabs>
          <w:tab w:leader="none" w:pos="109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which case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183" w:lineRule="exact"/>
        <w:rPr>
          <w:rFonts w:ascii="Arial" w:cs="Arial" w:eastAsia="Arial" w:hAnsi="Arial"/>
          <w:sz w:val="22"/>
          <w:szCs w:val="22"/>
          <w:color w:val="auto"/>
        </w:rPr>
      </w:pPr>
    </w:p>
    <w:p>
      <w:pPr>
        <w:ind w:left="1300" w:hanging="644"/>
        <w:spacing w:after="0" w:line="217" w:lineRule="auto"/>
        <w:tabs>
          <w:tab w:leader="none" w:pos="11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or any cash payment to the Grantee if the Grantee fails to comply with the Grantee’s obligation in connection with the Tax Related Items as described in this Section 7.</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8.</w:t>
        <w:tab/>
        <w:t>Secton 409A Compliance</w:t>
      </w:r>
    </w:p>
    <w:p>
      <w:pPr>
        <w:spacing w:after="0" w:line="10" w:lineRule="exact"/>
        <w:rPr>
          <w:sz w:val="20"/>
          <w:szCs w:val="20"/>
          <w:color w:val="auto"/>
        </w:rPr>
      </w:pPr>
    </w:p>
    <w:p>
      <w:pPr>
        <w:jc w:val="both"/>
        <w:ind w:left="500"/>
        <w:spacing w:after="0" w:line="220"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9.</w:t>
      </w:r>
      <w:r>
        <w:rPr>
          <w:sz w:val="20"/>
          <w:szCs w:val="20"/>
          <w:color w:val="auto"/>
        </w:rPr>
        <w:tab/>
      </w:r>
      <w:r>
        <w:rPr>
          <w:rFonts w:ascii="Calibri" w:cs="Calibri" w:eastAsia="Calibri" w:hAnsi="Calibri"/>
          <w:sz w:val="22"/>
          <w:szCs w:val="22"/>
          <w:color w:val="auto"/>
        </w:rPr>
        <w:t>Grantee’s Acknowledgement</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206" w:lineRule="exact"/>
        <w:rPr>
          <w:sz w:val="20"/>
          <w:szCs w:val="20"/>
          <w:color w:val="auto"/>
        </w:rPr>
      </w:pPr>
    </w:p>
    <w:p>
      <w:pPr>
        <w:ind w:left="1300" w:right="20" w:hanging="644"/>
        <w:spacing w:after="0" w:line="236" w:lineRule="auto"/>
        <w:tabs>
          <w:tab w:leader="none" w:pos="113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150" w:lineRule="exact"/>
        <w:rPr>
          <w:rFonts w:ascii="Arial" w:cs="Arial" w:eastAsia="Arial" w:hAnsi="Arial"/>
          <w:sz w:val="22"/>
          <w:szCs w:val="22"/>
          <w:color w:val="auto"/>
        </w:rPr>
      </w:pPr>
    </w:p>
    <w:p>
      <w:pPr>
        <w:ind w:left="1300" w:hanging="644"/>
        <w:spacing w:after="0" w:line="226" w:lineRule="auto"/>
        <w:tabs>
          <w:tab w:leader="none" w:pos="11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of Restricted Stock Units and/or Dividend Equivalent Rights, or benefits in lieu thereof, even if Restricted Stock Units and/or Dividend Equivalent Rights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85" w:right="339" w:bottom="1440" w:gutter="0" w:footer="0" w:header="0"/>
        </w:sectPr>
      </w:pPr>
    </w:p>
    <w:bookmarkStart w:id="162" w:name="page163"/>
    <w:bookmarkEnd w:id="162"/>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00" w:hanging="644"/>
        <w:spacing w:after="0" w:line="236" w:lineRule="auto"/>
        <w:tabs>
          <w:tab w:leader="none" w:pos="111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all decisions with respect to future awards of Restricted Stock Units, Dividend Equivalent Rights or other awards, if any, will be at the sole discretion of the Committee;</w:t>
      </w:r>
    </w:p>
    <w:p>
      <w:pPr>
        <w:spacing w:after="0" w:line="150" w:lineRule="exact"/>
        <w:rPr>
          <w:rFonts w:ascii="Arial" w:cs="Arial" w:eastAsia="Arial" w:hAnsi="Arial"/>
          <w:sz w:val="22"/>
          <w:szCs w:val="22"/>
          <w:color w:val="auto"/>
        </w:rPr>
      </w:pPr>
    </w:p>
    <w:p>
      <w:pPr>
        <w:ind w:left="1080" w:hanging="424"/>
        <w:spacing w:after="0"/>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179" w:lineRule="exact"/>
        <w:rPr>
          <w:rFonts w:ascii="Arial" w:cs="Arial" w:eastAsia="Arial" w:hAnsi="Arial"/>
          <w:sz w:val="22"/>
          <w:szCs w:val="22"/>
          <w:color w:val="auto"/>
        </w:rPr>
      </w:pPr>
    </w:p>
    <w:p>
      <w:pPr>
        <w:ind w:left="1300" w:hanging="644"/>
        <w:spacing w:after="0" w:line="236" w:lineRule="auto"/>
        <w:tabs>
          <w:tab w:leader="none" w:pos="12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150" w:lineRule="exact"/>
        <w:rPr>
          <w:rFonts w:ascii="Arial" w:cs="Arial" w:eastAsia="Arial" w:hAnsi="Arial"/>
          <w:sz w:val="22"/>
          <w:szCs w:val="22"/>
          <w:color w:val="auto"/>
        </w:rPr>
      </w:pPr>
    </w:p>
    <w:p>
      <w:pPr>
        <w:ind w:left="1300" w:hanging="644"/>
        <w:spacing w:after="0" w:line="217" w:lineRule="auto"/>
        <w:tabs>
          <w:tab w:leader="none" w:pos="102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52" w:lineRule="exact"/>
        <w:rPr>
          <w:rFonts w:ascii="Arial" w:cs="Arial" w:eastAsia="Arial" w:hAnsi="Arial"/>
          <w:sz w:val="22"/>
          <w:szCs w:val="22"/>
          <w:color w:val="auto"/>
        </w:rPr>
      </w:pPr>
    </w:p>
    <w:p>
      <w:pPr>
        <w:ind w:left="1300" w:hanging="644"/>
        <w:spacing w:after="0" w:line="226" w:lineRule="auto"/>
        <w:tabs>
          <w:tab w:leader="none" w:pos="112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149" w:lineRule="exact"/>
        <w:rPr>
          <w:rFonts w:ascii="Arial" w:cs="Arial" w:eastAsia="Arial" w:hAnsi="Arial"/>
          <w:sz w:val="22"/>
          <w:szCs w:val="22"/>
          <w:color w:val="auto"/>
        </w:rPr>
      </w:pPr>
    </w:p>
    <w:p>
      <w:pPr>
        <w:ind w:left="1300" w:hanging="644"/>
        <w:spacing w:after="0" w:line="231" w:lineRule="auto"/>
        <w:tabs>
          <w:tab w:leader="none" w:pos="108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50" w:lineRule="exact"/>
        <w:rPr>
          <w:rFonts w:ascii="Arial" w:cs="Arial" w:eastAsia="Arial" w:hAnsi="Arial"/>
          <w:sz w:val="21"/>
          <w:szCs w:val="21"/>
          <w:color w:val="auto"/>
        </w:rPr>
      </w:pPr>
    </w:p>
    <w:p>
      <w:pPr>
        <w:ind w:left="1300" w:hanging="644"/>
        <w:spacing w:after="0" w:line="236" w:lineRule="auto"/>
        <w:tabs>
          <w:tab w:leader="none" w:pos="118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150" w:lineRule="exact"/>
        <w:rPr>
          <w:rFonts w:ascii="Arial" w:cs="Arial" w:eastAsia="Arial" w:hAnsi="Arial"/>
          <w:sz w:val="22"/>
          <w:szCs w:val="22"/>
          <w:color w:val="auto"/>
        </w:rPr>
      </w:pPr>
    </w:p>
    <w:p>
      <w:pPr>
        <w:ind w:left="1300" w:hanging="644"/>
        <w:spacing w:after="0" w:line="215" w:lineRule="auto"/>
        <w:tabs>
          <w:tab w:leader="none" w:pos="101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acquired under the Plan or proceeds therefrom resulting from (i) the application of a clawback policy described in Section 14 of this Agreement or required by law or (ii)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52" w:lineRule="exact"/>
        <w:rPr>
          <w:rFonts w:ascii="Arial" w:cs="Arial" w:eastAsia="Arial" w:hAnsi="Arial"/>
          <w:sz w:val="22"/>
          <w:szCs w:val="22"/>
          <w:color w:val="auto"/>
        </w:rPr>
      </w:pPr>
    </w:p>
    <w:p>
      <w:pPr>
        <w:ind w:left="1300" w:hanging="644"/>
        <w:spacing w:after="0" w:line="210" w:lineRule="auto"/>
        <w:tabs>
          <w:tab w:leader="none" w:pos="111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40"/>
          </w:cols>
          <w:pgMar w:left="320" w:top="85" w:right="339" w:bottom="1440" w:gutter="0" w:footer="0" w:header="0"/>
        </w:sectPr>
      </w:pPr>
    </w:p>
    <w:bookmarkStart w:id="163" w:name="page164"/>
    <w:bookmarkEnd w:id="163"/>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no longer actively providing services for purposes of the Award (including whether the Grantee may still be considered to be actively providing services while on a leave of absence);</w:t>
      </w:r>
    </w:p>
    <w:p>
      <w:pPr>
        <w:spacing w:after="0" w:line="151" w:lineRule="exact"/>
        <w:rPr>
          <w:sz w:val="20"/>
          <w:szCs w:val="20"/>
          <w:color w:val="auto"/>
        </w:rPr>
      </w:pPr>
    </w:p>
    <w:p>
      <w:pPr>
        <w:ind w:left="1300" w:hanging="644"/>
        <w:spacing w:after="0" w:line="236" w:lineRule="auto"/>
        <w:tabs>
          <w:tab w:leader="none" w:pos="103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w:t>
      </w:r>
    </w:p>
    <w:p>
      <w:pPr>
        <w:spacing w:after="0" w:line="150" w:lineRule="exact"/>
        <w:rPr>
          <w:rFonts w:ascii="Arial" w:cs="Arial" w:eastAsia="Arial" w:hAnsi="Arial"/>
          <w:sz w:val="22"/>
          <w:szCs w:val="22"/>
          <w:color w:val="auto"/>
        </w:rPr>
      </w:pPr>
    </w:p>
    <w:p>
      <w:pPr>
        <w:ind w:left="1300" w:hanging="644"/>
        <w:spacing w:after="0" w:line="226" w:lineRule="auto"/>
        <w:tabs>
          <w:tab w:leader="none" w:pos="116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149" w:lineRule="exact"/>
        <w:rPr>
          <w:rFonts w:ascii="Arial" w:cs="Arial" w:eastAsia="Arial" w:hAnsi="Arial"/>
          <w:sz w:val="22"/>
          <w:szCs w:val="22"/>
          <w:color w:val="auto"/>
        </w:rPr>
      </w:pPr>
    </w:p>
    <w:p>
      <w:pPr>
        <w:ind w:left="1300" w:hanging="644"/>
        <w:spacing w:after="0" w:line="220" w:lineRule="auto"/>
        <w:tabs>
          <w:tab w:leader="none" w:pos="114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152" w:lineRule="exact"/>
        <w:rPr>
          <w:rFonts w:ascii="Arial" w:cs="Arial" w:eastAsia="Arial" w:hAnsi="Arial"/>
          <w:sz w:val="22"/>
          <w:szCs w:val="22"/>
          <w:color w:val="auto"/>
        </w:rPr>
      </w:pPr>
    </w:p>
    <w:p>
      <w:pPr>
        <w:jc w:val="both"/>
        <w:ind w:left="1300" w:hanging="644"/>
        <w:spacing w:after="0" w:line="220" w:lineRule="auto"/>
        <w:tabs>
          <w:tab w:leader="none" w:pos="12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10.</w:t>
        <w:tab/>
        <w:t>Data Privacy</w:t>
      </w:r>
    </w:p>
    <w:p>
      <w:pPr>
        <w:spacing w:after="0" w:line="10" w:lineRule="exact"/>
        <w:rPr>
          <w:sz w:val="20"/>
          <w:szCs w:val="20"/>
          <w:color w:val="auto"/>
        </w:rPr>
      </w:pPr>
    </w:p>
    <w:p>
      <w:pPr>
        <w:jc w:val="both"/>
        <w:ind w:left="1300" w:hanging="644"/>
        <w:spacing w:after="0" w:line="210" w:lineRule="auto"/>
        <w:tabs>
          <w:tab w:leader="none" w:pos="1248" w:val="left"/>
        </w:tabs>
        <w:numPr>
          <w:ilvl w:val="0"/>
          <w:numId w:val="11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Restricted Share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178" w:lineRule="exact"/>
        <w:rPr>
          <w:rFonts w:ascii="Arial" w:cs="Arial" w:eastAsia="Arial" w:hAnsi="Arial"/>
          <w:sz w:val="22"/>
          <w:szCs w:val="22"/>
          <w:i w:val="1"/>
          <w:iCs w:val="1"/>
          <w:color w:val="auto"/>
        </w:rPr>
      </w:pPr>
    </w:p>
    <w:p>
      <w:pPr>
        <w:ind w:left="1300" w:hanging="644"/>
        <w:spacing w:after="0" w:line="211" w:lineRule="auto"/>
        <w:tabs>
          <w:tab w:leader="none" w:pos="1194" w:val="left"/>
        </w:tabs>
        <w:numPr>
          <w:ilvl w:val="0"/>
          <w:numId w:val="11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40"/>
          </w:cols>
          <w:pgMar w:left="320" w:top="85" w:right="339" w:bottom="1440" w:gutter="0" w:footer="0" w:header="0"/>
        </w:sectPr>
      </w:pPr>
    </w:p>
    <w:bookmarkStart w:id="164" w:name="page165"/>
    <w:bookmarkEnd w:id="164"/>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hanging="644"/>
        <w:spacing w:after="0" w:line="237" w:lineRule="auto"/>
        <w:tabs>
          <w:tab w:leader="none" w:pos="1087" w:val="left"/>
        </w:tabs>
        <w:numPr>
          <w:ilvl w:val="0"/>
          <w:numId w:val="111"/>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175" w:lineRule="exact"/>
        <w:rPr>
          <w:rFonts w:ascii="Arial" w:cs="Arial" w:eastAsia="Arial" w:hAnsi="Arial"/>
          <w:sz w:val="21"/>
          <w:szCs w:val="21"/>
          <w:i w:val="1"/>
          <w:iCs w:val="1"/>
          <w:color w:val="auto"/>
        </w:rPr>
      </w:pPr>
    </w:p>
    <w:p>
      <w:pPr>
        <w:ind w:left="1300" w:hanging="644"/>
        <w:spacing w:after="0" w:line="226" w:lineRule="auto"/>
        <w:tabs>
          <w:tab w:leader="none" w:pos="1180" w:val="left"/>
        </w:tabs>
        <w:numPr>
          <w:ilvl w:val="0"/>
          <w:numId w:val="11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76" w:lineRule="exact"/>
        <w:rPr>
          <w:rFonts w:ascii="Arial" w:cs="Arial" w:eastAsia="Arial" w:hAnsi="Arial"/>
          <w:sz w:val="22"/>
          <w:szCs w:val="22"/>
          <w:i w:val="1"/>
          <w:iCs w:val="1"/>
          <w:color w:val="auto"/>
        </w:rPr>
      </w:pPr>
    </w:p>
    <w:p>
      <w:pPr>
        <w:ind w:left="1300" w:hanging="644"/>
        <w:spacing w:after="0" w:line="215" w:lineRule="auto"/>
        <w:tabs>
          <w:tab w:leader="none" w:pos="1126" w:val="left"/>
        </w:tabs>
        <w:numPr>
          <w:ilvl w:val="0"/>
          <w:numId w:val="11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179" w:lineRule="exact"/>
        <w:rPr>
          <w:rFonts w:ascii="Arial" w:cs="Arial" w:eastAsia="Arial" w:hAnsi="Arial"/>
          <w:sz w:val="22"/>
          <w:szCs w:val="22"/>
          <w:i w:val="1"/>
          <w:iCs w:val="1"/>
          <w:color w:val="auto"/>
        </w:rPr>
      </w:pPr>
    </w:p>
    <w:p>
      <w:pPr>
        <w:ind w:left="1300" w:hanging="644"/>
        <w:spacing w:after="0" w:line="208" w:lineRule="auto"/>
        <w:tabs>
          <w:tab w:leader="none" w:pos="1080" w:val="left"/>
        </w:tabs>
        <w:numPr>
          <w:ilvl w:val="0"/>
          <w:numId w:val="11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187" w:lineRule="exact"/>
        <w:rPr>
          <w:rFonts w:ascii="Arial" w:cs="Arial" w:eastAsia="Arial" w:hAnsi="Arial"/>
          <w:sz w:val="22"/>
          <w:szCs w:val="22"/>
          <w:i w:val="1"/>
          <w:iCs w:val="1"/>
          <w:color w:val="auto"/>
        </w:rPr>
      </w:pPr>
    </w:p>
    <w:p>
      <w:pPr>
        <w:jc w:val="both"/>
        <w:ind w:left="1300" w:hanging="644"/>
        <w:spacing w:after="0" w:line="215" w:lineRule="auto"/>
        <w:tabs>
          <w:tab w:leader="none" w:pos="1275" w:val="left"/>
        </w:tabs>
        <w:numPr>
          <w:ilvl w:val="0"/>
          <w:numId w:val="11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offer an adequate level of protection from a European (or other non-U.S.) data protection law perspective, for the purposes described above.</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11.</w:t>
        <w:tab/>
        <w:t>Restrictve Covenants, Remedies, and Additonal Terms and Conditons</w:t>
      </w:r>
    </w:p>
    <w:p>
      <w:pPr>
        <w:spacing w:after="0" w:line="172" w:lineRule="exact"/>
        <w:rPr>
          <w:sz w:val="20"/>
          <w:szCs w:val="20"/>
          <w:color w:val="auto"/>
        </w:rPr>
      </w:pPr>
    </w:p>
    <w:p>
      <w:pPr>
        <w:ind w:left="1300" w:hanging="644"/>
        <w:spacing w:after="0" w:line="237" w:lineRule="auto"/>
        <w:tabs>
          <w:tab w:leader="none" w:pos="1221"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240"/>
          </w:cols>
          <w:pgMar w:left="320" w:top="87" w:right="339" w:bottom="1440" w:gutter="0" w:footer="0" w:header="0"/>
        </w:sectPr>
      </w:pPr>
    </w:p>
    <w:bookmarkStart w:id="165" w:name="page166"/>
    <w:bookmarkEnd w:id="165"/>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right="20"/>
        <w:spacing w:after="0" w:line="236" w:lineRule="auto"/>
        <w:rPr>
          <w:sz w:val="20"/>
          <w:szCs w:val="20"/>
          <w:color w:val="auto"/>
        </w:rPr>
      </w:pPr>
      <w:r>
        <w:rPr>
          <w:rFonts w:ascii="Arial" w:cs="Arial" w:eastAsia="Arial" w:hAnsi="Arial"/>
          <w:sz w:val="22"/>
          <w:szCs w:val="22"/>
          <w:color w:val="auto"/>
        </w:rPr>
        <w:t>immediately following the end of the Grantee’s employment (regardless of reason), the Grantee will not directly or indirectly, on a worldwide basis, engage in any of the following activities:</w:t>
      </w:r>
    </w:p>
    <w:p>
      <w:pPr>
        <w:spacing w:after="0" w:line="151" w:lineRule="exact"/>
        <w:rPr>
          <w:sz w:val="20"/>
          <w:szCs w:val="20"/>
          <w:color w:val="auto"/>
        </w:rPr>
      </w:pPr>
    </w:p>
    <w:p>
      <w:pPr>
        <w:jc w:val="both"/>
        <w:ind w:left="1960" w:hanging="494"/>
        <w:spacing w:after="0" w:line="215" w:lineRule="auto"/>
        <w:tabs>
          <w:tab w:leader="none" w:pos="19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152" w:lineRule="exact"/>
        <w:rPr>
          <w:rFonts w:ascii="Arial" w:cs="Arial" w:eastAsia="Arial" w:hAnsi="Arial"/>
          <w:sz w:val="22"/>
          <w:szCs w:val="22"/>
          <w:color w:val="auto"/>
        </w:rPr>
      </w:pPr>
    </w:p>
    <w:p>
      <w:pPr>
        <w:jc w:val="both"/>
        <w:ind w:left="1960" w:hanging="494"/>
        <w:spacing w:after="0" w:line="214" w:lineRule="auto"/>
        <w:tabs>
          <w:tab w:leader="none" w:pos="202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149"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151"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of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152" w:lineRule="exact"/>
        <w:rPr>
          <w:sz w:val="20"/>
          <w:szCs w:val="20"/>
          <w:color w:val="auto"/>
        </w:rPr>
      </w:pPr>
    </w:p>
    <w:p>
      <w:pPr>
        <w:jc w:val="both"/>
        <w:ind w:left="1300"/>
        <w:spacing w:after="0" w:line="220"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(i) absent the restrictions, the Grantee could utilize Lilly’s (or its Affiliates) trade secrets and/or confidential information and compete with Lilly or Affiliate from virtually anywhere; and (ii) such scope is the only way for Lilly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40"/>
          </w:cols>
          <w:pgMar w:left="320" w:top="87" w:right="339" w:bottom="1440" w:gutter="0" w:footer="0" w:header="0"/>
        </w:sectPr>
      </w:pPr>
    </w:p>
    <w:bookmarkStart w:id="166" w:name="page167"/>
    <w:bookmarkEnd w:id="166"/>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149"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twelve-month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156" w:lineRule="exact"/>
        <w:rPr>
          <w:sz w:val="20"/>
          <w:szCs w:val="20"/>
          <w:color w:val="auto"/>
        </w:rPr>
      </w:pPr>
    </w:p>
    <w:p>
      <w:pPr>
        <w:jc w:val="both"/>
        <w:ind w:left="1300"/>
        <w:spacing w:after="0" w:line="223" w:lineRule="auto"/>
        <w:rPr>
          <w:sz w:val="20"/>
          <w:szCs w:val="20"/>
          <w:color w:val="auto"/>
        </w:rPr>
      </w:pPr>
      <w:r>
        <w:rPr>
          <w:rFonts w:ascii="Arial" w:cs="Arial" w:eastAsia="Arial" w:hAnsi="Arial"/>
          <w:sz w:val="21"/>
          <w:szCs w:val="21"/>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within this Award Agreement, such covenant or provision will automatically be deemed reformed so that the contested covenant or provision will have the closest effect permitted by applicable law to the original form and will be given effect and enforced as so reformed to whatever would be reasonable and extent enforceable under applicable law. Any court interpreting any restrictive covenant provision of this Award Agreement will, if necessary, reform any such provision to make it enforceable under applicable law.</w:t>
      </w:r>
    </w:p>
    <w:p>
      <w:pPr>
        <w:spacing w:after="0" w:line="149"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in the past, including those in the Grantee’s Employee Confidentiality and Invention Agreement and any other Non-Compete Payment Agreement entered into between Grantee and Lilly, each of which remains in full force and effect, or that the Grantee agrees in the future.</w:t>
      </w:r>
    </w:p>
    <w:p>
      <w:pPr>
        <w:spacing w:after="0" w:line="149"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provide adequate relief for such injury. As a result, the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12</w:t>
      </w:r>
    </w:p>
    <w:p>
      <w:pPr>
        <w:sectPr>
          <w:pgSz w:w="11900" w:h="16838" w:orient="portrait"/>
          <w:cols w:equalWidth="0" w:num="1">
            <w:col w:w="11240"/>
          </w:cols>
          <w:pgMar w:left="320" w:top="87" w:right="339" w:bottom="1440" w:gutter="0" w:footer="0" w:header="0"/>
        </w:sectPr>
      </w:pPr>
    </w:p>
    <w:bookmarkStart w:id="167" w:name="page168"/>
    <w:bookmarkEnd w:id="167"/>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hanging="644"/>
        <w:spacing w:after="0" w:line="214" w:lineRule="auto"/>
        <w:tabs>
          <w:tab w:leader="none" w:pos="118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11,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11 shall not be Lilly’s (or any third-party beneficiary’s) exclusive remedies. Lilly reserves all other rights and remedies available to it at law or in equity.</w:t>
      </w:r>
    </w:p>
    <w:p>
      <w:pPr>
        <w:spacing w:after="0" w:line="149" w:lineRule="exact"/>
        <w:rPr>
          <w:rFonts w:ascii="Arial" w:cs="Arial" w:eastAsia="Arial" w:hAnsi="Arial"/>
          <w:sz w:val="22"/>
          <w:szCs w:val="22"/>
          <w:color w:val="auto"/>
        </w:rPr>
      </w:pPr>
    </w:p>
    <w:p>
      <w:pPr>
        <w:ind w:left="1300" w:hanging="644"/>
        <w:spacing w:after="0" w:line="210" w:lineRule="auto"/>
        <w:tabs>
          <w:tab w:leader="none" w:pos="1139" w:val="left"/>
        </w:tabs>
        <w:numPr>
          <w:ilvl w:val="0"/>
          <w:numId w:val="114"/>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Insider Trading/Market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48" w:lineRule="exact"/>
        <w:rPr>
          <w:rFonts w:ascii="Times New Roman" w:cs="Times New Roman" w:eastAsia="Times New Roman" w:hAnsi="Times New Roman"/>
          <w:sz w:val="22"/>
          <w:szCs w:val="22"/>
          <w:color w:val="auto"/>
        </w:rPr>
      </w:pPr>
    </w:p>
    <w:p>
      <w:pPr>
        <w:ind w:left="1300" w:hanging="644"/>
        <w:spacing w:after="0" w:line="212" w:lineRule="auto"/>
        <w:tabs>
          <w:tab w:leader="none" w:pos="1113"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12.</w:t>
      </w:r>
      <w:r>
        <w:rPr>
          <w:sz w:val="20"/>
          <w:szCs w:val="20"/>
          <w:color w:val="auto"/>
        </w:rPr>
        <w:tab/>
      </w:r>
      <w:r>
        <w:rPr>
          <w:rFonts w:ascii="Calibri" w:cs="Calibri" w:eastAsia="Calibri" w:hAnsi="Calibri"/>
          <w:sz w:val="22"/>
          <w:szCs w:val="22"/>
          <w:color w:val="auto"/>
        </w:rPr>
        <w:t>Governing Law and Choice of Venue</w:t>
      </w:r>
    </w:p>
    <w:p>
      <w:pPr>
        <w:spacing w:after="0" w:line="64" w:lineRule="exact"/>
        <w:rPr>
          <w:sz w:val="20"/>
          <w:szCs w:val="20"/>
          <w:color w:val="auto"/>
        </w:rPr>
      </w:pPr>
    </w:p>
    <w:p>
      <w:pPr>
        <w:jc w:val="both"/>
        <w:ind w:left="500"/>
        <w:spacing w:after="0" w:line="212"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Award is granted and/or to be performed.</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13.</w:t>
        <w:tab/>
        <w:t>Miscellaneous Provisions</w:t>
      </w:r>
    </w:p>
    <w:p>
      <w:pPr>
        <w:spacing w:after="0" w:line="64" w:lineRule="exact"/>
        <w:rPr>
          <w:sz w:val="20"/>
          <w:szCs w:val="20"/>
          <w:color w:val="auto"/>
        </w:rPr>
      </w:pPr>
    </w:p>
    <w:p>
      <w:pPr>
        <w:ind w:left="1300" w:hanging="644"/>
        <w:spacing w:after="0" w:line="231" w:lineRule="auto"/>
        <w:tabs>
          <w:tab w:leader="none" w:pos="1167"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13</w:t>
      </w:r>
    </w:p>
    <w:p>
      <w:pPr>
        <w:sectPr>
          <w:pgSz w:w="11900" w:h="16838" w:orient="portrait"/>
          <w:cols w:equalWidth="0" w:num="1">
            <w:col w:w="11240"/>
          </w:cols>
          <w:pgMar w:left="320" w:top="87" w:right="339" w:bottom="1440" w:gutter="0" w:footer="0" w:header="0"/>
        </w:sectPr>
      </w:pPr>
    </w:p>
    <w:bookmarkStart w:id="168" w:name="page169"/>
    <w:bookmarkEnd w:id="168"/>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300"/>
        <w:spacing w:after="0" w:line="224" w:lineRule="auto"/>
        <w:rPr>
          <w:sz w:val="20"/>
          <w:szCs w:val="20"/>
          <w:color w:val="auto"/>
        </w:rPr>
      </w:pPr>
      <w:r>
        <w:rPr>
          <w:rFonts w:ascii="Arial" w:cs="Arial" w:eastAsia="Arial" w:hAnsi="Arial"/>
          <w:sz w:val="21"/>
          <w:szCs w:val="21"/>
          <w:color w:val="auto"/>
        </w:rPr>
        <w:t>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2" w:lineRule="exact"/>
        <w:rPr>
          <w:sz w:val="20"/>
          <w:szCs w:val="20"/>
          <w:color w:val="auto"/>
        </w:rPr>
      </w:pPr>
    </w:p>
    <w:p>
      <w:pPr>
        <w:jc w:val="both"/>
        <w:ind w:left="1300" w:hanging="644"/>
        <w:spacing w:after="0" w:line="215" w:lineRule="auto"/>
        <w:tabs>
          <w:tab w:leader="none" w:pos="124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44" w:lineRule="exact"/>
        <w:rPr>
          <w:rFonts w:ascii="Arial" w:cs="Arial" w:eastAsia="Arial" w:hAnsi="Arial"/>
          <w:sz w:val="22"/>
          <w:szCs w:val="22"/>
          <w:color w:val="auto"/>
        </w:rPr>
      </w:pPr>
    </w:p>
    <w:p>
      <w:pPr>
        <w:ind w:left="1300" w:hanging="644"/>
        <w:spacing w:after="0" w:line="230" w:lineRule="auto"/>
        <w:tabs>
          <w:tab w:leader="none" w:pos="1087"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5" w:lineRule="exact"/>
        <w:rPr>
          <w:rFonts w:ascii="Arial" w:cs="Arial" w:eastAsia="Arial" w:hAnsi="Arial"/>
          <w:sz w:val="22"/>
          <w:szCs w:val="22"/>
          <w:color w:val="auto"/>
        </w:rPr>
      </w:pPr>
    </w:p>
    <w:p>
      <w:pPr>
        <w:ind w:left="1300" w:hanging="644"/>
        <w:spacing w:after="0" w:line="214" w:lineRule="auto"/>
        <w:tabs>
          <w:tab w:leader="none" w:pos="108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176"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151" w:lineRule="exact"/>
        <w:rPr>
          <w:sz w:val="20"/>
          <w:szCs w:val="20"/>
          <w:color w:val="auto"/>
        </w:rPr>
      </w:pPr>
    </w:p>
    <w:p>
      <w:pPr>
        <w:ind w:left="1300" w:hanging="644"/>
        <w:spacing w:after="0" w:line="217" w:lineRule="auto"/>
        <w:tabs>
          <w:tab w:leader="none" w:pos="1099"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14.</w:t>
        <w:tab/>
        <w:t>Compensaton Recovery</w:t>
      </w:r>
    </w:p>
    <w:p>
      <w:pPr>
        <w:spacing w:after="0" w:line="186" w:lineRule="exact"/>
        <w:rPr>
          <w:sz w:val="20"/>
          <w:szCs w:val="20"/>
          <w:color w:val="auto"/>
        </w:rPr>
      </w:pPr>
    </w:p>
    <w:p>
      <w:pPr>
        <w:ind w:left="1300" w:hanging="644"/>
        <w:spacing w:after="0" w:line="214" w:lineRule="auto"/>
        <w:tabs>
          <w:tab w:leader="none" w:pos="110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40"/>
          </w:cols>
          <w:pgMar w:left="320" w:top="87" w:right="339" w:bottom="1440" w:gutter="0" w:footer="0" w:header="0"/>
        </w:sectPr>
      </w:pPr>
    </w:p>
    <w:bookmarkStart w:id="169" w:name="page170"/>
    <w:bookmarkEnd w:id="169"/>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hanging="644"/>
        <w:spacing w:after="0" w:line="220" w:lineRule="auto"/>
        <w:tabs>
          <w:tab w:leader="none" w:pos="107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152" w:lineRule="exact"/>
        <w:rPr>
          <w:rFonts w:ascii="Arial" w:cs="Arial" w:eastAsia="Arial" w:hAnsi="Arial"/>
          <w:sz w:val="22"/>
          <w:szCs w:val="22"/>
          <w:color w:val="auto"/>
        </w:rPr>
      </w:pPr>
    </w:p>
    <w:p>
      <w:pPr>
        <w:jc w:val="both"/>
        <w:ind w:left="1960" w:hanging="332"/>
        <w:spacing w:after="0" w:line="214" w:lineRule="auto"/>
        <w:tabs>
          <w:tab w:leader="none" w:pos="2035"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149" w:lineRule="exact"/>
        <w:rPr>
          <w:rFonts w:ascii="Arial" w:cs="Arial" w:eastAsia="Arial" w:hAnsi="Arial"/>
          <w:sz w:val="22"/>
          <w:szCs w:val="22"/>
          <w:color w:val="auto"/>
        </w:rPr>
      </w:pPr>
    </w:p>
    <w:p>
      <w:pPr>
        <w:jc w:val="both"/>
        <w:ind w:left="1960" w:hanging="332"/>
        <w:spacing w:after="0" w:line="220" w:lineRule="auto"/>
        <w:tabs>
          <w:tab w:leader="none" w:pos="2128"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152" w:lineRule="exact"/>
        <w:rPr>
          <w:sz w:val="20"/>
          <w:szCs w:val="20"/>
          <w:color w:val="auto"/>
        </w:rPr>
      </w:pPr>
    </w:p>
    <w:p>
      <w:pPr>
        <w:jc w:val="both"/>
        <w:ind w:left="1300"/>
        <w:spacing w:after="0" w:line="223"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149" w:lineRule="exact"/>
        <w:rPr>
          <w:sz w:val="20"/>
          <w:szCs w:val="20"/>
          <w:color w:val="auto"/>
        </w:rPr>
      </w:pPr>
    </w:p>
    <w:p>
      <w:pPr>
        <w:ind w:left="1300" w:hanging="644"/>
        <w:spacing w:after="0" w:line="217" w:lineRule="auto"/>
        <w:tabs>
          <w:tab w:leader="none" w:pos="119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Award to re-convey, transfer or otherwise return such Shares and/or other amounts to the Company upon the Company’s enforcement of this Section 14.</w:t>
      </w:r>
    </w:p>
    <w:p>
      <w:pPr>
        <w:spacing w:after="0" w:line="152" w:lineRule="exact"/>
        <w:rPr>
          <w:rFonts w:ascii="Arial" w:cs="Arial" w:eastAsia="Arial" w:hAnsi="Arial"/>
          <w:sz w:val="22"/>
          <w:szCs w:val="22"/>
          <w:color w:val="auto"/>
        </w:rPr>
      </w:pPr>
    </w:p>
    <w:p>
      <w:pPr>
        <w:ind w:left="1300" w:hanging="644"/>
        <w:spacing w:after="0" w:line="226" w:lineRule="auto"/>
        <w:tabs>
          <w:tab w:leader="none" w:pos="10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This Section 14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15</w:t>
      </w:r>
    </w:p>
    <w:p>
      <w:pPr>
        <w:sectPr>
          <w:pgSz w:w="11900" w:h="16838" w:orient="portrait"/>
          <w:cols w:equalWidth="0" w:num="1">
            <w:col w:w="11240"/>
          </w:cols>
          <w:pgMar w:left="320" w:top="87" w:right="339" w:bottom="1440" w:gutter="0" w:footer="0" w:header="0"/>
        </w:sectPr>
      </w:pPr>
    </w:p>
    <w:bookmarkStart w:id="170" w:name="page171"/>
    <w:bookmarkEnd w:id="170"/>
    <w:p>
      <w:pPr>
        <w:spacing w:after="0"/>
        <w:rPr>
          <w:sz w:val="20"/>
          <w:szCs w:val="20"/>
          <w:color w:val="auto"/>
        </w:rPr>
      </w:pPr>
      <w:r>
        <w:rPr>
          <w:rFonts w:ascii="Calibri" w:cs="Calibri" w:eastAsia="Calibri" w:hAnsi="Calibri"/>
          <w:sz w:val="22"/>
          <w:szCs w:val="22"/>
          <w:color w:val="auto"/>
        </w:rPr>
        <w:t>Eli Lilly and Company Restricted Stock Unit Award Agreement (for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15.</w:t>
      </w:r>
      <w:r>
        <w:rPr>
          <w:sz w:val="20"/>
          <w:szCs w:val="20"/>
          <w:color w:val="auto"/>
        </w:rPr>
        <w:tab/>
      </w:r>
      <w:r>
        <w:rPr>
          <w:rFonts w:ascii="Calibri" w:cs="Calibri" w:eastAsia="Calibri" w:hAnsi="Calibri"/>
          <w:sz w:val="22"/>
          <w:szCs w:val="22"/>
          <w:color w:val="auto"/>
        </w:rPr>
        <w:t>Award Subject to Acknowledgement of Acceptance</w:t>
      </w:r>
    </w:p>
    <w:p>
      <w:pPr>
        <w:spacing w:after="0" w:line="64"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179"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0" w:lineRule="exact"/>
        <w:rPr>
          <w:sz w:val="20"/>
          <w:szCs w:val="20"/>
          <w:color w:val="auto"/>
        </w:rPr>
      </w:pPr>
    </w:p>
    <w:p>
      <w:pPr>
        <w:spacing w:after="0" w:line="2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16</w:t>
      </w:r>
    </w:p>
    <w:p>
      <w:pPr>
        <w:sectPr>
          <w:pgSz w:w="11900" w:h="16838" w:orient="portrait"/>
          <w:cols w:equalWidth="0" w:num="1">
            <w:col w:w="11240"/>
          </w:cols>
          <w:pgMar w:left="320" w:top="8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b w:val="1"/>
          <w:bCs w:val="1"/>
          <w:color w:val="auto"/>
        </w:rPr>
        <w:t>Exhibit 10.10 2007 Change in Control Severance Plan for Select Employees, as amended</w:t>
      </w:r>
    </w:p>
    <w:p>
      <w:pPr>
        <w:spacing w:after="0" w:line="2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ELI LILLY AND COMPANY</w:t>
      </w:r>
    </w:p>
    <w:p>
      <w:pPr>
        <w:spacing w:after="0" w:line="19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2007 CHANGE IN CONTROL SEVERANCE PAY PLAN</w:t>
      </w:r>
    </w:p>
    <w:p>
      <w:pPr>
        <w:jc w:val="center"/>
        <w:ind w:right="-39"/>
        <w:spacing w:after="0" w:line="207" w:lineRule="auto"/>
        <w:rPr>
          <w:sz w:val="20"/>
          <w:szCs w:val="20"/>
          <w:color w:val="auto"/>
        </w:rPr>
      </w:pPr>
      <w:r>
        <w:rPr>
          <w:rFonts w:ascii="Times New Roman" w:cs="Times New Roman" w:eastAsia="Times New Roman" w:hAnsi="Times New Roman"/>
          <w:sz w:val="22"/>
          <w:szCs w:val="22"/>
          <w:b w:val="1"/>
          <w:bCs w:val="1"/>
          <w:color w:val="auto"/>
        </w:rPr>
        <w:t>FOR SELECT EMPLOYEES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As Amended Effective January 1, 2024</w:t>
      </w:r>
    </w:p>
    <w:p>
      <w:pPr>
        <w:spacing w:after="0" w:line="200" w:lineRule="exact"/>
        <w:rPr>
          <w:sz w:val="20"/>
          <w:szCs w:val="20"/>
          <w:color w:val="auto"/>
        </w:rPr>
      </w:pPr>
    </w:p>
    <w:p>
      <w:pPr>
        <w:spacing w:after="0" w:line="228" w:lineRule="exact"/>
        <w:rPr>
          <w:sz w:val="20"/>
          <w:szCs w:val="20"/>
          <w:color w:val="auto"/>
        </w:rPr>
      </w:pPr>
    </w:p>
    <w:p>
      <w:pPr>
        <w:ind w:left="600" w:hanging="376"/>
        <w:spacing w:after="0"/>
        <w:tabs>
          <w:tab w:leader="none" w:pos="60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1"/>
          <w:szCs w:val="21"/>
          <w:color w:val="auto"/>
        </w:rPr>
        <w:t>This Eli Lilly and Company 2007 Change in Control Severance Pay Plan For Select Employees has been established by the Company to provide for the payment of severance pay and benefits to Eligible Employees whose employment with a Participating Employer terminates due to certain conditions created by a Change in Control of the Company. The purpose of the Plan is to assure continuity in operations of the Company during a period of Change in Control by allowing employees to focus on their responsibilities to the Company knowing that they have certain financial security in the event of their termination of employment. The accomplishment of this purpose is in the best interests of the Company and its shareholders. The Plan replaces the Change in Control Severance Pay Plan for Select Employees that was originally adopted by the Board on March 1, 1995, and became operative immediately upon the expiration of such plan with respect to a Change in Control occurring on or after March 1, 2007. The Plan as amended by action of the Board of Directors of the Company on October 18, 2010 became effective on October 18, 2012. The Plan as amended by action of the Board of Directors of the Company on December 11, 2017 shall become effective on January 1, 2018. The Plan as amended by action of the Board of Directors of the Company, or its designee, on December 11, 2023 shall become effective on January 1, 2024, except as otherwise required under Section 15.</w:t>
      </w:r>
    </w:p>
    <w:p>
      <w:pPr>
        <w:spacing w:after="0" w:line="200" w:lineRule="exact"/>
        <w:rPr>
          <w:sz w:val="20"/>
          <w:szCs w:val="20"/>
          <w:color w:val="auto"/>
        </w:rPr>
      </w:pPr>
    </w:p>
    <w:p>
      <w:pPr>
        <w:spacing w:after="0" w:line="218" w:lineRule="exact"/>
        <w:rPr>
          <w:sz w:val="20"/>
          <w:szCs w:val="20"/>
          <w:color w:val="auto"/>
        </w:rPr>
      </w:pPr>
    </w:p>
    <w:p>
      <w:pPr>
        <w:ind w:left="600" w:hanging="376"/>
        <w:spacing w:after="0"/>
        <w:tabs>
          <w:tab w:leader="none" w:pos="60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terms defined in this Section 2 shall have the meanings given below:</w:t>
      </w:r>
    </w:p>
    <w:p>
      <w:pPr>
        <w:spacing w:after="0" w:line="206" w:lineRule="exact"/>
        <w:rPr>
          <w:sz w:val="20"/>
          <w:szCs w:val="20"/>
          <w:color w:val="auto"/>
        </w:rPr>
      </w:pPr>
    </w:p>
    <w:p>
      <w:pPr>
        <w:ind w:firstLine="224"/>
        <w:spacing w:after="0" w:line="236" w:lineRule="auto"/>
        <w:tabs>
          <w:tab w:leader="none" w:pos="67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means an Eligible Employee's gross annualized rate of base salary at the time of any determination hereunder, before any deductions, exclusions or any deferrals or contributions under any Participating Employer plan or program, but excluding bonuses, incentive awards or compensation, employee benefits or any other non-salary form of compensation.</w:t>
      </w:r>
    </w:p>
    <w:p>
      <w:pPr>
        <w:spacing w:after="0" w:line="178" w:lineRule="exact"/>
        <w:rPr>
          <w:rFonts w:ascii="Times New Roman" w:cs="Times New Roman" w:eastAsia="Times New Roman" w:hAnsi="Times New Roman"/>
          <w:sz w:val="21"/>
          <w:szCs w:val="21"/>
          <w:color w:val="auto"/>
        </w:rPr>
      </w:pPr>
    </w:p>
    <w:p>
      <w:pPr>
        <w:ind w:left="700" w:hanging="476"/>
        <w:spacing w:after="0"/>
        <w:tabs>
          <w:tab w:leader="none" w:pos="70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means the Board of Directors of the Company or any successor of the Company following a Change in Control.</w:t>
      </w:r>
    </w:p>
    <w:p>
      <w:pPr>
        <w:spacing w:after="0" w:line="217" w:lineRule="exact"/>
        <w:rPr>
          <w:rFonts w:ascii="Times New Roman" w:cs="Times New Roman" w:eastAsia="Times New Roman" w:hAnsi="Times New Roman"/>
          <w:sz w:val="21"/>
          <w:szCs w:val="21"/>
          <w:color w:val="auto"/>
        </w:rPr>
      </w:pPr>
    </w:p>
    <w:p>
      <w:pPr>
        <w:ind w:left="680" w:hanging="456"/>
        <w:spacing w:after="0"/>
        <w:tabs>
          <w:tab w:leader="none" w:pos="6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has the meaning given in Section 3.</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w:t>
      </w:r>
    </w:p>
    <w:p>
      <w:pPr>
        <w:spacing w:after="0" w:line="206" w:lineRule="exact"/>
        <w:rPr>
          <w:rFonts w:ascii="Times New Roman" w:cs="Times New Roman" w:eastAsia="Times New Roman" w:hAnsi="Times New Roman"/>
          <w:sz w:val="22"/>
          <w:szCs w:val="22"/>
          <w:color w:val="auto"/>
        </w:rPr>
      </w:pPr>
    </w:p>
    <w:p>
      <w:pPr>
        <w:ind w:right="280" w:firstLine="224"/>
        <w:spacing w:after="0" w:line="215" w:lineRule="auto"/>
        <w:tabs>
          <w:tab w:leader="none" w:pos="67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Talent and Compensation Committee of the Board, or such other committee appointed by the Board to perform the functions of the Committee under the Plan, provided that at all times the Committee shall be constituted solely of directors who are Continuing Directors (as defined in Section 3) to the extent any such directors remain on the Board and are willing to serve in such capacity. Notwithstanding the foregoing, subsequent to the occurrence of a Change in Control, Committee means any committee appointed by the Board of an entity that is the Company’s successor, or, if no committee is appointed, the Board of the entity that is the Company’s successor.</w:t>
      </w:r>
    </w:p>
    <w:p>
      <w:pPr>
        <w:sectPr>
          <w:pgSz w:w="11900" w:h="16838" w:orient="portrait"/>
          <w:cols w:equalWidth="0" w:num="1">
            <w:col w:w="11220"/>
          </w:cols>
          <w:pgMar w:left="320" w:top="1391" w:right="359" w:bottom="1440" w:gutter="0" w:footer="0" w:header="0"/>
        </w:sectPr>
      </w:pPr>
    </w:p>
    <w:bookmarkStart w:id="172" w:name="page173"/>
    <w:bookmarkEnd w:id="172"/>
    <w:p>
      <w:pPr>
        <w:spacing w:after="0" w:line="198" w:lineRule="exact"/>
        <w:rPr>
          <w:sz w:val="20"/>
          <w:szCs w:val="20"/>
          <w:color w:val="auto"/>
        </w:rPr>
      </w:pPr>
    </w:p>
    <w:p>
      <w:pPr>
        <w:ind w:left="660" w:hanging="436"/>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Eli Lilly and Company, an Indiana corporation.</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Termination" has the meaning given in Section 6.</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Employee" has the meaning given in Section 5.</w:t>
      </w:r>
    </w:p>
    <w:p>
      <w:pPr>
        <w:spacing w:after="0" w:line="206" w:lineRule="exact"/>
        <w:rPr>
          <w:rFonts w:ascii="Times New Roman" w:cs="Times New Roman" w:eastAsia="Times New Roman" w:hAnsi="Times New Roman"/>
          <w:sz w:val="22"/>
          <w:szCs w:val="22"/>
          <w:color w:val="auto"/>
        </w:rPr>
      </w:pPr>
    </w:p>
    <w:p>
      <w:pPr>
        <w:ind w:left="640" w:hanging="416"/>
        <w:spacing w:after="0"/>
        <w:tabs>
          <w:tab w:leader="none" w:pos="6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 means the Employee Retirement Income Security Act of 1974, as amended.</w:t>
      </w:r>
    </w:p>
    <w:p>
      <w:pPr>
        <w:spacing w:after="0" w:line="206" w:lineRule="exact"/>
        <w:rPr>
          <w:rFonts w:ascii="Times New Roman" w:cs="Times New Roman" w:eastAsia="Times New Roman" w:hAnsi="Times New Roman"/>
          <w:sz w:val="22"/>
          <w:szCs w:val="22"/>
          <w:color w:val="auto"/>
        </w:rPr>
      </w:pPr>
    </w:p>
    <w:p>
      <w:pPr>
        <w:ind w:left="640" w:hanging="416"/>
        <w:spacing w:after="0"/>
        <w:tabs>
          <w:tab w:leader="none" w:pos="6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Employer" has the meaning given in Section 4.</w:t>
      </w:r>
    </w:p>
    <w:p>
      <w:pPr>
        <w:spacing w:after="0" w:line="206" w:lineRule="exact"/>
        <w:rPr>
          <w:rFonts w:ascii="Times New Roman" w:cs="Times New Roman" w:eastAsia="Times New Roman" w:hAnsi="Times New Roman"/>
          <w:sz w:val="22"/>
          <w:szCs w:val="22"/>
          <w:color w:val="auto"/>
        </w:rPr>
      </w:pPr>
    </w:p>
    <w:p>
      <w:pPr>
        <w:ind w:left="640" w:hanging="416"/>
        <w:spacing w:after="0"/>
        <w:tabs>
          <w:tab w:leader="none" w:pos="6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Eli Lilly and Company 2007 Change in Control Severance Pay Plan for Select Employees.</w:t>
      </w:r>
    </w:p>
    <w:p>
      <w:pPr>
        <w:spacing w:after="0" w:line="206" w:lineRule="exact"/>
        <w:rPr>
          <w:rFonts w:ascii="Times New Roman" w:cs="Times New Roman" w:eastAsia="Times New Roman" w:hAnsi="Times New Roman"/>
          <w:sz w:val="22"/>
          <w:szCs w:val="22"/>
          <w:color w:val="auto"/>
        </w:rPr>
      </w:pPr>
    </w:p>
    <w:p>
      <w:pPr>
        <w:ind w:right="420" w:firstLine="224"/>
        <w:spacing w:after="0" w:line="225" w:lineRule="auto"/>
        <w:tabs>
          <w:tab w:leader="none" w:pos="7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Age" means the date the Eligible Employee reaches age 65, unless the Company’s senior-most officer responsible for the Human Resources department has provided written approval of a later date as the Retirement Age for the Eligible Employee.</w:t>
      </w:r>
    </w:p>
    <w:p>
      <w:pPr>
        <w:spacing w:after="0" w:line="179"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409A" shall mean Section 409A of the Code and the applicable rulings and regulations promulgated thereunder.</w:t>
      </w:r>
    </w:p>
    <w:p>
      <w:pPr>
        <w:spacing w:after="0" w:line="217" w:lineRule="exact"/>
        <w:rPr>
          <w:rFonts w:ascii="Times New Roman" w:cs="Times New Roman" w:eastAsia="Times New Roman" w:hAnsi="Times New Roman"/>
          <w:sz w:val="21"/>
          <w:szCs w:val="21"/>
          <w:color w:val="auto"/>
        </w:rPr>
      </w:pPr>
    </w:p>
    <w:p>
      <w:pPr>
        <w:ind w:right="160" w:firstLine="224"/>
        <w:spacing w:after="0" w:line="236" w:lineRule="auto"/>
        <w:tabs>
          <w:tab w:leader="none" w:pos="68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shall mean a “separation from service” from a Participating Employer within the meaning of Section 409A.</w:t>
      </w:r>
    </w:p>
    <w:p>
      <w:pPr>
        <w:spacing w:after="0" w:line="177"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Period" means the two (2) year period immediately following a Covered Termination.</w:t>
      </w:r>
    </w:p>
    <w:p>
      <w:pPr>
        <w:spacing w:after="0" w:line="202" w:lineRule="exact"/>
        <w:rPr>
          <w:sz w:val="20"/>
          <w:szCs w:val="20"/>
          <w:color w:val="auto"/>
        </w:rPr>
      </w:pPr>
    </w:p>
    <w:p>
      <w:pPr>
        <w:ind w:left="600" w:hanging="376"/>
        <w:spacing w:after="0"/>
        <w:tabs>
          <w:tab w:leader="none" w:pos="60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Plan, a "Change in Control" of the Company shall be deemed to have occurred upon:</w:t>
      </w:r>
    </w:p>
    <w:p>
      <w:pPr>
        <w:spacing w:after="0" w:line="206" w:lineRule="exact"/>
        <w:rPr>
          <w:sz w:val="20"/>
          <w:szCs w:val="20"/>
          <w:color w:val="auto"/>
        </w:rPr>
      </w:pPr>
    </w:p>
    <w:p>
      <w:pPr>
        <w:ind w:firstLine="440"/>
        <w:spacing w:after="0" w:line="212" w:lineRule="auto"/>
        <w:tabs>
          <w:tab w:leader="none" w:pos="88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acquisition by any "person," as that term is used in Sections 13(d) and 14(d) of the Exchange Act (other than (i) the Company, (ii) any subsidiary of the Company, (iii) any employee benefit plan or employee stock plan of the Company or a subsidiary of the Company or any trustee or fiduciary with respect to any such plan when acting in that capacity, or (iv) Lilly Endowment, Inc.) of "beneficial ownership," as defined in Rule 13d-3 under the Exchange Act, directly or indirectly, of 20% or more of the shares of the Company's capital stock the holders of which have general voting power under ordinary circumstances to elect at least a majority of the Board (or which would have such voting power but for the application of the Indiana Control Shares Statute) ("Voting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an acquisition of Voting Stock directly from the Company shall not constitute a Change in Control under this Section 3(a);</w:t>
      </w:r>
    </w:p>
    <w:p>
      <w:pPr>
        <w:spacing w:after="0" w:line="183" w:lineRule="exact"/>
        <w:rPr>
          <w:rFonts w:ascii="Times New Roman" w:cs="Times New Roman" w:eastAsia="Times New Roman" w:hAnsi="Times New Roman"/>
          <w:sz w:val="22"/>
          <w:szCs w:val="22"/>
          <w:color w:val="auto"/>
        </w:rPr>
      </w:pPr>
    </w:p>
    <w:p>
      <w:pPr>
        <w:ind w:right="280" w:firstLine="440"/>
        <w:spacing w:after="0" w:line="236" w:lineRule="auto"/>
        <w:tabs>
          <w:tab w:leader="none" w:pos="9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day on which less than one-half of the total membership of the Board shall be Continuing Directors (as that term is defined in Article 13(f) of the Company's Articles of Incorporation);</w:t>
      </w:r>
    </w:p>
    <w:p>
      <w:pPr>
        <w:spacing w:after="0" w:line="177" w:lineRule="exact"/>
        <w:rPr>
          <w:rFonts w:ascii="Times New Roman" w:cs="Times New Roman" w:eastAsia="Times New Roman" w:hAnsi="Times New Roman"/>
          <w:sz w:val="22"/>
          <w:szCs w:val="22"/>
          <w:color w:val="auto"/>
        </w:rPr>
      </w:pPr>
    </w:p>
    <w:p>
      <w:pPr>
        <w:ind w:right="760" w:firstLine="440"/>
        <w:spacing w:after="0" w:line="225" w:lineRule="auto"/>
        <w:tabs>
          <w:tab w:leader="none" w:pos="88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merger, share exchange, or consolidation of the Company (a "Transaction"), other than a Transaction which would result in the Voting Stock of the Company outstanding immediately prior thereto continuing to represent (either by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180"/>
          </w:cols>
          <w:pgMar w:left="320" w:top="1440" w:right="399" w:bottom="1440" w:gutter="0" w:footer="0" w:header="0"/>
        </w:sectPr>
      </w:pPr>
    </w:p>
    <w:bookmarkStart w:id="173" w:name="page174"/>
    <w:bookmarkEnd w:id="173"/>
    <w:p>
      <w:pPr>
        <w:ind w:right="720"/>
        <w:spacing w:after="0" w:line="236" w:lineRule="auto"/>
        <w:rPr>
          <w:sz w:val="20"/>
          <w:szCs w:val="20"/>
          <w:color w:val="auto"/>
        </w:rPr>
      </w:pPr>
      <w:r>
        <w:rPr>
          <w:rFonts w:ascii="Times New Roman" w:cs="Times New Roman" w:eastAsia="Times New Roman" w:hAnsi="Times New Roman"/>
          <w:sz w:val="22"/>
          <w:szCs w:val="22"/>
          <w:color w:val="auto"/>
        </w:rPr>
        <w:t>outstanding or by being converted into voting securities of the surviving entity) more than 60% of the Voting Stock of the Company or such surviving entity immediately after such Transaction; or</w:t>
      </w:r>
    </w:p>
    <w:p>
      <w:pPr>
        <w:spacing w:after="0" w:line="177" w:lineRule="exact"/>
        <w:rPr>
          <w:sz w:val="20"/>
          <w:szCs w:val="20"/>
          <w:color w:val="auto"/>
        </w:rPr>
      </w:pPr>
    </w:p>
    <w:p>
      <w:pPr>
        <w:ind w:right="440" w:firstLine="440"/>
        <w:spacing w:after="0" w:line="236" w:lineRule="auto"/>
        <w:tabs>
          <w:tab w:leader="none" w:pos="9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of the Company or a sale or disposition of all or substantially all the assets of the Company, other than a sale or disposition of assets to any subsidiary of the Company.</w:t>
      </w:r>
    </w:p>
    <w:p>
      <w:pPr>
        <w:spacing w:after="0" w:line="177" w:lineRule="exact"/>
        <w:rPr>
          <w:sz w:val="20"/>
          <w:szCs w:val="20"/>
          <w:color w:val="auto"/>
        </w:rPr>
      </w:pPr>
    </w:p>
    <w:p>
      <w:pPr>
        <w:ind w:right="880"/>
        <w:spacing w:after="0" w:line="236" w:lineRule="auto"/>
        <w:rPr>
          <w:sz w:val="20"/>
          <w:szCs w:val="20"/>
          <w:color w:val="auto"/>
        </w:rPr>
      </w:pPr>
      <w:r>
        <w:rPr>
          <w:rFonts w:ascii="Times New Roman" w:cs="Times New Roman" w:eastAsia="Times New Roman" w:hAnsi="Times New Roman"/>
          <w:sz w:val="22"/>
          <w:szCs w:val="22"/>
          <w:color w:val="auto"/>
        </w:rPr>
        <w:t>For purposes of this Section 3 only, the term "subsidiary" means a corporation or limited liability company of which the Company owns directly or indirectly fifty (50) percent or more of the voting power.</w:t>
      </w:r>
    </w:p>
    <w:p>
      <w:pPr>
        <w:spacing w:after="0" w:line="173" w:lineRule="exact"/>
        <w:rPr>
          <w:sz w:val="20"/>
          <w:szCs w:val="20"/>
          <w:color w:val="auto"/>
        </w:rPr>
      </w:pPr>
    </w:p>
    <w:p>
      <w:pPr>
        <w:ind w:left="600" w:hanging="376"/>
        <w:spacing w:after="0"/>
        <w:tabs>
          <w:tab w:leader="none" w:pos="600"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PARTICIPATING EMPLOYERS</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11" w:lineRule="auto"/>
        <w:tabs>
          <w:tab w:leader="none" w:pos="426"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Designation of Participating Employers. </w:t>
      </w:r>
      <w:r>
        <w:rPr>
          <w:rFonts w:ascii="Times New Roman" w:cs="Times New Roman" w:eastAsia="Times New Roman" w:hAnsi="Times New Roman"/>
          <w:sz w:val="22"/>
          <w:szCs w:val="22"/>
          <w:color w:val="auto"/>
        </w:rPr>
        <w:t>The Company, controlled affiliates and each subsidiary corporation of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owns directly or indirectly one-hundred (100) percent Iof the voting power at the time of the Change in Control shall be Participating Employers under the Plan. In addition, the Committee may designate other affiliates of the Company as Participating Employers under the Plan, from time to time and under such terms and conditions, as shall be specified by an action in writing by the Committee. Such terms and conditions may impose limitations on the extent to which any such affiliate participates in the Plan (including but not limited to the duration of any such participation), but shall not provide rights or benefits to Eligible Employees that are broader than those set forth in the Plan. Any entity that is a Participating Employer at the time of a Change in Control shall continue to be a Participating Employer following a Change in Control, and any person, firm or business that is a successor to the business or interests of a Participating Employer following a Change in Control shall be treated as a Participating Employer under the Plan.</w:t>
      </w:r>
    </w:p>
    <w:p>
      <w:pPr>
        <w:spacing w:after="0" w:line="178" w:lineRule="exact"/>
        <w:rPr>
          <w:rFonts w:ascii="Times New Roman" w:cs="Times New Roman" w:eastAsia="Times New Roman" w:hAnsi="Times New Roman"/>
          <w:sz w:val="22"/>
          <w:szCs w:val="22"/>
          <w:b w:val="1"/>
          <w:bCs w:val="1"/>
          <w:color w:val="auto"/>
        </w:rPr>
      </w:pPr>
    </w:p>
    <w:p>
      <w:pPr>
        <w:ind w:right="20" w:firstLine="8"/>
        <w:spacing w:after="0" w:line="214" w:lineRule="auto"/>
        <w:tabs>
          <w:tab w:leader="none" w:pos="414"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in Foreign Jurisdictions. </w:t>
      </w:r>
      <w:r>
        <w:rPr>
          <w:rFonts w:ascii="Times New Roman" w:cs="Times New Roman" w:eastAsia="Times New Roman" w:hAnsi="Times New Roman"/>
          <w:sz w:val="22"/>
          <w:szCs w:val="22"/>
          <w:color w:val="auto"/>
        </w:rPr>
        <w:t>Notwithstanding the foregoing or anything elsewhere in the Plan to the contrary,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shall have the discretionary authority, as specified below, to exclude from participation or limit the participation of any Participating Employer with respect to individuals employed outside of the United States. The Committee shall exercise this authority within its discretion only by an action in writing taken prior to a Change in Control. In addition, unless otherwise specified by the Committee, the severance payments and benefits under the Plan shall offset or be offset by the benefits otherwise payable to any such Eligible Employee under severance arrangements that exist by reason of applicable local law, practice or policy, in accordance with applicable law.</w:t>
      </w:r>
    </w:p>
    <w:p>
      <w:pPr>
        <w:spacing w:after="0" w:line="175" w:lineRule="exact"/>
        <w:rPr>
          <w:rFonts w:ascii="Times New Roman" w:cs="Times New Roman" w:eastAsia="Times New Roman" w:hAnsi="Times New Roman"/>
          <w:sz w:val="22"/>
          <w:szCs w:val="22"/>
          <w:b w:val="1"/>
          <w:bCs w:val="1"/>
          <w:color w:val="auto"/>
        </w:rPr>
      </w:pPr>
    </w:p>
    <w:p>
      <w:pPr>
        <w:ind w:left="600" w:hanging="376"/>
        <w:spacing w:after="0"/>
        <w:tabs>
          <w:tab w:leader="none" w:pos="600"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ELIGIBLE EMPLOYEES</w:t>
      </w:r>
    </w:p>
    <w:p>
      <w:pPr>
        <w:spacing w:after="0" w:line="210"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22"/>
          <w:szCs w:val="22"/>
          <w:color w:val="auto"/>
        </w:rPr>
        <w:t>All employees of the Participating Employers, including executive officers (as defined in Rule 3b-7 under the Exchange Act), who are classified by the Company as R12 or M5-M8 global job level or other groups or individuals as designated by the Committee (or any successor classifications) immediately prior to the Change in Control shall be eligible to participate in the Plan and shall be considered an Eligible Employee for all purposes hereunder; provided, however, except where designated by the Committee, that no employee of a Participating Employer shall be simultaneously eligible for the Plan and any other Change in Control Severance Pay Plan (or similar plan) sponsored by a Participating Employer. Any person who is an Eligible Employee in accordance with the foregoing shall continue to be an Eligible Employee notwithstanding any change in his/her position or classification following a Change in Control, subject to Section 6 hereof relating to certain terminations of employment that are not treated as a Covered Termination. The Committee shall notify each Eligible Employee of his/her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95" w:right="339" w:bottom="1440" w:gutter="0" w:footer="0" w:header="0"/>
        </w:sectPr>
      </w:pPr>
    </w:p>
    <w:bookmarkStart w:id="174" w:name="page175"/>
    <w:bookmarkEnd w:id="174"/>
    <w:p>
      <w:pPr>
        <w:ind w:right="760"/>
        <w:spacing w:after="0" w:line="236" w:lineRule="auto"/>
        <w:rPr>
          <w:sz w:val="20"/>
          <w:szCs w:val="20"/>
          <w:color w:val="auto"/>
        </w:rPr>
      </w:pPr>
      <w:r>
        <w:rPr>
          <w:rFonts w:ascii="Times New Roman" w:cs="Times New Roman" w:eastAsia="Times New Roman" w:hAnsi="Times New Roman"/>
          <w:sz w:val="22"/>
          <w:szCs w:val="22"/>
          <w:color w:val="auto"/>
        </w:rPr>
        <w:t>participation in the Plan prior to the Change in Control; provided that any failure to so notify shall not affect the Eligible Employee’s participation in the Plan.</w:t>
      </w:r>
    </w:p>
    <w:p>
      <w:pPr>
        <w:spacing w:after="0" w:line="173" w:lineRule="exact"/>
        <w:rPr>
          <w:sz w:val="20"/>
          <w:szCs w:val="20"/>
          <w:color w:val="auto"/>
        </w:rPr>
      </w:pPr>
    </w:p>
    <w:p>
      <w:pPr>
        <w:ind w:left="600" w:hanging="376"/>
        <w:spacing w:after="0"/>
        <w:tabs>
          <w:tab w:leader="none" w:pos="600"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TERMINATIONS</w:t>
      </w:r>
    </w:p>
    <w:p>
      <w:pPr>
        <w:spacing w:after="0" w:line="206" w:lineRule="exact"/>
        <w:rPr>
          <w:rFonts w:ascii="Times New Roman" w:cs="Times New Roman" w:eastAsia="Times New Roman" w:hAnsi="Times New Roman"/>
          <w:sz w:val="22"/>
          <w:szCs w:val="22"/>
          <w:b w:val="1"/>
          <w:bCs w:val="1"/>
          <w:color w:val="auto"/>
        </w:rPr>
      </w:pPr>
    </w:p>
    <w:p>
      <w:pPr>
        <w:ind w:right="200"/>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General. </w:t>
      </w:r>
      <w:r>
        <w:rPr>
          <w:rFonts w:ascii="Times New Roman" w:cs="Times New Roman" w:eastAsia="Times New Roman" w:hAnsi="Times New Roman"/>
          <w:sz w:val="22"/>
          <w:szCs w:val="22"/>
          <w:color w:val="auto"/>
        </w:rPr>
        <w:t>An Eligible Employee shall be treated as having suffered a "Covered Termination" hereunder if he/she incurs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from Service within a period of two (2) years immediately following the date of a Change in Control, (i) by a Participating Employer other than for "Cause", or (ii) by the Eligible Employee for "Good Reason". For purposes of the foregoing, the two (2) year time period specified above within which a Separation from Service may be treated as a Covered Termination shall commence on the date the Change in Control becomes effective. For purposes of the Plan, a Separation from Service shall be effective as of the last date of the Eligible Employee's employment with the Participating Employer.</w:t>
      </w:r>
    </w:p>
    <w:p>
      <w:pPr>
        <w:spacing w:after="0" w:line="177"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22"/>
          <w:szCs w:val="22"/>
          <w:color w:val="auto"/>
        </w:rPr>
        <w:t>An Eligible Employee shall not be treated as having suffered a Covered Termination in the event of (1) death, (2) total disability (within the meaning of the Company's Long-Term Disability Plan), (3) transfer of employment among Participating Employers (unless such transfer results in a Separation from Service for "Good Reason"), (4) involuntary termination by the Participating Employer for "Cause", (5) voluntary termination by the Eligible Employee other than for Good Reason, (6) a termination of employment for any reason by either the Participating Employer or the Eligible Employee that does not occur during the two (2) year time period specified above or (7) a termination of employment for any reason by either the Participating Employer or the Eligible Employee after the Eligible Employee reaches Retirement Age.</w:t>
      </w:r>
    </w:p>
    <w:p>
      <w:pPr>
        <w:spacing w:after="0" w:line="179" w:lineRule="exact"/>
        <w:rPr>
          <w:sz w:val="20"/>
          <w:szCs w:val="20"/>
          <w:color w:val="auto"/>
        </w:rPr>
      </w:pPr>
    </w:p>
    <w:p>
      <w:pPr>
        <w:ind w:right="780" w:firstLine="8"/>
        <w:spacing w:after="0" w:line="238" w:lineRule="auto"/>
        <w:tabs>
          <w:tab w:leader="none" w:pos="41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Cause. </w:t>
      </w:r>
      <w:r>
        <w:rPr>
          <w:rFonts w:ascii="Times New Roman" w:cs="Times New Roman" w:eastAsia="Times New Roman" w:hAnsi="Times New Roman"/>
          <w:sz w:val="22"/>
          <w:szCs w:val="22"/>
          <w:color w:val="auto"/>
        </w:rPr>
        <w:t>For purposes hereof, an Eligible Employee's Separation from Service by the Participating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shall be deemed to be for "Cause" if as a result of:</w:t>
      </w:r>
    </w:p>
    <w:p>
      <w:pPr>
        <w:spacing w:after="0" w:line="164" w:lineRule="exact"/>
        <w:rPr>
          <w:rFonts w:ascii="Times New Roman" w:cs="Times New Roman" w:eastAsia="Times New Roman" w:hAnsi="Times New Roman"/>
          <w:sz w:val="22"/>
          <w:szCs w:val="22"/>
          <w:b w:val="1"/>
          <w:bCs w:val="1"/>
          <w:color w:val="auto"/>
        </w:rPr>
      </w:pPr>
    </w:p>
    <w:p>
      <w:pPr>
        <w:ind w:left="860" w:hanging="420"/>
        <w:spacing w:after="0"/>
        <w:tabs>
          <w:tab w:leader="none" w:pos="86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Eligible Employee to perform, without legal cause, his/her duties or responsibilities to the</w:t>
      </w:r>
    </w:p>
    <w:p>
      <w:pPr>
        <w:ind w:right="24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Employer, , which the Eligible Employee has failed to cure after thirty (30) calendar days' advance written notice from the Company;</w:t>
      </w:r>
    </w:p>
    <w:p>
      <w:pPr>
        <w:spacing w:after="0" w:line="176" w:lineRule="exact"/>
        <w:rPr>
          <w:rFonts w:ascii="Times New Roman" w:cs="Times New Roman" w:eastAsia="Times New Roman" w:hAnsi="Times New Roman"/>
          <w:sz w:val="22"/>
          <w:szCs w:val="22"/>
          <w:color w:val="auto"/>
        </w:rPr>
      </w:pPr>
    </w:p>
    <w:p>
      <w:pPr>
        <w:ind w:right="240" w:firstLine="440"/>
        <w:spacing w:after="0" w:line="225" w:lineRule="auto"/>
        <w:tabs>
          <w:tab w:leader="none" w:pos="912"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fraud, dishonesty, gross negligence, or violation of any reasonable Company rule or policy of the Eligible Employee resulting in, or having the potential to result in, significant harm to any Participating Employer or other significant harm to the business reputation of any Participating Employer; or</w:t>
      </w:r>
    </w:p>
    <w:p>
      <w:pPr>
        <w:spacing w:after="0" w:line="179" w:lineRule="exact"/>
        <w:rPr>
          <w:rFonts w:ascii="Times New Roman" w:cs="Times New Roman" w:eastAsia="Times New Roman" w:hAnsi="Times New Roman"/>
          <w:sz w:val="22"/>
          <w:szCs w:val="22"/>
          <w:color w:val="auto"/>
        </w:rPr>
      </w:pPr>
    </w:p>
    <w:p>
      <w:pPr>
        <w:ind w:right="40" w:firstLine="440"/>
        <w:spacing w:after="0" w:line="236" w:lineRule="auto"/>
        <w:tabs>
          <w:tab w:leader="none" w:pos="972"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conviction of the Eligible Employee by a court of competent jurisdiction of any crime (or the entering of a plea of guilty or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to a charge of any crime) constituting a felony.</w:t>
      </w:r>
    </w:p>
    <w:p>
      <w:pPr>
        <w:spacing w:after="0" w:line="177"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rPr>
        <w:t>This definition of “Cause” shall apply for purposes of the Plan regardless of any definition of “Cause” contained in any employment agreement between the Participant and any Participating Employer. A termination for Cause shall be communicated to the Eligible Employee in writing by the Participating Employer and shall specify the provisions of the Plan and factual matters relied upon in making the Cause determination.</w:t>
      </w:r>
    </w:p>
    <w:p>
      <w:pPr>
        <w:spacing w:after="0" w:line="175" w:lineRule="exact"/>
        <w:rPr>
          <w:sz w:val="20"/>
          <w:szCs w:val="20"/>
          <w:color w:val="auto"/>
        </w:rPr>
      </w:pPr>
    </w:p>
    <w:p>
      <w:pPr>
        <w:ind w:right="560" w:firstLine="8"/>
        <w:spacing w:after="0" w:line="238" w:lineRule="auto"/>
        <w:tabs>
          <w:tab w:leader="none" w:pos="422"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Good Reason. </w:t>
      </w:r>
      <w:r>
        <w:rPr>
          <w:rFonts w:ascii="Times New Roman" w:cs="Times New Roman" w:eastAsia="Times New Roman" w:hAnsi="Times New Roman"/>
          <w:sz w:val="22"/>
          <w:szCs w:val="22"/>
          <w:color w:val="auto"/>
        </w:rPr>
        <w:t>For purposes hereof, an Eligible Employee’s Separation from Service by the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be deemed to be for "Good Reason" if as a result of:</w:t>
      </w:r>
    </w:p>
    <w:p>
      <w:pPr>
        <w:spacing w:after="0" w:line="177" w:lineRule="exact"/>
        <w:rPr>
          <w:rFonts w:ascii="Times New Roman" w:cs="Times New Roman" w:eastAsia="Times New Roman" w:hAnsi="Times New Roman"/>
          <w:sz w:val="22"/>
          <w:szCs w:val="22"/>
          <w:b w:val="1"/>
          <w:bCs w:val="1"/>
          <w:color w:val="auto"/>
        </w:rPr>
      </w:pPr>
    </w:p>
    <w:p>
      <w:pPr>
        <w:ind w:right="80" w:firstLine="440"/>
        <w:spacing w:after="0" w:line="225" w:lineRule="auto"/>
        <w:tabs>
          <w:tab w:leader="none" w:pos="85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nature or status of the Eligible Employee's position, title, reporting relationship, duties, responsibilities or authority, or the assignment to him/her of additional responsibilities that materially increase his/her workload, provided that the sale, disposition, or spin-off of any one or more of the businesses of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80"/>
          </w:cols>
          <w:pgMar w:left="320" w:top="1395" w:right="399" w:bottom="1440" w:gutter="0" w:footer="0" w:header="0"/>
        </w:sectPr>
      </w:pPr>
    </w:p>
    <w:bookmarkStart w:id="175" w:name="page176"/>
    <w:bookmarkEnd w:id="175"/>
    <w:p>
      <w:pPr>
        <w:ind w:right="600"/>
        <w:spacing w:after="0" w:line="225" w:lineRule="auto"/>
        <w:rPr>
          <w:sz w:val="20"/>
          <w:szCs w:val="20"/>
          <w:color w:val="auto"/>
        </w:rPr>
      </w:pPr>
      <w:r>
        <w:rPr>
          <w:rFonts w:ascii="Times New Roman" w:cs="Times New Roman" w:eastAsia="Times New Roman" w:hAnsi="Times New Roman"/>
          <w:sz w:val="22"/>
          <w:szCs w:val="22"/>
          <w:color w:val="auto"/>
        </w:rPr>
        <w:t>affiliates, or any transaction following which the Company’s (or its successor’s) common equity is not publicly traded on a nationally recognized securities exchange or through a national market quotation service, shall not be deemed a material reduction in the Eligible Employee’s title, reporting relationship, duties, responsibilities or authority;</w:t>
      </w:r>
    </w:p>
    <w:p>
      <w:pPr>
        <w:spacing w:after="0" w:line="180" w:lineRule="exact"/>
        <w:rPr>
          <w:sz w:val="20"/>
          <w:szCs w:val="20"/>
          <w:color w:val="auto"/>
        </w:rPr>
      </w:pPr>
    </w:p>
    <w:p>
      <w:pPr>
        <w:ind w:left="920" w:hanging="480"/>
        <w:spacing w:after="0"/>
        <w:tabs>
          <w:tab w:leader="none" w:pos="9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the Eligible Employee's then-current Base Salary;</w:t>
      </w:r>
    </w:p>
    <w:p>
      <w:pPr>
        <w:spacing w:after="0" w:line="206" w:lineRule="exact"/>
        <w:rPr>
          <w:rFonts w:ascii="Times New Roman" w:cs="Times New Roman" w:eastAsia="Times New Roman" w:hAnsi="Times New Roman"/>
          <w:sz w:val="22"/>
          <w:szCs w:val="22"/>
          <w:color w:val="auto"/>
        </w:rPr>
      </w:pPr>
    </w:p>
    <w:p>
      <w:pPr>
        <w:ind w:right="220" w:firstLine="440"/>
        <w:spacing w:after="0" w:line="225" w:lineRule="auto"/>
        <w:tabs>
          <w:tab w:leader="none" w:pos="102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Eligible Employee's opportunities to earn incentive bonuses below those in effect for the year most recently completed before the date of the Change in Control, taking into account all material bonus factors such as targeted bonus amounts and corporate performance measures;</w:t>
      </w:r>
    </w:p>
    <w:p>
      <w:pPr>
        <w:spacing w:after="0" w:line="179" w:lineRule="exact"/>
        <w:rPr>
          <w:rFonts w:ascii="Times New Roman" w:cs="Times New Roman" w:eastAsia="Times New Roman" w:hAnsi="Times New Roman"/>
          <w:sz w:val="22"/>
          <w:szCs w:val="22"/>
          <w:color w:val="auto"/>
        </w:rPr>
      </w:pPr>
    </w:p>
    <w:p>
      <w:pPr>
        <w:ind w:right="140" w:firstLine="440"/>
        <w:spacing w:after="0" w:line="220" w:lineRule="auto"/>
        <w:tabs>
          <w:tab w:leader="none" w:pos="9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grant to the Eligible Employee stock options, stock units, performance shares or similar incentive rights during each twelve (12) month period following the Change in Control on the basis of a number of shares or units and all other material terms (including vesting requirements) at least as favorable to the Eligible Employee as those rights granted to him/her on an annualized average basis for the three (3) year period immediately prior to the Change in Control;</w:t>
      </w:r>
    </w:p>
    <w:p>
      <w:pPr>
        <w:spacing w:after="0" w:line="179" w:lineRule="exact"/>
        <w:rPr>
          <w:rFonts w:ascii="Times New Roman" w:cs="Times New Roman" w:eastAsia="Times New Roman" w:hAnsi="Times New Roman"/>
          <w:sz w:val="22"/>
          <w:szCs w:val="22"/>
          <w:color w:val="auto"/>
        </w:rPr>
      </w:pPr>
    </w:p>
    <w:p>
      <w:pPr>
        <w:ind w:right="240" w:firstLine="440"/>
        <w:spacing w:after="0" w:line="236" w:lineRule="auto"/>
        <w:tabs>
          <w:tab w:leader="none" w:pos="9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 of the Eligible Employee by more than fifty (50) miles from his/her regularly assigned workplace existing immediately prior to the date of the Change in Control; or</w:t>
      </w:r>
    </w:p>
    <w:p>
      <w:pPr>
        <w:spacing w:after="0" w:line="150" w:lineRule="exact"/>
        <w:rPr>
          <w:rFonts w:ascii="Times New Roman" w:cs="Times New Roman" w:eastAsia="Times New Roman" w:hAnsi="Times New Roman"/>
          <w:sz w:val="22"/>
          <w:szCs w:val="22"/>
          <w:color w:val="auto"/>
        </w:rPr>
      </w:pPr>
    </w:p>
    <w:p>
      <w:pPr>
        <w:jc w:val="both"/>
        <w:ind w:right="60" w:firstLine="440"/>
        <w:spacing w:after="0" w:line="220" w:lineRule="auto"/>
        <w:tabs>
          <w:tab w:leader="none" w:pos="101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 successor entity to the Company (including any entity that succeeds to the business or assets of the Company) in connection with a Change in Control to assume by operation of law or otherwise the obligations of the Company under the Plan, or any attempted amendment, termination or repudiation of the Plan by such successor entity, other than pursuant to the provisions of Section 15.</w:t>
      </w:r>
    </w:p>
    <w:p>
      <w:pPr>
        <w:spacing w:after="0" w:line="17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For purposes of the foregoing, but without limitation of the Eligible Employee’s right to otherwise terminate employment for Good Reason, if the Eligible Employee is in charge of a principal business unit, division or function of the Company immediately prior to a Change in Control, Good Reason shall not be deemed to exist based solely on the fact that the Eligible Employee is not in charge of such principal business unit, division or function of the combined entity following the Change in Control</w:t>
      </w:r>
      <w:r>
        <w:rPr>
          <w:rFonts w:ascii="Times New Roman" w:cs="Times New Roman" w:eastAsia="Times New Roman" w:hAnsi="Times New Roman"/>
          <w:sz w:val="22"/>
          <w:szCs w:val="22"/>
          <w:color w:val="800080"/>
        </w:rPr>
        <w:t>,</w:t>
      </w:r>
      <w:r>
        <w:rPr>
          <w:rFonts w:ascii="Times New Roman" w:cs="Times New Roman" w:eastAsia="Times New Roman" w:hAnsi="Times New Roman"/>
          <w:sz w:val="22"/>
          <w:szCs w:val="22"/>
          <w:color w:val="auto"/>
        </w:rPr>
        <w:t xml:space="preserve"> unless as a result thereof, the Eligible Employee suffers a material diminution in the nature or status of the Eligible Employee's position, title, reporting relationship, duties, responsibilities or authority or suffers some other Good Reason event.</w:t>
      </w:r>
    </w:p>
    <w:p>
      <w:pPr>
        <w:spacing w:after="0" w:line="17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A termination for Good Reason shall be communicated to the Participating Employer in writing by the Eligible Employee within thirty (30) days following his/her knowledge of the circumstances constituting Good Reason and shall specify the provisions of the Plan and the factual matters relied upon in making the Good Reason determination. The Participating Employer shall have the opportunity to cure the circumstances constituting Good Reason within 15 days following receipt of such written notice from the Eligible Employee, and if such circumstances are fully cured, such circumstances shall cease to constitute the basis for a Good Reason termination hereunder.</w:t>
      </w:r>
    </w:p>
    <w:p>
      <w:pPr>
        <w:spacing w:after="0" w:line="175" w:lineRule="exact"/>
        <w:rPr>
          <w:sz w:val="20"/>
          <w:szCs w:val="20"/>
          <w:color w:val="auto"/>
        </w:rPr>
      </w:pPr>
    </w:p>
    <w:p>
      <w:pPr>
        <w:ind w:left="600" w:hanging="376"/>
        <w:spacing w:after="0"/>
        <w:tabs>
          <w:tab w:leader="none" w:pos="600" w:val="left"/>
        </w:tabs>
        <w:numPr>
          <w:ilvl w:val="1"/>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PAYMENT</w:t>
      </w:r>
    </w:p>
    <w:p>
      <w:pPr>
        <w:spacing w:after="0" w:line="206" w:lineRule="exact"/>
        <w:rPr>
          <w:rFonts w:ascii="Times New Roman" w:cs="Times New Roman" w:eastAsia="Times New Roman" w:hAnsi="Times New Roman"/>
          <w:sz w:val="22"/>
          <w:szCs w:val="22"/>
          <w:b w:val="1"/>
          <w:bCs w:val="1"/>
          <w:color w:val="auto"/>
        </w:rPr>
      </w:pPr>
    </w:p>
    <w:p>
      <w:pPr>
        <w:ind w:right="2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Amount of Severance Payment. </w:t>
      </w:r>
      <w:r>
        <w:rPr>
          <w:rFonts w:ascii="Times New Roman" w:cs="Times New Roman" w:eastAsia="Times New Roman" w:hAnsi="Times New Roman"/>
          <w:sz w:val="22"/>
          <w:szCs w:val="22"/>
          <w:color w:val="auto"/>
        </w:rPr>
        <w:t>The amount of the severance payment to be paid by the Company to an Eligible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is treated as having suffered a Covered Termination hereunder shall equal two (2) times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20"/>
          </w:cols>
          <w:pgMar w:left="320" w:top="1395" w:right="359" w:bottom="1440" w:gutter="0" w:footer="0" w:header="0"/>
        </w:sectPr>
      </w:pPr>
    </w:p>
    <w:bookmarkStart w:id="176" w:name="page177"/>
    <w:bookmarkEnd w:id="176"/>
    <w:p>
      <w:pPr>
        <w:ind w:right="160" w:firstLine="440"/>
        <w:spacing w:after="0" w:line="236" w:lineRule="auto"/>
        <w:tabs>
          <w:tab w:leader="none" w:pos="85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Eligible Employee's Base Salary at the time of Covered Termination (calculated without regard to any reduction in Base Salary that results in a Good Reason termination) or, if greater, at the time of the Change in Control, </w:t>
      </w:r>
      <w:r>
        <w:rPr>
          <w:rFonts w:ascii="Times New Roman" w:cs="Times New Roman" w:eastAsia="Times New Roman" w:hAnsi="Times New Roman"/>
          <w:sz w:val="22"/>
          <w:szCs w:val="22"/>
          <w:i w:val="1"/>
          <w:iCs w:val="1"/>
          <w:color w:val="auto"/>
        </w:rPr>
        <w:t>plus</w:t>
      </w:r>
    </w:p>
    <w:p>
      <w:pPr>
        <w:spacing w:after="0" w:line="177" w:lineRule="exact"/>
        <w:rPr>
          <w:rFonts w:ascii="Times New Roman" w:cs="Times New Roman" w:eastAsia="Times New Roman" w:hAnsi="Times New Roman"/>
          <w:sz w:val="22"/>
          <w:szCs w:val="22"/>
          <w:color w:val="auto"/>
        </w:rPr>
      </w:pPr>
    </w:p>
    <w:p>
      <w:pPr>
        <w:ind w:right="80" w:firstLine="440"/>
        <w:spacing w:after="0" w:line="225" w:lineRule="auto"/>
        <w:tabs>
          <w:tab w:leader="none" w:pos="91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Employee's target annual cash incentive bonus for the year of Covered Termination or if there is no target-based annual cash incentive bonus, then the annual cash bonus paid or payable for the most recently completed calendar year prior to the Change in Control.</w:t>
      </w:r>
    </w:p>
    <w:p>
      <w:pPr>
        <w:spacing w:after="0" w:line="175" w:lineRule="exact"/>
        <w:rPr>
          <w:rFonts w:ascii="Times New Roman" w:cs="Times New Roman" w:eastAsia="Times New Roman" w:hAnsi="Times New Roman"/>
          <w:sz w:val="22"/>
          <w:szCs w:val="22"/>
          <w:color w:val="auto"/>
        </w:rPr>
      </w:pPr>
    </w:p>
    <w:p>
      <w:pPr>
        <w:ind w:right="280" w:firstLine="8"/>
        <w:spacing w:after="0" w:line="221" w:lineRule="auto"/>
        <w:tabs>
          <w:tab w:leader="none" w:pos="414"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Severance. </w:t>
      </w:r>
      <w:r>
        <w:rPr>
          <w:rFonts w:ascii="Times New Roman" w:cs="Times New Roman" w:eastAsia="Times New Roman" w:hAnsi="Times New Roman"/>
          <w:sz w:val="22"/>
          <w:szCs w:val="22"/>
          <w:color w:val="auto"/>
        </w:rPr>
        <w:t>Subject to Section 18, the severance payment to be made hereunder shall be paid to the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in a single lump-sum cash payment, less any required tax withholding, on the date that is sixty (60) calendar days following the date of the Eligible Employee's Covered Termination, conditioned upon the Eligible Employee having complied, prior to that date with the requirements of Section 10 hereof regarding a release of claims.</w:t>
      </w:r>
    </w:p>
    <w:p>
      <w:pPr>
        <w:spacing w:after="0" w:line="175" w:lineRule="exact"/>
        <w:rPr>
          <w:rFonts w:ascii="Times New Roman" w:cs="Times New Roman" w:eastAsia="Times New Roman" w:hAnsi="Times New Roman"/>
          <w:sz w:val="22"/>
          <w:szCs w:val="22"/>
          <w:b w:val="1"/>
          <w:bCs w:val="1"/>
          <w:color w:val="auto"/>
        </w:rPr>
      </w:pPr>
    </w:p>
    <w:p>
      <w:pPr>
        <w:ind w:left="600" w:hanging="376"/>
        <w:spacing w:after="0"/>
        <w:tabs>
          <w:tab w:leader="none" w:pos="600" w:val="left"/>
        </w:tabs>
        <w:numPr>
          <w:ilvl w:val="1"/>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SEVERANCE BENEFITS</w:t>
      </w:r>
    </w:p>
    <w:p>
      <w:pPr>
        <w:spacing w:after="0" w:line="210"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In addition to the severance payment provided under Section 7, an Eligible Employee shall be entitled to the following benefits and other rights in the event of his/her Covered Termination:</w:t>
      </w:r>
    </w:p>
    <w:p>
      <w:pPr>
        <w:spacing w:after="0" w:line="173" w:lineRule="exact"/>
        <w:rPr>
          <w:sz w:val="20"/>
          <w:szCs w:val="20"/>
          <w:color w:val="auto"/>
        </w:rPr>
      </w:pPr>
    </w:p>
    <w:p>
      <w:pPr>
        <w:ind w:firstLine="8"/>
        <w:spacing w:after="0" w:line="216" w:lineRule="auto"/>
        <w:tabs>
          <w:tab w:leader="none" w:pos="422"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Welfare Benefits. </w:t>
      </w:r>
      <w:r>
        <w:rPr>
          <w:rFonts w:ascii="Times New Roman" w:cs="Times New Roman" w:eastAsia="Times New Roman" w:hAnsi="Times New Roman"/>
          <w:sz w:val="21"/>
          <w:szCs w:val="21"/>
          <w:color w:val="auto"/>
        </w:rPr>
        <w:t>The Eligible Employee shall continue to participate, on the same basis as active employees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Participating Employer, for eighteen (18) months immediately following a Covered Termination (“Continuation Period”) in the Participating Employer’s medical and dental plans (but not to include flexible spending plans), group life insurance plans, company-provided death benefit, supplemental life insurance and long-term disability plans for which he/she was eligible at the time of Covered Termination (or, if it would provide benefits or other terms more favorable to the Eligible Employee, at the time of the Change in Control), as though his/her Separation from Service had not occurred (the "Welfare Continuation Coverages"), subject to any limitations in any applicable insurance policy. All Welfare Continuation Coverages shall apply to the Eligible Employee and any of his/her dependents who would have been eligible for coverage if the Eligible Employee remained employed for the Continuation Period. The Company may provide the Eligible Employee with the Welfare Continuation Coverages under arrangements other than its generally applicable welfare benefit plans, provided that the benefit coverages so provided are at least as favorable to the Eligible Employee as coverage under the otherwise applicable Welfare Continuation Coverages, on a coverage by coverage basis, and taking into account all tax consequences to the Eligible Employee. At the expiration of the Continuation Period, the Eligible Employee shall be treated as a then terminating employee with respect to the right to elect continued medical and dental coverages in accordance with Section 4980B of the Code (or any successor provision thereto). Notwithstanding the foregoing, if the Eligible Employee becomes eligible to participate in welfare benefit coverages from a subsequent employer of the same type as provided under one or more of the Welfare Continuation Coverages, then the applicable Welfare Continuation Coverages provided by this Section 8.A, on a coverage by coverage basis, shall be terminated. If and to the extent that any benefit under this Section 8.A or under Section 8.B. is not eligible for exemption from Section 409A pursuant to Treasury Regulation §</w:t>
      </w:r>
    </w:p>
    <w:p>
      <w:pPr>
        <w:spacing w:after="0" w:line="3" w:lineRule="exact"/>
        <w:rPr>
          <w:rFonts w:ascii="Times New Roman" w:cs="Times New Roman" w:eastAsia="Times New Roman" w:hAnsi="Times New Roman"/>
          <w:sz w:val="21"/>
          <w:szCs w:val="21"/>
          <w:b w:val="1"/>
          <w:bCs w:val="1"/>
          <w:color w:val="auto"/>
        </w:rPr>
      </w:pPr>
    </w:p>
    <w:p>
      <w:pPr>
        <w:spacing w:after="0" w:line="22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1.409A-1(b)(9)(v) (or any successor regulation) or otherwise, the Company shall, pursuant to Section 18 hereof, take such actions as it deems necessary to comply with the requirements of Treasury Regulation § 1.409A-3(i)(1)(iv) (or any successor regulation), including, without limitation, by providing that (i) the amount of the benefit under this Section 8.A or under Section 8.B. in any calendar year shall not affect the amount of the benefit thereunder for any other calendar year, (ii) any reimbursement of expenses under this Section 8.A or under Section 8.B. be made not later than the last day of the calendar year following the year in which the Eligible Employee incurred such expenses, and (iii) in no event shall any right to reimbursement or receipt of in-kind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395"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under this Section 8.A. or under Section 8.B. be subject to liquidation or exchange for another benefit.</w:t>
      </w:r>
    </w:p>
    <w:p>
      <w:pPr>
        <w:spacing w:after="0" w:line="202" w:lineRule="exact"/>
        <w:rPr>
          <w:sz w:val="20"/>
          <w:szCs w:val="20"/>
          <w:color w:val="auto"/>
        </w:rPr>
      </w:pPr>
    </w:p>
    <w:p>
      <w:pPr>
        <w:ind w:right="100" w:firstLine="8"/>
        <w:spacing w:after="0" w:line="211" w:lineRule="auto"/>
        <w:tabs>
          <w:tab w:leader="none" w:pos="414"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Retiree Welfare Benefits. </w:t>
      </w:r>
      <w:r>
        <w:rPr>
          <w:rFonts w:ascii="Times New Roman" w:cs="Times New Roman" w:eastAsia="Times New Roman" w:hAnsi="Times New Roman"/>
          <w:sz w:val="22"/>
          <w:szCs w:val="22"/>
          <w:color w:val="auto"/>
        </w:rPr>
        <w:t>For purposes of determining eligibility, but not for the purpose of determining the amount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for the retiree medical and dental plans applicable to Eligible Employee (the “Retiree Welfare Plans”), the Eligible Employee shall receive additional credit for two years for purposes of both age and service requirements under the Retiree Welfare Plans, but not beyond the Retirement Age of the Eligible Employee. If an Eligible Employee shall be eligible for participation in the Retiree Welfare Plans at the time of Covered Termination (including by reason of this Section 8.B.), then (i) for the Continuation Period, he/she shall be entitled to continue to participate in the Welfare Continuation Coverage pursuant to Section 8.A. hereof, and (ii) following the Continuation Period, he/she shall be entitled to continue to participate in the retiree welfare benefit program on the same basis and subject to the same terms and conditions as provided to retired employees of the Participating Employer generally, or if no such program is provided, the program of the successor entity following the Change in Control, if any.</w:t>
      </w:r>
    </w:p>
    <w:p>
      <w:pPr>
        <w:spacing w:after="0" w:line="178" w:lineRule="exact"/>
        <w:rPr>
          <w:rFonts w:ascii="Times New Roman" w:cs="Times New Roman" w:eastAsia="Times New Roman" w:hAnsi="Times New Roman"/>
          <w:sz w:val="22"/>
          <w:szCs w:val="22"/>
          <w:b w:val="1"/>
          <w:bCs w:val="1"/>
          <w:color w:val="auto"/>
        </w:rPr>
      </w:pPr>
    </w:p>
    <w:p>
      <w:pPr>
        <w:ind w:right="40" w:firstLine="8"/>
        <w:spacing w:after="0" w:line="221" w:lineRule="auto"/>
        <w:tabs>
          <w:tab w:leader="none" w:pos="42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Incentives. </w:t>
      </w:r>
      <w:r>
        <w:rPr>
          <w:rFonts w:ascii="Times New Roman" w:cs="Times New Roman" w:eastAsia="Times New Roman" w:hAnsi="Times New Roman"/>
          <w:sz w:val="22"/>
          <w:szCs w:val="22"/>
          <w:color w:val="auto"/>
        </w:rPr>
        <w:t>For the avoidance of doubt, in the event of a Change in Control any stock options,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or other similar equity-based incentive compensation (“Stock Incentives”) previously granted to an Eligible Employee shall not be affected by such Change in Control, and shall instead be subject solely to the terms of the plan under which such Stock Incentives were granted and the award agreement applicable to such Stock Incentives.</w:t>
      </w:r>
    </w:p>
    <w:p>
      <w:pPr>
        <w:spacing w:after="0" w:line="175" w:lineRule="exact"/>
        <w:rPr>
          <w:rFonts w:ascii="Times New Roman" w:cs="Times New Roman" w:eastAsia="Times New Roman" w:hAnsi="Times New Roman"/>
          <w:sz w:val="22"/>
          <w:szCs w:val="22"/>
          <w:b w:val="1"/>
          <w:bCs w:val="1"/>
          <w:color w:val="auto"/>
        </w:rPr>
      </w:pPr>
    </w:p>
    <w:p>
      <w:pPr>
        <w:ind w:firstLine="8"/>
        <w:spacing w:after="0" w:line="221" w:lineRule="auto"/>
        <w:tabs>
          <w:tab w:leader="none" w:pos="414" w:val="left"/>
        </w:tabs>
        <w:numPr>
          <w:ilvl w:val="0"/>
          <w:numId w:val="1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Accrued Rights. </w:t>
      </w:r>
      <w:r>
        <w:rPr>
          <w:rFonts w:ascii="Times New Roman" w:cs="Times New Roman" w:eastAsia="Times New Roman" w:hAnsi="Times New Roman"/>
          <w:sz w:val="21"/>
          <w:szCs w:val="21"/>
          <w:color w:val="auto"/>
        </w:rPr>
        <w:t>The Eligible Employee shall be entitled to the following payments and benefits in respect of accrued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rights at the time of a Covered Termination, in addition to all other rights provided under the Plan: (i) immediate payment of any accrued but unpaid Base Salary through the date of Covered Termination; (ii) payment within thirty (30) calendar days of Covered Termination of any accrued but unpaid annual cash bonus for the most recently completed calendar year prior to the Covered Termination; (iii) payment within thirty (30) calendar days of Covered Termination of the accrued annual cash bonus for the year in effect on the date of the Covered Termination, determined on the basis of the bonus earned under terms of the applicable bonus plan through the date of termination or, if greater, the pro-rata amount of the target annual cash bonus for the period of such year through the date of termination; and (iv) all benefits and rights vested and accrued under the employee benefit plans, fringe benefit programs and payroll practices of a Participating Employer in accordance with their terms, including employee pension, employee welfare (to the extent vested under plan terms), incentive bonus and stock incentive plans.</w:t>
      </w:r>
    </w:p>
    <w:p>
      <w:pPr>
        <w:spacing w:after="0" w:line="179" w:lineRule="exact"/>
        <w:rPr>
          <w:rFonts w:ascii="Times New Roman" w:cs="Times New Roman" w:eastAsia="Times New Roman" w:hAnsi="Times New Roman"/>
          <w:sz w:val="21"/>
          <w:szCs w:val="21"/>
          <w:b w:val="1"/>
          <w:bCs w:val="1"/>
          <w:color w:val="auto"/>
        </w:rPr>
      </w:pPr>
    </w:p>
    <w:p>
      <w:pPr>
        <w:ind w:right="40" w:firstLine="8"/>
        <w:spacing w:after="0" w:line="212" w:lineRule="auto"/>
        <w:tabs>
          <w:tab w:leader="none" w:pos="414"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Outplacement; Relocation. </w:t>
      </w:r>
      <w:r>
        <w:rPr>
          <w:rFonts w:ascii="Times New Roman" w:cs="Times New Roman" w:eastAsia="Times New Roman" w:hAnsi="Times New Roman"/>
          <w:sz w:val="22"/>
          <w:szCs w:val="22"/>
          <w:color w:val="auto"/>
        </w:rPr>
        <w:t>The Eligible Employee shall be provided, at the Company's sole expense, with professional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outplacement services selected by the Eligible Employee consistent with his/her duties or profession and of a type and level customary for persons in his/her 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required to pay fees in connection with the foregoing in an amount greater than fifteen (15) percent of the Eligible Employee's Base Salary as determined under clause (i) of Section 7.A. The Company shall honor any prior agreement or understanding with an Eligible Employee who has suffered a Covered Termination to reimburse his/her relocation expenses to the Indianapolis, Indiana metropolitan area or, if it does not result in a greater cost to the Company, to such other location selected by the Eligible Employee. Payment for any such outplacement service services or relocation expense shall be made on the business day that is six (6) months following the date of the Covered Termination.</w:t>
      </w:r>
    </w:p>
    <w:p>
      <w:pPr>
        <w:spacing w:after="0" w:line="175" w:lineRule="exact"/>
        <w:rPr>
          <w:rFonts w:ascii="Times New Roman" w:cs="Times New Roman" w:eastAsia="Times New Roman" w:hAnsi="Times New Roman"/>
          <w:sz w:val="22"/>
          <w:szCs w:val="22"/>
          <w:b w:val="1"/>
          <w:bCs w:val="1"/>
          <w:color w:val="auto"/>
        </w:rPr>
      </w:pPr>
    </w:p>
    <w:p>
      <w:pPr>
        <w:ind w:right="440" w:firstLine="8"/>
        <w:spacing w:after="0" w:line="238" w:lineRule="auto"/>
        <w:tabs>
          <w:tab w:leader="none" w:pos="382"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w:t>
      </w:r>
      <w:r>
        <w:rPr>
          <w:rFonts w:ascii="Times New Roman" w:cs="Times New Roman" w:eastAsia="Times New Roman" w:hAnsi="Times New Roman"/>
          <w:sz w:val="22"/>
          <w:szCs w:val="22"/>
          <w:color w:val="auto"/>
        </w:rPr>
        <w:t>With respect to any Eligible Employee who is, immediately prior to a Change in Control or a Covered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indemnified by the Company for his/her service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395" w:right="339" w:bottom="1440" w:gutter="0" w:footer="0" w:header="0"/>
        </w:sectPr>
      </w:pPr>
    </w:p>
    <w:bookmarkStart w:id="178" w:name="page179"/>
    <w:bookmarkEnd w:id="178"/>
    <w:p>
      <w:pPr>
        <w:ind w:right="120"/>
        <w:spacing w:after="0" w:line="211" w:lineRule="auto"/>
        <w:rPr>
          <w:sz w:val="20"/>
          <w:szCs w:val="20"/>
          <w:color w:val="auto"/>
        </w:rPr>
      </w:pPr>
      <w:r>
        <w:rPr>
          <w:rFonts w:ascii="Times New Roman" w:cs="Times New Roman" w:eastAsia="Times New Roman" w:hAnsi="Times New Roman"/>
          <w:sz w:val="22"/>
          <w:szCs w:val="22"/>
          <w:color w:val="auto"/>
        </w:rPr>
        <w:t>a director, officer or employee of a Participating Employer, the Company shall indemnify such Eligible Employee to the fullest extent permitted by applicable law, and the Company shall maintain in full force and effect, for the duration of all applicable statute of limitation periods, insurance policies at least as favorable to the Eligible Employee as those maintained by the Company for the benefit of its directors and officers at the time of Change in Control, provided that such insurance policies are commercially available from carriers of recognized standing, with respect to all costs, charges and expenses whatsoever (including payment of expenses in advance of final disposition of a proceeding) incurred or sustained by the Eligible Employee in connection with any action, suit or proceeding to which he/she may be made a party by reason of being or having been a director, officer or employee of a Participating Employer or serving or having served any other enterprise as a director, officer or employee at the request of a Participating Employer.</w:t>
      </w:r>
    </w:p>
    <w:p>
      <w:pPr>
        <w:spacing w:after="0" w:line="181" w:lineRule="exact"/>
        <w:rPr>
          <w:sz w:val="20"/>
          <w:szCs w:val="20"/>
          <w:color w:val="auto"/>
        </w:rPr>
      </w:pPr>
    </w:p>
    <w:p>
      <w:pPr>
        <w:ind w:left="600" w:hanging="376"/>
        <w:spacing w:after="0"/>
        <w:tabs>
          <w:tab w:leader="none" w:pos="60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REDUCTION OF TOTAL PAYMENTS</w:t>
      </w:r>
    </w:p>
    <w:p>
      <w:pPr>
        <w:spacing w:after="0" w:line="210" w:lineRule="exact"/>
        <w:rPr>
          <w:rFonts w:ascii="Times New Roman" w:cs="Times New Roman" w:eastAsia="Times New Roman" w:hAnsi="Times New Roman"/>
          <w:sz w:val="22"/>
          <w:szCs w:val="22"/>
          <w:b w:val="1"/>
          <w:bCs w:val="1"/>
          <w:color w:val="auto"/>
        </w:rPr>
      </w:pPr>
    </w:p>
    <w:p>
      <w:pPr>
        <w:ind w:right="220" w:firstLine="1304"/>
        <w:spacing w:after="0" w:line="220" w:lineRule="auto"/>
        <w:tabs>
          <w:tab w:leader="none" w:pos="1752"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it shall be determined that any payment, right or distribution by the Company or any other person or entity to or for the benefit of an Eligible Employee pursuant to the terms of the Plan or otherwise, in connection with, or arising out of, his/her employment with a Participating Employer or a change in ownership or effective control of the Company or a substantial portion of its assets (a "Payment") would be a "parachute payment" within the meaning of Section</w:t>
      </w:r>
    </w:p>
    <w:p>
      <w:pPr>
        <w:spacing w:after="0" w:line="2" w:lineRule="exact"/>
        <w:rPr>
          <w:rFonts w:ascii="Times New Roman" w:cs="Times New Roman" w:eastAsia="Times New Roman" w:hAnsi="Times New Roman"/>
          <w:sz w:val="21"/>
          <w:szCs w:val="21"/>
          <w:color w:val="auto"/>
        </w:rPr>
      </w:pPr>
    </w:p>
    <w:p>
      <w:pPr>
        <w:spacing w:after="0" w:line="2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280G of the Code on account of the aggregate value of the Payments due to the Eligible Employee being equal to or greater than three times the “base amount,” as defined in Section 280G(b)(3) of the Code, (the “Parachute Threshold”) so that the Eligible Employee would be subject to the excise tax imposed by Section 4999 of the Code, and reducing the aggregate value of the Payments would result in an increase in the aggregate Payments to be received by the Eligible Employee (after taking into account the excise tax imposed pursuant to Section 4999 of the Code, any tax imposed by any comparable provision of state law, and any applicable federal, state, and local income and employment taxes), the Company shall reduce the total Payments by the amount necessary to maximize the aggregate value of Payments to such Eligible Employee determined on an after-tax basis, reducing first any taxable Payments, and thereafter any other non-taxable Payments. For purposes of determining the amount of an Eligible Employee’s aggregate value of Payments on an after-tax basis, the Eligible Employee shall be deemed to pay federal income taxes at the highest marginal rate of federal income taxation in the calendar year in which the Payments are to be made, and state and local income taxes at the highest marginal rate of taxation in the state and locality of such Eligible Employee’s residence on the effective date of the Covered Termination, net of the maximum reduction in federal income taxes which could be obtained from deduction of such state and local taxes.</w:t>
      </w:r>
    </w:p>
    <w:p>
      <w:pPr>
        <w:spacing w:after="0" w:line="176" w:lineRule="exact"/>
        <w:rPr>
          <w:rFonts w:ascii="Times New Roman" w:cs="Times New Roman" w:eastAsia="Times New Roman" w:hAnsi="Times New Roman"/>
          <w:sz w:val="21"/>
          <w:szCs w:val="21"/>
          <w:color w:val="auto"/>
        </w:rPr>
      </w:pPr>
    </w:p>
    <w:p>
      <w:pPr>
        <w:ind w:right="300" w:firstLine="1304"/>
        <w:spacing w:after="0" w:line="217" w:lineRule="auto"/>
        <w:tabs>
          <w:tab w:leader="none" w:pos="176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Internal Revenue Service adjusts any item included in the Company’s computations under subsection 9(a) above so that such Eligible Employee did not receive the full net benefit intended under the provisions of this Section 9, the Company shall reimburse such Eligible Employee, by the end of the calendar year following the year of such adjustment, for all or a portion of the taxes imposed pursuant to such adjustment to the extent necessary to make such Eligible Employee whole.</w:t>
      </w:r>
    </w:p>
    <w:p>
      <w:pPr>
        <w:spacing w:after="0" w:line="179" w:lineRule="exact"/>
        <w:rPr>
          <w:rFonts w:ascii="Times New Roman" w:cs="Times New Roman" w:eastAsia="Times New Roman" w:hAnsi="Times New Roman"/>
          <w:sz w:val="22"/>
          <w:szCs w:val="22"/>
          <w:color w:val="auto"/>
        </w:rPr>
      </w:pPr>
    </w:p>
    <w:p>
      <w:pPr>
        <w:ind w:right="40" w:firstLine="1304"/>
        <w:spacing w:after="0" w:line="215" w:lineRule="auto"/>
        <w:tabs>
          <w:tab w:leader="none" w:pos="174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required to be made under this Section 9, including whether any Payment is a “parachute payment” and the assumptions to be utilized in arriving at such determination, shall be made by a nationally recognized accounting firm designated by the Company which is not the auditor of the Company or another party involved in the Change in Control (the "Accounting Firm") and shall be based upon "substantial authority" (within the meaning of Section 6662 of the Code). All fees and expenses of the Accounting Firm shall be borne by the Company. Any determination by the Accounting Firm shall be binding upon the Company and the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395" w:right="339" w:bottom="1440" w:gutter="0" w:footer="0" w:header="0"/>
        </w:sectPr>
      </w:pPr>
    </w:p>
    <w:bookmarkStart w:id="179" w:name="page180"/>
    <w:bookmarkEnd w:id="179"/>
    <w:p>
      <w:pPr>
        <w:spacing w:after="0" w:line="194" w:lineRule="exact"/>
        <w:rPr>
          <w:sz w:val="20"/>
          <w:szCs w:val="20"/>
          <w:color w:val="auto"/>
        </w:rPr>
      </w:pPr>
    </w:p>
    <w:p>
      <w:pPr>
        <w:ind w:left="720" w:hanging="496"/>
        <w:spacing w:after="0"/>
        <w:tabs>
          <w:tab w:leader="none" w:pos="7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CLAIMS</w:t>
      </w:r>
    </w:p>
    <w:p>
      <w:pPr>
        <w:spacing w:after="0" w:line="305"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rPr>
        <w:t>All payments and benefits that may be made to an Eligible Employee upon a Covered Termination under the Plan shall be contingent upon the Eligible Employee entering into and not revoking a general release of employment law claims against the Company and the Participating Employer. The Company will provide the general release to the Eligible Employee within five (5) business days of the Covered Termination.</w:t>
      </w:r>
    </w:p>
    <w:p>
      <w:pPr>
        <w:spacing w:after="0" w:line="324" w:lineRule="exact"/>
        <w:rPr>
          <w:sz w:val="20"/>
          <w:szCs w:val="20"/>
          <w:color w:val="auto"/>
        </w:rPr>
      </w:pPr>
    </w:p>
    <w:p>
      <w:pPr>
        <w:ind w:left="1140" w:hanging="484"/>
        <w:spacing w:after="0"/>
        <w:tabs>
          <w:tab w:leader="none" w:pos="114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MITIGATION OR OFFSET</w:t>
      </w:r>
    </w:p>
    <w:p>
      <w:pPr>
        <w:spacing w:after="0" w:line="29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1"/>
          <w:szCs w:val="21"/>
          <w:color w:val="auto"/>
        </w:rPr>
        <w:t>The Eligible Employee shall be under no obligation to minimize or mitigate damages by seeking other employment, and the obtaining of any such other employment shall in no event effect any reduction of the Company's obligation to make the payments and provide the benefits required under the Plan. Except as provided in Section 10, the Company's obligation to make the payments and provide the benefits required under the Plan shall not be affected by any circumstances, including, without limitation, any set-off, counterclaim, recoupment, defense or other rights which a Participating Employer may have against the Eligible Employee. Notwithstanding the foregoing, all payments and benefits provided under the Plan are subject to the Company’s Executive Compensation Recovery Policy, as may be amended, to the extent applicable to the Eligible Employee.</w:t>
      </w:r>
    </w:p>
    <w:p>
      <w:pPr>
        <w:spacing w:after="0" w:line="362" w:lineRule="exact"/>
        <w:rPr>
          <w:sz w:val="20"/>
          <w:szCs w:val="20"/>
          <w:color w:val="auto"/>
        </w:rPr>
      </w:pPr>
    </w:p>
    <w:p>
      <w:pPr>
        <w:ind w:left="720" w:hanging="496"/>
        <w:spacing w:after="0"/>
        <w:tabs>
          <w:tab w:leader="none" w:pos="7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UNFUNDED STATUS</w:t>
      </w:r>
    </w:p>
    <w:p>
      <w:pPr>
        <w:spacing w:after="0" w:line="386"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22"/>
          <w:szCs w:val="22"/>
          <w:color w:val="auto"/>
        </w:rPr>
        <w:t>The Plan is intended to constitute an employee pension benefit plan under ERISA which is unfunded and is maintained primarily for the purpose of providing deferred compensation for a select group of management or highly compensated employees, and shall be interpreted and administered accordingly. The payments and benefits provided hereunder shall be paid from the general assets of the Company. Nothing herein shall be construed to require the Company to maintain any fund or to segregate any amount for the benefit of any employee, and no employee or other person shall have any right against, right to, or security or other interest in any fund, account or asset of the Company from which the payment pursuant to the Plan may be made. Consistent with the foregoing, the Company may, in its sole discretion, deposit funds in a grantor trust or otherwise establish arrangements to pay amounts that become due under the Plan, and, notwithstanding anything elsewhere in the Plan to the contrary, the payments and benefits due under the Plan shall be reduced to reflect the amount of any payment made in respect of any Eligible Employee from a grantor trust or other arrangement established for this purpose.</w:t>
      </w:r>
    </w:p>
    <w:p>
      <w:pPr>
        <w:spacing w:after="0" w:line="350"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386"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1"/>
          <w:szCs w:val="21"/>
          <w:color w:val="auto"/>
        </w:rPr>
        <w:t>The Committee shall be responsible for the overall operation of the Plan. The Committee may allocate to any one or more of the Company's employees any responsibility the Committee may have under the Plan and may designate any other person or persons to carry out any of the Committee's responsibilities under the Plan. The Committee shall maintain records pursuant to the Plan's provisions and shall be responsible for the handling, processing and payment of any claims for benefits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00"/>
          </w:cols>
          <w:pgMar w:left="320" w:top="1440" w:right="379" w:bottom="1440" w:gutter="0" w:footer="0" w:header="0"/>
        </w:sectPr>
      </w:pPr>
    </w:p>
    <w:bookmarkStart w:id="180" w:name="page181"/>
    <w:bookmarkEnd w:id="180"/>
    <w:p>
      <w:pPr>
        <w:ind w:left="720" w:hanging="496"/>
        <w:spacing w:after="0"/>
        <w:tabs>
          <w:tab w:leader="none" w:pos="720" w:val="left"/>
        </w:tabs>
        <w:numPr>
          <w:ilvl w:val="1"/>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 AND DISPUTES</w:t>
      </w:r>
    </w:p>
    <w:p>
      <w:pPr>
        <w:spacing w:after="0" w:line="381" w:lineRule="exact"/>
        <w:rPr>
          <w:rFonts w:ascii="Times New Roman" w:cs="Times New Roman" w:eastAsia="Times New Roman" w:hAnsi="Times New Roman"/>
          <w:sz w:val="22"/>
          <w:szCs w:val="22"/>
          <w:b w:val="1"/>
          <w:bCs w:val="1"/>
          <w:color w:val="auto"/>
        </w:rPr>
      </w:pPr>
    </w:p>
    <w:p>
      <w:pPr>
        <w:ind w:right="120"/>
        <w:spacing w:after="0" w:line="21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Filing a Claim. </w:t>
      </w:r>
      <w:r>
        <w:rPr>
          <w:rFonts w:ascii="Times New Roman" w:cs="Times New Roman" w:eastAsia="Times New Roman" w:hAnsi="Times New Roman"/>
          <w:sz w:val="22"/>
          <w:szCs w:val="22"/>
          <w:color w:val="auto"/>
        </w:rPr>
        <w:t>Within thirty (30) calendar days following a Covered Termination, the Company shall notify each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whom the Company determines is entitled to payments and benefits under the Plan of his/her entitlement to such payments and benefits. An Eligible Employee who is not so notified may submit a claim for payments and benefits under the Plan in writing to the Company within ninety (90) calendar days after becoming entitled to such benefits as described in Section 6. Claims filed after such ninety (90) calendar day period will be denied.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claims must be in writing and contain the following information:</w:t>
      </w:r>
    </w:p>
    <w:p>
      <w:pPr>
        <w:ind w:left="1300" w:hanging="644"/>
        <w:spacing w:after="0" w:line="204"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name of the Eligible Employee filing the claim;</w:t>
      </w:r>
    </w:p>
    <w:p>
      <w:pPr>
        <w:ind w:left="1300" w:hanging="644"/>
        <w:spacing w:after="0" w:line="204"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name of the Plan; and</w:t>
      </w:r>
    </w:p>
    <w:p>
      <w:pPr>
        <w:ind w:left="1300" w:hanging="64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statement that the Eligible Employee is making a claim under the Plan and the basis for such claim.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claims must be timely delivered to the Company at the address below:</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 Lilly and Company</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Attention: General Counsel</w:t>
      </w:r>
    </w:p>
    <w:p>
      <w:pPr>
        <w:ind w:left="660"/>
        <w:spacing w:after="0" w:line="205" w:lineRule="auto"/>
        <w:rPr>
          <w:sz w:val="20"/>
          <w:szCs w:val="20"/>
          <w:color w:val="auto"/>
        </w:rPr>
      </w:pPr>
      <w:r>
        <w:rPr>
          <w:rFonts w:ascii="Times New Roman" w:cs="Times New Roman" w:eastAsia="Times New Roman" w:hAnsi="Times New Roman"/>
          <w:sz w:val="22"/>
          <w:szCs w:val="22"/>
          <w:color w:val="auto"/>
        </w:rPr>
        <w:t>Lilly Corporate Center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Indianapolis, Indiana 46285</w:t>
      </w:r>
    </w:p>
    <w:p>
      <w:pPr>
        <w:spacing w:after="0" w:line="178" w:lineRule="exact"/>
        <w:rPr>
          <w:sz w:val="20"/>
          <w:szCs w:val="20"/>
          <w:color w:val="auto"/>
        </w:rPr>
      </w:pPr>
    </w:p>
    <w:p>
      <w:pPr>
        <w:ind w:right="100" w:firstLine="8"/>
        <w:spacing w:after="0" w:line="228" w:lineRule="auto"/>
        <w:tabs>
          <w:tab w:leader="none" w:pos="414"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Process for Determining Claims</w:t>
      </w:r>
      <w:r>
        <w:rPr>
          <w:rFonts w:ascii="Times New Roman" w:cs="Times New Roman" w:eastAsia="Times New Roman" w:hAnsi="Times New Roman"/>
          <w:sz w:val="21"/>
          <w:szCs w:val="21"/>
          <w:color w:val="auto"/>
        </w:rPr>
        <w:t>. The Company will notify each claimant of its decision to approve or deny the claimant’s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 within a reasonable period of time, but not later than ninety (90) days after the date the claim was received by the Company. In special circumstances, the Company may have up to an additional ninety (90) days to provide the claimant with such written notice, provided that the Company must notify the claimant prior to the expiration of the initial ninety (90) day period, state the reason(s) for such extension and state the date by which the Company expects to make its determination.</w:t>
      </w:r>
    </w:p>
    <w:p>
      <w:pPr>
        <w:spacing w:after="0" w:line="175" w:lineRule="exact"/>
        <w:rPr>
          <w:rFonts w:ascii="Times New Roman" w:cs="Times New Roman" w:eastAsia="Times New Roman" w:hAnsi="Times New Roman"/>
          <w:sz w:val="21"/>
          <w:szCs w:val="21"/>
          <w:b w:val="1"/>
          <w:bCs w:val="1"/>
          <w:color w:val="auto"/>
        </w:rPr>
      </w:pPr>
    </w:p>
    <w:p>
      <w:pPr>
        <w:ind w:firstLine="8"/>
        <w:spacing w:after="0" w:line="218" w:lineRule="auto"/>
        <w:tabs>
          <w:tab w:leader="none" w:pos="42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Content of Initial Determination</w:t>
      </w:r>
      <w:r>
        <w:rPr>
          <w:rFonts w:ascii="Times New Roman" w:cs="Times New Roman" w:eastAsia="Times New Roman" w:hAnsi="Times New Roman"/>
          <w:sz w:val="22"/>
          <w:szCs w:val="22"/>
          <w:color w:val="auto"/>
        </w:rPr>
        <w:t>. If the claimant’s claim is denied in whole or in part, the Company will provide written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notice of its adverse benefit determination that includes the following information:</w:t>
      </w:r>
    </w:p>
    <w:p>
      <w:pPr>
        <w:ind w:left="1300" w:hanging="644"/>
        <w:spacing w:after="0" w:line="204"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specific reason(s) for the adverse benefit determination;</w:t>
      </w:r>
    </w:p>
    <w:p>
      <w:pPr>
        <w:ind w:left="1300" w:hanging="644"/>
        <w:spacing w:after="0" w:line="204"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to the specific provision(s) of the Plan on which the determination is based;</w:t>
      </w:r>
    </w:p>
    <w:p>
      <w:pPr>
        <w:ind w:left="1300" w:right="200" w:hanging="644"/>
        <w:spacing w:after="0" w:line="204" w:lineRule="auto"/>
        <w:tabs>
          <w:tab w:leader="none" w:pos="12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description of any additional material or information necessary for the claimant to perfect his or her claim and an explanation of why such material or information is necessary;</w:t>
      </w:r>
    </w:p>
    <w:p>
      <w:pPr>
        <w:spacing w:after="0" w:line="1" w:lineRule="exact"/>
        <w:rPr>
          <w:rFonts w:ascii="Times New Roman" w:cs="Times New Roman" w:eastAsia="Times New Roman" w:hAnsi="Times New Roman"/>
          <w:sz w:val="18"/>
          <w:szCs w:val="18"/>
          <w:color w:val="auto"/>
        </w:rPr>
      </w:pPr>
    </w:p>
    <w:p>
      <w:pPr>
        <w:ind w:left="1300" w:hanging="644"/>
        <w:spacing w:after="0" w:line="204"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description of the Plan’s appeals procedures and the time limits applicable to such procedures; and</w:t>
      </w:r>
    </w:p>
    <w:p>
      <w:pPr>
        <w:ind w:left="1300" w:right="300" w:hanging="644"/>
        <w:spacing w:after="0" w:line="225" w:lineRule="auto"/>
        <w:tabs>
          <w:tab w:leader="none" w:pos="12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statement of the claimant’s rights to bring a civil action under Section 502(a) of ERISA following an adverse benefit determination on appeal.</w:t>
      </w:r>
    </w:p>
    <w:p>
      <w:pPr>
        <w:spacing w:after="0" w:line="172" w:lineRule="exact"/>
        <w:rPr>
          <w:rFonts w:ascii="Times New Roman" w:cs="Times New Roman" w:eastAsia="Times New Roman" w:hAnsi="Times New Roman"/>
          <w:sz w:val="18"/>
          <w:szCs w:val="18"/>
          <w:color w:val="auto"/>
        </w:rPr>
      </w:pPr>
    </w:p>
    <w:p>
      <w:pPr>
        <w:ind w:right="160" w:firstLine="8"/>
        <w:spacing w:after="0" w:line="213" w:lineRule="auto"/>
        <w:tabs>
          <w:tab w:leader="none" w:pos="42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Filing an Appeal</w:t>
      </w:r>
      <w:r>
        <w:rPr>
          <w:rFonts w:ascii="Times New Roman" w:cs="Times New Roman" w:eastAsia="Times New Roman" w:hAnsi="Times New Roman"/>
          <w:sz w:val="22"/>
          <w:szCs w:val="22"/>
          <w:color w:val="auto"/>
        </w:rPr>
        <w:t>. A claimant may appeal a denied claim within sixty (60) days following receipt of written notice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 benefit determination. Appeals may include any written comments, documents, records, or other information relating to the claim, and must include the following information:</w:t>
      </w:r>
    </w:p>
    <w:p>
      <w:pPr>
        <w:spacing w:after="0" w:line="2" w:lineRule="exact"/>
        <w:rPr>
          <w:rFonts w:ascii="Times New Roman" w:cs="Times New Roman" w:eastAsia="Times New Roman" w:hAnsi="Times New Roman"/>
          <w:sz w:val="22"/>
          <w:szCs w:val="22"/>
          <w:b w:val="1"/>
          <w:bCs w:val="1"/>
          <w:color w:val="auto"/>
        </w:rPr>
      </w:pPr>
    </w:p>
    <w:p>
      <w:pPr>
        <w:ind w:left="1300" w:hanging="644"/>
        <w:spacing w:after="0" w:line="204"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name of the Eligible Employee filing the appeal;</w:t>
      </w:r>
    </w:p>
    <w:p>
      <w:pPr>
        <w:ind w:left="1300" w:hanging="644"/>
        <w:spacing w:after="0" w:line="204"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name of the Plan;</w:t>
      </w:r>
    </w:p>
    <w:p>
      <w:pPr>
        <w:ind w:left="1300" w:hanging="644"/>
        <w:spacing w:after="0" w:line="204"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Information identifying the initial adverse benefit determination; and</w:t>
      </w:r>
    </w:p>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basis for appeal of the initial adverse benefit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20"/>
          </w:cols>
          <w:pgMar w:left="320" w:top="1391" w:right="359" w:bottom="1440" w:gutter="0" w:footer="0" w:header="0"/>
        </w:sectPr>
      </w:pPr>
    </w:p>
    <w:bookmarkStart w:id="181" w:name="page182"/>
    <w:bookmarkEnd w:id="181"/>
    <w:p>
      <w:pPr>
        <w:spacing w:after="0" w:line="198"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The claimant will be provided, upon request and free of charge, reasonable access to, and copies of, all documents, records, and other information relevant to the claimant’s claim, as determined by the Company under applicable federal regulations.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appeals must be timely delivered to the Company at the address below:</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 Lilly and Company</w:t>
      </w:r>
    </w:p>
    <w:p>
      <w:pPr>
        <w:ind w:left="660"/>
        <w:spacing w:after="0" w:line="204" w:lineRule="auto"/>
        <w:rPr>
          <w:sz w:val="20"/>
          <w:szCs w:val="20"/>
          <w:color w:val="auto"/>
        </w:rPr>
      </w:pPr>
      <w:r>
        <w:rPr>
          <w:rFonts w:ascii="Times New Roman" w:cs="Times New Roman" w:eastAsia="Times New Roman" w:hAnsi="Times New Roman"/>
          <w:sz w:val="22"/>
          <w:szCs w:val="22"/>
          <w:color w:val="auto"/>
        </w:rPr>
        <w:t>Attention: General Counsel</w:t>
      </w:r>
    </w:p>
    <w:p>
      <w:pPr>
        <w:ind w:left="660"/>
        <w:spacing w:after="0" w:line="205" w:lineRule="auto"/>
        <w:rPr>
          <w:sz w:val="20"/>
          <w:szCs w:val="20"/>
          <w:color w:val="auto"/>
        </w:rPr>
      </w:pPr>
      <w:r>
        <w:rPr>
          <w:rFonts w:ascii="Times New Roman" w:cs="Times New Roman" w:eastAsia="Times New Roman" w:hAnsi="Times New Roman"/>
          <w:sz w:val="22"/>
          <w:szCs w:val="22"/>
          <w:color w:val="auto"/>
        </w:rPr>
        <w:t>Lilly Corporate Center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Indianapolis, Indiana 46285</w:t>
      </w:r>
    </w:p>
    <w:p>
      <w:pPr>
        <w:spacing w:after="0" w:line="178" w:lineRule="exact"/>
        <w:rPr>
          <w:sz w:val="20"/>
          <w:szCs w:val="20"/>
          <w:color w:val="auto"/>
        </w:rPr>
      </w:pPr>
    </w:p>
    <w:p>
      <w:pPr>
        <w:ind w:right="40" w:firstLine="8"/>
        <w:spacing w:after="0" w:line="224" w:lineRule="auto"/>
        <w:tabs>
          <w:tab w:leader="none" w:pos="414"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Process for Determining Appeals</w:t>
      </w:r>
      <w:r>
        <w:rPr>
          <w:rFonts w:ascii="Times New Roman" w:cs="Times New Roman" w:eastAsia="Times New Roman" w:hAnsi="Times New Roman"/>
          <w:sz w:val="21"/>
          <w:szCs w:val="21"/>
          <w:color w:val="auto"/>
        </w:rPr>
        <w:t>. The Company’s review on appeal will take into account all comments, documents,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records, and other information submitted by the claimant relating to the claim, without regard to whether such information was submitted or considered in the initial benefit determination. The Company will notify each claimant of its decision on appeal within a reasonable period of time, but not later than sixty (60) days after the date the request for appeal was received by the Company. In special circumstances, the Company may have up to an additional sixty (60) days to provide the claimant with such written notice, provided that the Company must notify the claimant prior to the expiration of the initial sixty (60) day period, state the reason for such extension and state the date by which the Company expects to make its determination on appeal.</w:t>
      </w:r>
    </w:p>
    <w:p>
      <w:pPr>
        <w:spacing w:after="0" w:line="177" w:lineRule="exact"/>
        <w:rPr>
          <w:rFonts w:ascii="Times New Roman" w:cs="Times New Roman" w:eastAsia="Times New Roman" w:hAnsi="Times New Roman"/>
          <w:sz w:val="21"/>
          <w:szCs w:val="21"/>
          <w:b w:val="1"/>
          <w:bCs w:val="1"/>
          <w:color w:val="auto"/>
        </w:rPr>
      </w:pPr>
    </w:p>
    <w:p>
      <w:pPr>
        <w:ind w:right="580" w:firstLine="8"/>
        <w:spacing w:after="0" w:line="218" w:lineRule="auto"/>
        <w:tabs>
          <w:tab w:leader="none" w:pos="382"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Content of Appeal Determination</w:t>
      </w:r>
      <w:r>
        <w:rPr>
          <w:rFonts w:ascii="Times New Roman" w:cs="Times New Roman" w:eastAsia="Times New Roman" w:hAnsi="Times New Roman"/>
          <w:sz w:val="22"/>
          <w:szCs w:val="22"/>
          <w:color w:val="auto"/>
        </w:rPr>
        <w:t>. If the claimant’s appeal is denied in whole or in part, the Company will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or electronic notice of its adverse benefit determination that includes the following information:</w:t>
      </w:r>
    </w:p>
    <w:p>
      <w:pPr>
        <w:ind w:left="1300" w:hanging="644"/>
        <w:spacing w:after="0" w:line="204" w:lineRule="auto"/>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specific reason(s) for the adverse benefit determination;</w:t>
      </w:r>
    </w:p>
    <w:p>
      <w:pPr>
        <w:ind w:left="1300" w:hanging="644"/>
        <w:spacing w:after="0" w:line="204" w:lineRule="auto"/>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to the specific provision(s) of the Plan on which the determination is based;</w:t>
      </w:r>
    </w:p>
    <w:p>
      <w:pPr>
        <w:ind w:left="1300" w:hanging="644"/>
        <w:spacing w:after="0" w:line="204" w:lineRule="auto"/>
        <w:tabs>
          <w:tab w:leader="none" w:pos="12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statement of the claimant’s right to receive, upon request and free of charge, reasonable access to, and copies of, all documents, records, and other information relevant to the claimant’s claim, as determined by the Company under applicable federal regulations; and</w:t>
      </w:r>
    </w:p>
    <w:p>
      <w:pPr>
        <w:spacing w:after="0" w:line="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statement of the claimant’s rights to bring a civil action under Section 502(a) of ERISA.</w:t>
      </w:r>
    </w:p>
    <w:p>
      <w:pPr>
        <w:spacing w:after="0" w:line="178" w:lineRule="exact"/>
        <w:rPr>
          <w:rFonts w:ascii="Times New Roman" w:cs="Times New Roman" w:eastAsia="Times New Roman" w:hAnsi="Times New Roman"/>
          <w:sz w:val="18"/>
          <w:szCs w:val="18"/>
          <w:color w:val="auto"/>
        </w:rPr>
      </w:pPr>
    </w:p>
    <w:p>
      <w:pPr>
        <w:ind w:right="100" w:firstLine="8"/>
        <w:spacing w:after="0" w:line="218" w:lineRule="auto"/>
        <w:tabs>
          <w:tab w:leader="none" w:pos="426"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Authorized Representative</w:t>
      </w:r>
      <w:r>
        <w:rPr>
          <w:rFonts w:ascii="Times New Roman" w:cs="Times New Roman" w:eastAsia="Times New Roman" w:hAnsi="Times New Roman"/>
          <w:sz w:val="22"/>
          <w:szCs w:val="22"/>
          <w:color w:val="auto"/>
        </w:rPr>
        <w:t>. Eligible Employees may authorize a representative to pursue any claim or appeal on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The Company will recognize a person as an Eligible Employee’s authorized representative if such person submits a writing that has been signed by such Eligible Employee and notarized stating that the authorized representative is authorized to act on your behalf. A court order stating that a person is authorized to submit claims on behalf of an Eligible Employee will also be recognized.</w:t>
      </w:r>
    </w:p>
    <w:p>
      <w:pPr>
        <w:spacing w:after="0" w:line="174" w:lineRule="exact"/>
        <w:rPr>
          <w:rFonts w:ascii="Times New Roman" w:cs="Times New Roman" w:eastAsia="Times New Roman" w:hAnsi="Times New Roman"/>
          <w:sz w:val="22"/>
          <w:szCs w:val="22"/>
          <w:b w:val="1"/>
          <w:bCs w:val="1"/>
          <w:color w:val="auto"/>
        </w:rPr>
      </w:pPr>
    </w:p>
    <w:p>
      <w:pPr>
        <w:ind w:right="120" w:firstLine="8"/>
        <w:spacing w:after="0" w:line="228" w:lineRule="auto"/>
        <w:tabs>
          <w:tab w:leader="none" w:pos="434"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Tolling</w:t>
      </w:r>
      <w:r>
        <w:rPr>
          <w:rFonts w:ascii="Times New Roman" w:cs="Times New Roman" w:eastAsia="Times New Roman" w:hAnsi="Times New Roman"/>
          <w:sz w:val="21"/>
          <w:szCs w:val="21"/>
          <w:color w:val="auto"/>
        </w:rPr>
        <w:t>. If an extension of time is required, either during the initial review or on appeal, due to the claimant’s failure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submit additional information requested by the Company, the period for making the benefit determination may, in the sole discretion of the Company, be tolled from the date on which the notification of extension is sent to the claimant until the date on which the claimant responds to the request for additional information. If the claimant does not respond in a timely fashion, as determined by the Company in its sole discretion, the Company will decide the appeal without such additional information.</w:t>
      </w:r>
    </w:p>
    <w:p>
      <w:pPr>
        <w:spacing w:after="0" w:line="175" w:lineRule="exact"/>
        <w:rPr>
          <w:rFonts w:ascii="Times New Roman" w:cs="Times New Roman" w:eastAsia="Times New Roman" w:hAnsi="Times New Roman"/>
          <w:sz w:val="21"/>
          <w:szCs w:val="21"/>
          <w:b w:val="1"/>
          <w:bCs w:val="1"/>
          <w:color w:val="auto"/>
        </w:rPr>
      </w:pPr>
    </w:p>
    <w:p>
      <w:pPr>
        <w:ind w:right="200" w:firstLine="8"/>
        <w:spacing w:after="0" w:line="238" w:lineRule="auto"/>
        <w:tabs>
          <w:tab w:leader="none" w:pos="354"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Exhaustion Requirement. </w:t>
      </w:r>
      <w:r>
        <w:rPr>
          <w:rFonts w:ascii="Times New Roman" w:cs="Times New Roman" w:eastAsia="Times New Roman" w:hAnsi="Times New Roman"/>
          <w:sz w:val="22"/>
          <w:szCs w:val="22"/>
          <w:color w:val="auto"/>
        </w:rPr>
        <w:t>No action at law or at equity to recover payments or benefits under the Plan may be brought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Eligible Employee (or an authorized representative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00"/>
          </w:cols>
          <w:pgMar w:left="320" w:top="1440" w:right="379" w:bottom="1440" w:gutter="0" w:footer="0" w:header="0"/>
        </w:sectPr>
      </w:pPr>
    </w:p>
    <w:bookmarkStart w:id="182" w:name="page183"/>
    <w:bookmarkEnd w:id="182"/>
    <w:p>
      <w:pPr>
        <w:ind w:right="500"/>
        <w:spacing w:after="0" w:line="236" w:lineRule="auto"/>
        <w:rPr>
          <w:sz w:val="20"/>
          <w:szCs w:val="20"/>
          <w:color w:val="auto"/>
        </w:rPr>
      </w:pPr>
      <w:r>
        <w:rPr>
          <w:rFonts w:ascii="Times New Roman" w:cs="Times New Roman" w:eastAsia="Times New Roman" w:hAnsi="Times New Roman"/>
          <w:sz w:val="22"/>
          <w:szCs w:val="22"/>
          <w:color w:val="auto"/>
        </w:rPr>
        <w:t>until such Eligible Employee or authorized representative has exhausted the claims and appeals procedures described in this Section 14.</w:t>
      </w:r>
    </w:p>
    <w:p>
      <w:pPr>
        <w:spacing w:after="0" w:line="268"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TERM AND AMENDMENT</w:t>
      </w:r>
    </w:p>
    <w:p>
      <w:pPr>
        <w:spacing w:after="0" w:line="386"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22"/>
          <w:szCs w:val="22"/>
          <w:color w:val="auto"/>
        </w:rPr>
        <w:t xml:space="preserve">The Plan became effective as on July 1, 2004, but only became operative with respect to a Change in Control occurring on or after March 1, 2007, the date as of which the Plan as previously in effect was terminated by action of the Board. The Plan as amended by action of the Board of Directors of the Company on October 18, 2010 became effective with respect to a Change in Control occurring on or after October 18, 2012. The Plan as amended by action of the Board of Directors of the Company on December 11, 2017 shall become effective on January 1, 2018. The Plan as amended by action of the designee of the Board of Directors of the Company on December 11, 2023 shall become effective on January 1, 2024, except as otherwise required under Section 15. The Plan shall continue to be effective until terminated in accordance with this Section 15. The Board or its designee shall have the right, by resolution or other written action, to terminate or amend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Plan may only be terminated or amended prior to a Change in Control, and then only (i) with respect to an amendment or termination that becomes effective upon the second (2nd) anniversary of the date of Board approval thereof, or (ii) to the extent any such amendment is of a technical or clarifying nature, or increases the rights or benefits of all affected Eligible Employees, and does not in any manner reduce the rights or benefits of any Eligible Employee, unless the Company has obtained the express written consent, in return for good and valuable consideration, of all affected Eligible Employees in respect of any such amendment. Notwithstanding the foregoing, in the event of a Change in Control, the Plan shall continue in effect, and no termination or amendment of the Plan shall occur, until the satisfaction of all severance payments and benefits to which Eligible Employees are or may become entitled to under the Plan. Upon the occurrence of a Change in Control during the term of the Plan, the Plan shall not be operative with respect to any subsequent Change in Control.</w:t>
      </w:r>
    </w:p>
    <w:p>
      <w:pPr>
        <w:spacing w:after="0" w:line="359" w:lineRule="exact"/>
        <w:rPr>
          <w:sz w:val="20"/>
          <w:szCs w:val="20"/>
          <w:color w:val="auto"/>
        </w:rPr>
      </w:pPr>
    </w:p>
    <w:p>
      <w:pPr>
        <w:ind w:left="720" w:hanging="496"/>
        <w:spacing w:after="0"/>
        <w:tabs>
          <w:tab w:leader="none" w:pos="7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p>
    <w:p>
      <w:pPr>
        <w:spacing w:after="0" w:line="386"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2"/>
          <w:szCs w:val="22"/>
          <w:color w:val="auto"/>
        </w:rPr>
        <w:t>The Plan shall be binding upon any person, firm or business that is a successor to the business or interests of the Company, whether as a result of a Change in Control of the Company or otherwise. Any successor to the Company shall be required to assume the Plan in writing and honor the obligations of the Company and the Participating Employers hereunder. All payments and benefits that become due to an Eligible Employee under the Plan shall inure to the benefit of his/her heirs, assigns, designees or legal representatives.</w:t>
      </w:r>
    </w:p>
    <w:p>
      <w:pPr>
        <w:spacing w:after="0" w:line="351" w:lineRule="exact"/>
        <w:rPr>
          <w:sz w:val="20"/>
          <w:szCs w:val="20"/>
          <w:color w:val="auto"/>
        </w:rPr>
      </w:pPr>
    </w:p>
    <w:p>
      <w:pPr>
        <w:ind w:left="720" w:hanging="496"/>
        <w:spacing w:after="0"/>
        <w:tabs>
          <w:tab w:leader="none" w:pos="7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ENFORCEABILITY</w:t>
      </w:r>
    </w:p>
    <w:p>
      <w:pPr>
        <w:spacing w:after="0" w:line="39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1"/>
          <w:szCs w:val="21"/>
          <w:color w:val="auto"/>
        </w:rPr>
        <w:t>The Company intends the Plan to constitute a legally enforceable obligation between it and each Eligible Employee, and that the Plan confer vested rights on each Eligible Employee in accordance with the terms of the Plan, with each Eligible Employee being a third-party beneficiary thereof. Nothing in the Plan, however, shall be construed to confer on any Eligible Employee any right to continue in the employ of a Participating Employer or affect the right of a Participating Employer to terminate the employment or change the terms and conditions of employment of an Eligible Employee, with or without notice or cause, prior to a Change in Control, or to take any such action following a Change in Control, subject to the consequences specified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20"/>
          </w:cols>
          <w:pgMar w:left="320" w:top="1395" w:right="359" w:bottom="1440" w:gutter="0" w:footer="0" w:header="0"/>
        </w:sectPr>
      </w:pPr>
    </w:p>
    <w:bookmarkStart w:id="183" w:name="page184"/>
    <w:bookmarkEnd w:id="183"/>
    <w:p>
      <w:pPr>
        <w:spacing w:after="0" w:line="293"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2"/>
          <w:szCs w:val="22"/>
          <w:color w:val="auto"/>
        </w:rPr>
        <w:t>The Plan shall be construed and enforced in accordance with ERISA and the laws of the State of Indiana to the extent not preempted by ERISA, regardless of the law that might otherwise govern under applicable principles or provisions of choice or conflict of law doctrines. To the extent any provision of the Plan shall be invalid or unenforceable under any applicable law, it shall be considered deleted herefrom and all other provisions of the Plan shall be unaffected and shall continue in full force and effect.</w:t>
      </w:r>
    </w:p>
    <w:p>
      <w:pPr>
        <w:spacing w:after="0" w:line="200" w:lineRule="exact"/>
        <w:rPr>
          <w:sz w:val="20"/>
          <w:szCs w:val="20"/>
          <w:color w:val="auto"/>
        </w:rPr>
      </w:pPr>
    </w:p>
    <w:p>
      <w:pPr>
        <w:spacing w:after="0" w:line="299" w:lineRule="exact"/>
        <w:rPr>
          <w:sz w:val="20"/>
          <w:szCs w:val="20"/>
          <w:color w:val="auto"/>
        </w:rPr>
      </w:pPr>
    </w:p>
    <w:p>
      <w:pPr>
        <w:ind w:left="1140" w:hanging="484"/>
        <w:spacing w:after="0"/>
        <w:tabs>
          <w:tab w:leader="none" w:pos="114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COMPLIANCE</w:t>
      </w:r>
    </w:p>
    <w:p>
      <w:pPr>
        <w:spacing w:after="0" w:line="210"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To the extent applicable, it is intended that the Plan and all payments hereunder comply with the requirements of Section 409A, and the Plan shall be interpreted and applied by the Committee in a manner consistent with this intent in order to avoid the imposition of any additional tax under Section 409A. In the event that any provision of the Plan is determined by the Committee to not comply with the applicable requirements of Section 409A, the Committee shall have the authority to take such actions and to make such changes to the Plan as the Committee deems necessary to comply with such requirements. In no event whatsoever shall the Company be liable for any tax, interest or penalties that may be imposed on the Eligible Employee by or any damages for failing to comply with Section 409A. Notwithstanding the foregoing or anything elsewhere in the Plan to the contrary, if an</w:t>
      </w:r>
    </w:p>
    <w:p>
      <w:pPr>
        <w:spacing w:after="0" w:line="1"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Eligible Employee is treated as a “specified employee” as of the date of any payment under the Plan, then, to the extent required, the commencement of any payment under the Plan shall be delayed until the date that is six (6) months following the date of the Eligible Employee’s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140"/>
          </w:cols>
          <w:pgMar w:left="320" w:top="1440" w:right="439" w:bottom="1440" w:gutter="0" w:footer="0" w:header="0"/>
        </w:sectPr>
      </w:pPr>
    </w:p>
    <w:bookmarkStart w:id="184" w:name="page185"/>
    <w:bookmarkEnd w:id="184"/>
    <w:p>
      <w:pPr>
        <w:ind w:left="370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The following are subsidiaries and affiliated companies of Eli Lilly and Company at December 31, 2023.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Akouos Securities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Akouos,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Peru</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ARMO Biosciences,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Compania Farmaceutica Eli Lilly de Centro America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Dermira,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DICE Alpha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DICE Molecules SV,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DICE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Disarm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Dominicana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Management,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(Suisse)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Benelux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B-H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Bosnia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Canada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Clinical Diagnostics Laboratory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bl>
    <w:p>
      <w:pPr>
        <w:sectPr>
          <w:pgSz w:w="11900" w:h="16838" w:orient="portrait"/>
          <w:cols w:equalWidth="0" w:num="1">
            <w:col w:w="11180"/>
          </w:cols>
          <w:pgMar w:left="360" w:top="890" w:right="35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Eli Lilly CR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Czech Republic</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Danmark A/S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de Costa Rica,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Costa 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Export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18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Finance,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Ges.m.b.H.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Croatia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Chile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Israel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Italia S.p.A.</w:t>
            </w:r>
          </w:p>
        </w:tc>
        <w:tc>
          <w:tcPr>
            <w:tcW w:w="518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Japan K.K.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Norge A.S.</w:t>
            </w:r>
          </w:p>
        </w:tc>
        <w:tc>
          <w:tcPr>
            <w:tcW w:w="5180" w:type="dxa"/>
            <w:vAlign w:val="bottom"/>
          </w:tcPr>
          <w:p>
            <w:pPr>
              <w:jc w:val="center"/>
              <w:spacing w:after="0"/>
              <w:rPr>
                <w:sz w:val="20"/>
                <w:szCs w:val="20"/>
                <w:color w:val="auto"/>
              </w:rPr>
            </w:pPr>
            <w:r>
              <w:rPr>
                <w:rFonts w:ascii="Arial" w:cs="Arial" w:eastAsia="Arial" w:hAnsi="Arial"/>
                <w:sz w:val="18"/>
                <w:szCs w:val="18"/>
                <w:color w:val="auto"/>
              </w:rPr>
              <w:t>Norway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180" w:type="dxa"/>
            <w:vAlign w:val="bottom"/>
          </w:tcPr>
          <w:p>
            <w:pPr>
              <w:jc w:val="center"/>
              <w:spacing w:after="0"/>
              <w:rPr>
                <w:sz w:val="20"/>
                <w:szCs w:val="20"/>
                <w:color w:val="auto"/>
              </w:rPr>
            </w:pPr>
            <w:r>
              <w:rPr>
                <w:rFonts w:ascii="Arial" w:cs="Arial" w:eastAsia="Arial" w:hAnsi="Arial"/>
                <w:sz w:val="18"/>
                <w:szCs w:val="18"/>
                <w:color w:val="auto"/>
              </w:rPr>
              <w:t>Pakistan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Polska Sp. z.o.o.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Romania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Sweden AB</w:t>
            </w:r>
          </w:p>
        </w:tc>
        <w:tc>
          <w:tcPr>
            <w:tcW w:w="5180" w:type="dxa"/>
            <w:vAlign w:val="bottom"/>
          </w:tcPr>
          <w:p>
            <w:pPr>
              <w:jc w:val="center"/>
              <w:spacing w:after="0"/>
              <w:rPr>
                <w:sz w:val="20"/>
                <w:szCs w:val="20"/>
                <w:color w:val="auto"/>
              </w:rPr>
            </w:pPr>
            <w:r>
              <w:rPr>
                <w:rFonts w:ascii="Arial" w:cs="Arial" w:eastAsia="Arial" w:hAnsi="Arial"/>
                <w:sz w:val="18"/>
                <w:szCs w:val="18"/>
                <w:color w:val="auto"/>
              </w:rPr>
              <w:t>Sweden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Vostok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Emergence Therapeutics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Emergence Therapeutics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Epitopia ApS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Glycostasis,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IASO ApS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ICOS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Washington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ImClone Systems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Immunitrack ApS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180"/>
          </w:cols>
          <w:pgMar w:left="360" w:top="928" w:right="35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Irisfarma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IV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V 2023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Cayman Holdings</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Centre for Clinical Pharmacology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del Caribe, Inc.</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Holding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Hungaria KFT</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Korea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Pharma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Trading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USA,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Loxo Oncology,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Mablink Bioscience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Petra Pharma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Pharmaserve-Lilly S.A.C.I.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Point Biopharma Corp.</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Point Biopharma Global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Point Biopharma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Point Biopharma USA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Prevail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Protomer Technologies,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bl>
    <w:p>
      <w:pPr>
        <w:sectPr>
          <w:pgSz w:w="11900" w:h="16838" w:orient="portrait"/>
          <w:cols w:equalWidth="0" w:num="1">
            <w:col w:w="11180"/>
          </w:cols>
          <w:pgMar w:left="360" w:top="928" w:right="35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Sigilon Securities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Sigilon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Spaly Bioquimica,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UAB Eli Lilly Lietuva</w:t>
            </w:r>
          </w:p>
        </w:tc>
        <w:tc>
          <w:tcPr>
            <w:tcW w:w="518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Valquifarma,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Versanis Bio Australia PTY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Versanis Bio,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Vitalfarma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West 78th Street,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bl>
    <w:p>
      <w:pPr>
        <w:sectPr>
          <w:pgSz w:w="11900" w:h="16838" w:orient="portrait"/>
          <w:cols w:equalWidth="0" w:num="1">
            <w:col w:w="11180"/>
          </w:cols>
          <w:pgMar w:left="360" w:top="928" w:right="359" w:bottom="1440" w:gutter="0" w:footer="0" w:header="0"/>
        </w:sectPr>
      </w:pPr>
    </w:p>
    <w:bookmarkStart w:id="188" w:name="page189"/>
    <w:bookmarkEnd w:id="188"/>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(Form S-3 ASR No. 333-262943; and Form S-8 Nos. 333-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104057, 333-172422, 333-258801, and 333-258803) of Eli Lilly and Company and in the related Prospectus of our reports dated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February 21, 2024, with respect to the consolidated financial statements of Eli Lilly and Company and subsidiaries, and the effectiveness 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of Eli Lilly and Company and subsidiaries, included in this Annual Report (Form 10-K) for the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ectPr>
          <w:pgSz w:w="11900" w:h="16838" w:orient="portrait"/>
          <w:cols w:equalWidth="0" w:num="1">
            <w:col w:w="11060"/>
          </w:cols>
          <w:pgMar w:left="320" w:top="1440" w:right="5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90" w:lineRule="exact"/>
        <w:rPr>
          <w:sz w:val="20"/>
          <w:szCs w:val="20"/>
          <w:color w:val="auto"/>
        </w:rPr>
      </w:pPr>
    </w:p>
    <w:p>
      <w:pPr>
        <w:ind w:left="640" w:hanging="308"/>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2024</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Ricks</w:t>
            </w:r>
          </w:p>
        </w:tc>
      </w:tr>
      <w:tr>
        <w:trPr>
          <w:trHeight w:val="218"/>
        </w:trPr>
        <w:tc>
          <w:tcPr>
            <w:tcW w:w="60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David Ricks</w:t>
            </w:r>
          </w:p>
        </w:tc>
      </w:tr>
      <w:tr>
        <w:trPr>
          <w:trHeight w:val="239"/>
        </w:trPr>
        <w:tc>
          <w:tcPr>
            <w:tcW w:w="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890"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EXHIBIT 31.2 Rule 13a-14(a) Certification of Anat Ashkenazi,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Anat Ashkenazi, Executive Vice President and Chief Financial Officer, certify that:</w:t>
      </w:r>
    </w:p>
    <w:p>
      <w:pPr>
        <w:spacing w:after="0" w:line="90" w:lineRule="exact"/>
        <w:rPr>
          <w:sz w:val="20"/>
          <w:szCs w:val="20"/>
          <w:color w:val="auto"/>
        </w:rPr>
      </w:pPr>
    </w:p>
    <w:p>
      <w:pPr>
        <w:ind w:left="640" w:hanging="308"/>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2024</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Anat Ashkenazi</w:t>
            </w:r>
          </w:p>
        </w:tc>
      </w:tr>
      <w:tr>
        <w:trPr>
          <w:trHeight w:val="218"/>
        </w:trPr>
        <w:tc>
          <w:tcPr>
            <w:tcW w:w="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Anat Ashkenazi</w:t>
            </w:r>
          </w:p>
        </w:tc>
      </w:tr>
      <w:tr>
        <w:trPr>
          <w:trHeight w:val="239"/>
        </w:trPr>
        <w:tc>
          <w:tcPr>
            <w:tcW w:w="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890"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Annual Report on Form 10-K for the year ended December 31, 2023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Date: February 21, 2024</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David Ricks</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David Ricks</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Chair, President, and Chief Executive Officer</w:t>
            </w:r>
          </w:p>
        </w:tc>
      </w:tr>
      <w:tr>
        <w:trPr>
          <w:trHeight w:val="630"/>
        </w:trPr>
        <w:tc>
          <w:tcPr>
            <w:tcW w:w="5080" w:type="dxa"/>
            <w:vAlign w:val="bottom"/>
          </w:tcPr>
          <w:p>
            <w:pPr>
              <w:spacing w:after="0"/>
              <w:rPr>
                <w:sz w:val="20"/>
                <w:szCs w:val="20"/>
                <w:color w:val="auto"/>
              </w:rPr>
            </w:pPr>
            <w:r>
              <w:rPr>
                <w:rFonts w:ascii="Arial" w:cs="Arial" w:eastAsia="Arial" w:hAnsi="Arial"/>
                <w:sz w:val="18"/>
                <w:szCs w:val="18"/>
                <w:color w:val="auto"/>
              </w:rPr>
              <w:t>Date: February 21, 2024</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Anat Ashkenazi</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Anat Ashkenazi</w:t>
            </w:r>
          </w:p>
        </w:tc>
      </w:tr>
      <w:tr>
        <w:trPr>
          <w:trHeight w:val="181"/>
        </w:trPr>
        <w:tc>
          <w:tcPr>
            <w:tcW w:w="5080" w:type="dxa"/>
            <w:vAlign w:val="bottom"/>
          </w:tcPr>
          <w:p>
            <w:pPr>
              <w:spacing w:after="0"/>
              <w:rPr>
                <w:sz w:val="15"/>
                <w:szCs w:val="15"/>
                <w:color w:val="auto"/>
              </w:rPr>
            </w:pPr>
          </w:p>
        </w:tc>
        <w:tc>
          <w:tcPr>
            <w:tcW w:w="5900" w:type="dxa"/>
            <w:vAlign w:val="bottom"/>
          </w:tcPr>
          <w:p>
            <w:pPr>
              <w:ind w:left="160"/>
              <w:spacing w:after="0" w:line="181" w:lineRule="exact"/>
              <w:rPr>
                <w:sz w:val="20"/>
                <w:szCs w:val="20"/>
                <w:color w:val="auto"/>
              </w:rPr>
            </w:pPr>
            <w:r>
              <w:rPr>
                <w:rFonts w:ascii="Arial" w:cs="Arial" w:eastAsia="Arial" w:hAnsi="Arial"/>
                <w:sz w:val="18"/>
                <w:szCs w:val="18"/>
                <w:color w:val="auto"/>
              </w:rPr>
              <w:t>Executive Vice President and</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192" w:name="page193"/>
    <w:bookmarkEnd w:id="192"/>
    <w:p>
      <w:pPr>
        <w:spacing w:after="0"/>
        <w:rPr>
          <w:sz w:val="20"/>
          <w:szCs w:val="20"/>
          <w:color w:val="auto"/>
        </w:rPr>
      </w:pPr>
      <w:r>
        <w:rPr>
          <w:rFonts w:ascii="Calibri" w:cs="Calibri" w:eastAsia="Calibri" w:hAnsi="Calibri"/>
          <w:sz w:val="20"/>
          <w:szCs w:val="20"/>
          <w:b w:val="1"/>
          <w:bCs w:val="1"/>
          <w:color w:val="auto"/>
        </w:rPr>
        <w:t>Exhibit 97 Executve Compensaton Recovery Policy</w:t>
      </w: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Executve Compensaton Recovery Policy</w:t>
      </w: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Efectve October 2, 2023 (the “Efectve Date”)</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Purpose and Scope</w:t>
      </w:r>
    </w:p>
    <w:p>
      <w:pPr>
        <w:spacing w:after="0" w:line="211" w:lineRule="exact"/>
        <w:rPr>
          <w:sz w:val="20"/>
          <w:szCs w:val="20"/>
          <w:color w:val="auto"/>
        </w:rPr>
      </w:pPr>
    </w:p>
    <w:p>
      <w:pPr>
        <w:ind w:right="180"/>
        <w:spacing w:after="0" w:line="246" w:lineRule="auto"/>
        <w:rPr>
          <w:sz w:val="20"/>
          <w:szCs w:val="20"/>
          <w:color w:val="auto"/>
        </w:rPr>
      </w:pPr>
      <w:r>
        <w:rPr>
          <w:rFonts w:ascii="Calibri" w:cs="Calibri" w:eastAsia="Calibri" w:hAnsi="Calibri"/>
          <w:sz w:val="20"/>
          <w:szCs w:val="20"/>
          <w:color w:val="auto"/>
        </w:rPr>
        <w:t>Eli Lilly and Company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believes that it is in the best interests of the Company and its shareholders to create and maintain a culture that emphasizes integrity and accountability and that reinforces the Company’s pay-for-performance compensaton philosophy. The Company has therefore adopted this Executve Compensaton Recovery Policy (this “</w:t>
      </w:r>
      <w:r>
        <w:rPr>
          <w:rFonts w:ascii="Calibri" w:cs="Calibri" w:eastAsia="Calibri" w:hAnsi="Calibri"/>
          <w:sz w:val="20"/>
          <w:szCs w:val="20"/>
          <w:u w:val="single" w:color="auto"/>
          <w:color w:val="auto"/>
        </w:rPr>
        <w:t>Policy</w:t>
      </w:r>
      <w:r>
        <w:rPr>
          <w:rFonts w:ascii="Calibri" w:cs="Calibri" w:eastAsia="Calibri" w:hAnsi="Calibri"/>
          <w:sz w:val="20"/>
          <w:szCs w:val="20"/>
          <w:color w:val="auto"/>
        </w:rPr>
        <w:t>”), which provides for Recoupment</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certain executve compensaton in the event that the Company is required to prepare an Accountng Restatement due to material noncompliance with any fnancial reportng requirement under the federal securites laws (“</w:t>
      </w:r>
      <w:r>
        <w:rPr>
          <w:rFonts w:ascii="Calibri" w:cs="Calibri" w:eastAsia="Calibri" w:hAnsi="Calibri"/>
          <w:sz w:val="20"/>
          <w:szCs w:val="20"/>
          <w:u w:val="single" w:color="auto"/>
          <w:color w:val="auto"/>
        </w:rPr>
        <w:t>Exchange Rule Recoupment</w:t>
      </w:r>
      <w:r>
        <w:rPr>
          <w:rFonts w:ascii="Calibri" w:cs="Calibri" w:eastAsia="Calibri" w:hAnsi="Calibri"/>
          <w:sz w:val="20"/>
          <w:szCs w:val="20"/>
          <w:color w:val="auto"/>
        </w:rPr>
        <w:t>”) and addresses certain other rights of the Company for Recoupment of Incentve-Based Compensaton (cash or equity) and/or Non-Qualifed Plan Benefts previously granted or paid to Executves.</w:t>
      </w:r>
    </w:p>
    <w:p>
      <w:pPr>
        <w:spacing w:after="0" w:line="211" w:lineRule="exact"/>
        <w:rPr>
          <w:sz w:val="20"/>
          <w:szCs w:val="20"/>
          <w:color w:val="auto"/>
        </w:rPr>
      </w:pPr>
    </w:p>
    <w:p>
      <w:pPr>
        <w:spacing w:after="0" w:line="254" w:lineRule="auto"/>
        <w:rPr>
          <w:sz w:val="20"/>
          <w:szCs w:val="20"/>
          <w:color w:val="auto"/>
        </w:rPr>
      </w:pPr>
      <w:r>
        <w:rPr>
          <w:rFonts w:ascii="Calibri" w:cs="Calibri" w:eastAsia="Calibri" w:hAnsi="Calibri"/>
          <w:sz w:val="20"/>
          <w:szCs w:val="20"/>
          <w:color w:val="auto"/>
        </w:rPr>
        <w:t>This Policy also provides the Company remedies to address payments of Incentve-Based Compensaton and/or Non-Qualifed Plan Benefts provided to Executves that were based on Materially Inaccurate Assessments (as described below) of performance calculatons, whether or not the inaccuracies were atributable to Misconduct and whether or not they result in an Accountng Restatement.</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Administraton; Interpretaton</w:t>
      </w:r>
    </w:p>
    <w:p>
      <w:pPr>
        <w:spacing w:after="0" w:line="211" w:lineRule="exact"/>
        <w:rPr>
          <w:sz w:val="20"/>
          <w:szCs w:val="20"/>
          <w:color w:val="auto"/>
        </w:rPr>
      </w:pPr>
    </w:p>
    <w:p>
      <w:pPr>
        <w:ind w:right="20"/>
        <w:spacing w:after="0" w:line="258" w:lineRule="auto"/>
        <w:rPr>
          <w:sz w:val="20"/>
          <w:szCs w:val="20"/>
          <w:color w:val="auto"/>
        </w:rPr>
      </w:pPr>
      <w:r>
        <w:rPr>
          <w:rFonts w:ascii="Calibri" w:cs="Calibri" w:eastAsia="Calibri" w:hAnsi="Calibri"/>
          <w:sz w:val="20"/>
          <w:szCs w:val="20"/>
          <w:color w:val="auto"/>
        </w:rPr>
        <w:t>This Policy will be administered by the Talent and Compensaton Commitee of the Board of Directors (the “</w:t>
      </w:r>
      <w:r>
        <w:rPr>
          <w:rFonts w:ascii="Calibri" w:cs="Calibri" w:eastAsia="Calibri" w:hAnsi="Calibri"/>
          <w:sz w:val="20"/>
          <w:szCs w:val="20"/>
          <w:u w:val="single" w:color="auto"/>
          <w:color w:val="auto"/>
        </w:rPr>
        <w:t>Commitee</w:t>
      </w:r>
      <w:r>
        <w:rPr>
          <w:rFonts w:ascii="Calibri" w:cs="Calibri" w:eastAsia="Calibri" w:hAnsi="Calibri"/>
          <w:sz w:val="20"/>
          <w:szCs w:val="20"/>
          <w:color w:val="auto"/>
        </w:rPr>
        <w:t>”), which has the authority to interpret and construe this Policy and to make all determinatons necessary, appropriate, or advisable for the administraton of this Policy. With respect to employees who are not Covered Executves, the Commitee delegates administraton of this Policy to the chief executve ofcer of the Company, who may further delegate such authority to other executves or commitees. For maters so delegated, the Commitee will retain oversight of management’s administraton of this Policy. References hereafer to the Commitee shall include persons to whom authority to administer this Policy has been delegated, as appropriate.</w:t>
      </w:r>
    </w:p>
    <w:p>
      <w:pPr>
        <w:spacing w:after="0" w:line="194" w:lineRule="exact"/>
        <w:rPr>
          <w:sz w:val="20"/>
          <w:szCs w:val="20"/>
          <w:color w:val="auto"/>
        </w:rPr>
      </w:pPr>
    </w:p>
    <w:p>
      <w:pPr>
        <w:ind w:right="520"/>
        <w:spacing w:after="0" w:line="242" w:lineRule="auto"/>
        <w:rPr>
          <w:sz w:val="20"/>
          <w:szCs w:val="20"/>
          <w:color w:val="auto"/>
        </w:rPr>
      </w:pPr>
      <w:r>
        <w:rPr>
          <w:rFonts w:ascii="Calibri" w:cs="Calibri" w:eastAsia="Calibri" w:hAnsi="Calibri"/>
          <w:sz w:val="20"/>
          <w:szCs w:val="20"/>
          <w:color w:val="auto"/>
        </w:rPr>
        <w:t>Management shall apprise the Commitee of occurrences where it would be appropriate for the Commitee to determine whether Recoupment is required or appropriate under this Policy.</w:t>
      </w:r>
    </w:p>
    <w:p>
      <w:pPr>
        <w:spacing w:after="0" w:line="210" w:lineRule="exact"/>
        <w:rPr>
          <w:sz w:val="20"/>
          <w:szCs w:val="20"/>
          <w:color w:val="auto"/>
        </w:rPr>
      </w:pPr>
    </w:p>
    <w:p>
      <w:pPr>
        <w:ind w:right="300"/>
        <w:spacing w:after="0" w:line="253" w:lineRule="auto"/>
        <w:rPr>
          <w:sz w:val="20"/>
          <w:szCs w:val="20"/>
          <w:color w:val="auto"/>
        </w:rPr>
      </w:pPr>
      <w:r>
        <w:rPr>
          <w:rFonts w:ascii="Calibri" w:cs="Calibri" w:eastAsia="Calibri" w:hAnsi="Calibri"/>
          <w:sz w:val="20"/>
          <w:szCs w:val="20"/>
          <w:color w:val="auto"/>
        </w:rPr>
        <w:t>It is intended that the Exchange Rule Recoupment requirements components of this Policy (the “</w:t>
      </w:r>
      <w:r>
        <w:rPr>
          <w:rFonts w:ascii="Calibri" w:cs="Calibri" w:eastAsia="Calibri" w:hAnsi="Calibri"/>
          <w:sz w:val="20"/>
          <w:szCs w:val="20"/>
          <w:u w:val="single" w:color="auto"/>
          <w:color w:val="auto"/>
        </w:rPr>
        <w:t>Exchange Rule Recoupment</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Requirements</w:t>
      </w:r>
      <w:r>
        <w:rPr>
          <w:rFonts w:ascii="Calibri" w:cs="Calibri" w:eastAsia="Calibri" w:hAnsi="Calibri"/>
          <w:sz w:val="20"/>
          <w:szCs w:val="20"/>
          <w:color w:val="auto"/>
        </w:rPr>
        <w:t>”) be interpreted in a manner that is consistent with the requirements of Secton 10D of the Securites Exchange Act of 1934 (the “</w:t>
      </w:r>
      <w:r>
        <w:rPr>
          <w:rFonts w:ascii="Calibri" w:cs="Calibri" w:eastAsia="Calibri" w:hAnsi="Calibri"/>
          <w:sz w:val="20"/>
          <w:szCs w:val="20"/>
          <w:u w:val="single" w:color="auto"/>
          <w:color w:val="auto"/>
        </w:rPr>
        <w:t>Exchange Act</w:t>
      </w:r>
      <w:r>
        <w:rPr>
          <w:rFonts w:ascii="Calibri" w:cs="Calibri" w:eastAsia="Calibri" w:hAnsi="Calibri"/>
          <w:sz w:val="20"/>
          <w:szCs w:val="20"/>
          <w:color w:val="auto"/>
        </w:rPr>
        <w:t>”) and the applicable rules or standards adopted by the SEC or any natonal securites exchange on which the Company’s securites are listed.</w:t>
      </w:r>
    </w:p>
    <w:p>
      <w:pPr>
        <w:spacing w:after="0" w:line="199" w:lineRule="exact"/>
        <w:rPr>
          <w:sz w:val="20"/>
          <w:szCs w:val="20"/>
          <w:color w:val="auto"/>
        </w:rPr>
      </w:pPr>
    </w:p>
    <w:p>
      <w:pPr>
        <w:ind w:right="320"/>
        <w:spacing w:after="0" w:line="255" w:lineRule="auto"/>
        <w:rPr>
          <w:sz w:val="20"/>
          <w:szCs w:val="20"/>
          <w:color w:val="auto"/>
        </w:rPr>
      </w:pPr>
      <w:r>
        <w:rPr>
          <w:rFonts w:ascii="Calibri" w:cs="Calibri" w:eastAsia="Calibri" w:hAnsi="Calibri"/>
          <w:sz w:val="20"/>
          <w:szCs w:val="20"/>
          <w:color w:val="auto"/>
        </w:rPr>
        <w:t>The Commitee will determine the method(s) for Recoupment under this Policy. Any determinatons made by the Commitee shall be fnal and binding on all afected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14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152"/>
        </w:numPr>
        <w:rPr>
          <w:rFonts w:ascii="Calibri" w:cs="Calibri" w:eastAsia="Calibri" w:hAnsi="Calibri"/>
          <w:sz w:val="26"/>
          <w:szCs w:val="26"/>
          <w:color w:val="auto"/>
          <w:vertAlign w:val="superscript"/>
        </w:rPr>
      </w:pPr>
      <w:r>
        <w:rPr>
          <w:rFonts w:ascii="Calibri" w:cs="Calibri" w:eastAsia="Calibri" w:hAnsi="Calibri"/>
          <w:sz w:val="20"/>
          <w:szCs w:val="20"/>
          <w:color w:val="auto"/>
        </w:rPr>
        <w:t>Refer to “</w:t>
      </w:r>
      <w:r>
        <w:rPr>
          <w:rFonts w:ascii="Calibri" w:cs="Calibri" w:eastAsia="Calibri" w:hAnsi="Calibri"/>
          <w:sz w:val="20"/>
          <w:szCs w:val="20"/>
          <w:b w:val="1"/>
          <w:bCs w:val="1"/>
          <w:color w:val="auto"/>
        </w:rPr>
        <w:t>Certain Defnitons for Purposes of the Policy</w:t>
      </w:r>
      <w:r>
        <w:rPr>
          <w:rFonts w:ascii="Calibri" w:cs="Calibri" w:eastAsia="Calibri" w:hAnsi="Calibri"/>
          <w:sz w:val="20"/>
          <w:szCs w:val="20"/>
          <w:color w:val="auto"/>
        </w:rPr>
        <w:t>” below for defnitons.</w:t>
      </w:r>
    </w:p>
    <w:p>
      <w:pPr>
        <w:spacing w:after="0" w:line="200" w:lineRule="exact"/>
        <w:rPr>
          <w:rFonts w:ascii="Calibri" w:cs="Calibri" w:eastAsia="Calibri" w:hAnsi="Calibri"/>
          <w:sz w:val="26"/>
          <w:szCs w:val="26"/>
          <w:color w:val="auto"/>
          <w:vertAlign w:val="superscript"/>
        </w:rPr>
      </w:pPr>
    </w:p>
    <w:p>
      <w:pPr>
        <w:spacing w:after="0" w:line="200" w:lineRule="exact"/>
        <w:rPr>
          <w:rFonts w:ascii="Calibri" w:cs="Calibri" w:eastAsia="Calibri" w:hAnsi="Calibri"/>
          <w:sz w:val="26"/>
          <w:szCs w:val="26"/>
          <w:color w:val="auto"/>
          <w:vertAlign w:val="superscript"/>
        </w:rPr>
      </w:pPr>
    </w:p>
    <w:p>
      <w:pPr>
        <w:spacing w:after="0" w:line="200" w:lineRule="exact"/>
        <w:rPr>
          <w:rFonts w:ascii="Calibri" w:cs="Calibri" w:eastAsia="Calibri" w:hAnsi="Calibri"/>
          <w:sz w:val="26"/>
          <w:szCs w:val="26"/>
          <w:color w:val="auto"/>
          <w:vertAlign w:val="superscript"/>
        </w:rPr>
      </w:pPr>
    </w:p>
    <w:p>
      <w:pPr>
        <w:spacing w:after="0" w:line="200" w:lineRule="exact"/>
        <w:rPr>
          <w:rFonts w:ascii="Calibri" w:cs="Calibri" w:eastAsia="Calibri" w:hAnsi="Calibri"/>
          <w:sz w:val="26"/>
          <w:szCs w:val="26"/>
          <w:color w:val="auto"/>
          <w:vertAlign w:val="superscript"/>
        </w:rPr>
      </w:pPr>
    </w:p>
    <w:p>
      <w:pPr>
        <w:spacing w:after="0" w:line="332" w:lineRule="exact"/>
        <w:rPr>
          <w:rFonts w:ascii="Calibri" w:cs="Calibri" w:eastAsia="Calibri" w:hAnsi="Calibri"/>
          <w:sz w:val="26"/>
          <w:szCs w:val="26"/>
          <w:color w:val="auto"/>
          <w:vertAlign w:val="superscript"/>
        </w:rPr>
      </w:pPr>
    </w:p>
    <w:p>
      <w:pPr>
        <w:ind w:left="5580"/>
        <w:spacing w:after="0"/>
        <w:rPr>
          <w:rFonts w:ascii="Calibri" w:cs="Calibri" w:eastAsia="Calibri" w:hAnsi="Calibri"/>
          <w:sz w:val="26"/>
          <w:szCs w:val="26"/>
          <w:color w:val="auto"/>
          <w:vertAlign w:val="superscript"/>
        </w:rPr>
      </w:pPr>
      <w:r>
        <w:rPr>
          <w:rFonts w:ascii="Calibri" w:cs="Calibri" w:eastAsia="Calibri" w:hAnsi="Calibri"/>
          <w:sz w:val="20"/>
          <w:szCs w:val="20"/>
          <w:color w:val="auto"/>
        </w:rPr>
        <w:t>1</w:t>
      </w:r>
    </w:p>
    <w:p>
      <w:pPr>
        <w:sectPr>
          <w:pgSz w:w="11900" w:h="16838" w:orient="portrait"/>
          <w:cols w:equalWidth="0" w:num="1">
            <w:col w:w="11220"/>
          </w:cols>
          <w:pgMar w:left="320" w:top="1280" w:right="359" w:bottom="1440" w:gutter="0" w:footer="0" w:header="0"/>
        </w:sectPr>
      </w:pPr>
    </w:p>
    <w:bookmarkStart w:id="193" w:name="page194"/>
    <w:bookmarkEnd w:id="193"/>
    <w:p>
      <w:pPr>
        <w:spacing w:after="0"/>
        <w:rPr>
          <w:sz w:val="20"/>
          <w:szCs w:val="20"/>
          <w:color w:val="auto"/>
        </w:rPr>
      </w:pPr>
      <w:r>
        <w:rPr>
          <w:rFonts w:ascii="Calibri" w:cs="Calibri" w:eastAsia="Calibri" w:hAnsi="Calibri"/>
          <w:sz w:val="20"/>
          <w:szCs w:val="20"/>
          <w:b w:val="1"/>
          <w:bCs w:val="1"/>
          <w:color w:val="auto"/>
        </w:rPr>
        <w:t>Exchange Rule Recoupment</w:t>
      </w:r>
    </w:p>
    <w:p>
      <w:pPr>
        <w:spacing w:after="0" w:line="201" w:lineRule="exact"/>
        <w:rPr>
          <w:sz w:val="20"/>
          <w:szCs w:val="20"/>
          <w:color w:val="auto"/>
        </w:rPr>
      </w:pPr>
    </w:p>
    <w:p>
      <w:pPr>
        <w:ind w:left="340"/>
        <w:spacing w:after="0"/>
        <w:tabs>
          <w:tab w:leader="none" w:pos="600" w:val="left"/>
        </w:tabs>
        <w:rPr>
          <w:sz w:val="20"/>
          <w:szCs w:val="20"/>
          <w:color w:val="auto"/>
        </w:rPr>
      </w:pPr>
      <w:r>
        <w:rPr>
          <w:rFonts w:ascii="Calibri" w:cs="Calibri" w:eastAsia="Calibri" w:hAnsi="Calibri"/>
          <w:sz w:val="20"/>
          <w:szCs w:val="20"/>
          <w:b w:val="1"/>
          <w:bCs w:val="1"/>
          <w:color w:val="auto"/>
        </w:rPr>
        <w:t>I.</w:t>
        <w:tab/>
        <w:t>Accountng Restatement</w:t>
      </w:r>
    </w:p>
    <w:p>
      <w:pPr>
        <w:spacing w:after="0" w:line="211" w:lineRule="exact"/>
        <w:rPr>
          <w:sz w:val="20"/>
          <w:szCs w:val="20"/>
          <w:color w:val="auto"/>
        </w:rPr>
      </w:pPr>
    </w:p>
    <w:p>
      <w:pPr>
        <w:ind w:right="160"/>
        <w:spacing w:after="0" w:line="257" w:lineRule="auto"/>
        <w:rPr>
          <w:sz w:val="20"/>
          <w:szCs w:val="20"/>
          <w:color w:val="auto"/>
        </w:rPr>
      </w:pPr>
      <w:r>
        <w:rPr>
          <w:rFonts w:ascii="Calibri" w:cs="Calibri" w:eastAsia="Calibri" w:hAnsi="Calibri"/>
          <w:sz w:val="20"/>
          <w:szCs w:val="20"/>
          <w:color w:val="auto"/>
        </w:rPr>
        <w:t>In the event the Company is required to prepare an Accountng Restatement, the Commitee will require Recoupment of the Overpayment received by any Covered Executve during the three (3) completed fscal years immediately preceding the date on which the Company is required to prepare an Accountng Restatement and any transiton period (that results from a change in the Company’s fscal year) within or immediately following those three (3) completed fscal years.</w:t>
      </w:r>
    </w:p>
    <w:p>
      <w:pPr>
        <w:spacing w:after="0" w:line="173" w:lineRule="exact"/>
        <w:rPr>
          <w:sz w:val="20"/>
          <w:szCs w:val="20"/>
          <w:color w:val="auto"/>
        </w:rPr>
      </w:pPr>
    </w:p>
    <w:p>
      <w:pPr>
        <w:ind w:left="340"/>
        <w:spacing w:after="0"/>
        <w:tabs>
          <w:tab w:leader="none" w:pos="660" w:val="left"/>
        </w:tabs>
        <w:rPr>
          <w:sz w:val="20"/>
          <w:szCs w:val="20"/>
          <w:color w:val="auto"/>
        </w:rPr>
      </w:pPr>
      <w:r>
        <w:rPr>
          <w:rFonts w:ascii="Calibri" w:cs="Calibri" w:eastAsia="Calibri" w:hAnsi="Calibri"/>
          <w:sz w:val="20"/>
          <w:szCs w:val="20"/>
          <w:b w:val="1"/>
          <w:bCs w:val="1"/>
          <w:color w:val="auto"/>
        </w:rPr>
        <w:t>II.</w:t>
        <w:tab/>
        <w:t>Determinaton of Receipt of Incentve-Based Compensaton</w:t>
      </w:r>
    </w:p>
    <w:p>
      <w:pPr>
        <w:spacing w:after="0" w:line="211" w:lineRule="exact"/>
        <w:rPr>
          <w:sz w:val="20"/>
          <w:szCs w:val="20"/>
          <w:color w:val="auto"/>
        </w:rPr>
      </w:pPr>
    </w:p>
    <w:p>
      <w:pPr>
        <w:ind w:right="40"/>
        <w:spacing w:after="0" w:line="254" w:lineRule="auto"/>
        <w:rPr>
          <w:sz w:val="20"/>
          <w:szCs w:val="20"/>
          <w:color w:val="auto"/>
        </w:rPr>
      </w:pPr>
      <w:r>
        <w:rPr>
          <w:rFonts w:ascii="Calibri" w:cs="Calibri" w:eastAsia="Calibri" w:hAnsi="Calibri"/>
          <w:sz w:val="20"/>
          <w:szCs w:val="20"/>
          <w:color w:val="auto"/>
        </w:rPr>
        <w:t>For purposes of Exchange Rule Recoupment, Incentve-Based Compensaton is deemed received in the Company’s fscal period during which the Financial Reportng Measure specifed in the Incentve-Based Compensaton award is atained, even if the payment or grant of the Incentve-Based Compensaton occurs afer the end of that period.</w:t>
      </w:r>
    </w:p>
    <w:p>
      <w:pPr>
        <w:spacing w:after="0" w:line="197" w:lineRule="exact"/>
        <w:rPr>
          <w:sz w:val="20"/>
          <w:szCs w:val="20"/>
          <w:color w:val="auto"/>
        </w:rPr>
      </w:pPr>
    </w:p>
    <w:p>
      <w:pPr>
        <w:ind w:right="280"/>
        <w:spacing w:after="0" w:line="258" w:lineRule="auto"/>
        <w:rPr>
          <w:sz w:val="20"/>
          <w:szCs w:val="20"/>
          <w:color w:val="auto"/>
        </w:rPr>
      </w:pPr>
      <w:r>
        <w:rPr>
          <w:rFonts w:ascii="Calibri" w:cs="Calibri" w:eastAsia="Calibri" w:hAnsi="Calibri"/>
          <w:sz w:val="20"/>
          <w:szCs w:val="20"/>
          <w:color w:val="auto"/>
        </w:rPr>
        <w:t>For Incentve-Based Compensaton based on stock price, total shareholder return, or other metric where the amount of erroneously awarded compensaton is not subject to mathematcal recalculaton directly from the informaton in the Accountng Restatement, the amount must be based on a reasonable estmate of the efect of the Accountng Restatement on the stock price, total shareholder return, or other such metric upon which the Incentve-Based Compensaton was received; and the Company must maintain documentaton of the determinaton of that reasonable estmate and provide such documentaton to the exchange on which the Company’s securites are listed as necessary.</w:t>
      </w:r>
    </w:p>
    <w:p>
      <w:pPr>
        <w:spacing w:after="0" w:line="171" w:lineRule="exact"/>
        <w:rPr>
          <w:sz w:val="20"/>
          <w:szCs w:val="20"/>
          <w:color w:val="auto"/>
        </w:rPr>
      </w:pPr>
    </w:p>
    <w:p>
      <w:pPr>
        <w:ind w:left="340"/>
        <w:spacing w:after="0"/>
        <w:tabs>
          <w:tab w:leader="none" w:pos="720" w:val="left"/>
        </w:tabs>
        <w:rPr>
          <w:sz w:val="20"/>
          <w:szCs w:val="20"/>
          <w:color w:val="auto"/>
        </w:rPr>
      </w:pPr>
      <w:r>
        <w:rPr>
          <w:rFonts w:ascii="Calibri" w:cs="Calibri" w:eastAsia="Calibri" w:hAnsi="Calibri"/>
          <w:sz w:val="20"/>
          <w:szCs w:val="20"/>
          <w:b w:val="1"/>
          <w:bCs w:val="1"/>
          <w:color w:val="auto"/>
        </w:rPr>
        <w:t>III.</w:t>
        <w:tab/>
        <w:t>Limitatons on Exchange Rule Recoupment</w:t>
      </w:r>
    </w:p>
    <w:p>
      <w:pPr>
        <w:spacing w:after="0" w:line="211" w:lineRule="exact"/>
        <w:rPr>
          <w:sz w:val="20"/>
          <w:szCs w:val="20"/>
          <w:color w:val="auto"/>
        </w:rPr>
      </w:pPr>
    </w:p>
    <w:p>
      <w:pPr>
        <w:ind w:right="140"/>
        <w:spacing w:after="0" w:line="256" w:lineRule="auto"/>
        <w:rPr>
          <w:sz w:val="20"/>
          <w:szCs w:val="20"/>
          <w:color w:val="auto"/>
        </w:rPr>
      </w:pPr>
      <w:r>
        <w:rPr>
          <w:rFonts w:ascii="Calibri" w:cs="Calibri" w:eastAsia="Calibri" w:hAnsi="Calibri"/>
          <w:sz w:val="20"/>
          <w:szCs w:val="20"/>
          <w:color w:val="auto"/>
        </w:rPr>
        <w:t>Exchange Rule Recoupment of compensaton under this Policy will be limited to Overpayments received during the three (3) completed fscal years prior to the date on which the Company is required to prepare an Accountng Restatement and any transiton period (that results from a change in the Company’s fscal year) within or immediately following those three (3) completed fscal years. In no event shall the Company be required to award Covered Executves an additonal payment if the restated or accurate fnancial results would have resulted in a higher Incentve-Based Compensaton payment.</w:t>
      </w:r>
    </w:p>
    <w:p>
      <w:pPr>
        <w:spacing w:after="0" w:line="146"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Commitee shall Recover any Overpayment in accordance with this Policy, except to the extent that the Commitee determines such</w:t>
      </w:r>
    </w:p>
    <w:p>
      <w:pPr>
        <w:spacing w:after="0" w:line="199" w:lineRule="auto"/>
        <w:rPr>
          <w:sz w:val="20"/>
          <w:szCs w:val="20"/>
          <w:color w:val="auto"/>
        </w:rPr>
      </w:pPr>
      <w:r>
        <w:rPr>
          <w:rFonts w:ascii="Calibri" w:cs="Calibri" w:eastAsia="Calibri" w:hAnsi="Calibri"/>
          <w:sz w:val="20"/>
          <w:szCs w:val="20"/>
          <w:color w:val="auto"/>
        </w:rPr>
        <w:t>Recovery would be impractcable because:</w:t>
      </w:r>
    </w:p>
    <w:p>
      <w:pPr>
        <w:spacing w:after="0" w:line="161" w:lineRule="exact"/>
        <w:rPr>
          <w:sz w:val="20"/>
          <w:szCs w:val="20"/>
          <w:color w:val="auto"/>
        </w:rPr>
      </w:pPr>
    </w:p>
    <w:p>
      <w:pPr>
        <w:ind w:left="1000" w:hanging="344"/>
        <w:spacing w:after="0"/>
        <w:tabs>
          <w:tab w:leader="none" w:pos="1000" w:val="left"/>
        </w:tabs>
        <w:numPr>
          <w:ilvl w:val="0"/>
          <w:numId w:val="153"/>
        </w:numPr>
        <w:rPr>
          <w:rFonts w:ascii="Calibri" w:cs="Calibri" w:eastAsia="Calibri" w:hAnsi="Calibri"/>
          <w:sz w:val="20"/>
          <w:szCs w:val="20"/>
          <w:color w:val="auto"/>
        </w:rPr>
      </w:pPr>
      <w:r>
        <w:rPr>
          <w:rFonts w:ascii="Calibri" w:cs="Calibri" w:eastAsia="Calibri" w:hAnsi="Calibri"/>
          <w:sz w:val="20"/>
          <w:szCs w:val="20"/>
          <w:color w:val="auto"/>
        </w:rPr>
        <w:t>The direct expense paid to a third party to assist in enforcing this Policy would exceed the amount to be Recovered;</w:t>
      </w:r>
    </w:p>
    <w:p>
      <w:pPr>
        <w:spacing w:after="0" w:line="184" w:lineRule="exact"/>
        <w:rPr>
          <w:rFonts w:ascii="Calibri" w:cs="Calibri" w:eastAsia="Calibri" w:hAnsi="Calibri"/>
          <w:sz w:val="20"/>
          <w:szCs w:val="20"/>
          <w:color w:val="auto"/>
        </w:rPr>
      </w:pPr>
    </w:p>
    <w:p>
      <w:pPr>
        <w:ind w:left="980" w:hanging="324"/>
        <w:spacing w:after="0" w:line="214" w:lineRule="auto"/>
        <w:tabs>
          <w:tab w:leader="none" w:pos="1072" w:val="left"/>
        </w:tabs>
        <w:numPr>
          <w:ilvl w:val="0"/>
          <w:numId w:val="153"/>
        </w:numPr>
        <w:rPr>
          <w:rFonts w:ascii="Calibri" w:cs="Calibri" w:eastAsia="Calibri" w:hAnsi="Calibri"/>
          <w:sz w:val="20"/>
          <w:szCs w:val="20"/>
          <w:color w:val="auto"/>
        </w:rPr>
      </w:pPr>
      <w:r>
        <w:rPr>
          <w:rFonts w:ascii="Calibri" w:cs="Calibri" w:eastAsia="Calibri" w:hAnsi="Calibri"/>
          <w:sz w:val="20"/>
          <w:szCs w:val="20"/>
          <w:color w:val="auto"/>
        </w:rPr>
        <w:t>Afer obtaining an opinion from local counsel, the Commitee concludes recovery would violate home country law where that law was adopted prior to November 28, 2022; or</w:t>
      </w:r>
    </w:p>
    <w:p>
      <w:pPr>
        <w:spacing w:after="0" w:line="172" w:lineRule="exact"/>
        <w:rPr>
          <w:rFonts w:ascii="Calibri" w:cs="Calibri" w:eastAsia="Calibri" w:hAnsi="Calibri"/>
          <w:sz w:val="20"/>
          <w:szCs w:val="20"/>
          <w:color w:val="auto"/>
        </w:rPr>
      </w:pPr>
    </w:p>
    <w:p>
      <w:pPr>
        <w:jc w:val="both"/>
        <w:ind w:left="980" w:hanging="324"/>
        <w:spacing w:after="0" w:line="209" w:lineRule="auto"/>
        <w:tabs>
          <w:tab w:leader="none" w:pos="1123" w:val="left"/>
        </w:tabs>
        <w:numPr>
          <w:ilvl w:val="0"/>
          <w:numId w:val="153"/>
        </w:numPr>
        <w:rPr>
          <w:rFonts w:ascii="Calibri" w:cs="Calibri" w:eastAsia="Calibri" w:hAnsi="Calibri"/>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to fail to meet the requirements of 26 U.S.C. 401(a)(13) or 26 U.S.C. 411(a) and regulatons thereunder.</w:t>
      </w:r>
    </w:p>
    <w:p>
      <w:pPr>
        <w:spacing w:after="0" w:line="162" w:lineRule="exact"/>
        <w:rPr>
          <w:sz w:val="20"/>
          <w:szCs w:val="20"/>
          <w:color w:val="auto"/>
        </w:rPr>
      </w:pPr>
    </w:p>
    <w:p>
      <w:pPr>
        <w:ind w:left="340"/>
        <w:spacing w:after="0"/>
        <w:tabs>
          <w:tab w:leader="none" w:pos="700" w:val="left"/>
        </w:tabs>
        <w:rPr>
          <w:sz w:val="20"/>
          <w:szCs w:val="20"/>
          <w:color w:val="auto"/>
        </w:rPr>
      </w:pPr>
      <w:r>
        <w:rPr>
          <w:rFonts w:ascii="Calibri" w:cs="Calibri" w:eastAsia="Calibri" w:hAnsi="Calibri"/>
          <w:sz w:val="20"/>
          <w:szCs w:val="20"/>
          <w:b w:val="1"/>
          <w:bCs w:val="1"/>
          <w:color w:val="auto"/>
        </w:rPr>
        <w:t>IV.</w:t>
        <w:tab/>
        <w:t>No Indemnifcaton</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shall not indemnify any Covered Executves against the loss of any erroneously awarded Incentve-Based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280" w:right="339" w:bottom="1440" w:gutter="0" w:footer="0" w:header="0"/>
        </w:sectPr>
      </w:pPr>
    </w:p>
    <w:bookmarkStart w:id="194" w:name="page195"/>
    <w:bookmarkEnd w:id="194"/>
    <w:p>
      <w:pPr>
        <w:spacing w:after="0"/>
        <w:rPr>
          <w:sz w:val="20"/>
          <w:szCs w:val="20"/>
          <w:color w:val="auto"/>
        </w:rPr>
      </w:pPr>
      <w:r>
        <w:rPr>
          <w:rFonts w:ascii="Calibri" w:cs="Calibri" w:eastAsia="Calibri" w:hAnsi="Calibri"/>
          <w:sz w:val="20"/>
          <w:szCs w:val="20"/>
          <w:b w:val="1"/>
          <w:bCs w:val="1"/>
          <w:color w:val="auto"/>
        </w:rPr>
        <w:t>Non-Exchange Rule Recoupment / Misconduct Triggers</w:t>
      </w:r>
    </w:p>
    <w:p>
      <w:pPr>
        <w:spacing w:after="0" w:line="211" w:lineRule="exact"/>
        <w:rPr>
          <w:sz w:val="20"/>
          <w:szCs w:val="20"/>
          <w:color w:val="auto"/>
        </w:rPr>
      </w:pPr>
    </w:p>
    <w:p>
      <w:pPr>
        <w:ind w:right="300"/>
        <w:spacing w:after="0" w:line="254" w:lineRule="auto"/>
        <w:rPr>
          <w:sz w:val="20"/>
          <w:szCs w:val="20"/>
          <w:color w:val="auto"/>
        </w:rPr>
      </w:pPr>
      <w:r>
        <w:rPr>
          <w:rFonts w:ascii="Calibri" w:cs="Calibri" w:eastAsia="Calibri" w:hAnsi="Calibri"/>
          <w:sz w:val="20"/>
          <w:szCs w:val="20"/>
          <w:color w:val="auto"/>
        </w:rPr>
        <w:t>This secton provides the Company with additonal remedies for Recoupment in the event of Misconduct or a Materially Inaccurate Assessment (as defned below) in additon to, but not in place of, the Exchange Rule Recoupment Requirements. For the avoidance of doubt, in the event of an Accountng Restatement, the Exchange Rule Recoupment Requirements will apply.</w:t>
      </w:r>
    </w:p>
    <w:p>
      <w:pPr>
        <w:spacing w:after="0" w:line="197" w:lineRule="exact"/>
        <w:rPr>
          <w:sz w:val="20"/>
          <w:szCs w:val="20"/>
          <w:color w:val="auto"/>
        </w:rPr>
      </w:pPr>
    </w:p>
    <w:p>
      <w:pPr>
        <w:ind w:right="100"/>
        <w:spacing w:after="0" w:line="257" w:lineRule="auto"/>
        <w:rPr>
          <w:sz w:val="20"/>
          <w:szCs w:val="20"/>
          <w:color w:val="auto"/>
        </w:rPr>
      </w:pPr>
      <w:r>
        <w:rPr>
          <w:rFonts w:ascii="Calibri" w:cs="Calibri" w:eastAsia="Calibri" w:hAnsi="Calibri"/>
          <w:sz w:val="20"/>
          <w:szCs w:val="20"/>
          <w:color w:val="auto"/>
        </w:rPr>
        <w:t>The Commitee has discreton whether to seek Recoupment on behalf of the Company arising out of the triggers described below (Sectons (I, II, III, and IV in this secton). The Commitee may exercise this discreton in consultaton with other commitees of the Board of Directors, members of management, or outside advisors as the Commitee deems appropriate. In making such decisions, the Commitee shall consider, among other things and as applicable: the nature and impact of the Executve’s conduct; the relatonship of the conduct to the compensaton being considered for Recoupment; the feasibility of the various types of Recoupment; cost of implementaton; legal, compliance, and other disciplinary actons that may be taken; retenton and succession planning; pay relatvity; and the efect that Recoupment actons may have on litgaton or investgatons involving the Company.</w:t>
      </w:r>
    </w:p>
    <w:p>
      <w:pPr>
        <w:spacing w:after="0" w:line="185"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uto"/>
        </w:rPr>
        <w:t>I. Misconduct in General</w:t>
      </w:r>
    </w:p>
    <w:p>
      <w:pPr>
        <w:spacing w:after="0" w:line="211" w:lineRule="exact"/>
        <w:rPr>
          <w:sz w:val="20"/>
          <w:szCs w:val="20"/>
          <w:color w:val="auto"/>
        </w:rPr>
      </w:pPr>
    </w:p>
    <w:p>
      <w:pPr>
        <w:ind w:right="420"/>
        <w:spacing w:after="0" w:line="242" w:lineRule="auto"/>
        <w:rPr>
          <w:sz w:val="20"/>
          <w:szCs w:val="20"/>
          <w:color w:val="auto"/>
        </w:rPr>
      </w:pPr>
      <w:r>
        <w:rPr>
          <w:rFonts w:ascii="Calibri" w:cs="Calibri" w:eastAsia="Calibri" w:hAnsi="Calibri"/>
          <w:sz w:val="20"/>
          <w:szCs w:val="20"/>
          <w:color w:val="auto"/>
        </w:rPr>
        <w:t>In the event an Executve is subject to disciplinary acton by the Company for Misconduct, the Commitee may efect Cancellaton or Reducton of outstanding equity grants and cash awards as well as Non-Qualifed Plan Benefts.</w:t>
      </w:r>
    </w:p>
    <w:p>
      <w:pPr>
        <w:spacing w:after="0" w:line="200"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uto"/>
        </w:rPr>
        <w:t>II. Accountng Restatements Atributable to Misconduct</w:t>
      </w:r>
    </w:p>
    <w:p>
      <w:pPr>
        <w:spacing w:after="0" w:line="211" w:lineRule="exact"/>
        <w:rPr>
          <w:sz w:val="20"/>
          <w:szCs w:val="20"/>
          <w:color w:val="auto"/>
        </w:rPr>
      </w:pPr>
    </w:p>
    <w:p>
      <w:pPr>
        <w:ind w:right="40"/>
        <w:spacing w:after="0" w:line="254" w:lineRule="auto"/>
        <w:rPr>
          <w:sz w:val="20"/>
          <w:szCs w:val="20"/>
          <w:color w:val="auto"/>
        </w:rPr>
      </w:pPr>
      <w:r>
        <w:rPr>
          <w:rFonts w:ascii="Calibri" w:cs="Calibri" w:eastAsia="Calibri" w:hAnsi="Calibri"/>
          <w:sz w:val="20"/>
          <w:szCs w:val="20"/>
          <w:color w:val="auto"/>
        </w:rPr>
        <w:t>If the Company learns of any Misconduct that caused or contributed to the Company having to undertake an Accountng Restatement, in additon to the Exchange Rule Recoupment Requirements, the Commitee may seek Recoupment from an Executve in accordance with the following:</w:t>
      </w:r>
    </w:p>
    <w:p>
      <w:pPr>
        <w:spacing w:after="0" w:line="197" w:lineRule="exact"/>
        <w:rPr>
          <w:sz w:val="20"/>
          <w:szCs w:val="20"/>
          <w:color w:val="auto"/>
        </w:rPr>
      </w:pPr>
    </w:p>
    <w:p>
      <w:pPr>
        <w:ind w:left="980" w:right="140" w:hanging="324"/>
        <w:spacing w:after="0" w:line="254" w:lineRule="auto"/>
        <w:tabs>
          <w:tab w:leader="none" w:pos="998" w:val="left"/>
        </w:tabs>
        <w:numPr>
          <w:ilvl w:val="1"/>
          <w:numId w:val="154"/>
        </w:numPr>
        <w:rPr>
          <w:rFonts w:ascii="Calibri" w:cs="Calibri" w:eastAsia="Calibri" w:hAnsi="Calibri"/>
          <w:sz w:val="20"/>
          <w:szCs w:val="20"/>
          <w:color w:val="auto"/>
        </w:rPr>
      </w:pPr>
      <w:r>
        <w:rPr>
          <w:rFonts w:ascii="Calibri" w:cs="Calibri" w:eastAsia="Calibri" w:hAnsi="Calibri"/>
          <w:sz w:val="20"/>
          <w:szCs w:val="20"/>
          <w:color w:val="auto"/>
        </w:rPr>
        <w:t>The Commitee may afect Cancellaton or Reducton of outstanding equity grants and cash awards as well as Non-Qualifed Plan Benefts if the Executve engaged in or Condoned the Misconduct that caused or contributed to the need for the Accountng Restatement.</w:t>
      </w:r>
    </w:p>
    <w:p>
      <w:pPr>
        <w:spacing w:after="0" w:line="196" w:lineRule="exact"/>
        <w:rPr>
          <w:rFonts w:ascii="Calibri" w:cs="Calibri" w:eastAsia="Calibri" w:hAnsi="Calibri"/>
          <w:sz w:val="20"/>
          <w:szCs w:val="20"/>
          <w:color w:val="auto"/>
        </w:rPr>
      </w:pPr>
    </w:p>
    <w:p>
      <w:pPr>
        <w:jc w:val="both"/>
        <w:ind w:left="980" w:right="40" w:hanging="324"/>
        <w:spacing w:after="0" w:line="242" w:lineRule="auto"/>
        <w:tabs>
          <w:tab w:leader="none" w:pos="1007" w:val="left"/>
        </w:tabs>
        <w:numPr>
          <w:ilvl w:val="1"/>
          <w:numId w:val="154"/>
        </w:numPr>
        <w:rPr>
          <w:rFonts w:ascii="Calibri" w:cs="Calibri" w:eastAsia="Calibri" w:hAnsi="Calibri"/>
          <w:sz w:val="20"/>
          <w:szCs w:val="20"/>
          <w:color w:val="auto"/>
        </w:rPr>
      </w:pPr>
      <w:r>
        <w:rPr>
          <w:rFonts w:ascii="Calibri" w:cs="Calibri" w:eastAsia="Calibri" w:hAnsi="Calibri"/>
          <w:sz w:val="20"/>
          <w:szCs w:val="20"/>
          <w:color w:val="auto"/>
        </w:rPr>
        <w:t>In additon to Cancellaton or Reducton, the Commitee may also seek Recovery of Incentve-Based Compensaton and Non-Qualifed Plan Benefts previously paid if (i) the amount of the Incentve-Based Compensaton or Non-Qualifed Plan Benefts</w:t>
      </w:r>
    </w:p>
    <w:p>
      <w:pPr>
        <w:spacing w:after="0" w:line="34" w:lineRule="exact"/>
        <w:rPr>
          <w:rFonts w:ascii="Calibri" w:cs="Calibri" w:eastAsia="Calibri" w:hAnsi="Calibri"/>
          <w:sz w:val="20"/>
          <w:szCs w:val="20"/>
          <w:color w:val="auto"/>
        </w:rPr>
      </w:pPr>
    </w:p>
    <w:p>
      <w:pPr>
        <w:ind w:left="980" w:right="540"/>
        <w:spacing w:after="0" w:line="242" w:lineRule="auto"/>
        <w:rPr>
          <w:rFonts w:ascii="Calibri" w:cs="Calibri" w:eastAsia="Calibri" w:hAnsi="Calibri"/>
          <w:sz w:val="20"/>
          <w:szCs w:val="20"/>
          <w:color w:val="auto"/>
        </w:rPr>
      </w:pPr>
      <w:r>
        <w:rPr>
          <w:rFonts w:ascii="Calibri" w:cs="Calibri" w:eastAsia="Calibri" w:hAnsi="Calibri"/>
          <w:sz w:val="20"/>
          <w:szCs w:val="20"/>
          <w:color w:val="auto"/>
        </w:rPr>
        <w:t>was calculated based upon the achievement of fnancial results that were subsequently the subject of an Accountng Restatement, (ii) the Executve engaged in or Condoned the Misconduct that caused or contributed to the need for the</w:t>
      </w:r>
    </w:p>
    <w:p>
      <w:pPr>
        <w:spacing w:after="0" w:line="34" w:lineRule="exact"/>
        <w:rPr>
          <w:rFonts w:ascii="Calibri" w:cs="Calibri" w:eastAsia="Calibri" w:hAnsi="Calibri"/>
          <w:sz w:val="20"/>
          <w:szCs w:val="20"/>
          <w:color w:val="auto"/>
        </w:rPr>
      </w:pPr>
    </w:p>
    <w:p>
      <w:pPr>
        <w:jc w:val="both"/>
        <w:ind w:left="980" w:right="260"/>
        <w:spacing w:after="0" w:line="254" w:lineRule="auto"/>
        <w:rPr>
          <w:rFonts w:ascii="Calibri" w:cs="Calibri" w:eastAsia="Calibri" w:hAnsi="Calibri"/>
          <w:sz w:val="20"/>
          <w:szCs w:val="20"/>
          <w:color w:val="auto"/>
        </w:rPr>
      </w:pPr>
      <w:r>
        <w:rPr>
          <w:rFonts w:ascii="Calibri" w:cs="Calibri" w:eastAsia="Calibri" w:hAnsi="Calibri"/>
          <w:sz w:val="20"/>
          <w:szCs w:val="20"/>
          <w:color w:val="auto"/>
        </w:rPr>
        <w:t>Accountng Restatement, and (iii) the amount of the bonus, Incentve-Based Compensaton or Non-Qualifed Plan Benefts that would have been awarded or paid to the Executve had the fnancial results been properly reported is lower than the amount actually awarded or paid.</w:t>
      </w:r>
    </w:p>
    <w:p>
      <w:pPr>
        <w:spacing w:after="0" w:line="173" w:lineRule="exact"/>
        <w:rPr>
          <w:rFonts w:ascii="Calibri" w:cs="Calibri" w:eastAsia="Calibri" w:hAnsi="Calibri"/>
          <w:sz w:val="20"/>
          <w:szCs w:val="20"/>
          <w:color w:val="auto"/>
        </w:rPr>
      </w:pPr>
    </w:p>
    <w:p>
      <w:pPr>
        <w:ind w:left="680" w:hanging="267"/>
        <w:spacing w:after="0"/>
        <w:tabs>
          <w:tab w:leader="none" w:pos="680" w:val="left"/>
        </w:tabs>
        <w:numPr>
          <w:ilvl w:val="0"/>
          <w:numId w:val="15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Misconduct Causing Signifcant Harm</w:t>
      </w:r>
    </w:p>
    <w:p>
      <w:pPr>
        <w:spacing w:after="0" w:line="171" w:lineRule="exact"/>
        <w:rPr>
          <w:sz w:val="20"/>
          <w:szCs w:val="20"/>
          <w:color w:val="auto"/>
        </w:rPr>
      </w:pPr>
    </w:p>
    <w:p>
      <w:pPr>
        <w:spacing w:after="0" w:line="214" w:lineRule="auto"/>
        <w:rPr>
          <w:sz w:val="20"/>
          <w:szCs w:val="20"/>
          <w:color w:val="auto"/>
        </w:rPr>
      </w:pPr>
      <w:r>
        <w:rPr>
          <w:rFonts w:ascii="Calibri" w:cs="Calibri" w:eastAsia="Calibri" w:hAnsi="Calibri"/>
          <w:sz w:val="20"/>
          <w:szCs w:val="20"/>
          <w:color w:val="auto"/>
        </w:rPr>
        <w:t>When, in the judgment of the Commitee, there has been Misconduct that causes signifcant harm to the Company, the Commitee may seek any or all forms of Recoupment from an Executve who</w:t>
      </w:r>
    </w:p>
    <w:p>
      <w:pPr>
        <w:spacing w:after="0" w:line="203" w:lineRule="exact"/>
        <w:rPr>
          <w:sz w:val="20"/>
          <w:szCs w:val="20"/>
          <w:color w:val="auto"/>
        </w:rPr>
      </w:pPr>
    </w:p>
    <w:p>
      <w:pPr>
        <w:ind w:left="660"/>
        <w:spacing w:after="0"/>
        <w:tabs>
          <w:tab w:leader="none" w:pos="980" w:val="left"/>
        </w:tabs>
        <w:rPr>
          <w:sz w:val="20"/>
          <w:szCs w:val="20"/>
          <w:color w:val="auto"/>
        </w:rPr>
      </w:pPr>
      <w:r>
        <w:rPr>
          <w:rFonts w:ascii="Calibri" w:cs="Calibri" w:eastAsia="Calibri" w:hAnsi="Calibri"/>
          <w:sz w:val="20"/>
          <w:szCs w:val="20"/>
          <w:color w:val="auto"/>
        </w:rPr>
        <w:t>a)</w:t>
        <w:tab/>
        <w:t>engaged in the Misconduct,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280" w:right="339" w:bottom="1440" w:gutter="0" w:footer="0" w:header="0"/>
        </w:sectPr>
      </w:pPr>
    </w:p>
    <w:bookmarkStart w:id="195" w:name="page196"/>
    <w:bookmarkEnd w:id="195"/>
    <w:p>
      <w:pPr>
        <w:ind w:left="980" w:right="440" w:hanging="324"/>
        <w:spacing w:after="0" w:line="255" w:lineRule="auto"/>
        <w:tabs>
          <w:tab w:leader="none" w:pos="1007"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in his/her supervisory responsibility, Condoned the Misconduct or failed to manage, report, or monitor conduct or risks appropriately, and such failure contributed materially to the harm caused to the Company.</w:t>
      </w:r>
    </w:p>
    <w:p>
      <w:pPr>
        <w:spacing w:after="0" w:line="197" w:lineRule="exact"/>
        <w:rPr>
          <w:sz w:val="20"/>
          <w:szCs w:val="20"/>
          <w:color w:val="auto"/>
        </w:rPr>
      </w:pPr>
    </w:p>
    <w:p>
      <w:pPr>
        <w:spacing w:after="0" w:line="257" w:lineRule="auto"/>
        <w:rPr>
          <w:sz w:val="20"/>
          <w:szCs w:val="20"/>
          <w:color w:val="auto"/>
        </w:rPr>
      </w:pPr>
      <w:r>
        <w:rPr>
          <w:rFonts w:ascii="Calibri" w:cs="Calibri" w:eastAsia="Calibri" w:hAnsi="Calibri"/>
          <w:sz w:val="20"/>
          <w:szCs w:val="20"/>
          <w:color w:val="auto"/>
        </w:rPr>
        <w:t>The remedies provided above are not exclusive. In the event of any Misconduct arising under subsectons I, II, or III above, the Company shall take such actons as it deems appropriate to remedy the Misconduct, prevent its recurrence, and, if appropriate based on all relevant facts and circumstances, discipline the wrongdoers. The Company may dismiss or otherwise discipline the Executve, authorize legal acton for breach of fduciary duty, or take such other acton to enforce the Executve’s obligatons to the Company as may ft the facts surrounding the partcular case. The Company may, in determining the appropriate acton, take into account other Recoupment rights or obligatons, and penaltes or punishments imposed by third partes, such as law enforcement agencies, regulators or other authorites. The Company’s power to determine the appropriate punishment for the wrongdoer is in additon to, and not in replacement of, remedies imposed by such organizatons. The Company shall not seek Recoupment under this subsecton of bonuses, Incentve-Based Compensaton or Non-Qualifed Plan Benefts paid more than three (3) years prior to the Company’s demand for Recoupment.</w:t>
      </w:r>
    </w:p>
    <w:p>
      <w:pPr>
        <w:spacing w:after="0" w:line="189" w:lineRule="exact"/>
        <w:rPr>
          <w:sz w:val="20"/>
          <w:szCs w:val="20"/>
          <w:color w:val="auto"/>
        </w:rPr>
      </w:pPr>
    </w:p>
    <w:p>
      <w:pPr>
        <w:ind w:left="660"/>
        <w:spacing w:after="0"/>
        <w:tabs>
          <w:tab w:leader="none" w:pos="1020" w:val="left"/>
        </w:tabs>
        <w:rPr>
          <w:sz w:val="20"/>
          <w:szCs w:val="20"/>
          <w:color w:val="auto"/>
        </w:rPr>
      </w:pPr>
      <w:r>
        <w:rPr>
          <w:rFonts w:ascii="Calibri" w:cs="Calibri" w:eastAsia="Calibri" w:hAnsi="Calibri"/>
          <w:sz w:val="20"/>
          <w:szCs w:val="20"/>
          <w:b w:val="1"/>
          <w:bCs w:val="1"/>
          <w:color w:val="auto"/>
        </w:rPr>
        <w:t>IV.</w:t>
        <w:tab/>
        <w:t>Materially Inaccurate Assessments of Performance Calculatons</w:t>
      </w:r>
    </w:p>
    <w:p>
      <w:pPr>
        <w:spacing w:after="0" w:line="198" w:lineRule="exact"/>
        <w:rPr>
          <w:sz w:val="20"/>
          <w:szCs w:val="20"/>
          <w:color w:val="auto"/>
        </w:rPr>
      </w:pPr>
    </w:p>
    <w:p>
      <w:pPr>
        <w:ind w:right="40"/>
        <w:spacing w:after="0" w:line="256" w:lineRule="auto"/>
        <w:rPr>
          <w:sz w:val="20"/>
          <w:szCs w:val="20"/>
          <w:color w:val="auto"/>
        </w:rPr>
      </w:pPr>
      <w:r>
        <w:rPr>
          <w:rFonts w:ascii="Calibri" w:cs="Calibri" w:eastAsia="Calibri" w:hAnsi="Calibri"/>
          <w:sz w:val="20"/>
          <w:szCs w:val="20"/>
          <w:color w:val="auto"/>
        </w:rPr>
        <w:t>In the event any bonus, Incentve-Based Compensaton (cash or equity) or Non-Qualifed Plan Beneft that has been awarded or paid to an Executve is determined to have been awarded or paid based on: (i) materially inaccurate fnancial statements (whether or not resultng in an Accountng Restatement); (ii) materially inaccurate assessment of the Company performance measures; or (iii) calculaton errors under the relevant compensaton or beneft plan or grant formula (each, a “</w:t>
      </w:r>
      <w:r>
        <w:rPr>
          <w:rFonts w:ascii="Calibri" w:cs="Calibri" w:eastAsia="Calibri" w:hAnsi="Calibri"/>
          <w:sz w:val="20"/>
          <w:szCs w:val="20"/>
          <w:u w:val="single" w:color="auto"/>
          <w:color w:val="auto"/>
        </w:rPr>
        <w:t>Materially Inaccurate Assessment</w:t>
      </w:r>
      <w:r>
        <w:rPr>
          <w:rFonts w:ascii="Calibri" w:cs="Calibri" w:eastAsia="Calibri" w:hAnsi="Calibri"/>
          <w:sz w:val="20"/>
          <w:szCs w:val="20"/>
          <w:color w:val="auto"/>
        </w:rPr>
        <w:t>”), the Company reserves the right to correct the errors by:</w:t>
      </w:r>
    </w:p>
    <w:p>
      <w:pPr>
        <w:spacing w:after="0" w:line="187" w:lineRule="exact"/>
        <w:rPr>
          <w:sz w:val="20"/>
          <w:szCs w:val="20"/>
          <w:color w:val="auto"/>
        </w:rPr>
      </w:pPr>
    </w:p>
    <w:p>
      <w:pPr>
        <w:ind w:left="1320" w:hanging="340"/>
        <w:spacing w:after="0"/>
        <w:tabs>
          <w:tab w:leader="none" w:pos="1320" w:val="left"/>
        </w:tabs>
        <w:numPr>
          <w:ilvl w:val="0"/>
          <w:numId w:val="157"/>
        </w:numPr>
        <w:rPr>
          <w:rFonts w:ascii="Calibri" w:cs="Calibri" w:eastAsia="Calibri" w:hAnsi="Calibri"/>
          <w:sz w:val="20"/>
          <w:szCs w:val="20"/>
          <w:color w:val="auto"/>
        </w:rPr>
      </w:pPr>
      <w:r>
        <w:rPr>
          <w:rFonts w:ascii="Calibri" w:cs="Calibri" w:eastAsia="Calibri" w:hAnsi="Calibri"/>
          <w:sz w:val="20"/>
          <w:szCs w:val="20"/>
          <w:color w:val="auto"/>
        </w:rPr>
        <w:t>seeking Recoupment to the extent that the amount of the Incentve-Based Compensaton or Non-Qualifed Plan Beneft</w:t>
      </w:r>
    </w:p>
    <w:p>
      <w:pPr>
        <w:spacing w:after="0" w:line="35" w:lineRule="exact"/>
        <w:rPr>
          <w:rFonts w:ascii="Calibri" w:cs="Calibri" w:eastAsia="Calibri" w:hAnsi="Calibri"/>
          <w:sz w:val="20"/>
          <w:szCs w:val="20"/>
          <w:color w:val="auto"/>
        </w:rPr>
      </w:pPr>
    </w:p>
    <w:p>
      <w:pPr>
        <w:ind w:left="1300" w:right="60"/>
        <w:spacing w:after="0" w:line="242" w:lineRule="auto"/>
        <w:rPr>
          <w:rFonts w:ascii="Calibri" w:cs="Calibri" w:eastAsia="Calibri" w:hAnsi="Calibri"/>
          <w:sz w:val="20"/>
          <w:szCs w:val="20"/>
          <w:color w:val="auto"/>
        </w:rPr>
      </w:pPr>
      <w:r>
        <w:rPr>
          <w:rFonts w:ascii="Calibri" w:cs="Calibri" w:eastAsia="Calibri" w:hAnsi="Calibri"/>
          <w:sz w:val="20"/>
          <w:szCs w:val="20"/>
          <w:color w:val="auto"/>
        </w:rPr>
        <w:t>that was awarded or paid exceeded the amount that would have been awarded or paid had the amount been calculated correctly, or</w:t>
      </w:r>
    </w:p>
    <w:p>
      <w:pPr>
        <w:spacing w:after="0" w:line="209" w:lineRule="exact"/>
        <w:rPr>
          <w:rFonts w:ascii="Calibri" w:cs="Calibri" w:eastAsia="Calibri" w:hAnsi="Calibri"/>
          <w:sz w:val="20"/>
          <w:szCs w:val="20"/>
          <w:color w:val="auto"/>
        </w:rPr>
      </w:pPr>
    </w:p>
    <w:p>
      <w:pPr>
        <w:ind w:left="1300" w:right="120" w:hanging="320"/>
        <w:spacing w:after="0" w:line="255" w:lineRule="auto"/>
        <w:tabs>
          <w:tab w:leader="none" w:pos="1327" w:val="left"/>
        </w:tabs>
        <w:numPr>
          <w:ilvl w:val="0"/>
          <w:numId w:val="157"/>
        </w:numPr>
        <w:rPr>
          <w:rFonts w:ascii="Calibri" w:cs="Calibri" w:eastAsia="Calibri" w:hAnsi="Calibri"/>
          <w:sz w:val="20"/>
          <w:szCs w:val="20"/>
          <w:color w:val="auto"/>
        </w:rPr>
      </w:pPr>
      <w:r>
        <w:rPr>
          <w:rFonts w:ascii="Calibri" w:cs="Calibri" w:eastAsia="Calibri" w:hAnsi="Calibri"/>
          <w:sz w:val="20"/>
          <w:szCs w:val="20"/>
          <w:color w:val="auto"/>
        </w:rPr>
        <w:t>making additonal payments to the extent that the amount of the Incentve-Based Compensaton or Non-Qualifed Plan Beneft that was awarded or paid was less than the correct amount.</w:t>
      </w:r>
    </w:p>
    <w:p>
      <w:pPr>
        <w:spacing w:after="0" w:line="183" w:lineRule="exact"/>
        <w:rPr>
          <w:sz w:val="20"/>
          <w:szCs w:val="20"/>
          <w:color w:val="auto"/>
        </w:rPr>
      </w:pPr>
    </w:p>
    <w:p>
      <w:pPr>
        <w:ind w:right="560"/>
        <w:spacing w:after="0" w:line="255" w:lineRule="auto"/>
        <w:rPr>
          <w:sz w:val="20"/>
          <w:szCs w:val="20"/>
          <w:color w:val="auto"/>
        </w:rPr>
      </w:pPr>
      <w:r>
        <w:rPr>
          <w:rFonts w:ascii="Calibri" w:cs="Calibri" w:eastAsia="Calibri" w:hAnsi="Calibri"/>
          <w:sz w:val="20"/>
          <w:szCs w:val="20"/>
          <w:color w:val="auto"/>
        </w:rPr>
        <w:t>In determining the appropriate acton under this subsecton IV, the Company shall take into account any factors it deems relevant, including but not limited to</w:t>
      </w:r>
    </w:p>
    <w:p>
      <w:pPr>
        <w:spacing w:after="0" w:line="187" w:lineRule="exact"/>
        <w:rPr>
          <w:sz w:val="20"/>
          <w:szCs w:val="20"/>
          <w:color w:val="auto"/>
        </w:rPr>
      </w:pPr>
    </w:p>
    <w:p>
      <w:pPr>
        <w:ind w:left="1320" w:hanging="340"/>
        <w:spacing w:after="0"/>
        <w:tabs>
          <w:tab w:leader="none" w:pos="1320" w:val="left"/>
        </w:tabs>
        <w:numPr>
          <w:ilvl w:val="0"/>
          <w:numId w:val="158"/>
        </w:numPr>
        <w:rPr>
          <w:rFonts w:ascii="Calibri" w:cs="Calibri" w:eastAsia="Calibri" w:hAnsi="Calibri"/>
          <w:sz w:val="20"/>
          <w:szCs w:val="20"/>
          <w:color w:val="auto"/>
        </w:rPr>
      </w:pPr>
      <w:r>
        <w:rPr>
          <w:rFonts w:ascii="Calibri" w:cs="Calibri" w:eastAsia="Calibri" w:hAnsi="Calibri"/>
          <w:sz w:val="20"/>
          <w:szCs w:val="20"/>
          <w:color w:val="auto"/>
        </w:rPr>
        <w:t>the amount of the overpayments or underpayments, and</w:t>
      </w:r>
    </w:p>
    <w:p>
      <w:pPr>
        <w:spacing w:after="0" w:line="211" w:lineRule="exact"/>
        <w:rPr>
          <w:rFonts w:ascii="Calibri" w:cs="Calibri" w:eastAsia="Calibri" w:hAnsi="Calibri"/>
          <w:sz w:val="20"/>
          <w:szCs w:val="20"/>
          <w:color w:val="auto"/>
        </w:rPr>
      </w:pPr>
    </w:p>
    <w:p>
      <w:pPr>
        <w:ind w:left="1300" w:right="500" w:hanging="320"/>
        <w:spacing w:after="0" w:line="242" w:lineRule="auto"/>
        <w:tabs>
          <w:tab w:leader="none" w:pos="1327" w:val="left"/>
        </w:tabs>
        <w:numPr>
          <w:ilvl w:val="0"/>
          <w:numId w:val="158"/>
        </w:numPr>
        <w:rPr>
          <w:rFonts w:ascii="Calibri" w:cs="Calibri" w:eastAsia="Calibri" w:hAnsi="Calibri"/>
          <w:sz w:val="20"/>
          <w:szCs w:val="20"/>
          <w:color w:val="auto"/>
        </w:rPr>
      </w:pPr>
      <w:r>
        <w:rPr>
          <w:rFonts w:ascii="Calibri" w:cs="Calibri" w:eastAsia="Calibri" w:hAnsi="Calibri"/>
          <w:sz w:val="20"/>
          <w:szCs w:val="20"/>
          <w:color w:val="auto"/>
        </w:rPr>
        <w:t>the extent to which the errors that caused the erroneous payments also caused ofsetng “opposite way” errors in payment in subsequent years.</w:t>
      </w:r>
    </w:p>
    <w:p>
      <w:pPr>
        <w:spacing w:after="0" w:line="210" w:lineRule="exact"/>
        <w:rPr>
          <w:sz w:val="20"/>
          <w:szCs w:val="20"/>
          <w:color w:val="auto"/>
        </w:rPr>
      </w:pPr>
    </w:p>
    <w:p>
      <w:pPr>
        <w:ind w:right="400"/>
        <w:spacing w:after="0" w:line="242" w:lineRule="auto"/>
        <w:rPr>
          <w:sz w:val="20"/>
          <w:szCs w:val="20"/>
          <w:color w:val="auto"/>
        </w:rPr>
      </w:pPr>
      <w:r>
        <w:rPr>
          <w:rFonts w:ascii="Calibri" w:cs="Calibri" w:eastAsia="Calibri" w:hAnsi="Calibri"/>
          <w:sz w:val="20"/>
          <w:szCs w:val="20"/>
          <w:color w:val="auto"/>
        </w:rPr>
        <w:t>The Company shall not seek Recoupment under this subsecton IV of bonuses, Incentve-Based Compensaton or Non-Qualifed Plan Benefts paid more than three years prior to the Company’s demand for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20"/>
          </w:cols>
          <w:pgMar w:left="320" w:top="1290" w:right="359" w:bottom="1440" w:gutter="0" w:footer="0" w:header="0"/>
        </w:sectPr>
      </w:pPr>
    </w:p>
    <w:bookmarkStart w:id="196" w:name="page197"/>
    <w:bookmarkEnd w:id="196"/>
    <w:p>
      <w:pPr>
        <w:ind w:right="180"/>
        <w:spacing w:after="0" w:line="255" w:lineRule="auto"/>
        <w:rPr>
          <w:sz w:val="20"/>
          <w:szCs w:val="20"/>
          <w:color w:val="auto"/>
        </w:rPr>
      </w:pPr>
      <w:r>
        <w:rPr>
          <w:rFonts w:ascii="Calibri" w:cs="Calibri" w:eastAsia="Calibri" w:hAnsi="Calibri"/>
          <w:sz w:val="20"/>
          <w:szCs w:val="20"/>
          <w:color w:val="auto"/>
        </w:rPr>
        <w:t>This right of Recoupment shall not apply to overpayments or underpayments resultng from retroactvely applied changes in Generally Accepted Accountng Principles (U.S. GAAP) or other applicable accountng rules or principles.</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Disclosure</w:t>
      </w:r>
    </w:p>
    <w:p>
      <w:pPr>
        <w:spacing w:after="0" w:line="211" w:lineRule="exact"/>
        <w:rPr>
          <w:sz w:val="20"/>
          <w:szCs w:val="20"/>
          <w:color w:val="auto"/>
        </w:rPr>
      </w:pPr>
    </w:p>
    <w:p>
      <w:pPr>
        <w:ind w:right="40"/>
        <w:spacing w:after="0" w:line="256" w:lineRule="auto"/>
        <w:rPr>
          <w:sz w:val="20"/>
          <w:szCs w:val="20"/>
          <w:color w:val="auto"/>
        </w:rPr>
      </w:pPr>
      <w:r>
        <w:rPr>
          <w:rFonts w:ascii="Calibri" w:cs="Calibri" w:eastAsia="Calibri" w:hAnsi="Calibri"/>
          <w:sz w:val="20"/>
          <w:szCs w:val="20"/>
          <w:color w:val="auto"/>
        </w:rPr>
        <w:t>The Company will disclose decisions to take acton pursuant to this Policy in its proxy materials or other materials fled or furnished with the SEC when required by, and in compliance with, SEC rules and regulatons and other applicable laws. In additon, when legally permissible to do so, the Company will disclose a decision to take acton under this Policy when the facts and circumstances of the mater that triggered applicaton of the Policy have been publicly disclosed in the Company’s flings with the SEC and where disclosure can be made without prejudicing the Company and its shareholders.</w:t>
      </w:r>
    </w:p>
    <w:p>
      <w:pPr>
        <w:spacing w:after="0" w:line="1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Recoupment Rights</w:t>
      </w:r>
    </w:p>
    <w:p>
      <w:pPr>
        <w:spacing w:after="0" w:line="211" w:lineRule="exact"/>
        <w:rPr>
          <w:sz w:val="20"/>
          <w:szCs w:val="20"/>
          <w:color w:val="auto"/>
        </w:rPr>
      </w:pPr>
    </w:p>
    <w:p>
      <w:pPr>
        <w:ind w:right="20"/>
        <w:spacing w:after="0" w:line="257" w:lineRule="auto"/>
        <w:rPr>
          <w:sz w:val="20"/>
          <w:szCs w:val="20"/>
          <w:color w:val="auto"/>
        </w:rPr>
      </w:pPr>
      <w:r>
        <w:rPr>
          <w:rFonts w:ascii="Calibri" w:cs="Calibri" w:eastAsia="Calibri" w:hAnsi="Calibri"/>
          <w:sz w:val="20"/>
          <w:szCs w:val="20"/>
          <w:color w:val="auto"/>
        </w:rPr>
        <w:t>The Company intends that this Policy will be applied to the fullest extent of the law. Any requirement or right of Recoupment under this Policy is in additon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Successors</w:t>
      </w:r>
    </w:p>
    <w:p>
      <w:pPr>
        <w:spacing w:after="0" w:line="198" w:lineRule="exact"/>
        <w:rPr>
          <w:sz w:val="20"/>
          <w:szCs w:val="20"/>
          <w:color w:val="auto"/>
        </w:rPr>
      </w:pPr>
    </w:p>
    <w:p>
      <w:pPr>
        <w:ind w:right="540"/>
        <w:spacing w:after="0" w:line="255" w:lineRule="auto"/>
        <w:rPr>
          <w:sz w:val="20"/>
          <w:szCs w:val="20"/>
          <w:color w:val="auto"/>
        </w:rPr>
      </w:pPr>
      <w:r>
        <w:rPr>
          <w:rFonts w:ascii="Calibri" w:cs="Calibri" w:eastAsia="Calibri" w:hAnsi="Calibri"/>
          <w:sz w:val="20"/>
          <w:szCs w:val="20"/>
          <w:color w:val="auto"/>
        </w:rPr>
        <w:t>This Policy shall be binding and enforceable against all Executves and Covered Executves and their benefciaries, heirs, executors, administrators, or other legal representatves.</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Amendment and Terminaton</w:t>
      </w:r>
    </w:p>
    <w:p>
      <w:pPr>
        <w:spacing w:after="0" w:line="211" w:lineRule="exact"/>
        <w:rPr>
          <w:sz w:val="20"/>
          <w:szCs w:val="20"/>
          <w:color w:val="auto"/>
        </w:rPr>
      </w:pPr>
    </w:p>
    <w:p>
      <w:pPr>
        <w:ind w:right="280"/>
        <w:spacing w:after="0" w:line="242" w:lineRule="auto"/>
        <w:rPr>
          <w:sz w:val="20"/>
          <w:szCs w:val="20"/>
          <w:color w:val="auto"/>
        </w:rPr>
      </w:pPr>
      <w:r>
        <w:rPr>
          <w:rFonts w:ascii="Calibri" w:cs="Calibri" w:eastAsia="Calibri" w:hAnsi="Calibri"/>
          <w:sz w:val="20"/>
          <w:szCs w:val="20"/>
          <w:color w:val="auto"/>
        </w:rPr>
        <w:t>The Talent and Compensaton Commitee of the Board of Directors may amend this Policy from tme to tme in its discreton and may terminate this Policy at any tme.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Certain Defnitons for Purposes of the Policy</w:t>
      </w:r>
    </w:p>
    <w:p>
      <w:pPr>
        <w:spacing w:after="0" w:line="252" w:lineRule="exact"/>
        <w:rPr>
          <w:sz w:val="20"/>
          <w:szCs w:val="20"/>
          <w:color w:val="auto"/>
        </w:rPr>
      </w:pPr>
    </w:p>
    <w:p>
      <w:pPr>
        <w:ind w:left="660" w:right="200" w:hanging="652"/>
        <w:spacing w:after="0" w:line="233" w:lineRule="auto"/>
        <w:tabs>
          <w:tab w:leader="none" w:pos="655" w:val="left"/>
        </w:tabs>
        <w:numPr>
          <w:ilvl w:val="0"/>
          <w:numId w:val="159"/>
        </w:numPr>
        <w:rPr>
          <w:rFonts w:ascii="Arial" w:cs="Arial" w:eastAsia="Arial" w:hAnsi="Arial"/>
          <w:sz w:val="22"/>
          <w:szCs w:val="22"/>
          <w:color w:val="auto"/>
        </w:rPr>
      </w:pPr>
      <w:r>
        <w:rPr>
          <w:rFonts w:ascii="Calibri" w:cs="Calibri" w:eastAsia="Calibri" w:hAnsi="Calibri"/>
          <w:sz w:val="20"/>
          <w:szCs w:val="20"/>
          <w:b w:val="1"/>
          <w:bCs w:val="1"/>
          <w:color w:val="auto"/>
        </w:rPr>
        <w:t xml:space="preserve">Accountng Restatement </w:t>
      </w:r>
      <w:r>
        <w:rPr>
          <w:rFonts w:ascii="Calibri" w:cs="Calibri" w:eastAsia="Calibri" w:hAnsi="Calibri"/>
          <w:sz w:val="20"/>
          <w:szCs w:val="20"/>
          <w:color w:val="auto"/>
        </w:rPr>
        <w:t>means an accountng restatement of the Company’s fnancial statements due to the Company’s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material noncompliance with any fnancial reportng requirement under the securites laws, including any required accountng</w:t>
      </w:r>
    </w:p>
    <w:p>
      <w:pPr>
        <w:spacing w:after="0" w:line="37" w:lineRule="exact"/>
        <w:rPr>
          <w:rFonts w:ascii="Arial" w:cs="Arial" w:eastAsia="Arial" w:hAnsi="Arial"/>
          <w:sz w:val="22"/>
          <w:szCs w:val="22"/>
          <w:color w:val="auto"/>
        </w:rPr>
      </w:pPr>
    </w:p>
    <w:p>
      <w:pPr>
        <w:ind w:left="660" w:right="80"/>
        <w:spacing w:after="0" w:line="254" w:lineRule="auto"/>
        <w:rPr>
          <w:rFonts w:ascii="Arial" w:cs="Arial" w:eastAsia="Arial" w:hAnsi="Arial"/>
          <w:sz w:val="22"/>
          <w:szCs w:val="22"/>
          <w:color w:val="auto"/>
        </w:rPr>
      </w:pPr>
      <w:r>
        <w:rPr>
          <w:rFonts w:ascii="Calibri" w:cs="Calibri" w:eastAsia="Calibri" w:hAnsi="Calibri"/>
          <w:sz w:val="20"/>
          <w:szCs w:val="20"/>
          <w:color w:val="auto"/>
        </w:rPr>
        <w:t>restatement to correct an error in previously issued fnancial statements that is material to the previously issued fnancial statements, or that would result in a material misstatement if the error were corrected in the current period or lef uncorrected in the current period.</w:t>
      </w:r>
    </w:p>
    <w:p>
      <w:pPr>
        <w:spacing w:after="0" w:line="237" w:lineRule="exact"/>
        <w:rPr>
          <w:rFonts w:ascii="Arial" w:cs="Arial" w:eastAsia="Arial" w:hAnsi="Arial"/>
          <w:sz w:val="22"/>
          <w:szCs w:val="22"/>
          <w:color w:val="auto"/>
        </w:rPr>
      </w:pPr>
    </w:p>
    <w:p>
      <w:pPr>
        <w:ind w:left="660" w:right="40" w:hanging="652"/>
        <w:spacing w:after="0" w:line="246" w:lineRule="auto"/>
        <w:tabs>
          <w:tab w:leader="none" w:pos="655" w:val="left"/>
        </w:tabs>
        <w:numPr>
          <w:ilvl w:val="0"/>
          <w:numId w:val="159"/>
        </w:numPr>
        <w:rPr>
          <w:rFonts w:ascii="Arial" w:cs="Arial" w:eastAsia="Arial" w:hAnsi="Arial"/>
          <w:sz w:val="22"/>
          <w:szCs w:val="22"/>
          <w:color w:val="auto"/>
        </w:rPr>
      </w:pPr>
      <w:r>
        <w:rPr>
          <w:rFonts w:ascii="Calibri" w:cs="Calibri" w:eastAsia="Calibri" w:hAnsi="Calibri"/>
          <w:sz w:val="20"/>
          <w:szCs w:val="20"/>
          <w:b w:val="1"/>
          <w:bCs w:val="1"/>
          <w:color w:val="auto"/>
        </w:rPr>
        <w:t xml:space="preserve">Cancellaton </w:t>
      </w:r>
      <w:r>
        <w:rPr>
          <w:rFonts w:ascii="Calibri" w:cs="Calibri" w:eastAsia="Calibri" w:hAnsi="Calibri"/>
          <w:sz w:val="20"/>
          <w:szCs w:val="20"/>
          <w:color w:val="auto"/>
        </w:rPr>
        <w:t>means cancellaton or forfeiture of (a) any bonus or Incentve-Based Compensaton award (cash or equity) that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been granted/awarded but not yet paid, (b) any outstanding equity grants , and/or (c) any non-qualifed retrement benefts under The Lilly Excess Beneft Plan – Retrement, accruing on or afer January 1, 2022 (“</w:t>
      </w:r>
      <w:r>
        <w:rPr>
          <w:rFonts w:ascii="Calibri" w:cs="Calibri" w:eastAsia="Calibri" w:hAnsi="Calibri"/>
          <w:sz w:val="20"/>
          <w:szCs w:val="20"/>
          <w:u w:val="single" w:color="auto"/>
          <w:color w:val="auto"/>
        </w:rPr>
        <w:t>Non-Qualifed Plan Benefts</w:t>
      </w:r>
      <w:r>
        <w:rPr>
          <w:rFonts w:ascii="Calibri" w:cs="Calibri" w:eastAsia="Calibri" w:hAnsi="Calibri"/>
          <w:sz w:val="20"/>
          <w:szCs w:val="20"/>
          <w:color w:val="auto"/>
        </w:rPr>
        <w:t>”).</w:t>
      </w:r>
    </w:p>
    <w:p>
      <w:pPr>
        <w:spacing w:after="0" w:line="231" w:lineRule="exact"/>
        <w:rPr>
          <w:rFonts w:ascii="Arial" w:cs="Arial" w:eastAsia="Arial" w:hAnsi="Arial"/>
          <w:sz w:val="22"/>
          <w:szCs w:val="22"/>
          <w:color w:val="auto"/>
        </w:rPr>
      </w:pPr>
    </w:p>
    <w:p>
      <w:pPr>
        <w:ind w:left="660" w:hanging="652"/>
        <w:spacing w:after="0"/>
        <w:tabs>
          <w:tab w:leader="none" w:pos="655" w:val="left"/>
        </w:tabs>
        <w:numPr>
          <w:ilvl w:val="0"/>
          <w:numId w:val="159"/>
        </w:numPr>
        <w:rPr>
          <w:rFonts w:ascii="Arial" w:cs="Arial" w:eastAsia="Arial" w:hAnsi="Arial"/>
          <w:sz w:val="22"/>
          <w:szCs w:val="22"/>
          <w:color w:val="auto"/>
        </w:rPr>
      </w:pPr>
      <w:r>
        <w:rPr>
          <w:rFonts w:ascii="Calibri" w:cs="Calibri" w:eastAsia="Calibri" w:hAnsi="Calibri"/>
          <w:sz w:val="20"/>
          <w:szCs w:val="20"/>
          <w:b w:val="1"/>
          <w:bCs w:val="1"/>
          <w:color w:val="auto"/>
        </w:rPr>
        <w:t xml:space="preserve">Condoned </w:t>
      </w:r>
      <w:r>
        <w:rPr>
          <w:rFonts w:ascii="Calibri" w:cs="Calibri" w:eastAsia="Calibri" w:hAnsi="Calibri"/>
          <w:sz w:val="20"/>
          <w:szCs w:val="20"/>
          <w:color w:val="auto"/>
        </w:rPr>
        <w:t>means to overlook Misconduct, and pertains to Executves who (i) know, or reasonably should know, that Misconduct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is occurring (or has occurred) and (ii) encourage or take no meaningful acton to stop or report such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180"/>
          </w:cols>
          <w:pgMar w:left="320" w:top="1290" w:right="399" w:bottom="1440" w:gutter="0" w:footer="0" w:header="0"/>
        </w:sectPr>
      </w:pPr>
    </w:p>
    <w:bookmarkStart w:id="197" w:name="page198"/>
    <w:bookmarkEnd w:id="197"/>
    <w:p>
      <w:pPr>
        <w:ind w:left="660" w:right="40" w:hanging="652"/>
        <w:spacing w:after="0" w:line="252" w:lineRule="auto"/>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Covered Executves </w:t>
      </w:r>
      <w:r>
        <w:rPr>
          <w:rFonts w:ascii="Calibri" w:cs="Calibri" w:eastAsia="Calibri" w:hAnsi="Calibri"/>
          <w:sz w:val="20"/>
          <w:szCs w:val="20"/>
          <w:color w:val="auto"/>
        </w:rPr>
        <w:t>means the Company’s current and former executve ofcers (as determined by the Commitee in accordance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Secton 10D of the Exchange Act, the rules promulgated thereunder, and the listng standards of the natonal securites exchange on which the Company’s securites are listed) and such other senior executves/employees who may from tme to tme be deemed subject to this Policy by the Commitee.</w:t>
      </w:r>
    </w:p>
    <w:p>
      <w:pPr>
        <w:spacing w:after="0" w:line="238" w:lineRule="exact"/>
        <w:rPr>
          <w:rFonts w:ascii="Arial" w:cs="Arial" w:eastAsia="Arial" w:hAnsi="Arial"/>
          <w:sz w:val="22"/>
          <w:szCs w:val="22"/>
          <w:color w:val="auto"/>
        </w:rPr>
      </w:pPr>
    </w:p>
    <w:p>
      <w:pPr>
        <w:ind w:left="660" w:right="140" w:hanging="652"/>
        <w:spacing w:after="0" w:line="230" w:lineRule="auto"/>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Executve </w:t>
      </w:r>
      <w:r>
        <w:rPr>
          <w:rFonts w:ascii="Calibri" w:cs="Calibri" w:eastAsia="Calibri" w:hAnsi="Calibri"/>
          <w:sz w:val="20"/>
          <w:szCs w:val="20"/>
          <w:color w:val="auto"/>
        </w:rPr>
        <w:t>means an employee in a senior management positon.</w:t>
      </w:r>
      <w:r>
        <w:rPr>
          <w:rFonts w:ascii="Calibri" w:cs="Calibri" w:eastAsia="Calibri" w:hAnsi="Calibri"/>
          <w:sz w:val="25"/>
          <w:szCs w:val="25"/>
          <w:color w:val="auto"/>
          <w:vertAlign w:val="superscript"/>
        </w:rPr>
        <w:t>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This Policy applies to Incentve-Based Compensaton awarded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or paid to an employee at a tme when he/she is or was an executve; subsequent changes in status, including retrement or other terminaton of employment, do not afect the Company’s right of Recoupment.</w:t>
      </w:r>
    </w:p>
    <w:p>
      <w:pPr>
        <w:spacing w:after="0" w:line="253" w:lineRule="exact"/>
        <w:rPr>
          <w:rFonts w:ascii="Arial" w:cs="Arial" w:eastAsia="Arial" w:hAnsi="Arial"/>
          <w:sz w:val="22"/>
          <w:szCs w:val="22"/>
          <w:color w:val="auto"/>
        </w:rPr>
      </w:pPr>
    </w:p>
    <w:p>
      <w:pPr>
        <w:ind w:left="660" w:hanging="652"/>
        <w:spacing w:after="0" w:line="246" w:lineRule="auto"/>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Financial Reportng Measure </w:t>
      </w:r>
      <w:r>
        <w:rPr>
          <w:rFonts w:ascii="Calibri" w:cs="Calibri" w:eastAsia="Calibri" w:hAnsi="Calibri"/>
          <w:sz w:val="20"/>
          <w:szCs w:val="20"/>
          <w:color w:val="auto"/>
        </w:rPr>
        <w:t>means (i) any measure that is determined and presented in accordance with the accountng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principles used in preparing fnancial statements, or any measure derived wholly or in part from such measure, such as revenues, EBITDA, or net income, and (ii) stock price and total shareholder return.</w:t>
      </w:r>
    </w:p>
    <w:p>
      <w:pPr>
        <w:spacing w:after="0" w:line="231" w:lineRule="exact"/>
        <w:rPr>
          <w:rFonts w:ascii="Arial" w:cs="Arial" w:eastAsia="Arial" w:hAnsi="Arial"/>
          <w:sz w:val="22"/>
          <w:szCs w:val="22"/>
          <w:color w:val="auto"/>
        </w:rPr>
      </w:pPr>
    </w:p>
    <w:p>
      <w:pPr>
        <w:ind w:left="660" w:right="360" w:hanging="652"/>
        <w:spacing w:after="0"/>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Incentve-Based Compensaton </w:t>
      </w:r>
      <w:r>
        <w:rPr>
          <w:rFonts w:ascii="Calibri" w:cs="Calibri" w:eastAsia="Calibri" w:hAnsi="Calibri"/>
          <w:sz w:val="20"/>
          <w:szCs w:val="20"/>
          <w:color w:val="auto"/>
        </w:rPr>
        <w:t>means any compensaton that is granted, earned, or vested based wholly or in part upon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atainment of one or more Financial Reportng Measures.</w:t>
      </w:r>
    </w:p>
    <w:p>
      <w:pPr>
        <w:spacing w:after="0" w:line="211" w:lineRule="exact"/>
        <w:rPr>
          <w:rFonts w:ascii="Arial" w:cs="Arial" w:eastAsia="Arial" w:hAnsi="Arial"/>
          <w:sz w:val="22"/>
          <w:szCs w:val="22"/>
          <w:color w:val="auto"/>
        </w:rPr>
      </w:pPr>
    </w:p>
    <w:p>
      <w:pPr>
        <w:jc w:val="both"/>
        <w:ind w:left="660" w:right="560"/>
        <w:spacing w:after="0" w:line="242" w:lineRule="auto"/>
        <w:rPr>
          <w:rFonts w:ascii="Arial" w:cs="Arial" w:eastAsia="Arial" w:hAnsi="Arial"/>
          <w:sz w:val="22"/>
          <w:szCs w:val="22"/>
          <w:color w:val="auto"/>
        </w:rPr>
      </w:pPr>
      <w:r>
        <w:rPr>
          <w:rFonts w:ascii="Calibri" w:cs="Calibri" w:eastAsia="Calibri" w:hAnsi="Calibri"/>
          <w:sz w:val="20"/>
          <w:szCs w:val="20"/>
          <w:color w:val="auto"/>
        </w:rPr>
        <w:t>Compensaton that would not be considered Incentve-Based Compensaton includes, but is not limited to: (a) salaries; (b) bonuses paid solely on satsfying subjectve standards, such as demonstratng leadership, and/or completon of a specifed</w:t>
      </w:r>
    </w:p>
    <w:p>
      <w:pPr>
        <w:spacing w:after="0" w:line="34" w:lineRule="exact"/>
        <w:rPr>
          <w:rFonts w:ascii="Arial" w:cs="Arial" w:eastAsia="Arial" w:hAnsi="Arial"/>
          <w:sz w:val="22"/>
          <w:szCs w:val="22"/>
          <w:color w:val="auto"/>
        </w:rPr>
      </w:pPr>
    </w:p>
    <w:p>
      <w:pPr>
        <w:ind w:left="660" w:right="20"/>
        <w:spacing w:after="0" w:line="254" w:lineRule="auto"/>
        <w:rPr>
          <w:rFonts w:ascii="Arial" w:cs="Arial" w:eastAsia="Arial" w:hAnsi="Arial"/>
          <w:sz w:val="22"/>
          <w:szCs w:val="22"/>
          <w:color w:val="auto"/>
        </w:rPr>
      </w:pPr>
      <w:r>
        <w:rPr>
          <w:rFonts w:ascii="Calibri" w:cs="Calibri" w:eastAsia="Calibri" w:hAnsi="Calibri"/>
          <w:sz w:val="20"/>
          <w:szCs w:val="20"/>
          <w:color w:val="auto"/>
        </w:rPr>
        <w:t>employment period; (c) non-equity incentve plan awards earned solely on satsfying strategic or operatonal measures; (d) wholly tme-based equity awards; and (e) discretonary bonuses or other compensaton that is not paid from a bonus pool that is determined by satsfying a fnancial reportng measure performance goal.</w:t>
      </w:r>
    </w:p>
    <w:p>
      <w:pPr>
        <w:spacing w:after="0" w:line="291" w:lineRule="exact"/>
        <w:rPr>
          <w:rFonts w:ascii="Arial" w:cs="Arial" w:eastAsia="Arial" w:hAnsi="Arial"/>
          <w:sz w:val="22"/>
          <w:szCs w:val="22"/>
          <w:color w:val="auto"/>
        </w:rPr>
      </w:pPr>
    </w:p>
    <w:p>
      <w:pPr>
        <w:ind w:left="660" w:right="140" w:hanging="652"/>
        <w:spacing w:after="0"/>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Misconduct </w:t>
      </w:r>
      <w:r>
        <w:rPr>
          <w:rFonts w:ascii="Calibri" w:cs="Calibri" w:eastAsia="Calibri" w:hAnsi="Calibri"/>
          <w:sz w:val="20"/>
          <w:szCs w:val="20"/>
          <w:color w:val="auto"/>
        </w:rPr>
        <w:t>means conduct (i) resultng in a violaton of law, or (ii) resultng in a material violaton of a code of conduct or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writen policy of the Company.</w:t>
      </w:r>
    </w:p>
    <w:p>
      <w:pPr>
        <w:spacing w:after="0" w:line="251" w:lineRule="exact"/>
        <w:rPr>
          <w:rFonts w:ascii="Arial" w:cs="Arial" w:eastAsia="Arial" w:hAnsi="Arial"/>
          <w:sz w:val="22"/>
          <w:szCs w:val="22"/>
          <w:color w:val="auto"/>
        </w:rPr>
      </w:pPr>
    </w:p>
    <w:p>
      <w:pPr>
        <w:ind w:left="660" w:right="180" w:hanging="652"/>
        <w:spacing w:after="0" w:line="246" w:lineRule="auto"/>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Overpayment </w:t>
      </w:r>
      <w:r>
        <w:rPr>
          <w:rFonts w:ascii="Calibri" w:cs="Calibri" w:eastAsia="Calibri" w:hAnsi="Calibri"/>
          <w:sz w:val="20"/>
          <w:szCs w:val="20"/>
          <w:color w:val="auto"/>
        </w:rPr>
        <w:t>means the amount of Incentve-Based Compensaton received that exceeds the amount of Incentve-Based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that otherwise would have been received by a Covered Executve had it been determined based on the restated amounts as a result of the Accountng Restatement, which amount must be computed without regard to any taxes paid.</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Recoupment </w:t>
      </w:r>
      <w:r>
        <w:rPr>
          <w:rFonts w:ascii="Calibri" w:cs="Calibri" w:eastAsia="Calibri" w:hAnsi="Calibri"/>
          <w:sz w:val="20"/>
          <w:szCs w:val="20"/>
          <w:color w:val="auto"/>
        </w:rPr>
        <w:t>includes Cancellaton, Reducton, and Recovery, as defned herein.</w:t>
      </w:r>
    </w:p>
    <w:p>
      <w:pPr>
        <w:spacing w:after="0" w:line="251" w:lineRule="exact"/>
        <w:rPr>
          <w:rFonts w:ascii="Arial" w:cs="Arial" w:eastAsia="Arial" w:hAnsi="Arial"/>
          <w:sz w:val="22"/>
          <w:szCs w:val="22"/>
          <w:color w:val="auto"/>
        </w:rPr>
      </w:pPr>
    </w:p>
    <w:p>
      <w:pPr>
        <w:ind w:left="660" w:right="220" w:hanging="652"/>
        <w:spacing w:after="0" w:line="246" w:lineRule="auto"/>
        <w:tabs>
          <w:tab w:leader="none" w:pos="655" w:val="left"/>
        </w:tabs>
        <w:numPr>
          <w:ilvl w:val="0"/>
          <w:numId w:val="160"/>
        </w:numPr>
        <w:rPr>
          <w:rFonts w:ascii="Arial" w:cs="Arial" w:eastAsia="Arial" w:hAnsi="Arial"/>
          <w:sz w:val="22"/>
          <w:szCs w:val="22"/>
          <w:color w:val="auto"/>
        </w:rPr>
      </w:pPr>
      <w:r>
        <w:rPr>
          <w:rFonts w:ascii="Calibri" w:cs="Calibri" w:eastAsia="Calibri" w:hAnsi="Calibri"/>
          <w:sz w:val="20"/>
          <w:szCs w:val="20"/>
          <w:b w:val="1"/>
          <w:bCs w:val="1"/>
          <w:color w:val="auto"/>
        </w:rPr>
        <w:t xml:space="preserve">Recovery </w:t>
      </w:r>
      <w:r>
        <w:rPr>
          <w:rFonts w:ascii="Calibri" w:cs="Calibri" w:eastAsia="Calibri" w:hAnsi="Calibri"/>
          <w:sz w:val="20"/>
          <w:szCs w:val="20"/>
          <w:color w:val="auto"/>
        </w:rPr>
        <w:t>means the recapture or resttuton of Incentve-Based Compensaton (cash or equity), or Non-Qualifed Plan Benefts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already paid. For this purpose, “paid” includes, but is not limited to, amounts of cash Incentve-Based Compensaton that are deferred by the Executve and earn interest under the terms of the Lilly Deferred Compensaton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8" w:lineRule="exact"/>
        <w:rPr>
          <w:sz w:val="20"/>
          <w:szCs w:val="20"/>
          <w:color w:val="auto"/>
        </w:rPr>
      </w:pPr>
    </w:p>
    <w:p>
      <w:pPr>
        <w:ind w:right="480" w:firstLine="8"/>
        <w:spacing w:after="0" w:line="187" w:lineRule="auto"/>
        <w:tabs>
          <w:tab w:leader="none" w:pos="99" w:val="left"/>
        </w:tabs>
        <w:numPr>
          <w:ilvl w:val="0"/>
          <w:numId w:val="161"/>
        </w:numPr>
        <w:rPr>
          <w:rFonts w:ascii="Calibri" w:cs="Calibri" w:eastAsia="Calibri" w:hAnsi="Calibri"/>
          <w:sz w:val="23"/>
          <w:szCs w:val="23"/>
          <w:color w:val="auto"/>
          <w:vertAlign w:val="superscript"/>
        </w:rPr>
      </w:pPr>
      <w:r>
        <w:rPr>
          <w:rFonts w:ascii="Calibri" w:cs="Calibri" w:eastAsia="Calibri" w:hAnsi="Calibri"/>
          <w:sz w:val="18"/>
          <w:szCs w:val="18"/>
          <w:color w:val="auto"/>
        </w:rPr>
        <w:t>As of the Efectve Date, ‘senior management positon’ shall refer to those who are classifed by the Company as M5+ and R12 global job level or other groups or individuals as designated by the Commitee (or its delegee).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330" w:right="339" w:bottom="1440" w:gutter="0" w:footer="0" w:header="0"/>
        </w:sectPr>
      </w:pPr>
    </w:p>
    <w:bookmarkStart w:id="198" w:name="page199"/>
    <w:bookmarkEnd w:id="198"/>
    <w:p>
      <w:pPr>
        <w:ind w:left="652" w:hanging="652"/>
        <w:spacing w:after="0" w:line="252" w:lineRule="auto"/>
        <w:tabs>
          <w:tab w:leader="none" w:pos="647" w:val="left"/>
        </w:tabs>
        <w:numPr>
          <w:ilvl w:val="0"/>
          <w:numId w:val="162"/>
        </w:numPr>
        <w:rPr>
          <w:rFonts w:ascii="Arial" w:cs="Arial" w:eastAsia="Arial" w:hAnsi="Arial"/>
          <w:sz w:val="22"/>
          <w:szCs w:val="22"/>
          <w:color w:val="auto"/>
        </w:rPr>
      </w:pPr>
      <w:r>
        <w:rPr>
          <w:rFonts w:ascii="Calibri" w:cs="Calibri" w:eastAsia="Calibri" w:hAnsi="Calibri"/>
          <w:sz w:val="20"/>
          <w:szCs w:val="20"/>
          <w:b w:val="1"/>
          <w:bCs w:val="1"/>
          <w:color w:val="auto"/>
        </w:rPr>
        <w:t xml:space="preserve">Reducton </w:t>
      </w:r>
      <w:r>
        <w:rPr>
          <w:rFonts w:ascii="Calibri" w:cs="Calibri" w:eastAsia="Calibri" w:hAnsi="Calibri"/>
          <w:sz w:val="20"/>
          <w:szCs w:val="20"/>
          <w:color w:val="auto"/>
        </w:rPr>
        <w:t>means (a) reducton, in whole or part, of the payout of any bonus or Incentve-Based Compensaton award (cash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equity) from the amount that would otherwise be payable under the terms of the award, (b) reducton, in whole or part, in the number of shares of an equity award (whether in shares of stock or units) that are allowed to vest, and/or (c) reducton, in whole or part, of the amount that would otherwise be payable as Non-Qualifed Plan Benefts.</w:t>
      </w:r>
    </w:p>
    <w:p>
      <w:pPr>
        <w:spacing w:after="0" w:line="214" w:lineRule="exact"/>
        <w:rPr>
          <w:rFonts w:ascii="Arial" w:cs="Arial" w:eastAsia="Arial" w:hAnsi="Arial"/>
          <w:sz w:val="22"/>
          <w:szCs w:val="22"/>
          <w:color w:val="auto"/>
        </w:rPr>
      </w:pPr>
    </w:p>
    <w:p>
      <w:pPr>
        <w:ind w:left="652" w:hanging="652"/>
        <w:spacing w:after="0"/>
        <w:tabs>
          <w:tab w:leader="none" w:pos="652" w:val="left"/>
        </w:tabs>
        <w:numPr>
          <w:ilvl w:val="0"/>
          <w:numId w:val="162"/>
        </w:numPr>
        <w:rPr>
          <w:rFonts w:ascii="Arial" w:cs="Arial" w:eastAsia="Arial" w:hAnsi="Arial"/>
          <w:sz w:val="22"/>
          <w:szCs w:val="22"/>
          <w:color w:val="auto"/>
        </w:rPr>
      </w:pPr>
      <w:r>
        <w:rPr>
          <w:rFonts w:ascii="Calibri" w:cs="Calibri" w:eastAsia="Calibri" w:hAnsi="Calibri"/>
          <w:sz w:val="20"/>
          <w:szCs w:val="20"/>
          <w:b w:val="1"/>
          <w:bCs w:val="1"/>
          <w:color w:val="auto"/>
        </w:rPr>
        <w:t xml:space="preserve">SEC </w:t>
      </w:r>
      <w:r>
        <w:rPr>
          <w:rFonts w:ascii="Calibri" w:cs="Calibri" w:eastAsia="Calibri" w:hAnsi="Calibri"/>
          <w:sz w:val="20"/>
          <w:szCs w:val="20"/>
          <w:color w:val="auto"/>
        </w:rPr>
        <w:t>means the U.S. Securites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7</w:t>
      </w:r>
    </w:p>
    <w:sectPr>
      <w:pgSz w:w="11900" w:h="16838" w:orient="portrait"/>
      <w:cols w:equalWidth="0" w:num="1">
        <w:col w:w="11212"/>
      </w:cols>
      <w:pgMar w:left="328" w:top="133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1)"/>
      <w:numFmt w:val="decimal"/>
      <w:start w:val="1"/>
    </w:lvl>
  </w:abstractNum>
  <w:abstractNum w:abstractNumId="18">
    <w:nsid w:val="2DF6D648"/>
    <w:multiLevelType w:val="hybridMultilevel"/>
    <w:lvl w:ilvl="0">
      <w:lvlJc w:val="left"/>
      <w:lvlText w:val="(%1)"/>
      <w:numFmt w:val="decimal"/>
      <w:start w:val="1"/>
    </w:lvl>
  </w:abstractNum>
  <w:abstractNum w:abstractNumId="19">
    <w:nsid w:val="46B7D447"/>
    <w:multiLevelType w:val="hybridMultilevel"/>
    <w:lvl w:ilvl="0">
      <w:lvlJc w:val="left"/>
      <w:lvlText w:val="(%1)"/>
      <w:numFmt w:val="decimal"/>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1)"/>
      <w:numFmt w:val="decimal"/>
      <w:start w:val="1"/>
    </w:lvl>
  </w:abstractNum>
  <w:abstractNum w:abstractNumId="22">
    <w:nsid w:val="57FC4FBB"/>
    <w:multiLevelType w:val="hybridMultilevel"/>
    <w:lvl w:ilvl="0">
      <w:lvlJc w:val="left"/>
      <w:lvlText w:val="(%1)"/>
      <w:numFmt w:val="decimal"/>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1)"/>
      <w:numFmt w:val="decimal"/>
      <w:start w:val="1"/>
    </w:lvl>
  </w:abstractNum>
  <w:abstractNum w:abstractNumId="29">
    <w:nsid w:val="7055A5F5"/>
    <w:multiLevelType w:val="hybridMultilevel"/>
    <w:lvl w:ilvl="0">
      <w:lvlJc w:val="left"/>
      <w:lvlText w:val="(%1)"/>
      <w:numFmt w:val="decimal"/>
      <w:start w:val="1"/>
    </w:lvl>
  </w:abstractNum>
  <w:abstractNum w:abstractNumId="30">
    <w:nsid w:val="5FB8370B"/>
    <w:multiLevelType w:val="hybridMultilevel"/>
    <w:lvl w:ilvl="0">
      <w:lvlJc w:val="left"/>
      <w:lvlText w:val="(%1)"/>
      <w:numFmt w:val="decimal"/>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1)"/>
      <w:numFmt w:val="decimal"/>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1"/>
    </w:lvl>
  </w:abstractNum>
  <w:abstractNum w:abstractNumId="37">
    <w:nsid w:val="6A5F7029"/>
    <w:multiLevelType w:val="hybridMultilevel"/>
    <w:lvl w:ilvl="0">
      <w:lvlJc w:val="left"/>
      <w:lvlText w:val="(%1)"/>
      <w:numFmt w:val="decimal"/>
      <w:start w:val="1"/>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1)"/>
      <w:numFmt w:val="decimal"/>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1."/>
      <w:numFmt w:val="lowerLetter"/>
      <w:start w:val="1"/>
    </w:lvl>
  </w:abstractNum>
  <w:abstractNum w:abstractNumId="45">
    <w:nsid w:val="6A3DD3E8"/>
    <w:multiLevelType w:val="hybridMultilevel"/>
    <w:lvl w:ilvl="0">
      <w:lvlJc w:val="left"/>
      <w:lvlText w:val="%1."/>
      <w:numFmt w:val="lowerLetter"/>
      <w:start w:val="1"/>
    </w:lvl>
  </w:abstractNum>
  <w:abstractNum w:abstractNumId="46">
    <w:nsid w:val="71C91298"/>
    <w:multiLevelType w:val="hybridMultilevel"/>
    <w:lvl w:ilvl="0">
      <w:lvlJc w:val="left"/>
      <w:lvlText w:val="%1."/>
      <w:numFmt w:val="lowerLetter"/>
      <w:start w:val="2"/>
    </w:lvl>
    <w:lvl w:ilvl="1">
      <w:lvlJc w:val="left"/>
      <w:lvlText w:val="%2."/>
      <w:numFmt w:val="lowerRoman"/>
      <w:start w:val="1"/>
    </w:lvl>
  </w:abstractNum>
  <w:abstractNum w:abstractNumId="47">
    <w:nsid w:val="9DAF632"/>
    <w:multiLevelType w:val="hybridMultilevel"/>
    <w:lvl w:ilvl="0">
      <w:lvlJc w:val="left"/>
      <w:lvlText w:val="%1."/>
      <w:numFmt w:val="lowerLetter"/>
      <w:start w:val="3"/>
    </w:lvl>
  </w:abstractNum>
  <w:abstractNum w:abstractNumId="48">
    <w:nsid w:val="53299938"/>
    <w:multiLevelType w:val="hybridMultilevel"/>
    <w:lvl w:ilvl="0">
      <w:lvlJc w:val="left"/>
      <w:lvlText w:val="%1."/>
      <w:numFmt w:val="lowerLetter"/>
      <w:start w:val="1"/>
    </w:lvl>
    <w:lvl w:ilvl="1">
      <w:lvlJc w:val="left"/>
      <w:lvlText w:val="%2."/>
      <w:numFmt w:val="lowerRoman"/>
      <w:start w:val="1"/>
    </w:lvl>
  </w:abstractNum>
  <w:abstractNum w:abstractNumId="49">
    <w:nsid w:val="1FBFE8E0"/>
    <w:multiLevelType w:val="hybridMultilevel"/>
    <w:lvl w:ilvl="0">
      <w:lvlJc w:val="left"/>
      <w:lvlText w:val="%1."/>
      <w:numFmt w:val="lowerLetter"/>
      <w:start w:val="3"/>
    </w:lvl>
  </w:abstractNum>
  <w:abstractNum w:abstractNumId="50">
    <w:nsid w:val="5092CA79"/>
    <w:multiLevelType w:val="hybridMultilevel"/>
    <w:lvl w:ilvl="0">
      <w:lvlJc w:val="left"/>
      <w:lvlText w:val="%1."/>
      <w:numFmt w:val="lowerLetter"/>
      <w:start w:val="1"/>
    </w:lvl>
  </w:abstractNum>
  <w:abstractNum w:abstractNumId="51">
    <w:nsid w:val="1D545C4D"/>
    <w:multiLevelType w:val="hybridMultilevel"/>
    <w:lvl w:ilvl="0">
      <w:lvlJc w:val="left"/>
      <w:lvlText w:val="%1."/>
      <w:numFmt w:val="lowerLetter"/>
      <w:start w:val="3"/>
    </w:lvl>
  </w:abstractNum>
  <w:abstractNum w:abstractNumId="52">
    <w:nsid w:val="59ADEA3D"/>
    <w:multiLevelType w:val="hybridMultilevel"/>
    <w:lvl w:ilvl="0">
      <w:lvlJc w:val="left"/>
      <w:lvlText w:val="%1."/>
      <w:numFmt w:val="lowerLetter"/>
      <w:start w:val="1"/>
    </w:lvl>
  </w:abstractNum>
  <w:abstractNum w:abstractNumId="53">
    <w:nsid w:val="288F1A34"/>
    <w:multiLevelType w:val="hybridMultilevel"/>
    <w:lvl w:ilvl="0">
      <w:lvlJc w:val="left"/>
      <w:lvlText w:val="%1."/>
      <w:numFmt w:val="lowerLetter"/>
      <w:start w:val="1"/>
    </w:lvl>
  </w:abstractNum>
  <w:abstractNum w:abstractNumId="54">
    <w:nsid w:val="2A155DBC"/>
    <w:multiLevelType w:val="hybridMultilevel"/>
    <w:lvl w:ilvl="0">
      <w:lvlJc w:val="left"/>
      <w:lvlText w:val="%1."/>
      <w:numFmt w:val="lowerLetter"/>
      <w:start w:val="2"/>
    </w:lvl>
    <w:lvl w:ilvl="1">
      <w:lvlJc w:val="left"/>
      <w:lvlText w:val="%2."/>
      <w:numFmt w:val="lowerRoman"/>
      <w:start w:val="1"/>
    </w:lvl>
  </w:abstractNum>
  <w:abstractNum w:abstractNumId="55">
    <w:nsid w:val="1D9F6E5F"/>
    <w:multiLevelType w:val="hybridMultilevel"/>
    <w:lvl w:ilvl="0">
      <w:lvlJc w:val="left"/>
      <w:lvlText w:val="%1."/>
      <w:numFmt w:val="lowerLetter"/>
      <w:start w:val="1"/>
    </w:lvl>
  </w:abstractNum>
  <w:abstractNum w:abstractNumId="56">
    <w:nsid w:val="97E1B4E"/>
    <w:multiLevelType w:val="hybridMultilevel"/>
    <w:lvl w:ilvl="0">
      <w:lvlJc w:val="left"/>
      <w:lvlText w:val="%1."/>
      <w:numFmt w:val="lowerLetter"/>
      <w:start w:val="11"/>
    </w:lvl>
  </w:abstractNum>
  <w:abstractNum w:abstractNumId="57">
    <w:nsid w:val="51088277"/>
    <w:multiLevelType w:val="hybridMultilevel"/>
    <w:lvl w:ilvl="0">
      <w:lvlJc w:val="left"/>
      <w:lvlText w:val="%1."/>
      <w:numFmt w:val="lowerLetter"/>
      <w:start w:val="1"/>
    </w:lvl>
  </w:abstractNum>
  <w:abstractNum w:abstractNumId="58">
    <w:nsid w:val="1CA0C5FA"/>
    <w:multiLevelType w:val="hybridMultilevel"/>
    <w:lvl w:ilvl="0">
      <w:lvlJc w:val="left"/>
      <w:lvlText w:val="%1."/>
      <w:numFmt w:val="lowerLetter"/>
      <w:start w:val="4"/>
    </w:lvl>
  </w:abstractNum>
  <w:abstractNum w:abstractNumId="59">
    <w:nsid w:val="53584BCB"/>
    <w:multiLevelType w:val="hybridMultilevel"/>
    <w:lvl w:ilvl="0">
      <w:lvlJc w:val="left"/>
      <w:lvlText w:val="%1."/>
      <w:numFmt w:val="lowerLetter"/>
      <w:start w:val="1"/>
    </w:lvl>
    <w:lvl w:ilvl="1">
      <w:lvlJc w:val="left"/>
      <w:lvlText w:val="%2."/>
      <w:numFmt w:val="lowerLetter"/>
      <w:start w:val="9"/>
    </w:lvl>
  </w:abstractNum>
  <w:abstractNum w:abstractNumId="60">
    <w:nsid w:val="415E286C"/>
    <w:multiLevelType w:val="hybridMultilevel"/>
    <w:lvl w:ilvl="0">
      <w:lvlJc w:val="left"/>
      <w:lvlText w:val="%1."/>
      <w:numFmt w:val="lowerRoman"/>
      <w:start w:val="2"/>
    </w:lvl>
  </w:abstractNum>
  <w:abstractNum w:abstractNumId="61">
    <w:nsid w:val="7C58FD05"/>
    <w:multiLevelType w:val="hybridMultilevel"/>
    <w:lvl w:ilvl="0">
      <w:lvlJc w:val="left"/>
      <w:lvlText w:val="%1."/>
      <w:numFmt w:val="lowerLetter"/>
      <w:start w:val="2"/>
    </w:lvl>
  </w:abstractNum>
  <w:abstractNum w:abstractNumId="62">
    <w:nsid w:val="23D86AAC"/>
    <w:multiLevelType w:val="hybridMultilevel"/>
    <w:lvl w:ilvl="0">
      <w:lvlJc w:val="left"/>
      <w:lvlText w:val="%1."/>
      <w:numFmt w:val="lowerLetter"/>
      <w:start w:val="4"/>
    </w:lvl>
  </w:abstractNum>
  <w:abstractNum w:abstractNumId="63">
    <w:nsid w:val="45E6D486"/>
    <w:multiLevelType w:val="hybridMultilevel"/>
    <w:lvl w:ilvl="0">
      <w:lvlJc w:val="left"/>
      <w:lvlText w:val="%1."/>
      <w:numFmt w:val="lowerLetter"/>
      <w:start w:val="1"/>
    </w:lvl>
  </w:abstractNum>
  <w:abstractNum w:abstractNumId="64">
    <w:nsid w:val="5C10FE21"/>
    <w:multiLevelType w:val="hybridMultilevel"/>
    <w:lvl w:ilvl="0">
      <w:lvlJc w:val="left"/>
      <w:lvlText w:val="%1."/>
      <w:numFmt w:val="lowerLetter"/>
      <w:start w:val="5"/>
    </w:lvl>
  </w:abstractNum>
  <w:abstractNum w:abstractNumId="65">
    <w:nsid w:val="E7FFA2B"/>
    <w:multiLevelType w:val="hybridMultilevel"/>
    <w:lvl w:ilvl="0">
      <w:lvlJc w:val="left"/>
      <w:lvlText w:val="%1."/>
      <w:numFmt w:val="lowerLetter"/>
      <w:start w:val="1"/>
    </w:lvl>
    <w:lvl w:ilvl="1">
      <w:lvlJc w:val="left"/>
      <w:lvlText w:val="%2."/>
      <w:numFmt w:val="lowerRoman"/>
      <w:start w:val="1"/>
    </w:lvl>
  </w:abstractNum>
  <w:abstractNum w:abstractNumId="66">
    <w:nsid w:val="3C5991AA"/>
    <w:multiLevelType w:val="hybridMultilevel"/>
    <w:lvl w:ilvl="0">
      <w:lvlJc w:val="left"/>
      <w:lvlText w:val="%1."/>
      <w:numFmt w:val="lowerLetter"/>
      <w:start w:val="3"/>
    </w:lvl>
  </w:abstractNum>
  <w:abstractNum w:abstractNumId="67">
    <w:nsid w:val="4BD8591A"/>
    <w:multiLevelType w:val="hybridMultilevel"/>
    <w:lvl w:ilvl="0">
      <w:lvlJc w:val="left"/>
      <w:lvlText w:val="%1."/>
      <w:numFmt w:val="lowerLetter"/>
      <w:start w:val="4"/>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lowerLetter"/>
      <w:start w:val="4"/>
    </w:lvl>
  </w:abstractNum>
  <w:abstractNum w:abstractNumId="70">
    <w:nsid w:val="2B0D8DBE"/>
    <w:multiLevelType w:val="hybridMultilevel"/>
    <w:lvl w:ilvl="0">
      <w:lvlJc w:val="left"/>
      <w:lvlText w:val="%1."/>
      <w:numFmt w:val="lowerLetter"/>
      <w:start w:val="7"/>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upperLetter"/>
      <w:start w:val="5"/>
    </w:lvl>
  </w:abstractNum>
  <w:abstractNum w:abstractNumId="73">
    <w:nsid w:val="69E373"/>
    <w:multiLevelType w:val="hybridMultilevel"/>
    <w:lvl w:ilvl="0">
      <w:lvlJc w:val="left"/>
      <w:lvlText w:val="%1."/>
      <w:numFmt w:val="lowerLetter"/>
      <w:start w:val="2"/>
    </w:lvl>
    <w:lvl w:ilvl="1">
      <w:lvlJc w:val="left"/>
      <w:lvlText w:val="%2."/>
      <w:numFmt w:val="lowerLetter"/>
      <w:start w:val="9"/>
    </w:lvl>
  </w:abstractNum>
  <w:abstractNum w:abstractNumId="74">
    <w:nsid w:val="2C27173B"/>
    <w:multiLevelType w:val="hybridMultilevel"/>
    <w:lvl w:ilvl="0">
      <w:lvlJc w:val="left"/>
      <w:lvlText w:val="%1."/>
      <w:numFmt w:val="lowerRoman"/>
      <w:start w:val="2"/>
    </w:lvl>
  </w:abstractNum>
  <w:abstractNum w:abstractNumId="75">
    <w:nsid w:val="4C9B0904"/>
    <w:multiLevelType w:val="hybridMultilevel"/>
    <w:lvl w:ilvl="0">
      <w:lvlJc w:val="left"/>
      <w:lvlText w:val="%1."/>
      <w:numFmt w:val="lowerLetter"/>
      <w:start w:val="3"/>
    </w:lvl>
  </w:abstractNum>
  <w:abstractNum w:abstractNumId="76">
    <w:nsid w:val="6AA7B75C"/>
    <w:multiLevelType w:val="hybridMultilevel"/>
    <w:lvl w:ilvl="0">
      <w:lvlJc w:val="left"/>
      <w:lvlText w:val="%1."/>
      <w:numFmt w:val="lowerLetter"/>
      <w:start w:val="1"/>
    </w:lvl>
    <w:lvl w:ilvl="1">
      <w:lvlJc w:val="left"/>
      <w:lvlText w:val="%2."/>
      <w:numFmt w:val="lowerRoman"/>
      <w:start w:val="1"/>
    </w:lvl>
  </w:abstractNum>
  <w:abstractNum w:abstractNumId="77">
    <w:nsid w:val="1DF029D3"/>
    <w:multiLevelType w:val="hybridMultilevel"/>
    <w:lvl w:ilvl="0">
      <w:lvlJc w:val="left"/>
      <w:lvlText w:val="%1."/>
      <w:numFmt w:val="lowerLetter"/>
      <w:start w:val="3"/>
    </w:lvl>
  </w:abstractNum>
  <w:abstractNum w:abstractNumId="78">
    <w:nsid w:val="5675FF36"/>
    <w:multiLevelType w:val="hybridMultilevel"/>
    <w:lvl w:ilvl="0">
      <w:lvlJc w:val="left"/>
      <w:lvlText w:val="%1."/>
      <w:numFmt w:val="lowerLetter"/>
      <w:start w:val="1"/>
    </w:lvl>
  </w:abstractNum>
  <w:abstractNum w:abstractNumId="79">
    <w:nsid w:val="3DD15094"/>
    <w:multiLevelType w:val="hybridMultilevel"/>
    <w:lvl w:ilvl="0">
      <w:lvlJc w:val="left"/>
      <w:lvlText w:val="%1."/>
      <w:numFmt w:val="lowerLetter"/>
      <w:start w:val="1"/>
    </w:lvl>
  </w:abstractNum>
  <w:abstractNum w:abstractNumId="80">
    <w:nsid w:val="3DB012B3"/>
    <w:multiLevelType w:val="hybridMultilevel"/>
    <w:lvl w:ilvl="0">
      <w:lvlJc w:val="left"/>
      <w:lvlText w:val="%1."/>
      <w:numFmt w:val="lowerLetter"/>
      <w:start w:val="2"/>
    </w:lvl>
  </w:abstractNum>
  <w:abstractNum w:abstractNumId="81">
    <w:nsid w:val="2708C9AF"/>
    <w:multiLevelType w:val="hybridMultilevel"/>
    <w:lvl w:ilvl="0">
      <w:lvlJc w:val="left"/>
      <w:lvlText w:val="%1."/>
      <w:numFmt w:val="lowerLetter"/>
      <w:start w:val="1"/>
    </w:lvl>
    <w:lvl w:ilvl="1">
      <w:lvlJc w:val="left"/>
      <w:lvlText w:val="%2."/>
      <w:numFmt w:val="lowerRoman"/>
      <w:start w:val="1"/>
    </w:lvl>
  </w:abstractNum>
  <w:abstractNum w:abstractNumId="82">
    <w:nsid w:val="5B25ACE2"/>
    <w:multiLevelType w:val="hybridMultilevel"/>
    <w:lvl w:ilvl="0">
      <w:lvlJc w:val="left"/>
      <w:lvlText w:val="%1"/>
      <w:numFmt w:val="lowerLetter"/>
      <w:start w:val="1"/>
    </w:lvl>
    <w:lvl w:ilvl="1">
      <w:lvlJc w:val="left"/>
      <w:lvlText w:val="%2."/>
      <w:numFmt w:val="lowerLetter"/>
      <w:start w:val="61"/>
    </w:lvl>
  </w:abstractNum>
  <w:abstractNum w:abstractNumId="83">
    <w:nsid w:val="175DFCF0"/>
    <w:multiLevelType w:val="hybridMultilevel"/>
    <w:lvl w:ilvl="0">
      <w:lvlJc w:val="left"/>
      <w:lvlText w:val="%1."/>
      <w:numFmt w:val="lowerLetter"/>
      <w:start w:val="3"/>
    </w:lvl>
    <w:lvl w:ilvl="1">
      <w:lvlJc w:val="left"/>
      <w:lvlText w:val="%2"/>
      <w:numFmt w:val="lowerLetter"/>
      <w:start w:val="1"/>
    </w:lvl>
  </w:abstractNum>
  <w:abstractNum w:abstractNumId="84">
    <w:nsid w:val="4F97E3E4"/>
    <w:multiLevelType w:val="hybridMultilevel"/>
    <w:lvl w:ilvl="0">
      <w:lvlJc w:val="left"/>
      <w:lvlText w:val="%1."/>
      <w:numFmt w:val="lowerLetter"/>
      <w:start w:val="1"/>
    </w:lvl>
  </w:abstractNum>
  <w:abstractNum w:abstractNumId="85">
    <w:nsid w:val="53B0A9E"/>
    <w:multiLevelType w:val="hybridMultilevel"/>
    <w:lvl w:ilvl="0">
      <w:lvlJc w:val="left"/>
      <w:lvlText w:val="%1."/>
      <w:numFmt w:val="lowerLetter"/>
      <w:start w:val="7"/>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7"/>
    </w:lvl>
  </w:abstractNum>
  <w:abstractNum w:abstractNumId="88">
    <w:nsid w:val="56438D15"/>
    <w:multiLevelType w:val="hybridMultilevel"/>
    <w:lvl w:ilvl="0">
      <w:lvlJc w:val="left"/>
      <w:lvlText w:val="%1."/>
      <w:numFmt w:val="lowerLetter"/>
      <w:start w:val="1"/>
    </w:lvl>
    <w:lvl w:ilvl="1">
      <w:lvlJc w:val="left"/>
      <w:lvlText w:val="%2."/>
      <w:numFmt w:val="lowerRoman"/>
      <w:start w:val="1"/>
    </w:lvl>
  </w:abstractNum>
  <w:abstractNum w:abstractNumId="89">
    <w:nsid w:val="519E3149"/>
    <w:multiLevelType w:val="hybridMultilevel"/>
    <w:lvl w:ilvl="0">
      <w:lvlJc w:val="left"/>
      <w:lvlText w:val="%1."/>
      <w:numFmt w:val="lowerLetter"/>
      <w:start w:val="2"/>
    </w:lvl>
  </w:abstractNum>
  <w:abstractNum w:abstractNumId="90">
    <w:nsid w:val="2C6E4AFD"/>
    <w:multiLevelType w:val="hybridMultilevel"/>
    <w:lvl w:ilvl="0">
      <w:lvlJc w:val="left"/>
      <w:lvlText w:val="%1."/>
      <w:numFmt w:val="lowerLetter"/>
      <w:start w:val="1"/>
    </w:lvl>
  </w:abstractNum>
  <w:abstractNum w:abstractNumId="91">
    <w:nsid w:val="17A1B582"/>
    <w:multiLevelType w:val="hybridMultilevel"/>
    <w:lvl w:ilvl="0">
      <w:lvlJc w:val="left"/>
      <w:lvlText w:val="%1."/>
      <w:numFmt w:val="lowerLetter"/>
      <w:start w:val="5"/>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2"/>
    </w:lvl>
    <w:lvl w:ilvl="1">
      <w:lvlJc w:val="left"/>
      <w:lvlText w:val="%2."/>
      <w:numFmt w:val="lowerRoman"/>
      <w:start w:val="1"/>
    </w:lvl>
  </w:abstractNum>
  <w:abstractNum w:abstractNumId="94">
    <w:nsid w:val="5D888A08"/>
    <w:multiLevelType w:val="hybridMultilevel"/>
    <w:lvl w:ilvl="0">
      <w:lvlJc w:val="left"/>
      <w:lvlText w:val="%1."/>
      <w:numFmt w:val="lowerLetter"/>
      <w:start w:val="3"/>
    </w:lvl>
  </w:abstractNum>
  <w:abstractNum w:abstractNumId="95">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5EC6AFD4"/>
    <w:multiLevelType w:val="hybridMultilevel"/>
    <w:lvl w:ilvl="0">
      <w:lvlJc w:val="left"/>
      <w:lvlText w:val="%1."/>
      <w:numFmt w:val="lowerLetter"/>
      <w:start w:val="2"/>
    </w:lvl>
    <w:lvl w:ilvl="1">
      <w:lvlJc w:val="left"/>
      <w:lvlText w:val="(%2)"/>
      <w:numFmt w:val="lowerRoman"/>
      <w:start w:val="1"/>
    </w:lvl>
  </w:abstractNum>
  <w:abstractNum w:abstractNumId="97">
    <w:nsid w:val="19E21BB2"/>
    <w:multiLevelType w:val="hybridMultilevel"/>
    <w:lvl w:ilvl="0">
      <w:lvlJc w:val="left"/>
      <w:lvlText w:val="(%1)"/>
      <w:numFmt w:val="lowerRoman"/>
      <w:start w:val="2"/>
    </w:lvl>
  </w:abstractNum>
  <w:abstractNum w:abstractNumId="98">
    <w:nsid w:val="75E0858A"/>
    <w:multiLevelType w:val="hybridMultilevel"/>
    <w:lvl w:ilvl="0">
      <w:lvlJc w:val="left"/>
      <w:lvlText w:val="%1."/>
      <w:numFmt w:val="lowerLetter"/>
      <w:start w:val="3"/>
    </w:lvl>
  </w:abstractNum>
  <w:abstractNum w:abstractNumId="99">
    <w:nsid w:val="57A61A29"/>
    <w:multiLevelType w:val="hybridMultilevel"/>
    <w:lvl w:ilvl="0">
      <w:lvlJc w:val="left"/>
      <w:lvlText w:val="%1."/>
      <w:numFmt w:val="lowerLetter"/>
      <w:start w:val="1"/>
    </w:lvl>
  </w:abstractNum>
  <w:abstractNum w:abstractNumId="100">
    <w:nsid w:val="5399C654"/>
    <w:multiLevelType w:val="hybridMultilevel"/>
    <w:lvl w:ilvl="0">
      <w:lvlJc w:val="left"/>
      <w:lvlText w:val="%1."/>
      <w:numFmt w:val="lowerLetter"/>
      <w:start w:val="4"/>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lowerLetter"/>
      <w:start w:val="1"/>
    </w:lvl>
    <w:lvl w:ilvl="1">
      <w:lvlJc w:val="left"/>
      <w:lvlText w:val="(%2)"/>
      <w:numFmt w:val="lowerRoman"/>
      <w:start w:val="1"/>
    </w:lvl>
  </w:abstractNum>
  <w:abstractNum w:abstractNumId="104">
    <w:nsid w:val="2157F6BC"/>
    <w:multiLevelType w:val="hybridMultilevel"/>
    <w:lvl w:ilvl="0">
      <w:lvlJc w:val="left"/>
      <w:lvlText w:val="%1"/>
      <w:numFmt w:val="lowerLetter"/>
      <w:start w:val="1"/>
    </w:lvl>
    <w:lvl w:ilvl="1">
      <w:lvlJc w:val="left"/>
      <w:lvlText w:val="(%2)"/>
      <w:numFmt w:val="lowerRoman"/>
      <w:start w:val="3"/>
    </w:lvl>
  </w:abstractNum>
  <w:abstractNum w:abstractNumId="105">
    <w:nsid w:val="704E1DD5"/>
    <w:multiLevelType w:val="hybridMultilevel"/>
    <w:lvl w:ilvl="0">
      <w:lvlJc w:val="left"/>
      <w:lvlText w:val="%1."/>
      <w:numFmt w:val="lowerLetter"/>
      <w:start w:val="3"/>
    </w:lvl>
    <w:lvl w:ilvl="1">
      <w:lvlJc w:val="left"/>
      <w:lvlText w:val="%2"/>
      <w:numFmt w:val="lowerRoman"/>
      <w:start w:val="1"/>
    </w:lvl>
  </w:abstractNum>
  <w:abstractNum w:abstractNumId="106">
    <w:nsid w:val="57D2F10E"/>
    <w:multiLevelType w:val="hybridMultilevel"/>
    <w:lvl w:ilvl="0">
      <w:lvlJc w:val="left"/>
      <w:lvlText w:val="%1."/>
      <w:numFmt w:val="lowerLetter"/>
      <w:start w:val="1"/>
    </w:lvl>
  </w:abstractNum>
  <w:abstractNum w:abstractNumId="107">
    <w:nsid w:val="BFFAE18"/>
    <w:multiLevelType w:val="hybridMultilevel"/>
    <w:lvl w:ilvl="0">
      <w:lvlJc w:val="left"/>
      <w:lvlText w:val="%1."/>
      <w:numFmt w:val="lowerLetter"/>
      <w:start w:val="3"/>
    </w:lvl>
  </w:abstractNum>
  <w:abstractNum w:abstractNumId="108">
    <w:nsid w:val="E3E47A8"/>
    <w:multiLevelType w:val="hybridMultilevel"/>
    <w:lvl w:ilvl="0">
      <w:lvlJc w:val="left"/>
      <w:lvlText w:val="%1."/>
      <w:numFmt w:val="lowerLetter"/>
      <w:start w:val="12"/>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lowerLetter"/>
      <w:start w:val="3"/>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Roman"/>
      <w:start w:val="1"/>
    </w:lvl>
  </w:abstractNum>
  <w:abstractNum w:abstractNumId="113">
    <w:nsid w:val="24F6AB8E"/>
    <w:multiLevelType w:val="hybridMultilevel"/>
    <w:lvl w:ilvl="0">
      <w:lvlJc w:val="left"/>
      <w:lvlText w:val="%1."/>
      <w:numFmt w:val="lowerLetter"/>
      <w:start w:val="2"/>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2"/>
    </w:lvl>
  </w:abstractNum>
  <w:abstractNum w:abstractNumId="116">
    <w:nsid w:val="2A31B62D"/>
    <w:multiLevelType w:val="hybridMultilevel"/>
    <w:lvl w:ilvl="0">
      <w:lvlJc w:val="left"/>
      <w:lvlText w:val="%1."/>
      <w:numFmt w:val="lowerLetter"/>
      <w:start w:val="5"/>
    </w:lvl>
  </w:abstractNum>
  <w:abstractNum w:abstractNumId="117">
    <w:nsid w:val="1849C29B"/>
    <w:multiLevelType w:val="hybridMultilevel"/>
    <w:lvl w:ilvl="0">
      <w:lvlJc w:val="left"/>
      <w:lvlText w:val="%1."/>
      <w:numFmt w:val="lowerLetter"/>
      <w:start w:val="1"/>
    </w:lvl>
  </w:abstractNum>
  <w:abstractNum w:abstractNumId="118">
    <w:nsid w:val="7DFF9D09"/>
    <w:multiLevelType w:val="hybridMultilevel"/>
    <w:lvl w:ilvl="0">
      <w:lvlJc w:val="left"/>
      <w:lvlText w:val="%1."/>
      <w:numFmt w:val="lowerLetter"/>
      <w:start w:val="2"/>
    </w:lvl>
    <w:lvl w:ilvl="1">
      <w:lvlJc w:val="left"/>
      <w:lvlText w:val="%2."/>
      <w:numFmt w:val="lowerRoman"/>
      <w:start w:val="1"/>
    </w:lvl>
  </w:abstractNum>
  <w:abstractNum w:abstractNumId="119">
    <w:nsid w:val="754342"/>
    <w:multiLevelType w:val="hybridMultilevel"/>
    <w:lvl w:ilvl="0">
      <w:lvlJc w:val="left"/>
      <w:lvlText w:val="%1."/>
      <w:numFmt w:val="lowerLetter"/>
      <w:start w:val="3"/>
    </w:lvl>
  </w:abstractNum>
  <w:abstractNum w:abstractNumId="120">
    <w:nsid w:val="69E7F3E5"/>
    <w:multiLevelType w:val="hybridMultilevel"/>
    <w:lvl w:ilvl="0">
      <w:lvlJc w:val="left"/>
      <w:lvlText w:val="%1."/>
      <w:numFmt w:val="decimal"/>
      <w:start w:val="1"/>
    </w:lvl>
  </w:abstractNum>
  <w:abstractNum w:abstractNumId="121">
    <w:nsid w:val="2A6DE806"/>
    <w:multiLevelType w:val="hybridMultilevel"/>
    <w:lvl w:ilvl="0">
      <w:lvlJc w:val="left"/>
      <w:lvlText w:val="%1."/>
      <w:numFmt w:val="decimal"/>
      <w:start w:val="2"/>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6"/>
    </w:lvl>
  </w:abstractNum>
  <w:abstractNum w:abstractNumId="124">
    <w:nsid w:val="7AB49DAF"/>
    <w:multiLevelType w:val="hybridMultilevel"/>
    <w:lvl w:ilvl="0">
      <w:lvlJc w:val="left"/>
      <w:lvlText w:val="%1."/>
      <w:numFmt w:val="decimal"/>
      <w:start w:val="3"/>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lowerLetter"/>
      <w:start w:val="4"/>
    </w:lvl>
  </w:abstractNum>
  <w:abstractNum w:abstractNumId="127">
    <w:nsid w:val="597B4D84"/>
    <w:multiLevelType w:val="hybridMultilevel"/>
    <w:lvl w:ilvl="0">
      <w:lvlJc w:val="left"/>
      <w:lvlText w:val="%1"/>
      <w:numFmt w:val="upperLetter"/>
      <w:start w:val="1"/>
    </w:lvl>
    <w:lvl w:ilvl="1">
      <w:lvlJc w:val="left"/>
      <w:lvlText w:val="%2."/>
      <w:numFmt w:val="decimal"/>
      <w:start w:val="4"/>
    </w:lvl>
  </w:abstractNum>
  <w:abstractNum w:abstractNumId="128">
    <w:nsid w:val="F819E7F"/>
    <w:multiLevelType w:val="hybridMultilevel"/>
    <w:lvl w:ilvl="0">
      <w:lvlJc w:val="left"/>
      <w:lvlText w:val="%1."/>
      <w:numFmt w:val="upperLetter"/>
      <w:start w:val="1"/>
    </w:lvl>
    <w:lvl w:ilvl="1">
      <w:lvlJc w:val="left"/>
      <w:lvlText w:val="%2."/>
      <w:numFmt w:val="decimal"/>
      <w:start w:val="5"/>
    </w:lvl>
  </w:abstractNum>
  <w:abstractNum w:abstractNumId="129">
    <w:nsid w:val="57C7D42D"/>
    <w:multiLevelType w:val="hybridMultilevel"/>
    <w:lvl w:ilvl="0">
      <w:lvlJc w:val="left"/>
      <w:lvlText w:val="%1"/>
      <w:numFmt w:val="upperLetter"/>
      <w:start w:val="1"/>
    </w:lvl>
    <w:lvl w:ilvl="1">
      <w:lvlJc w:val="left"/>
      <w:lvlText w:val="%2."/>
      <w:numFmt w:val="decimal"/>
      <w:start w:val="6"/>
    </w:lvl>
  </w:abstractNum>
  <w:abstractNum w:abstractNumId="130">
    <w:nsid w:val="312167AD"/>
    <w:multiLevelType w:val="hybridMultilevel"/>
    <w:lvl w:ilvl="0">
      <w:lvlJc w:val="left"/>
      <w:lvlText w:val="%1."/>
      <w:numFmt w:val="upperLetter"/>
      <w:start w:val="2"/>
    </w:lvl>
    <w:lvl w:ilvl="1">
      <w:lvlJc w:val="left"/>
      <w:lvlText w:val="(%2)"/>
      <w:numFmt w:val="lowerRoman"/>
      <w:start w:val="1"/>
    </w:lvl>
  </w:abstractNum>
  <w:abstractNum w:abstractNumId="131">
    <w:nsid w:val="631B64D4"/>
    <w:multiLevelType w:val="hybridMultilevel"/>
    <w:lvl w:ilvl="0">
      <w:lvlJc w:val="left"/>
      <w:lvlText w:val="%1."/>
      <w:numFmt w:val="upperLetter"/>
      <w:start w:val="3"/>
    </w:lvl>
    <w:lvl w:ilvl="1">
      <w:lvlJc w:val="left"/>
      <w:lvlText w:val="(%2)"/>
      <w:numFmt w:val="lowerRoman"/>
      <w:start w:val="1"/>
    </w:lvl>
  </w:abstractNum>
  <w:abstractNum w:abstractNumId="132">
    <w:nsid w:val="78B5E776"/>
    <w:multiLevelType w:val="hybridMultilevel"/>
    <w:lvl w:ilvl="0">
      <w:lvlJc w:val="left"/>
      <w:lvlText w:val="(%1)"/>
      <w:numFmt w:val="lowerRoman"/>
      <w:start w:val="2"/>
    </w:lvl>
  </w:abstractNum>
  <w:abstractNum w:abstractNumId="133">
    <w:nsid w:val="75486E47"/>
    <w:multiLevelType w:val="hybridMultilevel"/>
    <w:lvl w:ilvl="0">
      <w:lvlJc w:val="left"/>
      <w:lvlText w:val="%1"/>
      <w:numFmt w:val="upperLetter"/>
      <w:start w:val="1"/>
    </w:lvl>
    <w:lvl w:ilvl="1">
      <w:lvlJc w:val="left"/>
      <w:lvlText w:val="%2."/>
      <w:numFmt w:val="decimal"/>
      <w:start w:val="7"/>
    </w:lvl>
  </w:abstractNum>
  <w:abstractNum w:abstractNumId="134">
    <w:nsid w:val="6E534CD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35">
    <w:nsid w:val="1A0DDE32"/>
    <w:multiLevelType w:val="hybridMultilevel"/>
    <w:lvl w:ilvl="0">
      <w:lvlJc w:val="left"/>
      <w:lvlText w:val="%1."/>
      <w:numFmt w:val="upperLetter"/>
      <w:start w:val="2"/>
    </w:lvl>
    <w:lvl w:ilvl="1">
      <w:lvlJc w:val="left"/>
      <w:lvlText w:val="%2."/>
      <w:numFmt w:val="decimal"/>
      <w:start w:val="8"/>
    </w:lvl>
    <w:lvl w:ilvl="2">
      <w:lvlJc w:val="left"/>
      <w:lvlText w:val="%3"/>
      <w:numFmt w:val="lowerRoman"/>
      <w:start w:val="1"/>
    </w:lvl>
  </w:abstractNum>
  <w:abstractNum w:abstractNumId="136">
    <w:nsid w:val="65968C1C"/>
    <w:multiLevelType w:val="hybridMultilevel"/>
    <w:lvl w:ilvl="0">
      <w:lvlJc w:val="left"/>
      <w:lvlText w:val="%1."/>
      <w:numFmt w:val="upperLetter"/>
      <w:start w:val="1"/>
    </w:lvl>
  </w:abstractNum>
  <w:abstractNum w:abstractNumId="137">
    <w:nsid w:val="46263DEC"/>
    <w:multiLevelType w:val="hybridMultilevel"/>
    <w:lvl w:ilvl="0">
      <w:lvlJc w:val="left"/>
      <w:lvlText w:val="%1."/>
      <w:numFmt w:val="upperLetter"/>
      <w:start w:val="2"/>
    </w:lvl>
  </w:abstractNum>
  <w:abstractNum w:abstractNumId="138">
    <w:nsid w:val="260D8C4A"/>
    <w:multiLevelType w:val="hybridMultilevel"/>
    <w:lvl w:ilvl="0">
      <w:lvlJc w:val="left"/>
      <w:lvlText w:val="%1."/>
      <w:numFmt w:val="decimal"/>
      <w:start w:val="9"/>
    </w:lvl>
    <w:lvl w:ilvl="1">
      <w:lvlJc w:val="left"/>
      <w:lvlText w:val="(%2)"/>
      <w:numFmt w:val="lowerLetter"/>
      <w:start w:val="1"/>
    </w:lvl>
  </w:abstractNum>
  <w:abstractNum w:abstractNumId="139">
    <w:nsid w:val="73D4D3C4"/>
    <w:multiLevelType w:val="hybridMultilevel"/>
    <w:lvl w:ilvl="0">
      <w:lvlJc w:val="left"/>
      <w:lvlText w:val="%1."/>
      <w:numFmt w:val="decimal"/>
      <w:start w:val="10"/>
    </w:lvl>
  </w:abstractNum>
  <w:abstractNum w:abstractNumId="140">
    <w:nsid w:val="746F2E30"/>
    <w:multiLevelType w:val="hybridMultilevel"/>
    <w:lvl w:ilvl="0">
      <w:lvlJc w:val="left"/>
      <w:lvlText w:val="%1."/>
      <w:numFmt w:val="decimal"/>
      <w:start w:val="11"/>
    </w:lvl>
  </w:abstractNum>
  <w:abstractNum w:abstractNumId="141">
    <w:nsid w:val="6FDE8AF6"/>
    <w:multiLevelType w:val="hybridMultilevel"/>
    <w:lvl w:ilvl="0">
      <w:lvlJc w:val="left"/>
      <w:lvlText w:val="%1."/>
      <w:numFmt w:val="decimal"/>
      <w:start w:val="12"/>
    </w:lvl>
  </w:abstractNum>
  <w:abstractNum w:abstractNumId="142">
    <w:nsid w:val="3FC32E20"/>
    <w:multiLevelType w:val="hybridMultilevel"/>
    <w:lvl w:ilvl="0">
      <w:lvlJc w:val="left"/>
      <w:lvlText w:val="%1"/>
      <w:numFmt w:val="upperLetter"/>
      <w:start w:val="1"/>
    </w:lvl>
    <w:lvl w:ilvl="1">
      <w:lvlJc w:val="left"/>
      <w:lvlText w:val="%2."/>
      <w:numFmt w:val="decimal"/>
      <w:start w:val="14"/>
    </w:lvl>
  </w:abstractNum>
  <w:abstractNum w:abstractNumId="143">
    <w:nsid w:val="49C0E823"/>
    <w:multiLevelType w:val="hybridMultilevel"/>
    <w:lvl w:ilvl="0">
      <w:lvlJc w:val="left"/>
      <w:lvlText w:val="•"/>
      <w:numFmt w:val="bullet"/>
      <w:start w:val="1"/>
    </w:lvl>
  </w:abstractNum>
  <w:abstractNum w:abstractNumId="144">
    <w:nsid w:val="14D53685"/>
    <w:multiLevelType w:val="hybridMultilevel"/>
    <w:lvl w:ilvl="0">
      <w:lvlJc w:val="left"/>
      <w:lvlText w:val="%1."/>
      <w:numFmt w:val="upperLetter"/>
      <w:start w:val="2"/>
    </w:lvl>
    <w:lvl w:ilvl="1">
      <w:lvlJc w:val="left"/>
      <w:lvlText w:val="•"/>
      <w:numFmt w:val="bullet"/>
      <w:start w:val="1"/>
    </w:lvl>
  </w:abstractNum>
  <w:abstractNum w:abstractNumId="145">
    <w:nsid w:val="230F856C"/>
    <w:multiLevelType w:val="hybridMultilevel"/>
    <w:lvl w:ilvl="0">
      <w:lvlJc w:val="left"/>
      <w:lvlText w:val="%1."/>
      <w:numFmt w:val="upperLetter"/>
      <w:start w:val="5"/>
    </w:lvl>
    <w:lvl w:ilvl="1">
      <w:lvlJc w:val="left"/>
      <w:lvlText w:val="•"/>
      <w:numFmt w:val="bullet"/>
      <w:start w:val="1"/>
    </w:lvl>
  </w:abstractNum>
  <w:abstractNum w:abstractNumId="146">
    <w:nsid w:val="6EAA85FB"/>
    <w:multiLevelType w:val="hybridMultilevel"/>
    <w:lvl w:ilvl="0">
      <w:lvlJc w:val="left"/>
      <w:lvlText w:val="%1."/>
      <w:numFmt w:val="decimal"/>
      <w:start w:val="16"/>
    </w:lvl>
  </w:abstractNum>
  <w:abstractNum w:abstractNumId="147">
    <w:nsid w:val="3F06ECB2"/>
    <w:multiLevelType w:val="hybridMultilevel"/>
    <w:lvl w:ilvl="0">
      <w:lvlJc w:val="left"/>
      <w:lvlText w:val="%1."/>
      <w:numFmt w:val="decimal"/>
      <w:start w:val="17"/>
    </w:lvl>
  </w:abstractNum>
  <w:abstractNum w:abstractNumId="148">
    <w:nsid w:val="3B594807"/>
    <w:multiLevelType w:val="hybridMultilevel"/>
    <w:lvl w:ilvl="0">
      <w:lvlJc w:val="left"/>
      <w:lvlText w:val="%1."/>
      <w:numFmt w:val="decimal"/>
      <w:start w:val="18"/>
    </w:lvl>
  </w:abstractNum>
  <w:abstractNum w:abstractNumId="149">
    <w:nsid w:val="6CAA2304"/>
    <w:multiLevelType w:val="hybridMultilevel"/>
    <w:lvl w:ilvl="0">
      <w:lvlJc w:val="left"/>
      <w:lvlText w:val="%1."/>
      <w:numFmt w:val="decimal"/>
      <w:start w:val="1"/>
    </w:lvl>
    <w:lvl w:ilvl="1">
      <w:lvlJc w:val="left"/>
      <w:lvlText w:val="%2."/>
      <w:numFmt w:val="lowerLetter"/>
      <w:start w:val="1"/>
    </w:lvl>
  </w:abstractNum>
  <w:abstractNum w:abstractNumId="150">
    <w:nsid w:val="3F7C2FF4"/>
    <w:multiLevelType w:val="hybridMultilevel"/>
    <w:lvl w:ilvl="0">
      <w:lvlJc w:val="left"/>
      <w:lvlText w:val="%1."/>
      <w:numFmt w:val="decimal"/>
      <w:start w:val="1"/>
    </w:lvl>
    <w:lvl w:ilvl="1">
      <w:lvlJc w:val="left"/>
      <w:lvlText w:val="%2."/>
      <w:numFmt w:val="lowerLetter"/>
      <w:start w:val="1"/>
    </w:lvl>
  </w:abstractNum>
  <w:abstractNum w:abstractNumId="151">
    <w:nsid w:val="25413BEC"/>
    <w:multiLevelType w:val="hybridMultilevel"/>
    <w:lvl w:ilvl="0">
      <w:lvlJc w:val="left"/>
      <w:lvlText w:val="1"/>
      <w:numFmt w:val="bullet"/>
      <w:start w:val="1"/>
    </w:lvl>
  </w:abstractNum>
  <w:abstractNum w:abstractNumId="152">
    <w:nsid w:val="17180B0B"/>
    <w:multiLevelType w:val="hybridMultilevel"/>
    <w:lvl w:ilvl="0">
      <w:lvlJc w:val="left"/>
      <w:lvlText w:val="%1)"/>
      <w:numFmt w:val="lowerLetter"/>
      <w:start w:val="1"/>
    </w:lvl>
  </w:abstractNum>
  <w:abstractNum w:abstractNumId="153">
    <w:nsid w:val="579328B9"/>
    <w:multiLevelType w:val="hybridMultilevel"/>
    <w:lvl w:ilvl="0">
      <w:lvlJc w:val="left"/>
      <w:lvlText w:val="%1"/>
      <w:numFmt w:val="upperLetter"/>
      <w:start w:val="1"/>
    </w:lvl>
    <w:lvl w:ilvl="1">
      <w:lvlJc w:val="left"/>
      <w:lvlText w:val="%2)"/>
      <w:numFmt w:val="lowerLetter"/>
      <w:start w:val="1"/>
    </w:lvl>
  </w:abstractNum>
  <w:abstractNum w:abstractNumId="154">
    <w:nsid w:val="5D205E20"/>
    <w:multiLevelType w:val="hybridMultilevel"/>
    <w:lvl w:ilvl="0">
      <w:lvlJc w:val="left"/>
      <w:lvlText w:val="%1."/>
      <w:numFmt w:val="upperLetter"/>
      <w:start w:val="61"/>
    </w:lvl>
    <w:lvl w:ilvl="1">
      <w:lvlJc w:val="left"/>
      <w:lvlText w:val="%2"/>
      <w:numFmt w:val="lowerLetter"/>
      <w:start w:val="1"/>
    </w:lvl>
  </w:abstractNum>
  <w:abstractNum w:abstractNumId="155">
    <w:nsid w:val="11CCA8BA"/>
    <w:multiLevelType w:val="hybridMultilevel"/>
    <w:lvl w:ilvl="0">
      <w:lvlJc w:val="left"/>
      <w:lvlText w:val="%1)"/>
      <w:numFmt w:val="lowerLetter"/>
      <w:start w:val="2"/>
    </w:lvl>
  </w:abstractNum>
  <w:abstractNum w:abstractNumId="156">
    <w:nsid w:val="4D32AB86"/>
    <w:multiLevelType w:val="hybridMultilevel"/>
    <w:lvl w:ilvl="0">
      <w:lvlJc w:val="left"/>
      <w:lvlText w:val="%1)"/>
      <w:numFmt w:val="lowerLetter"/>
      <w:start w:val="1"/>
    </w:lvl>
  </w:abstractNum>
  <w:abstractNum w:abstractNumId="157">
    <w:nsid w:val="3F07ACC3"/>
    <w:multiLevelType w:val="hybridMultilevel"/>
    <w:lvl w:ilvl="0">
      <w:lvlJc w:val="left"/>
      <w:lvlText w:val="%1)"/>
      <w:numFmt w:val="lowerLetter"/>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2"/>
      <w:numFmt w:val="bullet"/>
      <w:start w:val="1"/>
    </w:lvl>
  </w:abstractNum>
  <w:abstractNum w:abstractNumId="161">
    <w:nsid w:val="1C695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8"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60" Type="http://schemas.openxmlformats.org/officeDocument/2006/relationships/hyperlink" Target="https://www.sec.gov/Archives/edgar/data/59478/000005947822000138/articlesofincorporationlly.htm" TargetMode="External"/><Relationship Id="rId161" Type="http://schemas.openxmlformats.org/officeDocument/2006/relationships/hyperlink" Target="https://www.sec.gov/Archives/edgar/data/59478/000005947822000138/bylaws.htm" TargetMode="External"/><Relationship Id="rId162" Type="http://schemas.openxmlformats.org/officeDocument/2006/relationships/hyperlink" Target="http://www.sec.gov/Archives/edgar/data/59478/000005947813000010/exhibit41-indenturedatedfe.htm" TargetMode="External"/><Relationship Id="rId163" Type="http://schemas.openxmlformats.org/officeDocument/2006/relationships/hyperlink" Target="http://www.sec.gov/Archives/edgar/data/59478/000095015209001897/c49534exv4w2.htm" TargetMode="External"/><Relationship Id="rId164" Type="http://schemas.openxmlformats.org/officeDocument/2006/relationships/hyperlink" Target="https://www.sec.gov/Archives/edgar/data/59478/000005947820000057/lly-20191231x10kexhibit44.htm" TargetMode="External"/><Relationship Id="rId165" Type="http://schemas.openxmlformats.org/officeDocument/2006/relationships/hyperlink" Target="https://www.sec.gov/Archives/edgar/data/59478/000005947820000057/lly-20191231x10kexhibit45.htm" TargetMode="External"/><Relationship Id="rId166" Type="http://schemas.openxmlformats.org/officeDocument/2006/relationships/hyperlink" Target="https://www.sec.gov/Archives/edgar/data/59478/000005947820000057/lly-20191231x10kexhibit46.htm" TargetMode="External"/><Relationship Id="rId167" Type="http://schemas.openxmlformats.org/officeDocument/2006/relationships/hyperlink" Target="https://www.sec.gov/Archives/edgar/data/59478/000005947820000057/lly-20191231x10kexhibit47.htm" TargetMode="External"/><Relationship Id="rId169" Type="http://schemas.openxmlformats.org/officeDocument/2006/relationships/hyperlink" Target="https://www.sec.gov/Archives/edgar/data/59478/000005947822000068/lly-20211231x10kexhibit48.htm" TargetMode="External"/><Relationship Id="rId170" Type="http://schemas.openxmlformats.org/officeDocument/2006/relationships/hyperlink" Target="https://www.sec.gov/Archives/edgar/data/59478/000005947822000068/lly-20211231x10kexhibit49.htm" TargetMode="External"/><Relationship Id="rId171" Type="http://schemas.openxmlformats.org/officeDocument/2006/relationships/hyperlink" Target="http://www.sec.gov/Archives/edgar/data/59478/000005947818000188/lly-6302018x10qxexhibit101.htm" TargetMode="External"/><Relationship Id="rId172" Type="http://schemas.openxmlformats.org/officeDocument/2006/relationships/hyperlink" Target="https://www.sec.gov/Archives/edgar/data/59478/000005947823000082/lly-20221231x10kexhibit102.htm" TargetMode="External"/><Relationship Id="rId173" Type="http://schemas.openxmlformats.org/officeDocument/2006/relationships/hyperlink" Target="https://www.sec.gov/Archives/edgar/data/59478/000005947823000082/lly-20221231x10kexhibit105.htm" TargetMode="External"/><Relationship Id="rId174" Type="http://schemas.openxmlformats.org/officeDocument/2006/relationships/hyperlink" Target="https://www.sec.gov/Archives/edgar/data/59478/000005947814000078/lly-20131231x10kexhibit105.htm" TargetMode="External"/><Relationship Id="rId175" Type="http://schemas.openxmlformats.org/officeDocument/2006/relationships/hyperlink" Target="https://www.sec.gov/Archives/edgar/data/59478/000005947817000183/lly-6302017x10qxexhibit10.htm" TargetMode="External"/><Relationship Id="rId176" Type="http://schemas.openxmlformats.org/officeDocument/2006/relationships/hyperlink" Target="https://www.sec.gov/Archives/edgar/data/0000059478/000005947821000083/lly-20201231x10kexhibit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2024-02-21T11:06:37Z</dcterms:created>
  <dcterms:modified xsi:type="dcterms:W3CDTF">2024-02-21T11:06:37Z</dcterms:modified>
</cp:coreProperties>
</file>