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0000316011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ELI LILLY AND CO</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001-06351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NORTH MERIDIAN STREET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INDIANAPOLIS</w:t>
      </w:r>
    </w:p>
    <w:p>
      <w:pPr>
        <w:spacing w:after="0" w:line="230" w:lineRule="auto"/>
        <w:rPr>
          <w:sz w:val="20"/>
          <w:szCs w:val="20"/>
          <w:color w:val="auto"/>
        </w:rPr>
      </w:pPr>
      <w:r>
        <w:rPr>
          <w:rFonts w:ascii="Arial" w:cs="Arial" w:eastAsia="Arial" w:hAnsi="Arial"/>
          <w:sz w:val="22"/>
          <w:szCs w:val="22"/>
          <w:color w:val="auto"/>
        </w:rPr>
        <w:t>INDIANA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46208-0068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3172762000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LILLY ENDOWMENT INC</w:t>
      </w:r>
    </w:p>
    <w:p>
      <w:pPr>
        <w:spacing w:after="0" w:line="44" w:lineRule="exact"/>
        <w:rPr>
          <w:sz w:val="24"/>
          <w:szCs w:val="24"/>
          <w:color w:val="auto"/>
        </w:rPr>
      </w:pPr>
    </w:p>
    <w:p>
      <w:pPr>
        <w:sectPr>
          <w:pgSz w:w="11900" w:h="16838" w:orient="portrait"/>
          <w:cols w:equalWidth="0" w:num="2">
            <w:col w:w="6480" w:space="720"/>
            <w:col w:w="4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4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2"/>
              </w:rPr>
              <w:t>Name and Address of</w:t>
            </w: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4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40" w:type="dxa"/>
            <w:vAlign w:val="bottom"/>
          </w:tcPr>
          <w:p>
            <w:pPr>
              <w:ind w:left="140"/>
              <w:spacing w:after="0"/>
              <w:rPr>
                <w:sz w:val="20"/>
                <w:szCs w:val="20"/>
                <w:color w:val="auto"/>
              </w:rPr>
            </w:pPr>
            <w:r>
              <w:rPr>
                <w:rFonts w:ascii="Arial" w:cs="Arial" w:eastAsia="Arial" w:hAnsi="Arial"/>
                <w:sz w:val="22"/>
                <w:szCs w:val="22"/>
                <w:color w:val="auto"/>
              </w:rPr>
              <w:t>J.P. Morgan Securities</w:t>
            </w: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40" w:type="dxa"/>
            <w:vAlign w:val="bottom"/>
          </w:tcPr>
          <w:p>
            <w:pPr>
              <w:ind w:left="140"/>
              <w:spacing w:after="0" w:line="243" w:lineRule="exact"/>
              <w:rPr>
                <w:sz w:val="20"/>
                <w:szCs w:val="20"/>
                <w:color w:val="auto"/>
              </w:rPr>
            </w:pPr>
            <w:r>
              <w:rPr>
                <w:rFonts w:ascii="Arial" w:cs="Arial" w:eastAsia="Arial" w:hAnsi="Arial"/>
                <w:sz w:val="22"/>
                <w:szCs w:val="22"/>
                <w:color w:val="auto"/>
                <w:w w:val="91"/>
              </w:rPr>
              <w:t>383 Madison Avenue, 7th</w:t>
            </w:r>
          </w:p>
        </w:tc>
        <w:tc>
          <w:tcPr>
            <w:tcW w:w="126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95"/>
              </w:rPr>
              <w:t>205000</w:t>
            </w:r>
          </w:p>
        </w:tc>
        <w:tc>
          <w:tcPr>
            <w:tcW w:w="114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8"/>
              </w:rPr>
              <w:t>113500300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Arial" w:cs="Arial" w:eastAsia="Arial" w:hAnsi="Arial"/>
                <w:sz w:val="22"/>
                <w:szCs w:val="22"/>
                <w:color w:val="auto"/>
              </w:rPr>
              <w:t>Floor</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40" w:type="dxa"/>
            <w:vAlign w:val="bottom"/>
          </w:tcPr>
          <w:p>
            <w:pPr>
              <w:ind w:left="140"/>
              <w:spacing w:after="0"/>
              <w:rPr>
                <w:sz w:val="20"/>
                <w:szCs w:val="20"/>
                <w:color w:val="auto"/>
              </w:rPr>
            </w:pPr>
            <w:r>
              <w:rPr>
                <w:rFonts w:ascii="Arial" w:cs="Arial" w:eastAsia="Arial" w:hAnsi="Arial"/>
                <w:sz w:val="22"/>
                <w:szCs w:val="22"/>
                <w:color w:val="auto"/>
              </w:rPr>
              <w:t>New York  NY  10179</w:t>
            </w: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0"/>
        </w:trPr>
        <w:tc>
          <w:tcPr>
            <w:tcW w:w="1200" w:type="dxa"/>
            <w:vAlign w:val="bottom"/>
            <w:vMerge w:val="restart"/>
          </w:tcPr>
          <w:p>
            <w:pPr>
              <w:jc w:val="right"/>
              <w:ind w:right="112"/>
              <w:spacing w:after="0"/>
              <w:rPr>
                <w:sz w:val="20"/>
                <w:szCs w:val="20"/>
                <w:color w:val="auto"/>
              </w:rPr>
            </w:pPr>
            <w:r>
              <w:rPr>
                <w:rFonts w:ascii="Arial" w:cs="Arial" w:eastAsia="Arial" w:hAnsi="Arial"/>
                <w:sz w:val="22"/>
                <w:szCs w:val="22"/>
                <w:color w:val="auto"/>
                <w:w w:val="87"/>
              </w:rPr>
              <w:t>949295173</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08/23/2023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500" w:val="left"/>
          <w:tab w:leader="none" w:pos="7500" w:val="left"/>
          <w:tab w:leader="none" w:pos="86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Arial" w:cs="Arial" w:eastAsia="Arial" w:hAnsi="Arial"/>
                <w:sz w:val="22"/>
                <w:szCs w:val="22"/>
                <w:b w:val="1"/>
                <w:bCs w:val="1"/>
                <w:color w:val="auto"/>
                <w:w w:val="99"/>
              </w:rPr>
              <w:t>Transaction</w:t>
            </w:r>
          </w:p>
        </w:tc>
        <w:tc>
          <w:tcPr>
            <w:tcW w:w="150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3380" w:type="dxa"/>
            <w:vAlign w:val="bottom"/>
          </w:tcPr>
          <w:p>
            <w:pPr>
              <w:jc w:val="right"/>
              <w:ind w:right="472"/>
              <w:spacing w:after="0"/>
              <w:rPr>
                <w:sz w:val="20"/>
                <w:szCs w:val="20"/>
                <w:color w:val="auto"/>
              </w:rPr>
            </w:pPr>
            <w:r>
              <w:rPr>
                <w:rFonts w:ascii="Arial" w:cs="Arial" w:eastAsia="Arial" w:hAnsi="Arial"/>
                <w:sz w:val="22"/>
                <w:szCs w:val="22"/>
                <w:b w:val="1"/>
                <w:bCs w:val="1"/>
                <w:color w:val="auto"/>
              </w:rPr>
              <w:t>a   Acquired   Acquired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6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3380" w:type="dxa"/>
            <w:vAlign w:val="bottom"/>
          </w:tcPr>
          <w:p>
            <w:pPr>
              <w:jc w:val="right"/>
              <w:ind w:right="2612"/>
              <w:spacing w:after="0"/>
              <w:rPr>
                <w:sz w:val="20"/>
                <w:szCs w:val="20"/>
                <w:color w:val="auto"/>
              </w:rPr>
            </w:pPr>
            <w:r>
              <w:rPr>
                <w:rFonts w:ascii="Arial" w:cs="Arial" w:eastAsia="Arial" w:hAnsi="Arial"/>
                <w:sz w:val="22"/>
                <w:szCs w:val="22"/>
                <w:b w:val="1"/>
                <w:bCs w:val="1"/>
                <w:color w:val="auto"/>
              </w:rPr>
              <w:t>Gift?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60" w:type="dxa"/>
            <w:vAlign w:val="bottom"/>
            <w:vMerge w:val="restart"/>
          </w:tcPr>
          <w:p>
            <w:pPr>
              <w:spacing w:after="0"/>
              <w:rPr>
                <w:sz w:val="20"/>
                <w:szCs w:val="20"/>
                <w:color w:val="auto"/>
              </w:rPr>
            </w:pPr>
            <w:r>
              <w:rPr>
                <w:rFonts w:ascii="Arial" w:cs="Arial" w:eastAsia="Arial" w:hAnsi="Arial"/>
                <w:sz w:val="22"/>
                <w:szCs w:val="22"/>
                <w:color w:val="auto"/>
              </w:rPr>
              <w:t>Common Stock 02/10/1948 Gift</w:t>
            </w:r>
          </w:p>
        </w:tc>
        <w:tc>
          <w:tcPr>
            <w:tcW w:w="1500" w:type="dxa"/>
            <w:vAlign w:val="bottom"/>
          </w:tcPr>
          <w:p>
            <w:pPr>
              <w:ind w:left="180"/>
              <w:spacing w:after="0"/>
              <w:rPr>
                <w:sz w:val="20"/>
                <w:szCs w:val="20"/>
                <w:color w:val="auto"/>
              </w:rPr>
            </w:pPr>
            <w:r>
              <w:rPr>
                <w:rFonts w:ascii="Arial" w:cs="Arial" w:eastAsia="Arial" w:hAnsi="Arial"/>
                <w:sz w:val="22"/>
                <w:szCs w:val="22"/>
                <w:color w:val="auto"/>
              </w:rPr>
              <w:t>J.K. Lilly Sr.</w:t>
            </w:r>
          </w:p>
        </w:tc>
        <w:tc>
          <w:tcPr>
            <w:tcW w:w="3380" w:type="dxa"/>
            <w:vAlign w:val="bottom"/>
            <w:vMerge w:val="restart"/>
          </w:tcPr>
          <w:p>
            <w:pPr>
              <w:jc w:val="right"/>
              <w:ind w:right="652"/>
              <w:spacing w:after="0"/>
              <w:rPr>
                <w:sz w:val="20"/>
                <w:szCs w:val="20"/>
                <w:color w:val="auto"/>
              </w:rPr>
            </w:pPr>
            <w:r>
              <w:rPr>
                <w:rFonts w:ascii="Arial" w:cs="Arial" w:eastAsia="Arial" w:hAnsi="Arial"/>
                <w:sz w:val="22"/>
                <w:szCs w:val="22"/>
                <w:color w:val="auto"/>
              </w:rPr>
              <w:t>01/21/1937 38400000</w:t>
            </w:r>
          </w:p>
        </w:tc>
        <w:tc>
          <w:tcPr>
            <w:tcW w:w="940" w:type="dxa"/>
            <w:vAlign w:val="bottom"/>
            <w:vMerge w:val="restart"/>
          </w:tcPr>
          <w:p>
            <w:pPr>
              <w:ind w:left="580"/>
              <w:spacing w:after="0"/>
              <w:rPr>
                <w:sz w:val="20"/>
                <w:szCs w:val="20"/>
                <w:color w:val="auto"/>
              </w:rPr>
            </w:pPr>
            <w:r>
              <w:rPr>
                <w:rFonts w:ascii="Arial" w:cs="Arial" w:eastAsia="Arial" w:hAnsi="Arial"/>
                <w:sz w:val="22"/>
                <w:szCs w:val="22"/>
                <w:color w:val="auto"/>
                <w:w w:val="92"/>
              </w:rPr>
              <w:t>N/A</w:t>
            </w:r>
          </w:p>
        </w:tc>
        <w:tc>
          <w:tcPr>
            <w:tcW w:w="0" w:type="dxa"/>
            <w:vAlign w:val="bottom"/>
          </w:tcPr>
          <w:p>
            <w:pPr>
              <w:spacing w:after="0"/>
              <w:rPr>
                <w:sz w:val="1"/>
                <w:szCs w:val="1"/>
                <w:color w:val="auto"/>
              </w:rPr>
            </w:pPr>
          </w:p>
        </w:tc>
      </w:tr>
      <w:tr>
        <w:trPr>
          <w:trHeight w:val="153"/>
        </w:trPr>
        <w:tc>
          <w:tcPr>
            <w:tcW w:w="4060" w:type="dxa"/>
            <w:vAlign w:val="bottom"/>
            <w:vMerge w:val="continue"/>
          </w:tcPr>
          <w:p>
            <w:pPr>
              <w:spacing w:after="0"/>
              <w:rPr>
                <w:sz w:val="13"/>
                <w:szCs w:val="13"/>
                <w:color w:val="auto"/>
              </w:rPr>
            </w:pPr>
          </w:p>
        </w:tc>
        <w:tc>
          <w:tcPr>
            <w:tcW w:w="1500" w:type="dxa"/>
            <w:vAlign w:val="bottom"/>
            <w:vMerge w:val="restart"/>
          </w:tcPr>
          <w:p>
            <w:pPr>
              <w:ind w:left="180"/>
              <w:spacing w:after="0"/>
              <w:rPr>
                <w:sz w:val="20"/>
                <w:szCs w:val="20"/>
                <w:color w:val="auto"/>
              </w:rPr>
            </w:pPr>
            <w:r>
              <w:rPr>
                <w:rFonts w:ascii="Arial" w:cs="Arial" w:eastAsia="Arial" w:hAnsi="Arial"/>
                <w:sz w:val="22"/>
                <w:szCs w:val="22"/>
                <w:color w:val="auto"/>
              </w:rPr>
              <w:t>Trust</w:t>
            </w:r>
          </w:p>
        </w:tc>
        <w:tc>
          <w:tcPr>
            <w:tcW w:w="33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80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06/28/2023 11760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5473169.86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06/29/2023 44115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20517145.37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06/30/2023 164125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76744357.63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07/21/2023 591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275772.77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08/08/2023 204409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107056413.35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08/09/2023 123961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65554270.84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08/10/2023 3000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1584405.00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08/11/2023 83039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43886427.05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08/14/2023 164778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88829199.83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2" w:name="page3"/>
    <w:bookmarkEnd w:id="2"/>
    <w:p>
      <w:pPr>
        <w:ind w:left="40"/>
        <w:spacing w:after="0"/>
        <w:tabs>
          <w:tab w:leader="none" w:pos="3640" w:val="left"/>
          <w:tab w:leader="none" w:pos="7280" w:val="left"/>
          <w:tab w:leader="none" w:pos="9660" w:val="left"/>
        </w:tabs>
        <w:rPr>
          <w:sz w:val="20"/>
          <w:szCs w:val="20"/>
          <w:color w:val="auto"/>
        </w:rPr>
      </w:pPr>
      <w:r>
        <w:rPr>
          <w:rFonts w:ascii="Arial" w:cs="Arial" w:eastAsia="Arial" w:hAnsi="Arial"/>
          <w:sz w:val="22"/>
          <w:szCs w:val="22"/>
          <w:color w:val="auto"/>
        </w:rPr>
        <w:t>Lilly Endowment Inc.</w:t>
      </w:r>
      <w:r>
        <w:rPr>
          <w:sz w:val="20"/>
          <w:szCs w:val="20"/>
          <w:color w:val="auto"/>
        </w:rPr>
        <w:tab/>
      </w:r>
      <w:r>
        <w:rPr>
          <w:rFonts w:ascii="Arial" w:cs="Arial" w:eastAsia="Arial" w:hAnsi="Arial"/>
          <w:sz w:val="22"/>
          <w:szCs w:val="22"/>
          <w:color w:val="auto"/>
        </w:rPr>
        <w:t>Eli Lilly and Company Common Stock</w:t>
        <w:tab/>
        <w:t>08/15/2023 50222</w:t>
      </w:r>
      <w:r>
        <w:rPr>
          <w:sz w:val="20"/>
          <w:szCs w:val="20"/>
          <w:color w:val="auto"/>
        </w:rPr>
        <w:tab/>
      </w:r>
      <w:r>
        <w:rPr>
          <w:rFonts w:ascii="Arial" w:cs="Arial" w:eastAsia="Arial" w:hAnsi="Arial"/>
          <w:sz w:val="19"/>
          <w:szCs w:val="19"/>
          <w:color w:val="auto"/>
        </w:rPr>
        <w:t>27306741.00</w:t>
      </w:r>
    </w:p>
    <w:p>
      <w:pPr>
        <w:ind w:left="40"/>
        <w:spacing w:after="0" w:line="238" w:lineRule="auto"/>
        <w:rPr>
          <w:sz w:val="20"/>
          <w:szCs w:val="20"/>
          <w:color w:val="auto"/>
        </w:rPr>
      </w:pPr>
      <w:r>
        <w:rPr>
          <w:rFonts w:ascii="Arial" w:cs="Arial" w:eastAsia="Arial" w:hAnsi="Arial"/>
          <w:sz w:val="22"/>
          <w:szCs w:val="22"/>
          <w:color w:val="auto"/>
        </w:rPr>
        <w:t>2801 North Meridian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Indianapolis  IN  46208</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08/23/2023</w:t>
            </w: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Diane M. Stenson, Vice President &amp;amp; Treasurer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2023-08-23T12:56:23Z</dcterms:created>
  <dcterms:modified xsi:type="dcterms:W3CDTF">2023-08-23T12:56:23Z</dcterms:modified>
</cp:coreProperties>
</file>